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10"/>
        <w:jc w:val="center"/>
        <w:rPr>
          <w:rFonts w:hint="default" w:ascii="Times New Roman" w:hAnsi="Times New Roman" w:cs="Times New Roman"/>
          <w:color w:val="FF0000"/>
        </w:rPr>
      </w:pPr>
      <w:bookmarkStart w:id="0" w:name="_Toc12201"/>
      <w:bookmarkStart w:id="1" w:name="_Toc6918"/>
      <w:bookmarkStart w:id="2" w:name="_Toc17745"/>
      <w:r>
        <w:rPr>
          <w:rFonts w:hint="default" w:ascii="Times New Roman" w:hAnsi="Times New Roman" w:cs="Times New Roman"/>
          <w:color w:val="FF0000"/>
          <w:lang w:val="zh-CN"/>
        </w:rPr>
        <w:t>目录</w:t>
      </w:r>
    </w:p>
    <w:p>
      <w:pPr>
        <w:pStyle w:val="31"/>
        <w:tabs>
          <w:tab w:val="right" w:leader="dot" w:pos="8312"/>
        </w:tabs>
        <w:rPr>
          <w:rFonts w:hint="default" w:ascii="Times New Roman" w:hAnsi="Times New Roman" w:cs="Times New Roman"/>
        </w:rPr>
      </w:pPr>
      <w:r>
        <w:rPr>
          <w:rFonts w:hint="default" w:ascii="Times New Roman" w:hAnsi="Times New Roman" w:cs="Times New Roman"/>
          <w:color w:val="FF0000"/>
        </w:rPr>
        <w:fldChar w:fldCharType="begin"/>
      </w:r>
      <w:r>
        <w:rPr>
          <w:rFonts w:hint="default" w:ascii="Times New Roman" w:hAnsi="Times New Roman" w:cs="Times New Roman"/>
          <w:color w:val="FF0000"/>
        </w:rPr>
        <w:instrText xml:space="preserve"> TOC \o "1-3" \h \z \u </w:instrText>
      </w:r>
      <w:r>
        <w:rPr>
          <w:rFonts w:hint="default" w:ascii="Times New Roman" w:hAnsi="Times New Roman" w:cs="Times New Roman"/>
          <w:color w:val="FF0000"/>
        </w:rPr>
        <w:fldChar w:fldCharType="separate"/>
      </w:r>
      <w:r>
        <w:rPr>
          <w:rFonts w:hint="default" w:ascii="Times New Roman" w:hAnsi="Times New Roman" w:cs="Times New Roman"/>
          <w:color w:val="FF0000"/>
        </w:rPr>
        <w:fldChar w:fldCharType="begin"/>
      </w:r>
      <w:r>
        <w:rPr>
          <w:rFonts w:hint="default" w:ascii="Times New Roman" w:hAnsi="Times New Roman" w:cs="Times New Roman"/>
        </w:rPr>
        <w:instrText xml:space="preserve"> HYPERLINK \l _Toc3206 </w:instrText>
      </w:r>
      <w:r>
        <w:rPr>
          <w:rFonts w:hint="default" w:ascii="Times New Roman" w:hAnsi="Times New Roman" w:cs="Times New Roman"/>
        </w:rPr>
        <w:fldChar w:fldCharType="separate"/>
      </w:r>
      <w:r>
        <w:rPr>
          <w:rFonts w:hint="default" w:ascii="Times New Roman" w:hAnsi="Times New Roman" w:cs="Times New Roman"/>
        </w:rPr>
        <w:t>概述</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_Toc3206 \h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cs="Times New Roman"/>
          <w:color w:val="FF0000"/>
        </w:rPr>
        <w:fldChar w:fldCharType="end"/>
      </w:r>
    </w:p>
    <w:p>
      <w:pPr>
        <w:pStyle w:val="31"/>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_Toc588 </w:instrText>
      </w:r>
      <w:r>
        <w:rPr>
          <w:rFonts w:hint="default" w:ascii="Times New Roman" w:hAnsi="Times New Roman" w:cs="Times New Roman"/>
          <w:bCs/>
          <w:lang w:val="zh-CN"/>
        </w:rPr>
        <w:fldChar w:fldCharType="separate"/>
      </w:r>
      <w:r>
        <w:rPr>
          <w:rFonts w:hint="default" w:ascii="Times New Roman" w:hAnsi="Times New Roman" w:cs="Times New Roman"/>
        </w:rPr>
        <w:t>1.总则</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_Toc588 \h </w:instrText>
      </w:r>
      <w:r>
        <w:rPr>
          <w:rFonts w:hint="default" w:ascii="Times New Roman" w:hAnsi="Times New Roman" w:cs="Times New Roman"/>
        </w:rPr>
        <w:fldChar w:fldCharType="separate"/>
      </w:r>
      <w:r>
        <w:rPr>
          <w:rFonts w:hint="default" w:ascii="Times New Roman" w:hAnsi="Times New Roman" w:cs="Times New Roman"/>
        </w:rPr>
        <w:t>7</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36"/>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_Toc1498 </w:instrText>
      </w:r>
      <w:r>
        <w:rPr>
          <w:rFonts w:hint="default" w:ascii="Times New Roman" w:hAnsi="Times New Roman" w:cs="Times New Roman"/>
          <w:bCs/>
          <w:lang w:val="zh-CN"/>
        </w:rPr>
        <w:fldChar w:fldCharType="separate"/>
      </w:r>
      <w:r>
        <w:rPr>
          <w:rFonts w:hint="default" w:ascii="Times New Roman" w:hAnsi="Times New Roman" w:eastAsia="宋体" w:cs="Times New Roman"/>
          <w:szCs w:val="28"/>
        </w:rPr>
        <w:t>1.1编制依据</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_Toc1498 \h </w:instrText>
      </w:r>
      <w:r>
        <w:rPr>
          <w:rFonts w:hint="default" w:ascii="Times New Roman" w:hAnsi="Times New Roman" w:cs="Times New Roman"/>
        </w:rPr>
        <w:fldChar w:fldCharType="separate"/>
      </w:r>
      <w:r>
        <w:rPr>
          <w:rFonts w:hint="default" w:ascii="Times New Roman" w:hAnsi="Times New Roman" w:cs="Times New Roman"/>
        </w:rPr>
        <w:t>7</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23"/>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_Toc24960 </w:instrText>
      </w:r>
      <w:r>
        <w:rPr>
          <w:rFonts w:hint="default" w:ascii="Times New Roman" w:hAnsi="Times New Roman" w:cs="Times New Roman"/>
          <w:bCs/>
          <w:lang w:val="zh-CN"/>
        </w:rPr>
        <w:fldChar w:fldCharType="separate"/>
      </w:r>
      <w:r>
        <w:rPr>
          <w:rFonts w:hint="default" w:ascii="Times New Roman" w:hAnsi="Times New Roman" w:cs="Times New Roman"/>
          <w:szCs w:val="28"/>
        </w:rPr>
        <w:t>1.1.1国家环境保护法律、法规和有关文件</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_Toc24960 \h </w:instrText>
      </w:r>
      <w:r>
        <w:rPr>
          <w:rFonts w:hint="default" w:ascii="Times New Roman" w:hAnsi="Times New Roman" w:cs="Times New Roman"/>
        </w:rPr>
        <w:fldChar w:fldCharType="separate"/>
      </w:r>
      <w:r>
        <w:rPr>
          <w:rFonts w:hint="default" w:ascii="Times New Roman" w:hAnsi="Times New Roman" w:cs="Times New Roman"/>
        </w:rPr>
        <w:t>7</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23"/>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_Toc7377 </w:instrText>
      </w:r>
      <w:r>
        <w:rPr>
          <w:rFonts w:hint="default" w:ascii="Times New Roman" w:hAnsi="Times New Roman" w:cs="Times New Roman"/>
          <w:bCs/>
          <w:lang w:val="zh-CN"/>
        </w:rPr>
        <w:fldChar w:fldCharType="separate"/>
      </w:r>
      <w:r>
        <w:rPr>
          <w:rFonts w:hint="default" w:ascii="Times New Roman" w:hAnsi="Times New Roman" w:cs="Times New Roman"/>
          <w:szCs w:val="28"/>
        </w:rPr>
        <w:t>1.1.2地方法律法规及政策</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_Toc7377 \h </w:instrText>
      </w:r>
      <w:r>
        <w:rPr>
          <w:rFonts w:hint="default" w:ascii="Times New Roman" w:hAnsi="Times New Roman" w:cs="Times New Roman"/>
        </w:rPr>
        <w:fldChar w:fldCharType="separate"/>
      </w:r>
      <w:r>
        <w:rPr>
          <w:rFonts w:hint="default" w:ascii="Times New Roman" w:hAnsi="Times New Roman" w:cs="Times New Roman"/>
        </w:rPr>
        <w:t>8</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23"/>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_Toc15490 </w:instrText>
      </w:r>
      <w:r>
        <w:rPr>
          <w:rFonts w:hint="default" w:ascii="Times New Roman" w:hAnsi="Times New Roman" w:cs="Times New Roman"/>
          <w:bCs/>
          <w:lang w:val="zh-CN"/>
        </w:rPr>
        <w:fldChar w:fldCharType="separate"/>
      </w:r>
      <w:r>
        <w:rPr>
          <w:rFonts w:hint="default" w:ascii="Times New Roman" w:hAnsi="Times New Roman" w:cs="Times New Roman"/>
          <w:szCs w:val="28"/>
        </w:rPr>
        <w:t>1.1.3评价技术导则及相关规范</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_Toc15490 \h </w:instrText>
      </w:r>
      <w:r>
        <w:rPr>
          <w:rFonts w:hint="default" w:ascii="Times New Roman" w:hAnsi="Times New Roman" w:cs="Times New Roman"/>
        </w:rPr>
        <w:fldChar w:fldCharType="separate"/>
      </w:r>
      <w:r>
        <w:rPr>
          <w:rFonts w:hint="default" w:ascii="Times New Roman" w:hAnsi="Times New Roman" w:cs="Times New Roman"/>
        </w:rPr>
        <w:t>9</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23"/>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_Toc29492 </w:instrText>
      </w:r>
      <w:r>
        <w:rPr>
          <w:rFonts w:hint="default" w:ascii="Times New Roman" w:hAnsi="Times New Roman" w:cs="Times New Roman"/>
          <w:bCs/>
          <w:lang w:val="zh-CN"/>
        </w:rPr>
        <w:fldChar w:fldCharType="separate"/>
      </w:r>
      <w:r>
        <w:rPr>
          <w:rFonts w:hint="default" w:ascii="Times New Roman" w:hAnsi="Times New Roman" w:cs="Times New Roman"/>
          <w:szCs w:val="28"/>
        </w:rPr>
        <w:t>1.1.4项目主要技术文件</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_Toc29492 \h </w:instrText>
      </w:r>
      <w:r>
        <w:rPr>
          <w:rFonts w:hint="default" w:ascii="Times New Roman" w:hAnsi="Times New Roman" w:cs="Times New Roman"/>
        </w:rPr>
        <w:fldChar w:fldCharType="separate"/>
      </w:r>
      <w:r>
        <w:rPr>
          <w:rFonts w:hint="default" w:ascii="Times New Roman" w:hAnsi="Times New Roman" w:cs="Times New Roman"/>
        </w:rPr>
        <w:t>9</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36"/>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_Toc11706 </w:instrText>
      </w:r>
      <w:r>
        <w:rPr>
          <w:rFonts w:hint="default" w:ascii="Times New Roman" w:hAnsi="Times New Roman" w:cs="Times New Roman"/>
          <w:bCs/>
          <w:lang w:val="zh-CN"/>
        </w:rPr>
        <w:fldChar w:fldCharType="separate"/>
      </w:r>
      <w:r>
        <w:rPr>
          <w:rFonts w:hint="default" w:ascii="Times New Roman" w:hAnsi="Times New Roman" w:eastAsia="宋体" w:cs="Times New Roman"/>
          <w:szCs w:val="28"/>
        </w:rPr>
        <w:t>1.2评价目的和评价原则</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_Toc11706 \h </w:instrText>
      </w:r>
      <w:r>
        <w:rPr>
          <w:rFonts w:hint="default" w:ascii="Times New Roman" w:hAnsi="Times New Roman" w:cs="Times New Roman"/>
        </w:rPr>
        <w:fldChar w:fldCharType="separate"/>
      </w:r>
      <w:r>
        <w:rPr>
          <w:rFonts w:hint="default" w:ascii="Times New Roman" w:hAnsi="Times New Roman" w:cs="Times New Roman"/>
        </w:rPr>
        <w:t>10</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23"/>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_Toc17033 </w:instrText>
      </w:r>
      <w:r>
        <w:rPr>
          <w:rFonts w:hint="default" w:ascii="Times New Roman" w:hAnsi="Times New Roman" w:cs="Times New Roman"/>
          <w:bCs/>
          <w:lang w:val="zh-CN"/>
        </w:rPr>
        <w:fldChar w:fldCharType="separate"/>
      </w:r>
      <w:r>
        <w:rPr>
          <w:rFonts w:hint="default" w:ascii="Times New Roman" w:hAnsi="Times New Roman" w:cs="Times New Roman"/>
          <w:szCs w:val="28"/>
        </w:rPr>
        <w:t>1.2.1评价目的</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_Toc17033 \h </w:instrText>
      </w:r>
      <w:r>
        <w:rPr>
          <w:rFonts w:hint="default" w:ascii="Times New Roman" w:hAnsi="Times New Roman" w:cs="Times New Roman"/>
        </w:rPr>
        <w:fldChar w:fldCharType="separate"/>
      </w:r>
      <w:r>
        <w:rPr>
          <w:rFonts w:hint="default" w:ascii="Times New Roman" w:hAnsi="Times New Roman" w:cs="Times New Roman"/>
        </w:rPr>
        <w:t>10</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23"/>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_Toc22121 </w:instrText>
      </w:r>
      <w:r>
        <w:rPr>
          <w:rFonts w:hint="default" w:ascii="Times New Roman" w:hAnsi="Times New Roman" w:cs="Times New Roman"/>
          <w:bCs/>
          <w:lang w:val="zh-CN"/>
        </w:rPr>
        <w:fldChar w:fldCharType="separate"/>
      </w:r>
      <w:r>
        <w:rPr>
          <w:rFonts w:hint="default" w:ascii="Times New Roman" w:hAnsi="Times New Roman" w:cs="Times New Roman"/>
          <w:szCs w:val="28"/>
        </w:rPr>
        <w:t>1.2.2评价原则</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_Toc22121 \h </w:instrText>
      </w:r>
      <w:r>
        <w:rPr>
          <w:rFonts w:hint="default" w:ascii="Times New Roman" w:hAnsi="Times New Roman" w:cs="Times New Roman"/>
        </w:rPr>
        <w:fldChar w:fldCharType="separate"/>
      </w:r>
      <w:r>
        <w:rPr>
          <w:rFonts w:hint="default" w:ascii="Times New Roman" w:hAnsi="Times New Roman" w:cs="Times New Roman"/>
        </w:rPr>
        <w:t>10</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36"/>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_Toc1427 </w:instrText>
      </w:r>
      <w:r>
        <w:rPr>
          <w:rFonts w:hint="default" w:ascii="Times New Roman" w:hAnsi="Times New Roman" w:cs="Times New Roman"/>
          <w:bCs/>
          <w:lang w:val="zh-CN"/>
        </w:rPr>
        <w:fldChar w:fldCharType="separate"/>
      </w:r>
      <w:r>
        <w:rPr>
          <w:rFonts w:hint="default" w:ascii="Times New Roman" w:hAnsi="Times New Roman" w:eastAsia="宋体" w:cs="Times New Roman"/>
          <w:szCs w:val="28"/>
        </w:rPr>
        <w:t>1.3环境影响因素识别和评价因子筛选</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_Toc1427 \h </w:instrText>
      </w:r>
      <w:r>
        <w:rPr>
          <w:rFonts w:hint="default" w:ascii="Times New Roman" w:hAnsi="Times New Roman" w:cs="Times New Roman"/>
        </w:rPr>
        <w:fldChar w:fldCharType="separate"/>
      </w:r>
      <w:r>
        <w:rPr>
          <w:rFonts w:hint="default" w:ascii="Times New Roman" w:hAnsi="Times New Roman" w:cs="Times New Roman"/>
        </w:rPr>
        <w:t>10</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23"/>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_Toc21158 </w:instrText>
      </w:r>
      <w:r>
        <w:rPr>
          <w:rFonts w:hint="default" w:ascii="Times New Roman" w:hAnsi="Times New Roman" w:cs="Times New Roman"/>
          <w:bCs/>
          <w:lang w:val="zh-CN"/>
        </w:rPr>
        <w:fldChar w:fldCharType="separate"/>
      </w:r>
      <w:r>
        <w:rPr>
          <w:rFonts w:hint="default" w:ascii="Times New Roman" w:hAnsi="Times New Roman" w:cs="Times New Roman"/>
          <w:szCs w:val="28"/>
        </w:rPr>
        <w:t>1.3.1环境影响因素识别</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_Toc21158 \h </w:instrText>
      </w:r>
      <w:r>
        <w:rPr>
          <w:rFonts w:hint="default" w:ascii="Times New Roman" w:hAnsi="Times New Roman" w:cs="Times New Roman"/>
        </w:rPr>
        <w:fldChar w:fldCharType="separate"/>
      </w:r>
      <w:r>
        <w:rPr>
          <w:rFonts w:hint="default" w:ascii="Times New Roman" w:hAnsi="Times New Roman" w:cs="Times New Roman"/>
        </w:rPr>
        <w:t>10</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23"/>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_Toc19176 </w:instrText>
      </w:r>
      <w:r>
        <w:rPr>
          <w:rFonts w:hint="default" w:ascii="Times New Roman" w:hAnsi="Times New Roman" w:cs="Times New Roman"/>
          <w:bCs/>
          <w:lang w:val="zh-CN"/>
        </w:rPr>
        <w:fldChar w:fldCharType="separate"/>
      </w:r>
      <w:r>
        <w:rPr>
          <w:rFonts w:hint="default" w:ascii="Times New Roman" w:hAnsi="Times New Roman" w:cs="Times New Roman"/>
          <w:szCs w:val="28"/>
        </w:rPr>
        <w:t>1.3.2评价因子筛选</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_Toc19176 \h </w:instrText>
      </w:r>
      <w:r>
        <w:rPr>
          <w:rFonts w:hint="default" w:ascii="Times New Roman" w:hAnsi="Times New Roman" w:cs="Times New Roman"/>
        </w:rPr>
        <w:fldChar w:fldCharType="separate"/>
      </w:r>
      <w:r>
        <w:rPr>
          <w:rFonts w:hint="default" w:ascii="Times New Roman" w:hAnsi="Times New Roman" w:cs="Times New Roman"/>
        </w:rPr>
        <w:t>11</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36"/>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_Toc13859 </w:instrText>
      </w:r>
      <w:r>
        <w:rPr>
          <w:rFonts w:hint="default" w:ascii="Times New Roman" w:hAnsi="Times New Roman" w:cs="Times New Roman"/>
          <w:bCs/>
          <w:lang w:val="zh-CN"/>
        </w:rPr>
        <w:fldChar w:fldCharType="separate"/>
      </w:r>
      <w:r>
        <w:rPr>
          <w:rFonts w:hint="default" w:ascii="Times New Roman" w:hAnsi="Times New Roman" w:eastAsia="宋体" w:cs="Times New Roman"/>
          <w:szCs w:val="28"/>
        </w:rPr>
        <w:t>1.4评价标准</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_Toc13859 \h </w:instrText>
      </w:r>
      <w:r>
        <w:rPr>
          <w:rFonts w:hint="default" w:ascii="Times New Roman" w:hAnsi="Times New Roman" w:cs="Times New Roman"/>
        </w:rPr>
        <w:fldChar w:fldCharType="separate"/>
      </w:r>
      <w:r>
        <w:rPr>
          <w:rFonts w:hint="default" w:ascii="Times New Roman" w:hAnsi="Times New Roman" w:cs="Times New Roman"/>
        </w:rPr>
        <w:t>12</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23"/>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_Toc24858 </w:instrText>
      </w:r>
      <w:r>
        <w:rPr>
          <w:rFonts w:hint="default" w:ascii="Times New Roman" w:hAnsi="Times New Roman" w:cs="Times New Roman"/>
          <w:bCs/>
          <w:lang w:val="zh-CN"/>
        </w:rPr>
        <w:fldChar w:fldCharType="separate"/>
      </w:r>
      <w:r>
        <w:rPr>
          <w:rFonts w:hint="default" w:ascii="Times New Roman" w:hAnsi="Times New Roman" w:cs="Times New Roman"/>
          <w:szCs w:val="28"/>
        </w:rPr>
        <w:t>1.4.1环境质量标准</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_Toc24858 \h </w:instrText>
      </w:r>
      <w:r>
        <w:rPr>
          <w:rFonts w:hint="default" w:ascii="Times New Roman" w:hAnsi="Times New Roman" w:cs="Times New Roman"/>
        </w:rPr>
        <w:fldChar w:fldCharType="separate"/>
      </w:r>
      <w:r>
        <w:rPr>
          <w:rFonts w:hint="default" w:ascii="Times New Roman" w:hAnsi="Times New Roman" w:cs="Times New Roman"/>
        </w:rPr>
        <w:t>12</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23"/>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_Toc8235 </w:instrText>
      </w:r>
      <w:r>
        <w:rPr>
          <w:rFonts w:hint="default" w:ascii="Times New Roman" w:hAnsi="Times New Roman" w:cs="Times New Roman"/>
          <w:bCs/>
          <w:lang w:val="zh-CN"/>
        </w:rPr>
        <w:fldChar w:fldCharType="separate"/>
      </w:r>
      <w:r>
        <w:rPr>
          <w:rFonts w:hint="default" w:ascii="Times New Roman" w:hAnsi="Times New Roman" w:cs="Times New Roman"/>
          <w:szCs w:val="28"/>
        </w:rPr>
        <w:t>1.4.2污染物排放标准</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_Toc8235 \h </w:instrText>
      </w:r>
      <w:r>
        <w:rPr>
          <w:rFonts w:hint="default" w:ascii="Times New Roman" w:hAnsi="Times New Roman" w:cs="Times New Roman"/>
        </w:rPr>
        <w:fldChar w:fldCharType="separate"/>
      </w:r>
      <w:r>
        <w:rPr>
          <w:rFonts w:hint="default" w:ascii="Times New Roman" w:hAnsi="Times New Roman" w:cs="Times New Roman"/>
        </w:rPr>
        <w:t>16</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36"/>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_Toc20808 </w:instrText>
      </w:r>
      <w:r>
        <w:rPr>
          <w:rFonts w:hint="default" w:ascii="Times New Roman" w:hAnsi="Times New Roman" w:cs="Times New Roman"/>
          <w:bCs/>
          <w:lang w:val="zh-CN"/>
        </w:rPr>
        <w:fldChar w:fldCharType="separate"/>
      </w:r>
      <w:r>
        <w:rPr>
          <w:rFonts w:hint="default" w:ascii="Times New Roman" w:hAnsi="Times New Roman" w:eastAsia="宋体" w:cs="Times New Roman"/>
          <w:szCs w:val="28"/>
        </w:rPr>
        <w:t>1.5评价工作等级及评价范围</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_Toc20808 \h </w:instrText>
      </w:r>
      <w:r>
        <w:rPr>
          <w:rFonts w:hint="default" w:ascii="Times New Roman" w:hAnsi="Times New Roman" w:cs="Times New Roman"/>
        </w:rPr>
        <w:fldChar w:fldCharType="separate"/>
      </w:r>
      <w:r>
        <w:rPr>
          <w:rFonts w:hint="default" w:ascii="Times New Roman" w:hAnsi="Times New Roman" w:cs="Times New Roman"/>
        </w:rPr>
        <w:t>18</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23"/>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_Toc10358 </w:instrText>
      </w:r>
      <w:r>
        <w:rPr>
          <w:rFonts w:hint="default" w:ascii="Times New Roman" w:hAnsi="Times New Roman" w:cs="Times New Roman"/>
          <w:bCs/>
          <w:lang w:val="zh-CN"/>
        </w:rPr>
        <w:fldChar w:fldCharType="separate"/>
      </w:r>
      <w:r>
        <w:rPr>
          <w:rFonts w:hint="default" w:ascii="Times New Roman" w:hAnsi="Times New Roman" w:cs="Times New Roman"/>
          <w:szCs w:val="28"/>
        </w:rPr>
        <w:t>1.5.1环境空气评价工作等级及评价范围</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_Toc10358 \h </w:instrText>
      </w:r>
      <w:r>
        <w:rPr>
          <w:rFonts w:hint="default" w:ascii="Times New Roman" w:hAnsi="Times New Roman" w:cs="Times New Roman"/>
        </w:rPr>
        <w:fldChar w:fldCharType="separate"/>
      </w:r>
      <w:r>
        <w:rPr>
          <w:rFonts w:hint="default" w:ascii="Times New Roman" w:hAnsi="Times New Roman" w:cs="Times New Roman"/>
        </w:rPr>
        <w:t>18</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23"/>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_Toc782 </w:instrText>
      </w:r>
      <w:r>
        <w:rPr>
          <w:rFonts w:hint="default" w:ascii="Times New Roman" w:hAnsi="Times New Roman" w:cs="Times New Roman"/>
          <w:bCs/>
          <w:lang w:val="zh-CN"/>
        </w:rPr>
        <w:fldChar w:fldCharType="separate"/>
      </w:r>
      <w:r>
        <w:rPr>
          <w:rFonts w:hint="default" w:ascii="Times New Roman" w:hAnsi="Times New Roman" w:cs="Times New Roman"/>
          <w:szCs w:val="28"/>
        </w:rPr>
        <w:t>1.5.2地表水环境评价工作等级及评价范围</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_Toc782 \h </w:instrText>
      </w:r>
      <w:r>
        <w:rPr>
          <w:rFonts w:hint="default" w:ascii="Times New Roman" w:hAnsi="Times New Roman" w:cs="Times New Roman"/>
        </w:rPr>
        <w:fldChar w:fldCharType="separate"/>
      </w:r>
      <w:r>
        <w:rPr>
          <w:rFonts w:hint="default" w:ascii="Times New Roman" w:hAnsi="Times New Roman" w:cs="Times New Roman"/>
        </w:rPr>
        <w:t>19</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23"/>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_Toc13259 </w:instrText>
      </w:r>
      <w:r>
        <w:rPr>
          <w:rFonts w:hint="default" w:ascii="Times New Roman" w:hAnsi="Times New Roman" w:cs="Times New Roman"/>
          <w:bCs/>
          <w:lang w:val="zh-CN"/>
        </w:rPr>
        <w:fldChar w:fldCharType="separate"/>
      </w:r>
      <w:r>
        <w:rPr>
          <w:rFonts w:hint="default" w:ascii="Times New Roman" w:hAnsi="Times New Roman" w:cs="Times New Roman"/>
          <w:szCs w:val="28"/>
        </w:rPr>
        <w:t>1.5.3地下水评价工作等级及评价范围</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_Toc13259 \h </w:instrText>
      </w:r>
      <w:r>
        <w:rPr>
          <w:rFonts w:hint="default" w:ascii="Times New Roman" w:hAnsi="Times New Roman" w:cs="Times New Roman"/>
        </w:rPr>
        <w:fldChar w:fldCharType="separate"/>
      </w:r>
      <w:r>
        <w:rPr>
          <w:rFonts w:hint="default" w:ascii="Times New Roman" w:hAnsi="Times New Roman" w:cs="Times New Roman"/>
        </w:rPr>
        <w:t>19</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23"/>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_Toc32053 </w:instrText>
      </w:r>
      <w:r>
        <w:rPr>
          <w:rFonts w:hint="default" w:ascii="Times New Roman" w:hAnsi="Times New Roman" w:cs="Times New Roman"/>
          <w:bCs/>
          <w:lang w:val="zh-CN"/>
        </w:rPr>
        <w:fldChar w:fldCharType="separate"/>
      </w:r>
      <w:r>
        <w:rPr>
          <w:rFonts w:hint="default" w:ascii="Times New Roman" w:hAnsi="Times New Roman" w:cs="Times New Roman"/>
          <w:szCs w:val="28"/>
        </w:rPr>
        <w:t>1.5.4环境噪声评价工作等级及评价范围</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_Toc32053 \h </w:instrText>
      </w:r>
      <w:r>
        <w:rPr>
          <w:rFonts w:hint="default" w:ascii="Times New Roman" w:hAnsi="Times New Roman" w:cs="Times New Roman"/>
        </w:rPr>
        <w:fldChar w:fldCharType="separate"/>
      </w:r>
      <w:r>
        <w:rPr>
          <w:rFonts w:hint="default" w:ascii="Times New Roman" w:hAnsi="Times New Roman" w:cs="Times New Roman"/>
        </w:rPr>
        <w:t>20</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23"/>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_Toc30344 </w:instrText>
      </w:r>
      <w:r>
        <w:rPr>
          <w:rFonts w:hint="default" w:ascii="Times New Roman" w:hAnsi="Times New Roman" w:cs="Times New Roman"/>
          <w:bCs/>
          <w:lang w:val="zh-CN"/>
        </w:rPr>
        <w:fldChar w:fldCharType="separate"/>
      </w:r>
      <w:r>
        <w:rPr>
          <w:rFonts w:hint="default" w:ascii="Times New Roman" w:hAnsi="Times New Roman" w:cs="Times New Roman"/>
          <w:szCs w:val="28"/>
        </w:rPr>
        <w:t>1.5.5生态环境评价工作等级及评价范围</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_Toc30344 \h </w:instrText>
      </w:r>
      <w:r>
        <w:rPr>
          <w:rFonts w:hint="default" w:ascii="Times New Roman" w:hAnsi="Times New Roman" w:cs="Times New Roman"/>
        </w:rPr>
        <w:fldChar w:fldCharType="separate"/>
      </w:r>
      <w:r>
        <w:rPr>
          <w:rFonts w:hint="default" w:ascii="Times New Roman" w:hAnsi="Times New Roman" w:cs="Times New Roman"/>
        </w:rPr>
        <w:t>20</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23"/>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_Toc4235 </w:instrText>
      </w:r>
      <w:r>
        <w:rPr>
          <w:rFonts w:hint="default" w:ascii="Times New Roman" w:hAnsi="Times New Roman" w:cs="Times New Roman"/>
          <w:bCs/>
          <w:lang w:val="zh-CN"/>
        </w:rPr>
        <w:fldChar w:fldCharType="separate"/>
      </w:r>
      <w:r>
        <w:rPr>
          <w:rFonts w:hint="default" w:ascii="Times New Roman" w:hAnsi="Times New Roman" w:cs="Times New Roman"/>
          <w:szCs w:val="28"/>
        </w:rPr>
        <w:t>1.5.6土壤环境评价工作等级及评价范围</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_Toc4235 \h </w:instrText>
      </w:r>
      <w:r>
        <w:rPr>
          <w:rFonts w:hint="default" w:ascii="Times New Roman" w:hAnsi="Times New Roman" w:cs="Times New Roman"/>
        </w:rPr>
        <w:fldChar w:fldCharType="separate"/>
      </w:r>
      <w:r>
        <w:rPr>
          <w:rFonts w:hint="default" w:ascii="Times New Roman" w:hAnsi="Times New Roman" w:cs="Times New Roman"/>
        </w:rPr>
        <w:t>21</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23"/>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_Toc23683 </w:instrText>
      </w:r>
      <w:r>
        <w:rPr>
          <w:rFonts w:hint="default" w:ascii="Times New Roman" w:hAnsi="Times New Roman" w:cs="Times New Roman"/>
          <w:bCs/>
          <w:lang w:val="zh-CN"/>
        </w:rPr>
        <w:fldChar w:fldCharType="separate"/>
      </w:r>
      <w:r>
        <w:rPr>
          <w:rFonts w:hint="default" w:ascii="Times New Roman" w:hAnsi="Times New Roman" w:cs="Times New Roman"/>
          <w:bCs/>
          <w:szCs w:val="28"/>
        </w:rPr>
        <w:t>1.5.7环境风险评价工作等级及评价范围</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_Toc23683 \h </w:instrText>
      </w:r>
      <w:r>
        <w:rPr>
          <w:rFonts w:hint="default" w:ascii="Times New Roman" w:hAnsi="Times New Roman" w:cs="Times New Roman"/>
        </w:rPr>
        <w:fldChar w:fldCharType="separate"/>
      </w:r>
      <w:r>
        <w:rPr>
          <w:rFonts w:hint="default" w:ascii="Times New Roman" w:hAnsi="Times New Roman" w:cs="Times New Roman"/>
        </w:rPr>
        <w:t>22</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36"/>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_Toc26311 </w:instrText>
      </w:r>
      <w:r>
        <w:rPr>
          <w:rFonts w:hint="default" w:ascii="Times New Roman" w:hAnsi="Times New Roman" w:cs="Times New Roman"/>
          <w:bCs/>
          <w:lang w:val="zh-CN"/>
        </w:rPr>
        <w:fldChar w:fldCharType="separate"/>
      </w:r>
      <w:r>
        <w:rPr>
          <w:rFonts w:hint="default" w:ascii="Times New Roman" w:hAnsi="Times New Roman" w:eastAsia="宋体" w:cs="Times New Roman"/>
          <w:szCs w:val="28"/>
        </w:rPr>
        <w:t>1.6环境保护目标</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_Toc26311 \h </w:instrText>
      </w:r>
      <w:r>
        <w:rPr>
          <w:rFonts w:hint="default" w:ascii="Times New Roman" w:hAnsi="Times New Roman" w:cs="Times New Roman"/>
        </w:rPr>
        <w:fldChar w:fldCharType="separate"/>
      </w:r>
      <w:r>
        <w:rPr>
          <w:rFonts w:hint="default" w:ascii="Times New Roman" w:hAnsi="Times New Roman" w:cs="Times New Roman"/>
        </w:rPr>
        <w:t>22</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36"/>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_Toc2278 </w:instrText>
      </w:r>
      <w:r>
        <w:rPr>
          <w:rFonts w:hint="default" w:ascii="Times New Roman" w:hAnsi="Times New Roman" w:cs="Times New Roman"/>
          <w:bCs/>
          <w:lang w:val="zh-CN"/>
        </w:rPr>
        <w:fldChar w:fldCharType="separate"/>
      </w:r>
      <w:r>
        <w:rPr>
          <w:rFonts w:hint="default" w:ascii="Times New Roman" w:hAnsi="Times New Roman" w:eastAsia="宋体" w:cs="Times New Roman"/>
          <w:szCs w:val="28"/>
        </w:rPr>
        <w:t>1.7评价时段、评价内容及评价重点</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_Toc2278 \h </w:instrText>
      </w:r>
      <w:r>
        <w:rPr>
          <w:rFonts w:hint="default" w:ascii="Times New Roman" w:hAnsi="Times New Roman" w:cs="Times New Roman"/>
        </w:rPr>
        <w:fldChar w:fldCharType="separate"/>
      </w:r>
      <w:r>
        <w:rPr>
          <w:rFonts w:hint="default" w:ascii="Times New Roman" w:hAnsi="Times New Roman" w:cs="Times New Roman"/>
        </w:rPr>
        <w:t>24</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23"/>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_Toc32117 </w:instrText>
      </w:r>
      <w:r>
        <w:rPr>
          <w:rFonts w:hint="default" w:ascii="Times New Roman" w:hAnsi="Times New Roman" w:cs="Times New Roman"/>
          <w:bCs/>
          <w:lang w:val="zh-CN"/>
        </w:rPr>
        <w:fldChar w:fldCharType="separate"/>
      </w:r>
      <w:r>
        <w:rPr>
          <w:rFonts w:hint="default" w:ascii="Times New Roman" w:hAnsi="Times New Roman" w:cs="Times New Roman"/>
          <w:szCs w:val="28"/>
        </w:rPr>
        <w:t>1.7.1评价时段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_Toc32117 \h </w:instrText>
      </w:r>
      <w:r>
        <w:rPr>
          <w:rFonts w:hint="default" w:ascii="Times New Roman" w:hAnsi="Times New Roman" w:cs="Times New Roman"/>
        </w:rPr>
        <w:fldChar w:fldCharType="separate"/>
      </w:r>
      <w:r>
        <w:rPr>
          <w:rFonts w:hint="default" w:ascii="Times New Roman" w:hAnsi="Times New Roman" w:cs="Times New Roman"/>
        </w:rPr>
        <w:t>24</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23"/>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_Toc30194 </w:instrText>
      </w:r>
      <w:r>
        <w:rPr>
          <w:rFonts w:hint="default" w:ascii="Times New Roman" w:hAnsi="Times New Roman" w:cs="Times New Roman"/>
          <w:bCs/>
          <w:lang w:val="zh-CN"/>
        </w:rPr>
        <w:fldChar w:fldCharType="separate"/>
      </w:r>
      <w:r>
        <w:rPr>
          <w:rFonts w:hint="default" w:ascii="Times New Roman" w:hAnsi="Times New Roman" w:cs="Times New Roman"/>
          <w:szCs w:val="28"/>
        </w:rPr>
        <w:t>1.7.2评价内容</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_Toc30194 \h </w:instrText>
      </w:r>
      <w:r>
        <w:rPr>
          <w:rFonts w:hint="default" w:ascii="Times New Roman" w:hAnsi="Times New Roman" w:cs="Times New Roman"/>
        </w:rPr>
        <w:fldChar w:fldCharType="separate"/>
      </w:r>
      <w:r>
        <w:rPr>
          <w:rFonts w:hint="default" w:ascii="Times New Roman" w:hAnsi="Times New Roman" w:cs="Times New Roman"/>
        </w:rPr>
        <w:t>24</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23"/>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_Toc5422 </w:instrText>
      </w:r>
      <w:r>
        <w:rPr>
          <w:rFonts w:hint="default" w:ascii="Times New Roman" w:hAnsi="Times New Roman" w:cs="Times New Roman"/>
          <w:bCs/>
          <w:lang w:val="zh-CN"/>
        </w:rPr>
        <w:fldChar w:fldCharType="separate"/>
      </w:r>
      <w:r>
        <w:rPr>
          <w:rFonts w:hint="default" w:ascii="Times New Roman" w:hAnsi="Times New Roman" w:cs="Times New Roman"/>
          <w:szCs w:val="28"/>
        </w:rPr>
        <w:t>1.7.3评价重点</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_Toc5422 \h </w:instrText>
      </w:r>
      <w:r>
        <w:rPr>
          <w:rFonts w:hint="default" w:ascii="Times New Roman" w:hAnsi="Times New Roman" w:cs="Times New Roman"/>
        </w:rPr>
        <w:fldChar w:fldCharType="separate"/>
      </w:r>
      <w:r>
        <w:rPr>
          <w:rFonts w:hint="default" w:ascii="Times New Roman" w:hAnsi="Times New Roman" w:cs="Times New Roman"/>
        </w:rPr>
        <w:t>24</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36"/>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_Toc15307 </w:instrText>
      </w:r>
      <w:r>
        <w:rPr>
          <w:rFonts w:hint="default" w:ascii="Times New Roman" w:hAnsi="Times New Roman" w:cs="Times New Roman"/>
          <w:bCs/>
          <w:lang w:val="zh-CN"/>
        </w:rPr>
        <w:fldChar w:fldCharType="separate"/>
      </w:r>
      <w:r>
        <w:rPr>
          <w:rFonts w:hint="default" w:ascii="Times New Roman" w:hAnsi="Times New Roman" w:eastAsia="宋体" w:cs="Times New Roman"/>
          <w:szCs w:val="28"/>
        </w:rPr>
        <w:t>1.8评价方法和工作程序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_Toc15307 \h </w:instrText>
      </w:r>
      <w:r>
        <w:rPr>
          <w:rFonts w:hint="default" w:ascii="Times New Roman" w:hAnsi="Times New Roman" w:cs="Times New Roman"/>
        </w:rPr>
        <w:fldChar w:fldCharType="separate"/>
      </w:r>
      <w:r>
        <w:rPr>
          <w:rFonts w:hint="default" w:ascii="Times New Roman" w:hAnsi="Times New Roman" w:cs="Times New Roman"/>
        </w:rPr>
        <w:t>25</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23"/>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_Toc8112 </w:instrText>
      </w:r>
      <w:r>
        <w:rPr>
          <w:rFonts w:hint="default" w:ascii="Times New Roman" w:hAnsi="Times New Roman" w:cs="Times New Roman"/>
          <w:bCs/>
          <w:lang w:val="zh-CN"/>
        </w:rPr>
        <w:fldChar w:fldCharType="separate"/>
      </w:r>
      <w:r>
        <w:rPr>
          <w:rFonts w:hint="default" w:ascii="Times New Roman" w:hAnsi="Times New Roman" w:cs="Times New Roman"/>
          <w:szCs w:val="28"/>
        </w:rPr>
        <w:t>1.8.1评价方法</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_Toc8112 \h </w:instrText>
      </w:r>
      <w:r>
        <w:rPr>
          <w:rFonts w:hint="default" w:ascii="Times New Roman" w:hAnsi="Times New Roman" w:cs="Times New Roman"/>
        </w:rPr>
        <w:fldChar w:fldCharType="separate"/>
      </w:r>
      <w:r>
        <w:rPr>
          <w:rFonts w:hint="default" w:ascii="Times New Roman" w:hAnsi="Times New Roman" w:cs="Times New Roman"/>
        </w:rPr>
        <w:t>25</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23"/>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_Toc32446 </w:instrText>
      </w:r>
      <w:r>
        <w:rPr>
          <w:rFonts w:hint="default" w:ascii="Times New Roman" w:hAnsi="Times New Roman" w:cs="Times New Roman"/>
          <w:bCs/>
          <w:lang w:val="zh-CN"/>
        </w:rPr>
        <w:fldChar w:fldCharType="separate"/>
      </w:r>
      <w:r>
        <w:rPr>
          <w:rFonts w:hint="default" w:ascii="Times New Roman" w:hAnsi="Times New Roman" w:cs="Times New Roman"/>
          <w:szCs w:val="28"/>
        </w:rPr>
        <w:t>1.8.2评价工作程序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_Toc32446 \h </w:instrText>
      </w:r>
      <w:r>
        <w:rPr>
          <w:rFonts w:hint="default" w:ascii="Times New Roman" w:hAnsi="Times New Roman" w:cs="Times New Roman"/>
        </w:rPr>
        <w:fldChar w:fldCharType="separate"/>
      </w:r>
      <w:r>
        <w:rPr>
          <w:rFonts w:hint="default" w:ascii="Times New Roman" w:hAnsi="Times New Roman" w:cs="Times New Roman"/>
        </w:rPr>
        <w:t>25</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31"/>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_Toc19343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2</w:t>
      </w:r>
      <w:r>
        <w:rPr>
          <w:rFonts w:hint="default" w:ascii="Times New Roman" w:hAnsi="Times New Roman" w:cs="Times New Roman"/>
          <w:lang w:eastAsia="zh-CN"/>
        </w:rPr>
        <w:t>厂内项目概况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_Toc19343 \h </w:instrText>
      </w:r>
      <w:r>
        <w:rPr>
          <w:rFonts w:hint="default" w:ascii="Times New Roman" w:hAnsi="Times New Roman" w:cs="Times New Roman"/>
        </w:rPr>
        <w:fldChar w:fldCharType="separate"/>
      </w:r>
      <w:r>
        <w:rPr>
          <w:rFonts w:hint="default" w:ascii="Times New Roman" w:hAnsi="Times New Roman" w:cs="Times New Roman"/>
        </w:rPr>
        <w:t>27</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36"/>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_Toc18592 </w:instrText>
      </w:r>
      <w:r>
        <w:rPr>
          <w:rFonts w:hint="default" w:ascii="Times New Roman" w:hAnsi="Times New Roman" w:cs="Times New Roman"/>
          <w:bCs/>
          <w:lang w:val="zh-CN"/>
        </w:rPr>
        <w:fldChar w:fldCharType="separate"/>
      </w:r>
      <w:r>
        <w:rPr>
          <w:rFonts w:hint="default" w:ascii="Times New Roman" w:hAnsi="Times New Roman" w:eastAsia="宋体" w:cs="Times New Roman"/>
          <w:szCs w:val="28"/>
        </w:rPr>
        <w:t>2.1</w:t>
      </w:r>
      <w:r>
        <w:rPr>
          <w:rFonts w:hint="default" w:ascii="Times New Roman" w:hAnsi="Times New Roman" w:eastAsia="宋体" w:cs="Times New Roman"/>
          <w:szCs w:val="28"/>
          <w:lang w:eastAsia="zh-CN"/>
        </w:rPr>
        <w:t>厂内项目基本情况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_Toc18592 \h </w:instrText>
      </w:r>
      <w:r>
        <w:rPr>
          <w:rFonts w:hint="default" w:ascii="Times New Roman" w:hAnsi="Times New Roman" w:cs="Times New Roman"/>
        </w:rPr>
        <w:fldChar w:fldCharType="separate"/>
      </w:r>
      <w:r>
        <w:rPr>
          <w:rFonts w:hint="default" w:ascii="Times New Roman" w:hAnsi="Times New Roman" w:cs="Times New Roman"/>
        </w:rPr>
        <w:t>27</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23"/>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_Toc660 </w:instrText>
      </w:r>
      <w:r>
        <w:rPr>
          <w:rFonts w:hint="default" w:ascii="Times New Roman" w:hAnsi="Times New Roman" w:cs="Times New Roman"/>
          <w:bCs/>
          <w:lang w:val="zh-CN"/>
        </w:rPr>
        <w:fldChar w:fldCharType="separate"/>
      </w:r>
      <w:r>
        <w:rPr>
          <w:rFonts w:hint="default" w:ascii="Times New Roman" w:hAnsi="Times New Roman" w:cs="Times New Roman"/>
          <w:szCs w:val="28"/>
        </w:rPr>
        <w:t>2.</w:t>
      </w:r>
      <w:r>
        <w:rPr>
          <w:rFonts w:hint="default" w:ascii="Times New Roman" w:hAnsi="Times New Roman" w:cs="Times New Roman"/>
          <w:szCs w:val="28"/>
          <w:lang w:val="en-US" w:eastAsia="zh-CN"/>
        </w:rPr>
        <w:t>2</w:t>
      </w:r>
      <w:r>
        <w:rPr>
          <w:rFonts w:hint="default" w:ascii="Times New Roman" w:hAnsi="Times New Roman" w:cs="Times New Roman"/>
          <w:szCs w:val="28"/>
        </w:rPr>
        <w:t>.1</w:t>
      </w:r>
      <w:r>
        <w:rPr>
          <w:rFonts w:hint="default" w:ascii="Times New Roman" w:hAnsi="Times New Roman" w:cs="Times New Roman"/>
          <w:szCs w:val="28"/>
          <w:lang w:eastAsia="zh-CN"/>
        </w:rPr>
        <w:t>楚雄市单晶硅加工园区标准厂房、路网及配套设施建设项目</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_Toc660 \h </w:instrText>
      </w:r>
      <w:r>
        <w:rPr>
          <w:rFonts w:hint="default" w:ascii="Times New Roman" w:hAnsi="Times New Roman" w:cs="Times New Roman"/>
        </w:rPr>
        <w:fldChar w:fldCharType="separate"/>
      </w:r>
      <w:r>
        <w:rPr>
          <w:rFonts w:hint="default" w:ascii="Times New Roman" w:hAnsi="Times New Roman" w:cs="Times New Roman"/>
        </w:rPr>
        <w:t>27</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23"/>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_Toc28212 </w:instrText>
      </w:r>
      <w:r>
        <w:rPr>
          <w:rFonts w:hint="default" w:ascii="Times New Roman" w:hAnsi="Times New Roman" w:cs="Times New Roman"/>
          <w:bCs/>
          <w:lang w:val="zh-CN"/>
        </w:rPr>
        <w:fldChar w:fldCharType="separate"/>
      </w:r>
      <w:r>
        <w:rPr>
          <w:rFonts w:hint="default" w:ascii="Times New Roman" w:hAnsi="Times New Roman" w:cs="Times New Roman"/>
          <w:szCs w:val="28"/>
        </w:rPr>
        <w:t>2.</w:t>
      </w:r>
      <w:r>
        <w:rPr>
          <w:rFonts w:hint="default" w:ascii="Times New Roman" w:hAnsi="Times New Roman" w:cs="Times New Roman"/>
          <w:szCs w:val="28"/>
          <w:lang w:val="en-US" w:eastAsia="zh-CN"/>
        </w:rPr>
        <w:t>2</w:t>
      </w:r>
      <w:r>
        <w:rPr>
          <w:rFonts w:hint="default" w:ascii="Times New Roman" w:hAnsi="Times New Roman" w:cs="Times New Roman"/>
          <w:szCs w:val="28"/>
        </w:rPr>
        <w:t>.</w:t>
      </w:r>
      <w:r>
        <w:rPr>
          <w:rFonts w:hint="default" w:ascii="Times New Roman" w:hAnsi="Times New Roman" w:cs="Times New Roman"/>
          <w:szCs w:val="28"/>
          <w:lang w:val="en-US" w:eastAsia="zh-CN"/>
        </w:rPr>
        <w:t>2</w:t>
      </w:r>
      <w:r>
        <w:rPr>
          <w:rFonts w:hint="default" w:ascii="Times New Roman" w:hAnsi="Times New Roman" w:cs="Times New Roman"/>
        </w:rPr>
        <w:t>宇泽半导体（云南）有限公司年产5GW单晶硅拉棒及3GW切片生产线项目</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_Toc28212 \h </w:instrText>
      </w:r>
      <w:r>
        <w:rPr>
          <w:rFonts w:hint="default" w:ascii="Times New Roman" w:hAnsi="Times New Roman" w:cs="Times New Roman"/>
        </w:rPr>
        <w:fldChar w:fldCharType="separate"/>
      </w:r>
      <w:r>
        <w:rPr>
          <w:rFonts w:hint="default" w:ascii="Times New Roman" w:hAnsi="Times New Roman" w:cs="Times New Roman"/>
        </w:rPr>
        <w:t>27</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23"/>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_Toc6159 </w:instrText>
      </w:r>
      <w:r>
        <w:rPr>
          <w:rFonts w:hint="default" w:ascii="Times New Roman" w:hAnsi="Times New Roman" w:cs="Times New Roman"/>
          <w:bCs/>
          <w:lang w:val="zh-CN"/>
        </w:rPr>
        <w:fldChar w:fldCharType="separate"/>
      </w:r>
      <w:r>
        <w:rPr>
          <w:rFonts w:hint="default" w:ascii="Times New Roman" w:hAnsi="Times New Roman" w:cs="Times New Roman"/>
          <w:szCs w:val="28"/>
        </w:rPr>
        <w:t>2.</w:t>
      </w:r>
      <w:r>
        <w:rPr>
          <w:rFonts w:hint="default" w:ascii="Times New Roman" w:hAnsi="Times New Roman" w:cs="Times New Roman"/>
          <w:szCs w:val="28"/>
          <w:lang w:val="en-US" w:eastAsia="zh-CN"/>
        </w:rPr>
        <w:t>2</w:t>
      </w:r>
      <w:r>
        <w:rPr>
          <w:rFonts w:hint="default" w:ascii="Times New Roman" w:hAnsi="Times New Roman" w:cs="Times New Roman"/>
          <w:szCs w:val="28"/>
        </w:rPr>
        <w:t>.</w:t>
      </w:r>
      <w:r>
        <w:rPr>
          <w:rFonts w:hint="default" w:ascii="Times New Roman" w:hAnsi="Times New Roman" w:cs="Times New Roman"/>
          <w:szCs w:val="28"/>
          <w:lang w:val="en-US" w:eastAsia="zh-CN"/>
        </w:rPr>
        <w:t>3</w:t>
      </w:r>
      <w:r>
        <w:rPr>
          <w:rFonts w:hint="default" w:ascii="Times New Roman" w:hAnsi="Times New Roman" w:cs="Times New Roman"/>
        </w:rPr>
        <w:t>年产5GW单晶硅拉棒及2GW切片项目</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_Toc6159 \h </w:instrText>
      </w:r>
      <w:r>
        <w:rPr>
          <w:rFonts w:hint="default" w:ascii="Times New Roman" w:hAnsi="Times New Roman" w:cs="Times New Roman"/>
        </w:rPr>
        <w:fldChar w:fldCharType="separate"/>
      </w:r>
      <w:r>
        <w:rPr>
          <w:rFonts w:hint="default" w:ascii="Times New Roman" w:hAnsi="Times New Roman" w:cs="Times New Roman"/>
        </w:rPr>
        <w:t>28</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23"/>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_Toc26815 </w:instrText>
      </w:r>
      <w:r>
        <w:rPr>
          <w:rFonts w:hint="default" w:ascii="Times New Roman" w:hAnsi="Times New Roman" w:cs="Times New Roman"/>
          <w:bCs/>
          <w:lang w:val="zh-CN"/>
        </w:rPr>
        <w:fldChar w:fldCharType="separate"/>
      </w:r>
      <w:r>
        <w:rPr>
          <w:rFonts w:hint="default" w:ascii="Times New Roman" w:hAnsi="Times New Roman" w:cs="Times New Roman"/>
          <w:szCs w:val="28"/>
        </w:rPr>
        <w:t>2.</w:t>
      </w:r>
      <w:r>
        <w:rPr>
          <w:rFonts w:hint="default" w:ascii="Times New Roman" w:hAnsi="Times New Roman" w:cs="Times New Roman"/>
          <w:szCs w:val="28"/>
          <w:lang w:val="en-US" w:eastAsia="zh-CN"/>
        </w:rPr>
        <w:t>2</w:t>
      </w:r>
      <w:r>
        <w:rPr>
          <w:rFonts w:hint="default" w:ascii="Times New Roman" w:hAnsi="Times New Roman" w:cs="Times New Roman"/>
          <w:szCs w:val="28"/>
        </w:rPr>
        <w:t>.</w:t>
      </w:r>
      <w:r>
        <w:rPr>
          <w:rFonts w:hint="default" w:ascii="Times New Roman" w:hAnsi="Times New Roman" w:cs="Times New Roman"/>
          <w:szCs w:val="28"/>
          <w:lang w:val="en-US" w:eastAsia="zh-CN"/>
        </w:rPr>
        <w:t>4</w:t>
      </w:r>
      <w:r>
        <w:rPr>
          <w:rFonts w:hint="default" w:ascii="Times New Roman" w:hAnsi="Times New Roman" w:cs="Times New Roman"/>
          <w:lang w:val="en-US" w:eastAsia="zh-CN"/>
        </w:rPr>
        <w:t>楚雄市富民工业园区110KV宇泽晶科输变电工程</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_Toc26815 \h </w:instrText>
      </w:r>
      <w:r>
        <w:rPr>
          <w:rFonts w:hint="default" w:ascii="Times New Roman" w:hAnsi="Times New Roman" w:cs="Times New Roman"/>
        </w:rPr>
        <w:fldChar w:fldCharType="separate"/>
      </w:r>
      <w:r>
        <w:rPr>
          <w:rFonts w:hint="default" w:ascii="Times New Roman" w:hAnsi="Times New Roman" w:cs="Times New Roman"/>
        </w:rPr>
        <w:t>28</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36"/>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_Toc3739 </w:instrText>
      </w:r>
      <w:r>
        <w:rPr>
          <w:rFonts w:hint="default" w:ascii="Times New Roman" w:hAnsi="Times New Roman" w:cs="Times New Roman"/>
          <w:bCs/>
          <w:lang w:val="zh-CN"/>
        </w:rPr>
        <w:fldChar w:fldCharType="separate"/>
      </w:r>
      <w:r>
        <w:rPr>
          <w:rFonts w:hint="default" w:ascii="Times New Roman" w:hAnsi="Times New Roman" w:eastAsia="宋体" w:cs="Times New Roman"/>
          <w:szCs w:val="28"/>
        </w:rPr>
        <w:t>2.2</w:t>
      </w:r>
      <w:r>
        <w:rPr>
          <w:rFonts w:hint="default" w:ascii="Times New Roman" w:hAnsi="Times New Roman" w:eastAsia="宋体" w:cs="Times New Roman"/>
          <w:szCs w:val="28"/>
          <w:lang w:eastAsia="zh-CN"/>
        </w:rPr>
        <w:t>厂内项目关系梳理</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_Toc3739 \h </w:instrText>
      </w:r>
      <w:r>
        <w:rPr>
          <w:rFonts w:hint="default" w:ascii="Times New Roman" w:hAnsi="Times New Roman" w:cs="Times New Roman"/>
        </w:rPr>
        <w:fldChar w:fldCharType="separate"/>
      </w:r>
      <w:r>
        <w:rPr>
          <w:rFonts w:hint="default" w:ascii="Times New Roman" w:hAnsi="Times New Roman" w:cs="Times New Roman"/>
        </w:rPr>
        <w:t>28</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36"/>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_Toc3374 </w:instrText>
      </w:r>
      <w:r>
        <w:rPr>
          <w:rFonts w:hint="default" w:ascii="Times New Roman" w:hAnsi="Times New Roman" w:cs="Times New Roman"/>
          <w:bCs/>
          <w:lang w:val="zh-CN"/>
        </w:rPr>
        <w:fldChar w:fldCharType="separate"/>
      </w:r>
      <w:r>
        <w:rPr>
          <w:rFonts w:hint="default" w:ascii="Times New Roman" w:hAnsi="Times New Roman" w:eastAsia="宋体" w:cs="Times New Roman"/>
          <w:szCs w:val="28"/>
        </w:rPr>
        <w:t>2.3项目生产工艺</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_Toc3374 \h </w:instrText>
      </w:r>
      <w:r>
        <w:rPr>
          <w:rFonts w:hint="default" w:ascii="Times New Roman" w:hAnsi="Times New Roman" w:cs="Times New Roman"/>
        </w:rPr>
        <w:fldChar w:fldCharType="separate"/>
      </w:r>
      <w:r>
        <w:rPr>
          <w:rFonts w:hint="default" w:ascii="Times New Roman" w:hAnsi="Times New Roman" w:cs="Times New Roman"/>
        </w:rPr>
        <w:t>37</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36"/>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_Toc22829 </w:instrText>
      </w:r>
      <w:r>
        <w:rPr>
          <w:rFonts w:hint="default" w:ascii="Times New Roman" w:hAnsi="Times New Roman" w:cs="Times New Roman"/>
          <w:bCs/>
          <w:lang w:val="zh-CN"/>
        </w:rPr>
        <w:fldChar w:fldCharType="separate"/>
      </w:r>
      <w:r>
        <w:rPr>
          <w:rFonts w:hint="default" w:ascii="Times New Roman" w:hAnsi="Times New Roman" w:eastAsia="宋体" w:cs="Times New Roman"/>
          <w:szCs w:val="28"/>
        </w:rPr>
        <w:t>2.4项目水平衡</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_Toc22829 \h </w:instrText>
      </w:r>
      <w:r>
        <w:rPr>
          <w:rFonts w:hint="default" w:ascii="Times New Roman" w:hAnsi="Times New Roman" w:cs="Times New Roman"/>
        </w:rPr>
        <w:fldChar w:fldCharType="separate"/>
      </w:r>
      <w:r>
        <w:rPr>
          <w:rFonts w:hint="default" w:ascii="Times New Roman" w:hAnsi="Times New Roman" w:cs="Times New Roman"/>
        </w:rPr>
        <w:t>41</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36"/>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_Toc5500 </w:instrText>
      </w:r>
      <w:r>
        <w:rPr>
          <w:rFonts w:hint="default" w:ascii="Times New Roman" w:hAnsi="Times New Roman" w:cs="Times New Roman"/>
          <w:bCs/>
          <w:lang w:val="zh-CN"/>
        </w:rPr>
        <w:fldChar w:fldCharType="separate"/>
      </w:r>
      <w:r>
        <w:rPr>
          <w:rFonts w:hint="default" w:ascii="Times New Roman" w:hAnsi="Times New Roman" w:eastAsia="宋体" w:cs="Times New Roman"/>
          <w:szCs w:val="28"/>
        </w:rPr>
        <w:t>2.5已批复项目环保设施建设情况、污染物产排情况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_Toc5500 \h </w:instrText>
      </w:r>
      <w:r>
        <w:rPr>
          <w:rFonts w:hint="default" w:ascii="Times New Roman" w:hAnsi="Times New Roman" w:cs="Times New Roman"/>
        </w:rPr>
        <w:fldChar w:fldCharType="separate"/>
      </w:r>
      <w:r>
        <w:rPr>
          <w:rFonts w:hint="default" w:ascii="Times New Roman" w:hAnsi="Times New Roman" w:cs="Times New Roman"/>
        </w:rPr>
        <w:t>41</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23"/>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_Toc22877 </w:instrText>
      </w:r>
      <w:r>
        <w:rPr>
          <w:rFonts w:hint="default" w:ascii="Times New Roman" w:hAnsi="Times New Roman" w:cs="Times New Roman"/>
          <w:bCs/>
          <w:lang w:val="zh-CN"/>
        </w:rPr>
        <w:fldChar w:fldCharType="separate"/>
      </w:r>
      <w:r>
        <w:rPr>
          <w:rFonts w:hint="default" w:ascii="Times New Roman" w:hAnsi="Times New Roman" w:cs="Times New Roman"/>
          <w:szCs w:val="28"/>
        </w:rPr>
        <w:t>2.5.</w:t>
      </w:r>
      <w:r>
        <w:rPr>
          <w:rFonts w:hint="default" w:ascii="Times New Roman" w:hAnsi="Times New Roman" w:cs="Times New Roman"/>
          <w:szCs w:val="28"/>
          <w:lang w:val="en-US" w:eastAsia="zh-CN"/>
        </w:rPr>
        <w:t>1本项目依托的</w:t>
      </w:r>
      <w:r>
        <w:rPr>
          <w:rFonts w:hint="default" w:ascii="Times New Roman" w:hAnsi="Times New Roman" w:cs="Times New Roman"/>
          <w:szCs w:val="28"/>
        </w:rPr>
        <w:t>环保设施、污染物产排情况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_Toc22877 \h </w:instrText>
      </w:r>
      <w:r>
        <w:rPr>
          <w:rFonts w:hint="default" w:ascii="Times New Roman" w:hAnsi="Times New Roman" w:cs="Times New Roman"/>
        </w:rPr>
        <w:fldChar w:fldCharType="separate"/>
      </w:r>
      <w:r>
        <w:rPr>
          <w:rFonts w:hint="default" w:ascii="Times New Roman" w:hAnsi="Times New Roman" w:cs="Times New Roman"/>
        </w:rPr>
        <w:t>41</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36"/>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_Toc22074 </w:instrText>
      </w:r>
      <w:r>
        <w:rPr>
          <w:rFonts w:hint="default" w:ascii="Times New Roman" w:hAnsi="Times New Roman" w:cs="Times New Roman"/>
          <w:bCs/>
          <w:lang w:val="zh-CN"/>
        </w:rPr>
        <w:fldChar w:fldCharType="separate"/>
      </w:r>
      <w:r>
        <w:rPr>
          <w:rFonts w:hint="default" w:ascii="Times New Roman" w:hAnsi="Times New Roman" w:eastAsia="宋体" w:cs="Times New Roman"/>
          <w:szCs w:val="28"/>
        </w:rPr>
        <w:t>2.6已批复项目环保措施落实情况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_Toc22074 \h </w:instrText>
      </w:r>
      <w:r>
        <w:rPr>
          <w:rFonts w:hint="default" w:ascii="Times New Roman" w:hAnsi="Times New Roman" w:cs="Times New Roman"/>
        </w:rPr>
        <w:fldChar w:fldCharType="separate"/>
      </w:r>
      <w:r>
        <w:rPr>
          <w:rFonts w:hint="default" w:ascii="Times New Roman" w:hAnsi="Times New Roman" w:cs="Times New Roman"/>
        </w:rPr>
        <w:t>51</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36"/>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_Toc11604 </w:instrText>
      </w:r>
      <w:r>
        <w:rPr>
          <w:rFonts w:hint="default" w:ascii="Times New Roman" w:hAnsi="Times New Roman" w:cs="Times New Roman"/>
          <w:bCs/>
          <w:lang w:val="zh-CN"/>
        </w:rPr>
        <w:fldChar w:fldCharType="separate"/>
      </w:r>
      <w:r>
        <w:rPr>
          <w:rFonts w:hint="default" w:ascii="Times New Roman" w:hAnsi="Times New Roman" w:eastAsia="宋体" w:cs="Times New Roman"/>
          <w:szCs w:val="28"/>
        </w:rPr>
        <w:t>2.7已批复项目污染物排放情况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_Toc11604 \h </w:instrText>
      </w:r>
      <w:r>
        <w:rPr>
          <w:rFonts w:hint="default" w:ascii="Times New Roman" w:hAnsi="Times New Roman" w:cs="Times New Roman"/>
        </w:rPr>
        <w:fldChar w:fldCharType="separate"/>
      </w:r>
      <w:r>
        <w:rPr>
          <w:rFonts w:hint="default" w:ascii="Times New Roman" w:hAnsi="Times New Roman" w:cs="Times New Roman"/>
        </w:rPr>
        <w:t>54</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36"/>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_Toc2406 </w:instrText>
      </w:r>
      <w:r>
        <w:rPr>
          <w:rFonts w:hint="default" w:ascii="Times New Roman" w:hAnsi="Times New Roman" w:cs="Times New Roman"/>
          <w:bCs/>
          <w:lang w:val="zh-CN"/>
        </w:rPr>
        <w:fldChar w:fldCharType="separate"/>
      </w:r>
      <w:r>
        <w:rPr>
          <w:rFonts w:hint="default" w:ascii="Times New Roman" w:hAnsi="Times New Roman" w:eastAsia="宋体" w:cs="Times New Roman"/>
          <w:szCs w:val="28"/>
        </w:rPr>
        <w:t>2.8原有项目存在的环境问题</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_Toc2406 \h </w:instrText>
      </w:r>
      <w:r>
        <w:rPr>
          <w:rFonts w:hint="default" w:ascii="Times New Roman" w:hAnsi="Times New Roman" w:cs="Times New Roman"/>
        </w:rPr>
        <w:fldChar w:fldCharType="separate"/>
      </w:r>
      <w:r>
        <w:rPr>
          <w:rFonts w:hint="default" w:ascii="Times New Roman" w:hAnsi="Times New Roman" w:cs="Times New Roman"/>
        </w:rPr>
        <w:t>54</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31"/>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_Toc12735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3</w:t>
      </w:r>
      <w:r>
        <w:rPr>
          <w:rFonts w:hint="default" w:ascii="Times New Roman" w:hAnsi="Times New Roman" w:cs="Times New Roman"/>
        </w:rPr>
        <w:t>建设项目概况及工程分析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_Toc12735 \h </w:instrText>
      </w:r>
      <w:r>
        <w:rPr>
          <w:rFonts w:hint="default" w:ascii="Times New Roman" w:hAnsi="Times New Roman" w:cs="Times New Roman"/>
        </w:rPr>
        <w:fldChar w:fldCharType="separate"/>
      </w:r>
      <w:r>
        <w:rPr>
          <w:rFonts w:hint="default" w:ascii="Times New Roman" w:hAnsi="Times New Roman" w:cs="Times New Roman"/>
        </w:rPr>
        <w:t>55</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36"/>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_Toc8440 </w:instrText>
      </w:r>
      <w:r>
        <w:rPr>
          <w:rFonts w:hint="default" w:ascii="Times New Roman" w:hAnsi="Times New Roman" w:cs="Times New Roman"/>
          <w:bCs/>
          <w:lang w:val="zh-CN"/>
        </w:rPr>
        <w:fldChar w:fldCharType="separate"/>
      </w:r>
      <w:r>
        <w:rPr>
          <w:rFonts w:hint="default" w:ascii="Times New Roman" w:hAnsi="Times New Roman" w:eastAsia="宋体" w:cs="Times New Roman"/>
          <w:szCs w:val="28"/>
          <w:lang w:val="en-US" w:eastAsia="zh-CN"/>
        </w:rPr>
        <w:t>3</w:t>
      </w:r>
      <w:r>
        <w:rPr>
          <w:rFonts w:hint="default" w:ascii="Times New Roman" w:hAnsi="Times New Roman" w:eastAsia="宋体" w:cs="Times New Roman"/>
          <w:szCs w:val="28"/>
        </w:rPr>
        <w:t>.1建设项目</w:t>
      </w:r>
      <w:r>
        <w:rPr>
          <w:rFonts w:hint="default" w:ascii="Times New Roman" w:hAnsi="Times New Roman" w:eastAsia="宋体" w:cs="Times New Roman"/>
          <w:szCs w:val="28"/>
          <w:lang w:eastAsia="zh-CN"/>
        </w:rPr>
        <w:t>概况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_Toc8440 \h </w:instrText>
      </w:r>
      <w:r>
        <w:rPr>
          <w:rFonts w:hint="default" w:ascii="Times New Roman" w:hAnsi="Times New Roman" w:cs="Times New Roman"/>
        </w:rPr>
        <w:fldChar w:fldCharType="separate"/>
      </w:r>
      <w:r>
        <w:rPr>
          <w:rFonts w:hint="default" w:ascii="Times New Roman" w:hAnsi="Times New Roman" w:cs="Times New Roman"/>
        </w:rPr>
        <w:t>55</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23"/>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_Toc176 </w:instrText>
      </w:r>
      <w:r>
        <w:rPr>
          <w:rFonts w:hint="default" w:ascii="Times New Roman" w:hAnsi="Times New Roman" w:cs="Times New Roman"/>
          <w:bCs/>
          <w:lang w:val="zh-CN"/>
        </w:rPr>
        <w:fldChar w:fldCharType="separate"/>
      </w:r>
      <w:r>
        <w:rPr>
          <w:rFonts w:hint="default" w:ascii="Times New Roman" w:hAnsi="Times New Roman" w:cs="Times New Roman"/>
          <w:szCs w:val="28"/>
          <w:lang w:val="en-US" w:eastAsia="zh-CN"/>
        </w:rPr>
        <w:t>3</w:t>
      </w:r>
      <w:r>
        <w:rPr>
          <w:rFonts w:hint="default" w:ascii="Times New Roman" w:hAnsi="Times New Roman" w:cs="Times New Roman"/>
          <w:szCs w:val="28"/>
        </w:rPr>
        <w:t>.1.1建设项目</w:t>
      </w:r>
      <w:r>
        <w:rPr>
          <w:rFonts w:hint="default" w:ascii="Times New Roman" w:hAnsi="Times New Roman" w:cs="Times New Roman"/>
          <w:szCs w:val="28"/>
          <w:lang w:eastAsia="zh-CN"/>
        </w:rPr>
        <w:t>基本信息</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_Toc176 \h </w:instrText>
      </w:r>
      <w:r>
        <w:rPr>
          <w:rFonts w:hint="default" w:ascii="Times New Roman" w:hAnsi="Times New Roman" w:cs="Times New Roman"/>
        </w:rPr>
        <w:fldChar w:fldCharType="separate"/>
      </w:r>
      <w:r>
        <w:rPr>
          <w:rFonts w:hint="default" w:ascii="Times New Roman" w:hAnsi="Times New Roman" w:cs="Times New Roman"/>
        </w:rPr>
        <w:t>55</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23"/>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_Toc26314 </w:instrText>
      </w:r>
      <w:r>
        <w:rPr>
          <w:rFonts w:hint="default" w:ascii="Times New Roman" w:hAnsi="Times New Roman" w:cs="Times New Roman"/>
          <w:bCs/>
          <w:lang w:val="zh-CN"/>
        </w:rPr>
        <w:fldChar w:fldCharType="separate"/>
      </w:r>
      <w:r>
        <w:rPr>
          <w:rFonts w:hint="default" w:ascii="Times New Roman" w:hAnsi="Times New Roman" w:cs="Times New Roman"/>
          <w:szCs w:val="28"/>
          <w:lang w:val="en-US" w:eastAsia="zh-CN"/>
        </w:rPr>
        <w:t>3</w:t>
      </w:r>
      <w:r>
        <w:rPr>
          <w:rFonts w:hint="default" w:ascii="Times New Roman" w:hAnsi="Times New Roman" w:cs="Times New Roman"/>
          <w:szCs w:val="28"/>
        </w:rPr>
        <w:t>.1.2主要建设内容</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_Toc26314 \h </w:instrText>
      </w:r>
      <w:r>
        <w:rPr>
          <w:rFonts w:hint="default" w:ascii="Times New Roman" w:hAnsi="Times New Roman" w:cs="Times New Roman"/>
        </w:rPr>
        <w:fldChar w:fldCharType="separate"/>
      </w:r>
      <w:r>
        <w:rPr>
          <w:rFonts w:hint="default" w:ascii="Times New Roman" w:hAnsi="Times New Roman" w:cs="Times New Roman"/>
        </w:rPr>
        <w:t>55</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23"/>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_Toc15463 </w:instrText>
      </w:r>
      <w:r>
        <w:rPr>
          <w:rFonts w:hint="default" w:ascii="Times New Roman" w:hAnsi="Times New Roman" w:cs="Times New Roman"/>
          <w:bCs/>
          <w:lang w:val="zh-CN"/>
        </w:rPr>
        <w:fldChar w:fldCharType="separate"/>
      </w:r>
      <w:r>
        <w:rPr>
          <w:rFonts w:hint="default" w:ascii="Times New Roman" w:hAnsi="Times New Roman" w:cs="Times New Roman"/>
          <w:szCs w:val="28"/>
          <w:lang w:val="en-US" w:eastAsia="zh-CN"/>
        </w:rPr>
        <w:t>3</w:t>
      </w:r>
      <w:r>
        <w:rPr>
          <w:rFonts w:hint="default" w:ascii="Times New Roman" w:hAnsi="Times New Roman" w:cs="Times New Roman"/>
          <w:szCs w:val="28"/>
        </w:rPr>
        <w:t>.1.</w:t>
      </w:r>
      <w:r>
        <w:rPr>
          <w:rFonts w:hint="default" w:ascii="Times New Roman" w:hAnsi="Times New Roman" w:cs="Times New Roman"/>
          <w:szCs w:val="28"/>
          <w:lang w:val="en-US" w:eastAsia="zh-CN"/>
        </w:rPr>
        <w:t>3</w:t>
      </w:r>
      <w:r>
        <w:rPr>
          <w:rFonts w:hint="default" w:ascii="Times New Roman" w:hAnsi="Times New Roman" w:cs="Times New Roman"/>
          <w:szCs w:val="28"/>
          <w:lang w:eastAsia="zh-CN"/>
        </w:rPr>
        <w:t>项目依托可行性分析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_Toc15463 \h </w:instrText>
      </w:r>
      <w:r>
        <w:rPr>
          <w:rFonts w:hint="default" w:ascii="Times New Roman" w:hAnsi="Times New Roman" w:cs="Times New Roman"/>
        </w:rPr>
        <w:fldChar w:fldCharType="separate"/>
      </w:r>
      <w:r>
        <w:rPr>
          <w:rFonts w:hint="default" w:ascii="Times New Roman" w:hAnsi="Times New Roman" w:cs="Times New Roman"/>
        </w:rPr>
        <w:t>56</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23"/>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_Toc7364 </w:instrText>
      </w:r>
      <w:r>
        <w:rPr>
          <w:rFonts w:hint="default" w:ascii="Times New Roman" w:hAnsi="Times New Roman" w:cs="Times New Roman"/>
          <w:bCs/>
          <w:lang w:val="zh-CN"/>
        </w:rPr>
        <w:fldChar w:fldCharType="separate"/>
      </w:r>
      <w:r>
        <w:rPr>
          <w:rFonts w:hint="default" w:ascii="Times New Roman" w:hAnsi="Times New Roman" w:cs="Times New Roman"/>
          <w:szCs w:val="28"/>
          <w:lang w:val="en-US" w:eastAsia="zh-CN"/>
        </w:rPr>
        <w:t>3</w:t>
      </w:r>
      <w:r>
        <w:rPr>
          <w:rFonts w:hint="default" w:ascii="Times New Roman" w:hAnsi="Times New Roman" w:cs="Times New Roman"/>
          <w:szCs w:val="28"/>
        </w:rPr>
        <w:t>.1.</w:t>
      </w:r>
      <w:r>
        <w:rPr>
          <w:rFonts w:hint="default" w:ascii="Times New Roman" w:hAnsi="Times New Roman" w:cs="Times New Roman"/>
          <w:szCs w:val="28"/>
          <w:lang w:val="en-US" w:eastAsia="zh-CN"/>
        </w:rPr>
        <w:t>3</w:t>
      </w:r>
      <w:r>
        <w:rPr>
          <w:rFonts w:hint="default" w:ascii="Times New Roman" w:hAnsi="Times New Roman" w:cs="Times New Roman"/>
          <w:szCs w:val="28"/>
          <w:lang w:eastAsia="zh-CN"/>
        </w:rPr>
        <w:t>产品方案</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_Toc7364 \h </w:instrText>
      </w:r>
      <w:r>
        <w:rPr>
          <w:rFonts w:hint="default" w:ascii="Times New Roman" w:hAnsi="Times New Roman" w:cs="Times New Roman"/>
        </w:rPr>
        <w:fldChar w:fldCharType="separate"/>
      </w:r>
      <w:r>
        <w:rPr>
          <w:rFonts w:hint="default" w:ascii="Times New Roman" w:hAnsi="Times New Roman" w:cs="Times New Roman"/>
        </w:rPr>
        <w:t>58</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23"/>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_Toc11586 </w:instrText>
      </w:r>
      <w:r>
        <w:rPr>
          <w:rFonts w:hint="default" w:ascii="Times New Roman" w:hAnsi="Times New Roman" w:cs="Times New Roman"/>
          <w:bCs/>
          <w:lang w:val="zh-CN"/>
        </w:rPr>
        <w:fldChar w:fldCharType="separate"/>
      </w:r>
      <w:r>
        <w:rPr>
          <w:rFonts w:hint="default" w:ascii="Times New Roman" w:hAnsi="Times New Roman" w:cs="Times New Roman"/>
          <w:szCs w:val="28"/>
          <w:lang w:val="en-US" w:eastAsia="zh-CN"/>
        </w:rPr>
        <w:t>3</w:t>
      </w:r>
      <w:r>
        <w:rPr>
          <w:rFonts w:hint="default" w:ascii="Times New Roman" w:hAnsi="Times New Roman" w:cs="Times New Roman"/>
          <w:szCs w:val="28"/>
        </w:rPr>
        <w:t>.1.</w:t>
      </w:r>
      <w:r>
        <w:rPr>
          <w:rFonts w:hint="default" w:ascii="Times New Roman" w:hAnsi="Times New Roman" w:cs="Times New Roman"/>
          <w:szCs w:val="28"/>
          <w:lang w:val="en-US" w:eastAsia="zh-CN"/>
        </w:rPr>
        <w:t>4</w:t>
      </w:r>
      <w:r>
        <w:rPr>
          <w:rFonts w:hint="default" w:ascii="Times New Roman" w:hAnsi="Times New Roman" w:cs="Times New Roman"/>
          <w:szCs w:val="28"/>
        </w:rPr>
        <w:t>原辅材料</w:t>
      </w:r>
      <w:r>
        <w:rPr>
          <w:rFonts w:hint="default" w:ascii="Times New Roman" w:hAnsi="Times New Roman" w:cs="Times New Roman"/>
          <w:szCs w:val="28"/>
          <w:lang w:eastAsia="zh-CN"/>
        </w:rPr>
        <w:t>用量及能源消耗</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_Toc11586 \h </w:instrText>
      </w:r>
      <w:r>
        <w:rPr>
          <w:rFonts w:hint="default" w:ascii="Times New Roman" w:hAnsi="Times New Roman" w:cs="Times New Roman"/>
        </w:rPr>
        <w:fldChar w:fldCharType="separate"/>
      </w:r>
      <w:r>
        <w:rPr>
          <w:rFonts w:hint="default" w:ascii="Times New Roman" w:hAnsi="Times New Roman" w:cs="Times New Roman"/>
        </w:rPr>
        <w:t>58</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23"/>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_Toc10105 </w:instrText>
      </w:r>
      <w:r>
        <w:rPr>
          <w:rFonts w:hint="default" w:ascii="Times New Roman" w:hAnsi="Times New Roman" w:cs="Times New Roman"/>
          <w:bCs/>
          <w:lang w:val="zh-CN"/>
        </w:rPr>
        <w:fldChar w:fldCharType="separate"/>
      </w:r>
      <w:r>
        <w:rPr>
          <w:rFonts w:hint="default" w:ascii="Times New Roman" w:hAnsi="Times New Roman" w:cs="Times New Roman"/>
          <w:szCs w:val="28"/>
          <w:lang w:val="en-US" w:eastAsia="zh-CN"/>
        </w:rPr>
        <w:t>3</w:t>
      </w:r>
      <w:r>
        <w:rPr>
          <w:rFonts w:hint="default" w:ascii="Times New Roman" w:hAnsi="Times New Roman" w:cs="Times New Roman"/>
          <w:szCs w:val="28"/>
        </w:rPr>
        <w:t>.1.</w:t>
      </w:r>
      <w:r>
        <w:rPr>
          <w:rFonts w:hint="default" w:ascii="Times New Roman" w:hAnsi="Times New Roman" w:cs="Times New Roman"/>
          <w:szCs w:val="28"/>
          <w:lang w:val="en-US" w:eastAsia="zh-CN"/>
        </w:rPr>
        <w:t>5</w:t>
      </w:r>
      <w:r>
        <w:rPr>
          <w:rFonts w:hint="default" w:ascii="Times New Roman" w:hAnsi="Times New Roman" w:cs="Times New Roman"/>
          <w:szCs w:val="28"/>
        </w:rPr>
        <w:t>主要生产设备一览表</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_Toc10105 \h </w:instrText>
      </w:r>
      <w:r>
        <w:rPr>
          <w:rFonts w:hint="default" w:ascii="Times New Roman" w:hAnsi="Times New Roman" w:cs="Times New Roman"/>
        </w:rPr>
        <w:fldChar w:fldCharType="separate"/>
      </w:r>
      <w:r>
        <w:rPr>
          <w:rFonts w:hint="default" w:ascii="Times New Roman" w:hAnsi="Times New Roman" w:cs="Times New Roman"/>
        </w:rPr>
        <w:t>61</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23"/>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_Toc13427 </w:instrText>
      </w:r>
      <w:r>
        <w:rPr>
          <w:rFonts w:hint="default" w:ascii="Times New Roman" w:hAnsi="Times New Roman" w:cs="Times New Roman"/>
          <w:bCs/>
          <w:lang w:val="zh-CN"/>
        </w:rPr>
        <w:fldChar w:fldCharType="separate"/>
      </w:r>
      <w:r>
        <w:rPr>
          <w:rFonts w:hint="default" w:ascii="Times New Roman" w:hAnsi="Times New Roman" w:cs="Times New Roman"/>
          <w:szCs w:val="28"/>
          <w:lang w:val="en-US" w:eastAsia="zh-CN"/>
        </w:rPr>
        <w:t>3</w:t>
      </w:r>
      <w:r>
        <w:rPr>
          <w:rFonts w:hint="default" w:ascii="Times New Roman" w:hAnsi="Times New Roman" w:cs="Times New Roman"/>
          <w:szCs w:val="28"/>
        </w:rPr>
        <w:t>.1.9</w:t>
      </w:r>
      <w:r>
        <w:rPr>
          <w:rFonts w:hint="default" w:ascii="Times New Roman" w:hAnsi="Times New Roman" w:cs="Times New Roman"/>
          <w:szCs w:val="28"/>
          <w:lang w:eastAsia="zh-CN"/>
        </w:rPr>
        <w:t>公用工程及配套设施</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_Toc13427 \h </w:instrText>
      </w:r>
      <w:r>
        <w:rPr>
          <w:rFonts w:hint="default" w:ascii="Times New Roman" w:hAnsi="Times New Roman" w:cs="Times New Roman"/>
        </w:rPr>
        <w:fldChar w:fldCharType="separate"/>
      </w:r>
      <w:r>
        <w:rPr>
          <w:rFonts w:hint="default" w:ascii="Times New Roman" w:hAnsi="Times New Roman" w:cs="Times New Roman"/>
        </w:rPr>
        <w:t>61</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23"/>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_Toc24213 </w:instrText>
      </w:r>
      <w:r>
        <w:rPr>
          <w:rFonts w:hint="default" w:ascii="Times New Roman" w:hAnsi="Times New Roman" w:cs="Times New Roman"/>
          <w:bCs/>
          <w:lang w:val="zh-CN"/>
        </w:rPr>
        <w:fldChar w:fldCharType="separate"/>
      </w:r>
      <w:r>
        <w:rPr>
          <w:rFonts w:hint="default" w:ascii="Times New Roman" w:hAnsi="Times New Roman" w:cs="Times New Roman"/>
          <w:szCs w:val="28"/>
          <w:lang w:val="en-US" w:eastAsia="zh-CN"/>
        </w:rPr>
        <w:t>3</w:t>
      </w:r>
      <w:r>
        <w:rPr>
          <w:rFonts w:hint="default" w:ascii="Times New Roman" w:hAnsi="Times New Roman" w:cs="Times New Roman"/>
          <w:szCs w:val="28"/>
        </w:rPr>
        <w:t>.1.</w:t>
      </w:r>
      <w:r>
        <w:rPr>
          <w:rFonts w:hint="default" w:ascii="Times New Roman" w:hAnsi="Times New Roman" w:cs="Times New Roman"/>
          <w:szCs w:val="28"/>
          <w:lang w:val="en-US" w:eastAsia="zh-CN"/>
        </w:rPr>
        <w:t>10</w:t>
      </w:r>
      <w:r>
        <w:rPr>
          <w:rFonts w:hint="default" w:ascii="Times New Roman" w:hAnsi="Times New Roman" w:cs="Times New Roman"/>
          <w:szCs w:val="28"/>
        </w:rPr>
        <w:t>工作制度及劳动定员</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_Toc24213 \h </w:instrText>
      </w:r>
      <w:r>
        <w:rPr>
          <w:rFonts w:hint="default" w:ascii="Times New Roman" w:hAnsi="Times New Roman" w:cs="Times New Roman"/>
        </w:rPr>
        <w:fldChar w:fldCharType="separate"/>
      </w:r>
      <w:r>
        <w:rPr>
          <w:rFonts w:hint="default" w:ascii="Times New Roman" w:hAnsi="Times New Roman" w:cs="Times New Roman"/>
        </w:rPr>
        <w:t>63</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23"/>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_Toc24879 </w:instrText>
      </w:r>
      <w:r>
        <w:rPr>
          <w:rFonts w:hint="default" w:ascii="Times New Roman" w:hAnsi="Times New Roman" w:cs="Times New Roman"/>
          <w:bCs/>
          <w:lang w:val="zh-CN"/>
        </w:rPr>
        <w:fldChar w:fldCharType="separate"/>
      </w:r>
      <w:r>
        <w:rPr>
          <w:rFonts w:hint="default" w:ascii="Times New Roman" w:hAnsi="Times New Roman" w:cs="Times New Roman"/>
          <w:szCs w:val="28"/>
          <w:lang w:val="en-US" w:eastAsia="zh-CN"/>
        </w:rPr>
        <w:t>3</w:t>
      </w:r>
      <w:r>
        <w:rPr>
          <w:rFonts w:hint="default" w:ascii="Times New Roman" w:hAnsi="Times New Roman" w:cs="Times New Roman"/>
          <w:szCs w:val="28"/>
        </w:rPr>
        <w:t>.1.1</w:t>
      </w:r>
      <w:r>
        <w:rPr>
          <w:rFonts w:hint="default" w:ascii="Times New Roman" w:hAnsi="Times New Roman" w:cs="Times New Roman"/>
          <w:szCs w:val="28"/>
          <w:lang w:val="en-US" w:eastAsia="zh-CN"/>
        </w:rPr>
        <w:t>1</w:t>
      </w:r>
      <w:r>
        <w:rPr>
          <w:rFonts w:hint="default" w:ascii="Times New Roman" w:hAnsi="Times New Roman" w:cs="Times New Roman"/>
          <w:szCs w:val="28"/>
        </w:rPr>
        <w:t>总平面布置</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_Toc24879 \h </w:instrText>
      </w:r>
      <w:r>
        <w:rPr>
          <w:rFonts w:hint="default" w:ascii="Times New Roman" w:hAnsi="Times New Roman" w:cs="Times New Roman"/>
        </w:rPr>
        <w:fldChar w:fldCharType="separate"/>
      </w:r>
      <w:r>
        <w:rPr>
          <w:rFonts w:hint="default" w:ascii="Times New Roman" w:hAnsi="Times New Roman" w:cs="Times New Roman"/>
        </w:rPr>
        <w:t>63</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36"/>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_Toc14795 </w:instrText>
      </w:r>
      <w:r>
        <w:rPr>
          <w:rFonts w:hint="default" w:ascii="Times New Roman" w:hAnsi="Times New Roman" w:cs="Times New Roman"/>
          <w:bCs/>
          <w:lang w:val="zh-CN"/>
        </w:rPr>
        <w:fldChar w:fldCharType="separate"/>
      </w:r>
      <w:r>
        <w:rPr>
          <w:rFonts w:hint="default" w:ascii="Times New Roman" w:hAnsi="Times New Roman" w:eastAsia="宋体" w:cs="Times New Roman"/>
          <w:szCs w:val="28"/>
          <w:lang w:val="en-US" w:eastAsia="zh-CN"/>
        </w:rPr>
        <w:t>3</w:t>
      </w:r>
      <w:r>
        <w:rPr>
          <w:rFonts w:hint="default" w:ascii="Times New Roman" w:hAnsi="Times New Roman" w:eastAsia="宋体" w:cs="Times New Roman"/>
          <w:szCs w:val="28"/>
        </w:rPr>
        <w:t>.2建设项目污染物影响因素分析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_Toc14795 \h </w:instrText>
      </w:r>
      <w:r>
        <w:rPr>
          <w:rFonts w:hint="default" w:ascii="Times New Roman" w:hAnsi="Times New Roman" w:cs="Times New Roman"/>
        </w:rPr>
        <w:fldChar w:fldCharType="separate"/>
      </w:r>
      <w:r>
        <w:rPr>
          <w:rFonts w:hint="default" w:ascii="Times New Roman" w:hAnsi="Times New Roman" w:cs="Times New Roman"/>
        </w:rPr>
        <w:t>64</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23"/>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_Toc9322 </w:instrText>
      </w:r>
      <w:r>
        <w:rPr>
          <w:rFonts w:hint="default" w:ascii="Times New Roman" w:hAnsi="Times New Roman" w:cs="Times New Roman"/>
          <w:bCs/>
          <w:lang w:val="zh-CN"/>
        </w:rPr>
        <w:fldChar w:fldCharType="separate"/>
      </w:r>
      <w:r>
        <w:rPr>
          <w:rFonts w:hint="default" w:ascii="Times New Roman" w:hAnsi="Times New Roman" w:cs="Times New Roman"/>
          <w:szCs w:val="28"/>
          <w:lang w:val="en-US" w:eastAsia="zh-CN"/>
        </w:rPr>
        <w:t>3</w:t>
      </w:r>
      <w:r>
        <w:rPr>
          <w:rFonts w:hint="default" w:ascii="Times New Roman" w:hAnsi="Times New Roman" w:cs="Times New Roman"/>
          <w:szCs w:val="28"/>
        </w:rPr>
        <w:t>.2.1施工期污染分析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_Toc9322 \h </w:instrText>
      </w:r>
      <w:r>
        <w:rPr>
          <w:rFonts w:hint="default" w:ascii="Times New Roman" w:hAnsi="Times New Roman" w:cs="Times New Roman"/>
        </w:rPr>
        <w:fldChar w:fldCharType="separate"/>
      </w:r>
      <w:r>
        <w:rPr>
          <w:rFonts w:hint="default" w:ascii="Times New Roman" w:hAnsi="Times New Roman" w:cs="Times New Roman"/>
        </w:rPr>
        <w:t>64</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23"/>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_Toc1573 </w:instrText>
      </w:r>
      <w:r>
        <w:rPr>
          <w:rFonts w:hint="default" w:ascii="Times New Roman" w:hAnsi="Times New Roman" w:cs="Times New Roman"/>
          <w:bCs/>
          <w:lang w:val="zh-CN"/>
        </w:rPr>
        <w:fldChar w:fldCharType="separate"/>
      </w:r>
      <w:r>
        <w:rPr>
          <w:rFonts w:hint="default" w:ascii="Times New Roman" w:hAnsi="Times New Roman" w:cs="Times New Roman"/>
          <w:szCs w:val="28"/>
        </w:rPr>
        <w:t>3.2.2运营期工艺流程分析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_Toc1573 \h </w:instrText>
      </w:r>
      <w:r>
        <w:rPr>
          <w:rFonts w:hint="default" w:ascii="Times New Roman" w:hAnsi="Times New Roman" w:cs="Times New Roman"/>
        </w:rPr>
        <w:fldChar w:fldCharType="separate"/>
      </w:r>
      <w:r>
        <w:rPr>
          <w:rFonts w:hint="default" w:ascii="Times New Roman" w:hAnsi="Times New Roman" w:cs="Times New Roman"/>
        </w:rPr>
        <w:t>65</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23"/>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_Toc16222 </w:instrText>
      </w:r>
      <w:r>
        <w:rPr>
          <w:rFonts w:hint="default" w:ascii="Times New Roman" w:hAnsi="Times New Roman" w:cs="Times New Roman"/>
          <w:bCs/>
          <w:lang w:val="zh-CN"/>
        </w:rPr>
        <w:fldChar w:fldCharType="separate"/>
      </w:r>
      <w:r>
        <w:rPr>
          <w:rFonts w:hint="default" w:ascii="Times New Roman" w:hAnsi="Times New Roman" w:cs="Times New Roman"/>
          <w:szCs w:val="28"/>
          <w:lang w:val="en-US" w:eastAsia="zh-CN"/>
        </w:rPr>
        <w:t>3</w:t>
      </w:r>
      <w:r>
        <w:rPr>
          <w:rFonts w:hint="default" w:ascii="Times New Roman" w:hAnsi="Times New Roman" w:cs="Times New Roman"/>
          <w:szCs w:val="28"/>
        </w:rPr>
        <w:t>.2.3</w:t>
      </w:r>
      <w:r>
        <w:rPr>
          <w:rFonts w:hint="default" w:ascii="Times New Roman" w:hAnsi="Times New Roman" w:cs="Times New Roman"/>
          <w:szCs w:val="28"/>
          <w:lang w:eastAsia="zh-CN"/>
        </w:rPr>
        <w:t>硅</w:t>
      </w:r>
      <w:r>
        <w:rPr>
          <w:rFonts w:hint="default" w:ascii="Times New Roman" w:hAnsi="Times New Roman" w:cs="Times New Roman"/>
          <w:szCs w:val="28"/>
        </w:rPr>
        <w:t>物料平衡</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_Toc16222 \h </w:instrText>
      </w:r>
      <w:r>
        <w:rPr>
          <w:rFonts w:hint="default" w:ascii="Times New Roman" w:hAnsi="Times New Roman" w:cs="Times New Roman"/>
        </w:rPr>
        <w:fldChar w:fldCharType="separate"/>
      </w:r>
      <w:r>
        <w:rPr>
          <w:rFonts w:hint="default" w:ascii="Times New Roman" w:hAnsi="Times New Roman" w:cs="Times New Roman"/>
        </w:rPr>
        <w:t>68</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23"/>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_Toc28388 </w:instrText>
      </w:r>
      <w:r>
        <w:rPr>
          <w:rFonts w:hint="default" w:ascii="Times New Roman" w:hAnsi="Times New Roman" w:cs="Times New Roman"/>
          <w:bCs/>
          <w:lang w:val="zh-CN"/>
        </w:rPr>
        <w:fldChar w:fldCharType="separate"/>
      </w:r>
      <w:r>
        <w:rPr>
          <w:rFonts w:hint="default" w:ascii="Times New Roman" w:hAnsi="Times New Roman" w:cs="Times New Roman"/>
          <w:szCs w:val="28"/>
          <w:lang w:val="en-US" w:eastAsia="zh-CN"/>
        </w:rPr>
        <w:t>3</w:t>
      </w:r>
      <w:r>
        <w:rPr>
          <w:rFonts w:hint="default" w:ascii="Times New Roman" w:hAnsi="Times New Roman" w:cs="Times New Roman"/>
          <w:szCs w:val="28"/>
        </w:rPr>
        <w:t>.2.</w:t>
      </w:r>
      <w:r>
        <w:rPr>
          <w:rFonts w:hint="default" w:ascii="Times New Roman" w:hAnsi="Times New Roman" w:cs="Times New Roman"/>
          <w:szCs w:val="28"/>
          <w:lang w:val="en-US" w:eastAsia="zh-CN"/>
        </w:rPr>
        <w:t>4</w:t>
      </w:r>
      <w:r>
        <w:rPr>
          <w:rFonts w:hint="default" w:ascii="Times New Roman" w:hAnsi="Times New Roman" w:cs="Times New Roman"/>
          <w:szCs w:val="28"/>
        </w:rPr>
        <w:t>营运期污染分析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_Toc28388 \h </w:instrText>
      </w:r>
      <w:r>
        <w:rPr>
          <w:rFonts w:hint="default" w:ascii="Times New Roman" w:hAnsi="Times New Roman" w:cs="Times New Roman"/>
        </w:rPr>
        <w:fldChar w:fldCharType="separate"/>
      </w:r>
      <w:r>
        <w:rPr>
          <w:rFonts w:hint="default" w:ascii="Times New Roman" w:hAnsi="Times New Roman" w:cs="Times New Roman"/>
        </w:rPr>
        <w:t>68</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23"/>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_Toc11122 </w:instrText>
      </w:r>
      <w:r>
        <w:rPr>
          <w:rFonts w:hint="default" w:ascii="Times New Roman" w:hAnsi="Times New Roman" w:cs="Times New Roman"/>
          <w:bCs/>
          <w:lang w:val="zh-CN"/>
        </w:rPr>
        <w:fldChar w:fldCharType="separate"/>
      </w:r>
      <w:r>
        <w:rPr>
          <w:rFonts w:hint="default" w:ascii="Times New Roman" w:hAnsi="Times New Roman" w:cs="Times New Roman"/>
          <w:szCs w:val="28"/>
          <w:lang w:val="en-US" w:eastAsia="zh-CN"/>
        </w:rPr>
        <w:t>3</w:t>
      </w:r>
      <w:r>
        <w:rPr>
          <w:rFonts w:hint="default" w:ascii="Times New Roman" w:hAnsi="Times New Roman" w:cs="Times New Roman"/>
          <w:szCs w:val="28"/>
        </w:rPr>
        <w:t>.2.</w:t>
      </w:r>
      <w:r>
        <w:rPr>
          <w:rFonts w:hint="default" w:ascii="Times New Roman" w:hAnsi="Times New Roman" w:cs="Times New Roman"/>
          <w:szCs w:val="28"/>
          <w:lang w:val="en-US" w:eastAsia="zh-CN"/>
        </w:rPr>
        <w:t>5</w:t>
      </w:r>
      <w:r>
        <w:rPr>
          <w:rFonts w:hint="default" w:ascii="Times New Roman" w:hAnsi="Times New Roman" w:cs="Times New Roman"/>
          <w:szCs w:val="28"/>
        </w:rPr>
        <w:t>项目主要污染物排放汇总表</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_Toc11122 \h </w:instrText>
      </w:r>
      <w:r>
        <w:rPr>
          <w:rFonts w:hint="default" w:ascii="Times New Roman" w:hAnsi="Times New Roman" w:cs="Times New Roman"/>
        </w:rPr>
        <w:fldChar w:fldCharType="separate"/>
      </w:r>
      <w:r>
        <w:rPr>
          <w:rFonts w:hint="default" w:ascii="Times New Roman" w:hAnsi="Times New Roman" w:cs="Times New Roman"/>
        </w:rPr>
        <w:t>89</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31"/>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_Toc15955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4</w:t>
      </w:r>
      <w:r>
        <w:rPr>
          <w:rFonts w:hint="default" w:ascii="Times New Roman" w:hAnsi="Times New Roman" w:cs="Times New Roman"/>
        </w:rPr>
        <w:t>环境质量现状调查及评价</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_Toc15955 \h </w:instrText>
      </w:r>
      <w:r>
        <w:rPr>
          <w:rFonts w:hint="default" w:ascii="Times New Roman" w:hAnsi="Times New Roman" w:cs="Times New Roman"/>
        </w:rPr>
        <w:fldChar w:fldCharType="separate"/>
      </w:r>
      <w:r>
        <w:rPr>
          <w:rFonts w:hint="default" w:ascii="Times New Roman" w:hAnsi="Times New Roman" w:cs="Times New Roman"/>
        </w:rPr>
        <w:t>91</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36"/>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_Toc28225 </w:instrText>
      </w:r>
      <w:r>
        <w:rPr>
          <w:rFonts w:hint="default" w:ascii="Times New Roman" w:hAnsi="Times New Roman" w:cs="Times New Roman"/>
          <w:bCs/>
          <w:lang w:val="zh-CN"/>
        </w:rPr>
        <w:fldChar w:fldCharType="separate"/>
      </w:r>
      <w:r>
        <w:rPr>
          <w:rFonts w:hint="default" w:ascii="Times New Roman" w:hAnsi="Times New Roman" w:eastAsia="宋体" w:cs="Times New Roman"/>
          <w:szCs w:val="28"/>
          <w:lang w:val="en-US" w:eastAsia="zh-CN"/>
        </w:rPr>
        <w:t>4</w:t>
      </w:r>
      <w:r>
        <w:rPr>
          <w:rFonts w:hint="default" w:ascii="Times New Roman" w:hAnsi="Times New Roman" w:eastAsia="宋体" w:cs="Times New Roman"/>
          <w:szCs w:val="28"/>
        </w:rPr>
        <w:t>.1区域自然环境现状调查</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_Toc28225 \h </w:instrText>
      </w:r>
      <w:r>
        <w:rPr>
          <w:rFonts w:hint="default" w:ascii="Times New Roman" w:hAnsi="Times New Roman" w:cs="Times New Roman"/>
        </w:rPr>
        <w:fldChar w:fldCharType="separate"/>
      </w:r>
      <w:r>
        <w:rPr>
          <w:rFonts w:hint="default" w:ascii="Times New Roman" w:hAnsi="Times New Roman" w:cs="Times New Roman"/>
        </w:rPr>
        <w:t>91</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23"/>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_Toc7734 </w:instrText>
      </w:r>
      <w:r>
        <w:rPr>
          <w:rFonts w:hint="default" w:ascii="Times New Roman" w:hAnsi="Times New Roman" w:cs="Times New Roman"/>
          <w:bCs/>
          <w:lang w:val="zh-CN"/>
        </w:rPr>
        <w:fldChar w:fldCharType="separate"/>
      </w:r>
      <w:r>
        <w:rPr>
          <w:rFonts w:hint="default" w:ascii="Times New Roman" w:hAnsi="Times New Roman" w:cs="Times New Roman"/>
          <w:szCs w:val="28"/>
          <w:lang w:val="en-US" w:eastAsia="zh-CN"/>
        </w:rPr>
        <w:t>4</w:t>
      </w:r>
      <w:r>
        <w:rPr>
          <w:rFonts w:hint="default" w:ascii="Times New Roman" w:hAnsi="Times New Roman" w:cs="Times New Roman"/>
          <w:szCs w:val="28"/>
        </w:rPr>
        <w:t>.1.1地理位置及交通</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_Toc7734 \h </w:instrText>
      </w:r>
      <w:r>
        <w:rPr>
          <w:rFonts w:hint="default" w:ascii="Times New Roman" w:hAnsi="Times New Roman" w:cs="Times New Roman"/>
        </w:rPr>
        <w:fldChar w:fldCharType="separate"/>
      </w:r>
      <w:r>
        <w:rPr>
          <w:rFonts w:hint="default" w:ascii="Times New Roman" w:hAnsi="Times New Roman" w:cs="Times New Roman"/>
        </w:rPr>
        <w:t>91</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23"/>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_Toc8900 </w:instrText>
      </w:r>
      <w:r>
        <w:rPr>
          <w:rFonts w:hint="default" w:ascii="Times New Roman" w:hAnsi="Times New Roman" w:cs="Times New Roman"/>
          <w:bCs/>
          <w:lang w:val="zh-CN"/>
        </w:rPr>
        <w:fldChar w:fldCharType="separate"/>
      </w:r>
      <w:r>
        <w:rPr>
          <w:rFonts w:hint="default" w:ascii="Times New Roman" w:hAnsi="Times New Roman" w:cs="Times New Roman"/>
          <w:szCs w:val="28"/>
          <w:lang w:val="en-US" w:eastAsia="zh-CN"/>
        </w:rPr>
        <w:t>4</w:t>
      </w:r>
      <w:r>
        <w:rPr>
          <w:rFonts w:hint="default" w:ascii="Times New Roman" w:hAnsi="Times New Roman" w:cs="Times New Roman"/>
          <w:szCs w:val="28"/>
        </w:rPr>
        <w:t>.1.2地形、地貌</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_Toc8900 \h </w:instrText>
      </w:r>
      <w:r>
        <w:rPr>
          <w:rFonts w:hint="default" w:ascii="Times New Roman" w:hAnsi="Times New Roman" w:cs="Times New Roman"/>
        </w:rPr>
        <w:fldChar w:fldCharType="separate"/>
      </w:r>
      <w:r>
        <w:rPr>
          <w:rFonts w:hint="default" w:ascii="Times New Roman" w:hAnsi="Times New Roman" w:cs="Times New Roman"/>
        </w:rPr>
        <w:t>91</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23"/>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_Toc7365 </w:instrText>
      </w:r>
      <w:r>
        <w:rPr>
          <w:rFonts w:hint="default" w:ascii="Times New Roman" w:hAnsi="Times New Roman" w:cs="Times New Roman"/>
          <w:bCs/>
          <w:lang w:val="zh-CN"/>
        </w:rPr>
        <w:fldChar w:fldCharType="separate"/>
      </w:r>
      <w:r>
        <w:rPr>
          <w:rFonts w:hint="default" w:ascii="Times New Roman" w:hAnsi="Times New Roman" w:cs="Times New Roman"/>
          <w:szCs w:val="28"/>
          <w:lang w:val="en-US" w:eastAsia="zh-CN"/>
        </w:rPr>
        <w:t>4</w:t>
      </w:r>
      <w:r>
        <w:rPr>
          <w:rFonts w:hint="default" w:ascii="Times New Roman" w:hAnsi="Times New Roman" w:cs="Times New Roman"/>
          <w:szCs w:val="28"/>
        </w:rPr>
        <w:t>.1.3气候、气象特征</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_Toc7365 \h </w:instrText>
      </w:r>
      <w:r>
        <w:rPr>
          <w:rFonts w:hint="default" w:ascii="Times New Roman" w:hAnsi="Times New Roman" w:cs="Times New Roman"/>
        </w:rPr>
        <w:fldChar w:fldCharType="separate"/>
      </w:r>
      <w:r>
        <w:rPr>
          <w:rFonts w:hint="default" w:ascii="Times New Roman" w:hAnsi="Times New Roman" w:cs="Times New Roman"/>
        </w:rPr>
        <w:t>92</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36"/>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_Toc2291 </w:instrText>
      </w:r>
      <w:r>
        <w:rPr>
          <w:rFonts w:hint="default" w:ascii="Times New Roman" w:hAnsi="Times New Roman" w:cs="Times New Roman"/>
          <w:bCs/>
          <w:lang w:val="zh-CN"/>
        </w:rPr>
        <w:fldChar w:fldCharType="separate"/>
      </w:r>
      <w:r>
        <w:rPr>
          <w:rFonts w:hint="default" w:ascii="Times New Roman" w:hAnsi="Times New Roman" w:eastAsia="宋体" w:cs="Times New Roman"/>
          <w:szCs w:val="28"/>
          <w:lang w:val="en-US" w:eastAsia="zh-CN"/>
        </w:rPr>
        <w:t>4</w:t>
      </w:r>
      <w:r>
        <w:rPr>
          <w:rFonts w:hint="default" w:ascii="Times New Roman" w:hAnsi="Times New Roman" w:eastAsia="宋体" w:cs="Times New Roman"/>
          <w:szCs w:val="28"/>
        </w:rPr>
        <w:t>.2楚雄工业园区</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_Toc2291 \h </w:instrText>
      </w:r>
      <w:r>
        <w:rPr>
          <w:rFonts w:hint="default" w:ascii="Times New Roman" w:hAnsi="Times New Roman" w:cs="Times New Roman"/>
        </w:rPr>
        <w:fldChar w:fldCharType="separate"/>
      </w:r>
      <w:r>
        <w:rPr>
          <w:rFonts w:hint="default" w:ascii="Times New Roman" w:hAnsi="Times New Roman" w:cs="Times New Roman"/>
        </w:rPr>
        <w:t>95</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23"/>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_Toc8775 </w:instrText>
      </w:r>
      <w:r>
        <w:rPr>
          <w:rFonts w:hint="default" w:ascii="Times New Roman" w:hAnsi="Times New Roman" w:cs="Times New Roman"/>
          <w:bCs/>
          <w:lang w:val="zh-CN"/>
        </w:rPr>
        <w:fldChar w:fldCharType="separate"/>
      </w:r>
      <w:r>
        <w:rPr>
          <w:rFonts w:hint="default" w:ascii="Times New Roman" w:hAnsi="Times New Roman" w:cs="Times New Roman"/>
          <w:szCs w:val="28"/>
          <w:lang w:val="en-US" w:eastAsia="zh-CN"/>
        </w:rPr>
        <w:t>4</w:t>
      </w:r>
      <w:r>
        <w:rPr>
          <w:rFonts w:hint="default" w:ascii="Times New Roman" w:hAnsi="Times New Roman" w:cs="Times New Roman"/>
          <w:szCs w:val="28"/>
        </w:rPr>
        <w:t>.2.1楚雄工业园区规划概述</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_Toc8775 \h </w:instrText>
      </w:r>
      <w:r>
        <w:rPr>
          <w:rFonts w:hint="default" w:ascii="Times New Roman" w:hAnsi="Times New Roman" w:cs="Times New Roman"/>
        </w:rPr>
        <w:fldChar w:fldCharType="separate"/>
      </w:r>
      <w:r>
        <w:rPr>
          <w:rFonts w:hint="default" w:ascii="Times New Roman" w:hAnsi="Times New Roman" w:cs="Times New Roman"/>
        </w:rPr>
        <w:t>95</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23"/>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_Toc14174 </w:instrText>
      </w:r>
      <w:r>
        <w:rPr>
          <w:rFonts w:hint="default" w:ascii="Times New Roman" w:hAnsi="Times New Roman" w:cs="Times New Roman"/>
          <w:bCs/>
          <w:lang w:val="zh-CN"/>
        </w:rPr>
        <w:fldChar w:fldCharType="separate"/>
      </w:r>
      <w:r>
        <w:rPr>
          <w:rFonts w:hint="default" w:ascii="Times New Roman" w:hAnsi="Times New Roman" w:cs="Times New Roman"/>
          <w:szCs w:val="28"/>
          <w:lang w:val="en-US" w:eastAsia="zh-CN"/>
        </w:rPr>
        <w:t>4</w:t>
      </w:r>
      <w:r>
        <w:rPr>
          <w:rFonts w:hint="default" w:ascii="Times New Roman" w:hAnsi="Times New Roman" w:cs="Times New Roman"/>
          <w:szCs w:val="28"/>
        </w:rPr>
        <w:t>.2.2</w:t>
      </w:r>
      <w:r>
        <w:rPr>
          <w:rFonts w:hint="default" w:ascii="Times New Roman" w:hAnsi="Times New Roman" w:cs="Times New Roman"/>
          <w:szCs w:val="28"/>
          <w:lang w:eastAsia="zh-CN"/>
        </w:rPr>
        <w:t>企业周边</w:t>
      </w:r>
      <w:r>
        <w:rPr>
          <w:rFonts w:hint="default" w:ascii="Times New Roman" w:hAnsi="Times New Roman" w:cs="Times New Roman"/>
          <w:szCs w:val="28"/>
        </w:rPr>
        <w:t>污染源调查</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_Toc14174 \h </w:instrText>
      </w:r>
      <w:r>
        <w:rPr>
          <w:rFonts w:hint="default" w:ascii="Times New Roman" w:hAnsi="Times New Roman" w:cs="Times New Roman"/>
        </w:rPr>
        <w:fldChar w:fldCharType="separate"/>
      </w:r>
      <w:r>
        <w:rPr>
          <w:rFonts w:hint="default" w:ascii="Times New Roman" w:hAnsi="Times New Roman" w:cs="Times New Roman"/>
        </w:rPr>
        <w:t>98</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36"/>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_Toc9425 </w:instrText>
      </w:r>
      <w:r>
        <w:rPr>
          <w:rFonts w:hint="default" w:ascii="Times New Roman" w:hAnsi="Times New Roman" w:cs="Times New Roman"/>
          <w:bCs/>
          <w:lang w:val="zh-CN"/>
        </w:rPr>
        <w:fldChar w:fldCharType="separate"/>
      </w:r>
      <w:r>
        <w:rPr>
          <w:rFonts w:hint="default" w:ascii="Times New Roman" w:hAnsi="Times New Roman" w:eastAsia="宋体" w:cs="Times New Roman"/>
          <w:szCs w:val="28"/>
          <w:lang w:val="en-US" w:eastAsia="zh-CN"/>
        </w:rPr>
        <w:t>4</w:t>
      </w:r>
      <w:r>
        <w:rPr>
          <w:rFonts w:hint="default" w:ascii="Times New Roman" w:hAnsi="Times New Roman" w:eastAsia="宋体" w:cs="Times New Roman"/>
          <w:szCs w:val="28"/>
        </w:rPr>
        <w:t>.3环境质量现状调查与评价</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_Toc9425 \h </w:instrText>
      </w:r>
      <w:r>
        <w:rPr>
          <w:rFonts w:hint="default" w:ascii="Times New Roman" w:hAnsi="Times New Roman" w:cs="Times New Roman"/>
        </w:rPr>
        <w:fldChar w:fldCharType="separate"/>
      </w:r>
      <w:r>
        <w:rPr>
          <w:rFonts w:hint="default" w:ascii="Times New Roman" w:hAnsi="Times New Roman" w:cs="Times New Roman"/>
        </w:rPr>
        <w:t>101</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23"/>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_Toc9860 </w:instrText>
      </w:r>
      <w:r>
        <w:rPr>
          <w:rFonts w:hint="default" w:ascii="Times New Roman" w:hAnsi="Times New Roman" w:cs="Times New Roman"/>
          <w:bCs/>
          <w:lang w:val="zh-CN"/>
        </w:rPr>
        <w:fldChar w:fldCharType="separate"/>
      </w:r>
      <w:r>
        <w:rPr>
          <w:rFonts w:hint="default" w:ascii="Times New Roman" w:hAnsi="Times New Roman" w:cs="Times New Roman"/>
          <w:szCs w:val="28"/>
          <w:lang w:val="en-US" w:eastAsia="zh-CN"/>
        </w:rPr>
        <w:t>4</w:t>
      </w:r>
      <w:r>
        <w:rPr>
          <w:rFonts w:hint="default" w:ascii="Times New Roman" w:hAnsi="Times New Roman" w:cs="Times New Roman"/>
          <w:szCs w:val="28"/>
        </w:rPr>
        <w:t>.3.1大气环境质量现状调查与评价</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_Toc9860 \h </w:instrText>
      </w:r>
      <w:r>
        <w:rPr>
          <w:rFonts w:hint="default" w:ascii="Times New Roman" w:hAnsi="Times New Roman" w:cs="Times New Roman"/>
        </w:rPr>
        <w:fldChar w:fldCharType="separate"/>
      </w:r>
      <w:r>
        <w:rPr>
          <w:rFonts w:hint="default" w:ascii="Times New Roman" w:hAnsi="Times New Roman" w:cs="Times New Roman"/>
        </w:rPr>
        <w:t>101</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23"/>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_Toc4789 </w:instrText>
      </w:r>
      <w:r>
        <w:rPr>
          <w:rFonts w:hint="default" w:ascii="Times New Roman" w:hAnsi="Times New Roman" w:cs="Times New Roman"/>
          <w:bCs/>
          <w:lang w:val="zh-CN"/>
        </w:rPr>
        <w:fldChar w:fldCharType="separate"/>
      </w:r>
      <w:r>
        <w:rPr>
          <w:rFonts w:hint="default" w:ascii="Times New Roman" w:hAnsi="Times New Roman" w:cs="Times New Roman"/>
          <w:szCs w:val="28"/>
          <w:lang w:val="en-US" w:eastAsia="zh-CN"/>
        </w:rPr>
        <w:t>4</w:t>
      </w:r>
      <w:r>
        <w:rPr>
          <w:rFonts w:hint="default" w:ascii="Times New Roman" w:hAnsi="Times New Roman" w:cs="Times New Roman"/>
          <w:szCs w:val="28"/>
        </w:rPr>
        <w:t>.3.2地表水环境质量现状监测及评价</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_Toc4789 \h </w:instrText>
      </w:r>
      <w:r>
        <w:rPr>
          <w:rFonts w:hint="default" w:ascii="Times New Roman" w:hAnsi="Times New Roman" w:cs="Times New Roman"/>
        </w:rPr>
        <w:fldChar w:fldCharType="separate"/>
      </w:r>
      <w:r>
        <w:rPr>
          <w:rFonts w:hint="default" w:ascii="Times New Roman" w:hAnsi="Times New Roman" w:cs="Times New Roman"/>
        </w:rPr>
        <w:t>107</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23"/>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_Toc19447 </w:instrText>
      </w:r>
      <w:r>
        <w:rPr>
          <w:rFonts w:hint="default" w:ascii="Times New Roman" w:hAnsi="Times New Roman" w:cs="Times New Roman"/>
          <w:bCs/>
          <w:lang w:val="zh-CN"/>
        </w:rPr>
        <w:fldChar w:fldCharType="separate"/>
      </w:r>
      <w:r>
        <w:rPr>
          <w:rFonts w:hint="default" w:ascii="Times New Roman" w:hAnsi="Times New Roman" w:cs="Times New Roman"/>
          <w:szCs w:val="28"/>
          <w:lang w:val="en-US" w:eastAsia="zh-CN"/>
        </w:rPr>
        <w:t>4</w:t>
      </w:r>
      <w:r>
        <w:rPr>
          <w:rFonts w:hint="default" w:ascii="Times New Roman" w:hAnsi="Times New Roman" w:cs="Times New Roman"/>
          <w:szCs w:val="28"/>
        </w:rPr>
        <w:t>.3.3声环境质量现状分析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_Toc19447 \h </w:instrText>
      </w:r>
      <w:r>
        <w:rPr>
          <w:rFonts w:hint="default" w:ascii="Times New Roman" w:hAnsi="Times New Roman" w:cs="Times New Roman"/>
        </w:rPr>
        <w:fldChar w:fldCharType="separate"/>
      </w:r>
      <w:r>
        <w:rPr>
          <w:rFonts w:hint="default" w:ascii="Times New Roman" w:hAnsi="Times New Roman" w:cs="Times New Roman"/>
        </w:rPr>
        <w:t>110</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23"/>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_Toc29086 </w:instrText>
      </w:r>
      <w:r>
        <w:rPr>
          <w:rFonts w:hint="default" w:ascii="Times New Roman" w:hAnsi="Times New Roman" w:cs="Times New Roman"/>
          <w:bCs/>
          <w:lang w:val="zh-CN"/>
        </w:rPr>
        <w:fldChar w:fldCharType="separate"/>
      </w:r>
      <w:r>
        <w:rPr>
          <w:rFonts w:hint="default" w:ascii="Times New Roman" w:hAnsi="Times New Roman" w:cs="Times New Roman"/>
          <w:szCs w:val="28"/>
          <w:lang w:val="en-US" w:eastAsia="zh-CN"/>
        </w:rPr>
        <w:t>4</w:t>
      </w:r>
      <w:r>
        <w:rPr>
          <w:rFonts w:hint="default" w:ascii="Times New Roman" w:hAnsi="Times New Roman" w:cs="Times New Roman"/>
          <w:szCs w:val="28"/>
        </w:rPr>
        <w:t>.3.</w:t>
      </w:r>
      <w:r>
        <w:rPr>
          <w:rFonts w:hint="default" w:ascii="Times New Roman" w:hAnsi="Times New Roman" w:cs="Times New Roman"/>
          <w:szCs w:val="28"/>
          <w:lang w:val="en-US" w:eastAsia="zh-CN"/>
        </w:rPr>
        <w:t>4</w:t>
      </w:r>
      <w:r>
        <w:rPr>
          <w:rFonts w:hint="default" w:ascii="Times New Roman" w:hAnsi="Times New Roman" w:cs="Times New Roman"/>
          <w:szCs w:val="28"/>
          <w:lang w:eastAsia="zh-CN"/>
        </w:rPr>
        <w:t>地下水</w:t>
      </w:r>
      <w:r>
        <w:rPr>
          <w:rFonts w:hint="default" w:ascii="Times New Roman" w:hAnsi="Times New Roman" w:cs="Times New Roman"/>
          <w:szCs w:val="28"/>
        </w:rPr>
        <w:t>环境质量现状分析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_Toc29086 \h </w:instrText>
      </w:r>
      <w:r>
        <w:rPr>
          <w:rFonts w:hint="default" w:ascii="Times New Roman" w:hAnsi="Times New Roman" w:cs="Times New Roman"/>
        </w:rPr>
        <w:fldChar w:fldCharType="separate"/>
      </w:r>
      <w:r>
        <w:rPr>
          <w:rFonts w:hint="default" w:ascii="Times New Roman" w:hAnsi="Times New Roman" w:cs="Times New Roman"/>
        </w:rPr>
        <w:t>110</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23"/>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_Toc27537 </w:instrText>
      </w:r>
      <w:r>
        <w:rPr>
          <w:rFonts w:hint="default" w:ascii="Times New Roman" w:hAnsi="Times New Roman" w:cs="Times New Roman"/>
          <w:bCs/>
          <w:lang w:val="zh-CN"/>
        </w:rPr>
        <w:fldChar w:fldCharType="separate"/>
      </w:r>
      <w:r>
        <w:rPr>
          <w:rFonts w:hint="default" w:ascii="Times New Roman" w:hAnsi="Times New Roman" w:cs="Times New Roman"/>
          <w:szCs w:val="28"/>
          <w:lang w:val="en-US" w:eastAsia="zh-CN"/>
        </w:rPr>
        <w:t>4</w:t>
      </w:r>
      <w:r>
        <w:rPr>
          <w:rFonts w:hint="default" w:ascii="Times New Roman" w:hAnsi="Times New Roman" w:cs="Times New Roman"/>
          <w:szCs w:val="28"/>
        </w:rPr>
        <w:t>.3.</w:t>
      </w:r>
      <w:r>
        <w:rPr>
          <w:rFonts w:hint="default" w:ascii="Times New Roman" w:hAnsi="Times New Roman" w:cs="Times New Roman"/>
          <w:szCs w:val="28"/>
          <w:lang w:val="en-US" w:eastAsia="zh-CN"/>
        </w:rPr>
        <w:t>5</w:t>
      </w:r>
      <w:r>
        <w:rPr>
          <w:rFonts w:hint="default" w:ascii="Times New Roman" w:hAnsi="Times New Roman" w:cs="Times New Roman"/>
          <w:szCs w:val="28"/>
        </w:rPr>
        <w:t>土壤环境质量现状分析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_Toc27537 \h </w:instrText>
      </w:r>
      <w:r>
        <w:rPr>
          <w:rFonts w:hint="default" w:ascii="Times New Roman" w:hAnsi="Times New Roman" w:cs="Times New Roman"/>
        </w:rPr>
        <w:fldChar w:fldCharType="separate"/>
      </w:r>
      <w:r>
        <w:rPr>
          <w:rFonts w:hint="default" w:ascii="Times New Roman" w:hAnsi="Times New Roman" w:cs="Times New Roman"/>
        </w:rPr>
        <w:t>111</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31"/>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_Toc24439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5</w:t>
      </w:r>
      <w:r>
        <w:rPr>
          <w:rFonts w:hint="default" w:ascii="Times New Roman" w:hAnsi="Times New Roman" w:cs="Times New Roman"/>
        </w:rPr>
        <w:t>环境影响预测与评价</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_Toc24439 \h </w:instrText>
      </w:r>
      <w:r>
        <w:rPr>
          <w:rFonts w:hint="default" w:ascii="Times New Roman" w:hAnsi="Times New Roman" w:cs="Times New Roman"/>
        </w:rPr>
        <w:fldChar w:fldCharType="separate"/>
      </w:r>
      <w:r>
        <w:rPr>
          <w:rFonts w:hint="default" w:ascii="Times New Roman" w:hAnsi="Times New Roman" w:cs="Times New Roman"/>
        </w:rPr>
        <w:t>112</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36"/>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_Toc14136 </w:instrText>
      </w:r>
      <w:r>
        <w:rPr>
          <w:rFonts w:hint="default" w:ascii="Times New Roman" w:hAnsi="Times New Roman" w:cs="Times New Roman"/>
          <w:bCs/>
          <w:lang w:val="zh-CN"/>
        </w:rPr>
        <w:fldChar w:fldCharType="separate"/>
      </w:r>
      <w:r>
        <w:rPr>
          <w:rFonts w:hint="default" w:ascii="Times New Roman" w:hAnsi="Times New Roman" w:eastAsia="宋体" w:cs="Times New Roman"/>
          <w:szCs w:val="28"/>
          <w:lang w:val="en-US" w:eastAsia="zh-CN"/>
        </w:rPr>
        <w:t>5</w:t>
      </w:r>
      <w:r>
        <w:rPr>
          <w:rFonts w:hint="default" w:ascii="Times New Roman" w:hAnsi="Times New Roman" w:eastAsia="宋体" w:cs="Times New Roman"/>
          <w:szCs w:val="28"/>
        </w:rPr>
        <w:t>.1施工期环境影响分析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_Toc14136 \h </w:instrText>
      </w:r>
      <w:r>
        <w:rPr>
          <w:rFonts w:hint="default" w:ascii="Times New Roman" w:hAnsi="Times New Roman" w:cs="Times New Roman"/>
        </w:rPr>
        <w:fldChar w:fldCharType="separate"/>
      </w:r>
      <w:r>
        <w:rPr>
          <w:rFonts w:hint="default" w:ascii="Times New Roman" w:hAnsi="Times New Roman" w:cs="Times New Roman"/>
        </w:rPr>
        <w:t>112</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23"/>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_Toc19334 </w:instrText>
      </w:r>
      <w:r>
        <w:rPr>
          <w:rFonts w:hint="default" w:ascii="Times New Roman" w:hAnsi="Times New Roman" w:cs="Times New Roman"/>
          <w:bCs/>
          <w:lang w:val="zh-CN"/>
        </w:rPr>
        <w:fldChar w:fldCharType="separate"/>
      </w:r>
      <w:r>
        <w:rPr>
          <w:rFonts w:hint="default" w:ascii="Times New Roman" w:hAnsi="Times New Roman" w:cs="Times New Roman"/>
          <w:szCs w:val="28"/>
          <w:lang w:val="en-US" w:eastAsia="zh-CN"/>
        </w:rPr>
        <w:t>5</w:t>
      </w:r>
      <w:r>
        <w:rPr>
          <w:rFonts w:hint="default" w:ascii="Times New Roman" w:hAnsi="Times New Roman" w:cs="Times New Roman"/>
          <w:szCs w:val="28"/>
        </w:rPr>
        <w:t>.1.1施工期环境空气影响分析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_Toc19334 \h </w:instrText>
      </w:r>
      <w:r>
        <w:rPr>
          <w:rFonts w:hint="default" w:ascii="Times New Roman" w:hAnsi="Times New Roman" w:cs="Times New Roman"/>
        </w:rPr>
        <w:fldChar w:fldCharType="separate"/>
      </w:r>
      <w:r>
        <w:rPr>
          <w:rFonts w:hint="default" w:ascii="Times New Roman" w:hAnsi="Times New Roman" w:cs="Times New Roman"/>
        </w:rPr>
        <w:t>112</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23"/>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_Toc23063 </w:instrText>
      </w:r>
      <w:r>
        <w:rPr>
          <w:rFonts w:hint="default" w:ascii="Times New Roman" w:hAnsi="Times New Roman" w:cs="Times New Roman"/>
          <w:bCs/>
          <w:lang w:val="zh-CN"/>
        </w:rPr>
        <w:fldChar w:fldCharType="separate"/>
      </w:r>
      <w:r>
        <w:rPr>
          <w:rFonts w:hint="default" w:ascii="Times New Roman" w:hAnsi="Times New Roman" w:cs="Times New Roman"/>
          <w:szCs w:val="28"/>
        </w:rPr>
        <w:t>5.1.2施工期水环境影响分析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_Toc23063 \h </w:instrText>
      </w:r>
      <w:r>
        <w:rPr>
          <w:rFonts w:hint="default" w:ascii="Times New Roman" w:hAnsi="Times New Roman" w:cs="Times New Roman"/>
        </w:rPr>
        <w:fldChar w:fldCharType="separate"/>
      </w:r>
      <w:r>
        <w:rPr>
          <w:rFonts w:hint="default" w:ascii="Times New Roman" w:hAnsi="Times New Roman" w:cs="Times New Roman"/>
        </w:rPr>
        <w:t>112</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23"/>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_Toc12645 </w:instrText>
      </w:r>
      <w:r>
        <w:rPr>
          <w:rFonts w:hint="default" w:ascii="Times New Roman" w:hAnsi="Times New Roman" w:cs="Times New Roman"/>
          <w:bCs/>
          <w:lang w:val="zh-CN"/>
        </w:rPr>
        <w:fldChar w:fldCharType="separate"/>
      </w:r>
      <w:r>
        <w:rPr>
          <w:rFonts w:hint="default" w:ascii="Times New Roman" w:hAnsi="Times New Roman" w:cs="Times New Roman"/>
          <w:szCs w:val="28"/>
        </w:rPr>
        <w:t>5.1.3固体废弃物环境影响分析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_Toc12645 \h </w:instrText>
      </w:r>
      <w:r>
        <w:rPr>
          <w:rFonts w:hint="default" w:ascii="Times New Roman" w:hAnsi="Times New Roman" w:cs="Times New Roman"/>
        </w:rPr>
        <w:fldChar w:fldCharType="separate"/>
      </w:r>
      <w:r>
        <w:rPr>
          <w:rFonts w:hint="default" w:ascii="Times New Roman" w:hAnsi="Times New Roman" w:cs="Times New Roman"/>
        </w:rPr>
        <w:t>112</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23"/>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_Toc12841 </w:instrText>
      </w:r>
      <w:r>
        <w:rPr>
          <w:rFonts w:hint="default" w:ascii="Times New Roman" w:hAnsi="Times New Roman" w:cs="Times New Roman"/>
          <w:bCs/>
          <w:lang w:val="zh-CN"/>
        </w:rPr>
        <w:fldChar w:fldCharType="separate"/>
      </w:r>
      <w:r>
        <w:rPr>
          <w:rFonts w:hint="default" w:ascii="Times New Roman" w:hAnsi="Times New Roman" w:cs="Times New Roman"/>
          <w:szCs w:val="28"/>
        </w:rPr>
        <w:t>5.1.4噪声对周围环境的影响分析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_Toc12841 \h </w:instrText>
      </w:r>
      <w:r>
        <w:rPr>
          <w:rFonts w:hint="default" w:ascii="Times New Roman" w:hAnsi="Times New Roman" w:cs="Times New Roman"/>
        </w:rPr>
        <w:fldChar w:fldCharType="separate"/>
      </w:r>
      <w:r>
        <w:rPr>
          <w:rFonts w:hint="default" w:ascii="Times New Roman" w:hAnsi="Times New Roman" w:cs="Times New Roman"/>
        </w:rPr>
        <w:t>112</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23"/>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_Toc11455 </w:instrText>
      </w:r>
      <w:r>
        <w:rPr>
          <w:rFonts w:hint="default" w:ascii="Times New Roman" w:hAnsi="Times New Roman" w:cs="Times New Roman"/>
          <w:bCs/>
          <w:lang w:val="zh-CN"/>
        </w:rPr>
        <w:fldChar w:fldCharType="separate"/>
      </w:r>
      <w:r>
        <w:rPr>
          <w:rFonts w:hint="default" w:ascii="Times New Roman" w:hAnsi="Times New Roman" w:cs="Times New Roman"/>
          <w:szCs w:val="28"/>
        </w:rPr>
        <w:t>5.1.5生态环境的影响分析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_Toc11455 \h </w:instrText>
      </w:r>
      <w:r>
        <w:rPr>
          <w:rFonts w:hint="default" w:ascii="Times New Roman" w:hAnsi="Times New Roman" w:cs="Times New Roman"/>
        </w:rPr>
        <w:fldChar w:fldCharType="separate"/>
      </w:r>
      <w:r>
        <w:rPr>
          <w:rFonts w:hint="default" w:ascii="Times New Roman" w:hAnsi="Times New Roman" w:cs="Times New Roman"/>
        </w:rPr>
        <w:t>112</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36"/>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_Toc21384 </w:instrText>
      </w:r>
      <w:r>
        <w:rPr>
          <w:rFonts w:hint="default" w:ascii="Times New Roman" w:hAnsi="Times New Roman" w:cs="Times New Roman"/>
          <w:bCs/>
          <w:lang w:val="zh-CN"/>
        </w:rPr>
        <w:fldChar w:fldCharType="separate"/>
      </w:r>
      <w:r>
        <w:rPr>
          <w:rFonts w:hint="default" w:ascii="Times New Roman" w:hAnsi="Times New Roman" w:eastAsia="宋体" w:cs="Times New Roman"/>
          <w:szCs w:val="28"/>
          <w:lang w:val="en-US" w:eastAsia="zh-CN"/>
        </w:rPr>
        <w:t>5</w:t>
      </w:r>
      <w:r>
        <w:rPr>
          <w:rFonts w:hint="default" w:ascii="Times New Roman" w:hAnsi="Times New Roman" w:eastAsia="宋体" w:cs="Times New Roman"/>
          <w:szCs w:val="28"/>
        </w:rPr>
        <w:t>.2运营期环境影响分析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_Toc21384 \h </w:instrText>
      </w:r>
      <w:r>
        <w:rPr>
          <w:rFonts w:hint="default" w:ascii="Times New Roman" w:hAnsi="Times New Roman" w:cs="Times New Roman"/>
        </w:rPr>
        <w:fldChar w:fldCharType="separate"/>
      </w:r>
      <w:r>
        <w:rPr>
          <w:rFonts w:hint="default" w:ascii="Times New Roman" w:hAnsi="Times New Roman" w:cs="Times New Roman"/>
        </w:rPr>
        <w:t>112</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23"/>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_Toc13307 </w:instrText>
      </w:r>
      <w:r>
        <w:rPr>
          <w:rFonts w:hint="default" w:ascii="Times New Roman" w:hAnsi="Times New Roman" w:cs="Times New Roman"/>
          <w:bCs/>
          <w:lang w:val="zh-CN"/>
        </w:rPr>
        <w:fldChar w:fldCharType="separate"/>
      </w:r>
      <w:r>
        <w:rPr>
          <w:rFonts w:hint="default" w:ascii="Times New Roman" w:hAnsi="Times New Roman" w:cs="Times New Roman"/>
          <w:szCs w:val="28"/>
          <w:lang w:val="en-US" w:eastAsia="zh-CN"/>
        </w:rPr>
        <w:t>5</w:t>
      </w:r>
      <w:r>
        <w:rPr>
          <w:rFonts w:hint="default" w:ascii="Times New Roman" w:hAnsi="Times New Roman" w:cs="Times New Roman"/>
          <w:szCs w:val="28"/>
        </w:rPr>
        <w:t>.2.1运营期环境空气影响分析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_Toc13307 \h </w:instrText>
      </w:r>
      <w:r>
        <w:rPr>
          <w:rFonts w:hint="default" w:ascii="Times New Roman" w:hAnsi="Times New Roman" w:cs="Times New Roman"/>
        </w:rPr>
        <w:fldChar w:fldCharType="separate"/>
      </w:r>
      <w:r>
        <w:rPr>
          <w:rFonts w:hint="default" w:ascii="Times New Roman" w:hAnsi="Times New Roman" w:cs="Times New Roman"/>
        </w:rPr>
        <w:t>112</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23"/>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_Toc2794 </w:instrText>
      </w:r>
      <w:r>
        <w:rPr>
          <w:rFonts w:hint="default" w:ascii="Times New Roman" w:hAnsi="Times New Roman" w:cs="Times New Roman"/>
          <w:bCs/>
          <w:lang w:val="zh-CN"/>
        </w:rPr>
        <w:fldChar w:fldCharType="separate"/>
      </w:r>
      <w:r>
        <w:rPr>
          <w:rFonts w:hint="default" w:ascii="Times New Roman" w:hAnsi="Times New Roman" w:cs="Times New Roman"/>
          <w:szCs w:val="28"/>
          <w:lang w:val="en-US" w:eastAsia="zh-CN"/>
        </w:rPr>
        <w:t>5</w:t>
      </w:r>
      <w:r>
        <w:rPr>
          <w:rFonts w:hint="default" w:ascii="Times New Roman" w:hAnsi="Times New Roman" w:cs="Times New Roman"/>
          <w:szCs w:val="28"/>
        </w:rPr>
        <w:t>.2.2运营期地表水环境影响分析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_Toc2794 \h </w:instrText>
      </w:r>
      <w:r>
        <w:rPr>
          <w:rFonts w:hint="default" w:ascii="Times New Roman" w:hAnsi="Times New Roman" w:cs="Times New Roman"/>
        </w:rPr>
        <w:fldChar w:fldCharType="separate"/>
      </w:r>
      <w:r>
        <w:rPr>
          <w:rFonts w:hint="default" w:ascii="Times New Roman" w:hAnsi="Times New Roman" w:cs="Times New Roman"/>
        </w:rPr>
        <w:t>123</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23"/>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_Toc31035 </w:instrText>
      </w:r>
      <w:r>
        <w:rPr>
          <w:rFonts w:hint="default" w:ascii="Times New Roman" w:hAnsi="Times New Roman" w:cs="Times New Roman"/>
          <w:bCs/>
          <w:lang w:val="zh-CN"/>
        </w:rPr>
        <w:fldChar w:fldCharType="separate"/>
      </w:r>
      <w:r>
        <w:rPr>
          <w:rFonts w:hint="default" w:ascii="Times New Roman" w:hAnsi="Times New Roman" w:cs="Times New Roman"/>
          <w:szCs w:val="28"/>
          <w:lang w:val="en-US" w:eastAsia="zh-CN"/>
        </w:rPr>
        <w:t>5</w:t>
      </w:r>
      <w:r>
        <w:rPr>
          <w:rFonts w:hint="default" w:ascii="Times New Roman" w:hAnsi="Times New Roman" w:cs="Times New Roman"/>
          <w:szCs w:val="28"/>
        </w:rPr>
        <w:t>.2.3运营期声环境影响分析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_Toc31035 \h </w:instrText>
      </w:r>
      <w:r>
        <w:rPr>
          <w:rFonts w:hint="default" w:ascii="Times New Roman" w:hAnsi="Times New Roman" w:cs="Times New Roman"/>
        </w:rPr>
        <w:fldChar w:fldCharType="separate"/>
      </w:r>
      <w:r>
        <w:rPr>
          <w:rFonts w:hint="default" w:ascii="Times New Roman" w:hAnsi="Times New Roman" w:cs="Times New Roman"/>
        </w:rPr>
        <w:t>130</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23"/>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_Toc287 </w:instrText>
      </w:r>
      <w:r>
        <w:rPr>
          <w:rFonts w:hint="default" w:ascii="Times New Roman" w:hAnsi="Times New Roman" w:cs="Times New Roman"/>
          <w:bCs/>
          <w:lang w:val="zh-CN"/>
        </w:rPr>
        <w:fldChar w:fldCharType="separate"/>
      </w:r>
      <w:r>
        <w:rPr>
          <w:rFonts w:hint="default" w:ascii="Times New Roman" w:hAnsi="Times New Roman" w:cs="Times New Roman"/>
          <w:szCs w:val="28"/>
          <w:lang w:val="en-US" w:eastAsia="zh-CN"/>
        </w:rPr>
        <w:t>5</w:t>
      </w:r>
      <w:r>
        <w:rPr>
          <w:rFonts w:hint="default" w:ascii="Times New Roman" w:hAnsi="Times New Roman" w:cs="Times New Roman"/>
          <w:szCs w:val="28"/>
        </w:rPr>
        <w:t>.2.4运营期固体废物环境影响分析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_Toc287 \h </w:instrText>
      </w:r>
      <w:r>
        <w:rPr>
          <w:rFonts w:hint="default" w:ascii="Times New Roman" w:hAnsi="Times New Roman" w:cs="Times New Roman"/>
        </w:rPr>
        <w:fldChar w:fldCharType="separate"/>
      </w:r>
      <w:r>
        <w:rPr>
          <w:rFonts w:hint="default" w:ascii="Times New Roman" w:hAnsi="Times New Roman" w:cs="Times New Roman"/>
        </w:rPr>
        <w:t>137</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23"/>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_Toc11354 </w:instrText>
      </w:r>
      <w:r>
        <w:rPr>
          <w:rFonts w:hint="default" w:ascii="Times New Roman" w:hAnsi="Times New Roman" w:cs="Times New Roman"/>
          <w:bCs/>
          <w:lang w:val="zh-CN"/>
        </w:rPr>
        <w:fldChar w:fldCharType="separate"/>
      </w:r>
      <w:r>
        <w:rPr>
          <w:rFonts w:hint="default" w:ascii="Times New Roman" w:hAnsi="Times New Roman" w:cs="Times New Roman"/>
          <w:szCs w:val="28"/>
          <w:lang w:val="en-US" w:eastAsia="zh-CN"/>
        </w:rPr>
        <w:t>5</w:t>
      </w:r>
      <w:r>
        <w:rPr>
          <w:rFonts w:hint="default" w:ascii="Times New Roman" w:hAnsi="Times New Roman" w:cs="Times New Roman"/>
          <w:szCs w:val="28"/>
        </w:rPr>
        <w:t>.2.5运营期土壤环境影响分析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_Toc11354 \h </w:instrText>
      </w:r>
      <w:r>
        <w:rPr>
          <w:rFonts w:hint="default" w:ascii="Times New Roman" w:hAnsi="Times New Roman" w:cs="Times New Roman"/>
        </w:rPr>
        <w:fldChar w:fldCharType="separate"/>
      </w:r>
      <w:r>
        <w:rPr>
          <w:rFonts w:hint="default" w:ascii="Times New Roman" w:hAnsi="Times New Roman" w:cs="Times New Roman"/>
        </w:rPr>
        <w:t>138</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23"/>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_Toc28579 </w:instrText>
      </w:r>
      <w:r>
        <w:rPr>
          <w:rFonts w:hint="default" w:ascii="Times New Roman" w:hAnsi="Times New Roman" w:cs="Times New Roman"/>
          <w:bCs/>
          <w:lang w:val="zh-CN"/>
        </w:rPr>
        <w:fldChar w:fldCharType="separate"/>
      </w:r>
      <w:r>
        <w:rPr>
          <w:rFonts w:hint="default" w:ascii="Times New Roman" w:hAnsi="Times New Roman" w:cs="Times New Roman"/>
          <w:szCs w:val="28"/>
          <w:lang w:val="en-US" w:eastAsia="zh-CN"/>
        </w:rPr>
        <w:t>5</w:t>
      </w:r>
      <w:r>
        <w:rPr>
          <w:rFonts w:hint="default" w:ascii="Times New Roman" w:hAnsi="Times New Roman" w:cs="Times New Roman"/>
          <w:szCs w:val="28"/>
        </w:rPr>
        <w:t>.2.6生态环境影响分析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_Toc28579 \h </w:instrText>
      </w:r>
      <w:r>
        <w:rPr>
          <w:rFonts w:hint="default" w:ascii="Times New Roman" w:hAnsi="Times New Roman" w:cs="Times New Roman"/>
        </w:rPr>
        <w:fldChar w:fldCharType="separate"/>
      </w:r>
      <w:r>
        <w:rPr>
          <w:rFonts w:hint="default" w:ascii="Times New Roman" w:hAnsi="Times New Roman" w:cs="Times New Roman"/>
        </w:rPr>
        <w:t>140</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36"/>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_Toc28108 </w:instrText>
      </w:r>
      <w:r>
        <w:rPr>
          <w:rFonts w:hint="default" w:ascii="Times New Roman" w:hAnsi="Times New Roman" w:cs="Times New Roman"/>
          <w:bCs/>
          <w:lang w:val="zh-CN"/>
        </w:rPr>
        <w:fldChar w:fldCharType="separate"/>
      </w:r>
      <w:r>
        <w:rPr>
          <w:rFonts w:hint="default" w:ascii="Times New Roman" w:hAnsi="Times New Roman" w:eastAsia="宋体" w:cs="Times New Roman"/>
          <w:szCs w:val="28"/>
          <w:lang w:val="en-US" w:eastAsia="zh-CN"/>
        </w:rPr>
        <w:t>5</w:t>
      </w:r>
      <w:r>
        <w:rPr>
          <w:rFonts w:hint="default" w:ascii="Times New Roman" w:hAnsi="Times New Roman" w:eastAsia="宋体" w:cs="Times New Roman"/>
          <w:szCs w:val="28"/>
        </w:rPr>
        <w:t>.</w:t>
      </w:r>
      <w:r>
        <w:rPr>
          <w:rFonts w:hint="default" w:ascii="Times New Roman" w:hAnsi="Times New Roman" w:eastAsia="宋体" w:cs="Times New Roman"/>
          <w:szCs w:val="28"/>
          <w:lang w:val="en-US" w:eastAsia="zh-CN"/>
        </w:rPr>
        <w:t>3</w:t>
      </w:r>
      <w:r>
        <w:rPr>
          <w:rFonts w:hint="default" w:ascii="Times New Roman" w:hAnsi="Times New Roman" w:eastAsia="宋体" w:cs="Times New Roman"/>
          <w:szCs w:val="28"/>
          <w:lang w:eastAsia="zh-CN"/>
        </w:rPr>
        <w:t>环境风险</w:t>
      </w:r>
      <w:r>
        <w:rPr>
          <w:rFonts w:hint="default" w:ascii="Times New Roman" w:hAnsi="Times New Roman" w:eastAsia="宋体" w:cs="Times New Roman"/>
          <w:szCs w:val="28"/>
        </w:rPr>
        <w:t>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_Toc28108 \h </w:instrText>
      </w:r>
      <w:r>
        <w:rPr>
          <w:rFonts w:hint="default" w:ascii="Times New Roman" w:hAnsi="Times New Roman" w:cs="Times New Roman"/>
        </w:rPr>
        <w:fldChar w:fldCharType="separate"/>
      </w:r>
      <w:r>
        <w:rPr>
          <w:rFonts w:hint="default" w:ascii="Times New Roman" w:hAnsi="Times New Roman" w:cs="Times New Roman"/>
        </w:rPr>
        <w:t>141</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23"/>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_Toc5745 </w:instrText>
      </w:r>
      <w:r>
        <w:rPr>
          <w:rFonts w:hint="default" w:ascii="Times New Roman" w:hAnsi="Times New Roman" w:cs="Times New Roman"/>
          <w:bCs/>
          <w:lang w:val="zh-CN"/>
        </w:rPr>
        <w:fldChar w:fldCharType="separate"/>
      </w:r>
      <w:r>
        <w:rPr>
          <w:rFonts w:hint="default" w:ascii="Times New Roman" w:hAnsi="Times New Roman" w:cs="Times New Roman"/>
          <w:szCs w:val="28"/>
          <w:lang w:val="en-US" w:eastAsia="zh-CN"/>
        </w:rPr>
        <w:t>5.3.1</w:t>
      </w:r>
      <w:r>
        <w:rPr>
          <w:rFonts w:hint="default" w:ascii="Times New Roman" w:hAnsi="Times New Roman" w:cs="Times New Roman"/>
          <w:szCs w:val="28"/>
        </w:rPr>
        <w:t xml:space="preserve"> 评价原则</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_Toc5745 \h </w:instrText>
      </w:r>
      <w:r>
        <w:rPr>
          <w:rFonts w:hint="default" w:ascii="Times New Roman" w:hAnsi="Times New Roman" w:cs="Times New Roman"/>
        </w:rPr>
        <w:fldChar w:fldCharType="separate"/>
      </w:r>
      <w:r>
        <w:rPr>
          <w:rFonts w:hint="default" w:ascii="Times New Roman" w:hAnsi="Times New Roman" w:cs="Times New Roman"/>
        </w:rPr>
        <w:t>141</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23"/>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_Toc399 </w:instrText>
      </w:r>
      <w:r>
        <w:rPr>
          <w:rFonts w:hint="default" w:ascii="Times New Roman" w:hAnsi="Times New Roman" w:cs="Times New Roman"/>
          <w:bCs/>
          <w:lang w:val="zh-CN"/>
        </w:rPr>
        <w:fldChar w:fldCharType="separate"/>
      </w:r>
      <w:r>
        <w:rPr>
          <w:rFonts w:hint="default" w:ascii="Times New Roman" w:hAnsi="Times New Roman" w:cs="Times New Roman"/>
          <w:szCs w:val="28"/>
          <w:lang w:val="en-US" w:eastAsia="zh-CN"/>
        </w:rPr>
        <w:t>5.3.2 评价工作程序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_Toc399 \h </w:instrText>
      </w:r>
      <w:r>
        <w:rPr>
          <w:rFonts w:hint="default" w:ascii="Times New Roman" w:hAnsi="Times New Roman" w:cs="Times New Roman"/>
        </w:rPr>
        <w:fldChar w:fldCharType="separate"/>
      </w:r>
      <w:r>
        <w:rPr>
          <w:rFonts w:hint="default" w:ascii="Times New Roman" w:hAnsi="Times New Roman" w:cs="Times New Roman"/>
        </w:rPr>
        <w:t>142</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23"/>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_Toc26045 </w:instrText>
      </w:r>
      <w:r>
        <w:rPr>
          <w:rFonts w:hint="default" w:ascii="Times New Roman" w:hAnsi="Times New Roman" w:cs="Times New Roman"/>
          <w:bCs/>
          <w:lang w:val="zh-CN"/>
        </w:rPr>
        <w:fldChar w:fldCharType="separate"/>
      </w:r>
      <w:r>
        <w:rPr>
          <w:rFonts w:hint="default" w:ascii="Times New Roman" w:hAnsi="Times New Roman" w:cs="Times New Roman"/>
          <w:szCs w:val="28"/>
          <w:lang w:val="en-US" w:eastAsia="zh-CN"/>
        </w:rPr>
        <w:t>5.3.3</w:t>
      </w:r>
      <w:r>
        <w:rPr>
          <w:rFonts w:hint="default" w:ascii="Times New Roman" w:hAnsi="Times New Roman" w:eastAsia="宋体" w:cs="Times New Roman"/>
          <w:szCs w:val="28"/>
        </w:rPr>
        <w:t xml:space="preserve"> </w:t>
      </w:r>
      <w:r>
        <w:rPr>
          <w:rFonts w:hint="default" w:ascii="Times New Roman" w:hAnsi="Times New Roman" w:cs="Times New Roman"/>
          <w:szCs w:val="28"/>
          <w:lang w:val="en-US" w:eastAsia="zh-CN"/>
        </w:rPr>
        <w:t>风险</w:t>
      </w:r>
      <w:r>
        <w:rPr>
          <w:rFonts w:hint="default" w:ascii="Times New Roman" w:hAnsi="Times New Roman" w:eastAsia="宋体" w:cs="Times New Roman"/>
          <w:szCs w:val="28"/>
        </w:rPr>
        <w:t>调查</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_Toc26045 \h </w:instrText>
      </w:r>
      <w:r>
        <w:rPr>
          <w:rFonts w:hint="default" w:ascii="Times New Roman" w:hAnsi="Times New Roman" w:cs="Times New Roman"/>
        </w:rPr>
        <w:fldChar w:fldCharType="separate"/>
      </w:r>
      <w:r>
        <w:rPr>
          <w:rFonts w:hint="default" w:ascii="Times New Roman" w:hAnsi="Times New Roman" w:cs="Times New Roman"/>
        </w:rPr>
        <w:t>142</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23"/>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_Toc2700 </w:instrText>
      </w:r>
      <w:r>
        <w:rPr>
          <w:rFonts w:hint="default" w:ascii="Times New Roman" w:hAnsi="Times New Roman" w:cs="Times New Roman"/>
          <w:bCs/>
          <w:lang w:val="zh-CN"/>
        </w:rPr>
        <w:fldChar w:fldCharType="separate"/>
      </w:r>
      <w:r>
        <w:rPr>
          <w:rFonts w:hint="default" w:ascii="Times New Roman" w:hAnsi="Times New Roman" w:cs="Times New Roman"/>
          <w:szCs w:val="28"/>
          <w:lang w:val="en-US" w:eastAsia="zh-CN"/>
        </w:rPr>
        <w:t>5</w:t>
      </w:r>
      <w:r>
        <w:rPr>
          <w:rFonts w:hint="default" w:ascii="Times New Roman" w:hAnsi="Times New Roman" w:eastAsia="宋体" w:cs="Times New Roman"/>
          <w:szCs w:val="28"/>
          <w:lang w:val="en-US" w:eastAsia="zh-CN"/>
        </w:rPr>
        <w:t>.</w:t>
      </w:r>
      <w:r>
        <w:rPr>
          <w:rFonts w:hint="default" w:ascii="Times New Roman" w:hAnsi="Times New Roman" w:cs="Times New Roman"/>
          <w:szCs w:val="28"/>
          <w:lang w:val="en-US" w:eastAsia="zh-CN"/>
        </w:rPr>
        <w:t>3</w:t>
      </w:r>
      <w:r>
        <w:rPr>
          <w:rFonts w:hint="default" w:ascii="Times New Roman" w:hAnsi="Times New Roman" w:cs="Times New Roman"/>
          <w:szCs w:val="28"/>
          <w:lang w:val="en-US" w:eastAsia="zh-CN"/>
        </w:rPr>
        <w:t>.</w:t>
      </w:r>
      <w:r>
        <w:rPr>
          <w:rFonts w:hint="default" w:ascii="Times New Roman" w:hAnsi="Times New Roman" w:cs="Times New Roman"/>
          <w:szCs w:val="28"/>
          <w:lang w:val="en-US" w:eastAsia="zh-CN"/>
        </w:rPr>
        <w:t>4环境风险潜势初判</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_Toc2700 \h </w:instrText>
      </w:r>
      <w:r>
        <w:rPr>
          <w:rFonts w:hint="default" w:ascii="Times New Roman" w:hAnsi="Times New Roman" w:cs="Times New Roman"/>
        </w:rPr>
        <w:fldChar w:fldCharType="separate"/>
      </w:r>
      <w:r>
        <w:rPr>
          <w:rFonts w:hint="default" w:ascii="Times New Roman" w:hAnsi="Times New Roman" w:cs="Times New Roman"/>
        </w:rPr>
        <w:t>151</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23"/>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_Toc6680 </w:instrText>
      </w:r>
      <w:r>
        <w:rPr>
          <w:rFonts w:hint="default" w:ascii="Times New Roman" w:hAnsi="Times New Roman" w:cs="Times New Roman"/>
          <w:bCs/>
          <w:lang w:val="zh-CN"/>
        </w:rPr>
        <w:fldChar w:fldCharType="separate"/>
      </w:r>
      <w:r>
        <w:rPr>
          <w:rFonts w:hint="default" w:ascii="Times New Roman" w:hAnsi="Times New Roman" w:cs="Times New Roman"/>
          <w:szCs w:val="28"/>
          <w:lang w:val="en-US" w:eastAsia="zh-CN"/>
        </w:rPr>
        <w:t>5</w:t>
      </w:r>
      <w:r>
        <w:rPr>
          <w:rFonts w:hint="default" w:ascii="Times New Roman" w:hAnsi="Times New Roman" w:eastAsia="宋体" w:cs="Times New Roman"/>
          <w:szCs w:val="28"/>
          <w:lang w:val="en-US" w:eastAsia="zh-CN"/>
        </w:rPr>
        <w:t>.</w:t>
      </w:r>
      <w:r>
        <w:rPr>
          <w:rFonts w:hint="default" w:ascii="Times New Roman" w:hAnsi="Times New Roman" w:cs="Times New Roman"/>
          <w:szCs w:val="28"/>
          <w:lang w:val="en-US" w:eastAsia="zh-CN"/>
        </w:rPr>
        <w:t>3</w:t>
      </w:r>
      <w:r>
        <w:rPr>
          <w:rFonts w:hint="default" w:ascii="Times New Roman" w:hAnsi="Times New Roman" w:cs="Times New Roman"/>
          <w:szCs w:val="28"/>
          <w:lang w:val="en-US" w:eastAsia="zh-CN"/>
        </w:rPr>
        <w:t>.5</w:t>
      </w:r>
      <w:r>
        <w:rPr>
          <w:rFonts w:hint="default" w:ascii="Times New Roman" w:hAnsi="Times New Roman" w:eastAsia="宋体" w:cs="Times New Roman"/>
          <w:szCs w:val="28"/>
          <w:lang w:val="en-US" w:eastAsia="zh-CN"/>
        </w:rPr>
        <w:t>环境风险识别</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_Toc6680 \h </w:instrText>
      </w:r>
      <w:r>
        <w:rPr>
          <w:rFonts w:hint="default" w:ascii="Times New Roman" w:hAnsi="Times New Roman" w:cs="Times New Roman"/>
        </w:rPr>
        <w:fldChar w:fldCharType="separate"/>
      </w:r>
      <w:r>
        <w:rPr>
          <w:rFonts w:hint="default" w:ascii="Times New Roman" w:hAnsi="Times New Roman" w:cs="Times New Roman"/>
        </w:rPr>
        <w:t>158</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23"/>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_Toc16723 </w:instrText>
      </w:r>
      <w:r>
        <w:rPr>
          <w:rFonts w:hint="default" w:ascii="Times New Roman" w:hAnsi="Times New Roman" w:cs="Times New Roman"/>
          <w:bCs/>
          <w:lang w:val="zh-CN"/>
        </w:rPr>
        <w:fldChar w:fldCharType="separate"/>
      </w:r>
      <w:r>
        <w:rPr>
          <w:rFonts w:hint="default" w:ascii="Times New Roman" w:hAnsi="Times New Roman" w:cs="Times New Roman"/>
          <w:szCs w:val="28"/>
          <w:lang w:val="en-US" w:eastAsia="zh-CN"/>
        </w:rPr>
        <w:t>5.3.6</w:t>
      </w:r>
      <w:r>
        <w:rPr>
          <w:rFonts w:hint="default" w:ascii="Times New Roman" w:hAnsi="Times New Roman" w:eastAsia="宋体" w:cs="Times New Roman"/>
          <w:szCs w:val="28"/>
          <w:lang w:val="en-US" w:eastAsia="zh-CN"/>
        </w:rPr>
        <w:t>风险事故情形分析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_Toc16723 \h </w:instrText>
      </w:r>
      <w:r>
        <w:rPr>
          <w:rFonts w:hint="default" w:ascii="Times New Roman" w:hAnsi="Times New Roman" w:cs="Times New Roman"/>
        </w:rPr>
        <w:fldChar w:fldCharType="separate"/>
      </w:r>
      <w:r>
        <w:rPr>
          <w:rFonts w:hint="default" w:ascii="Times New Roman" w:hAnsi="Times New Roman" w:cs="Times New Roman"/>
        </w:rPr>
        <w:t>159</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23"/>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_Toc31868 </w:instrText>
      </w:r>
      <w:r>
        <w:rPr>
          <w:rFonts w:hint="default" w:ascii="Times New Roman" w:hAnsi="Times New Roman" w:cs="Times New Roman"/>
          <w:bCs/>
          <w:lang w:val="zh-CN"/>
        </w:rPr>
        <w:fldChar w:fldCharType="separate"/>
      </w:r>
      <w:r>
        <w:rPr>
          <w:rFonts w:hint="default" w:ascii="Times New Roman" w:hAnsi="Times New Roman" w:eastAsia="宋体" w:cs="Times New Roman"/>
          <w:szCs w:val="28"/>
          <w:lang w:val="en-US" w:eastAsia="zh-CN"/>
        </w:rPr>
        <w:t>5.3.7</w:t>
      </w:r>
      <w:r>
        <w:rPr>
          <w:rFonts w:hint="default" w:ascii="Times New Roman" w:hAnsi="Times New Roman" w:eastAsia="宋体" w:cs="Times New Roman"/>
          <w:szCs w:val="28"/>
        </w:rPr>
        <w:t xml:space="preserve"> </w:t>
      </w:r>
      <w:r>
        <w:rPr>
          <w:rFonts w:hint="default" w:ascii="Times New Roman" w:hAnsi="Times New Roman" w:eastAsia="宋体" w:cs="Times New Roman"/>
          <w:szCs w:val="28"/>
          <w:lang w:val="en-US" w:eastAsia="zh-CN"/>
        </w:rPr>
        <w:t>环境</w:t>
      </w:r>
      <w:r>
        <w:rPr>
          <w:rFonts w:hint="default" w:ascii="Times New Roman" w:hAnsi="Times New Roman" w:eastAsia="宋体" w:cs="Times New Roman"/>
          <w:szCs w:val="28"/>
        </w:rPr>
        <w:t>风险预测与评价</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_Toc31868 \h </w:instrText>
      </w:r>
      <w:r>
        <w:rPr>
          <w:rFonts w:hint="default" w:ascii="Times New Roman" w:hAnsi="Times New Roman" w:cs="Times New Roman"/>
        </w:rPr>
        <w:fldChar w:fldCharType="separate"/>
      </w:r>
      <w:r>
        <w:rPr>
          <w:rFonts w:hint="default" w:ascii="Times New Roman" w:hAnsi="Times New Roman" w:cs="Times New Roman"/>
        </w:rPr>
        <w:t>161</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23"/>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_Toc24998 </w:instrText>
      </w:r>
      <w:r>
        <w:rPr>
          <w:rFonts w:hint="default" w:ascii="Times New Roman" w:hAnsi="Times New Roman" w:cs="Times New Roman"/>
          <w:bCs/>
          <w:lang w:val="zh-CN"/>
        </w:rPr>
        <w:fldChar w:fldCharType="separate"/>
      </w:r>
      <w:r>
        <w:rPr>
          <w:rFonts w:hint="default" w:ascii="Times New Roman" w:hAnsi="Times New Roman" w:cs="Times New Roman"/>
          <w:szCs w:val="28"/>
          <w:lang w:val="en-US" w:eastAsia="zh-CN"/>
        </w:rPr>
        <w:t>5.3.8</w:t>
      </w:r>
      <w:r>
        <w:rPr>
          <w:rFonts w:hint="default" w:ascii="Times New Roman" w:hAnsi="Times New Roman" w:cs="Times New Roman"/>
          <w:szCs w:val="28"/>
          <w:lang w:val="en-US" w:eastAsia="zh-CN"/>
        </w:rPr>
        <w:t>环境风险管理</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_Toc24998 \h </w:instrText>
      </w:r>
      <w:r>
        <w:rPr>
          <w:rFonts w:hint="default" w:ascii="Times New Roman" w:hAnsi="Times New Roman" w:cs="Times New Roman"/>
        </w:rPr>
        <w:fldChar w:fldCharType="separate"/>
      </w:r>
      <w:r>
        <w:rPr>
          <w:rFonts w:hint="default" w:ascii="Times New Roman" w:hAnsi="Times New Roman" w:cs="Times New Roman"/>
        </w:rPr>
        <w:t>169</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23"/>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_Toc12964 </w:instrText>
      </w:r>
      <w:r>
        <w:rPr>
          <w:rFonts w:hint="default" w:ascii="Times New Roman" w:hAnsi="Times New Roman" w:cs="Times New Roman"/>
          <w:bCs/>
          <w:lang w:val="zh-CN"/>
        </w:rPr>
        <w:fldChar w:fldCharType="separate"/>
      </w:r>
      <w:r>
        <w:rPr>
          <w:rFonts w:hint="default" w:ascii="Times New Roman" w:hAnsi="Times New Roman" w:cs="Times New Roman"/>
          <w:szCs w:val="28"/>
          <w:lang w:val="en-US" w:eastAsia="zh-CN"/>
        </w:rPr>
        <w:t>5</w:t>
      </w:r>
      <w:r>
        <w:rPr>
          <w:rFonts w:hint="default" w:ascii="Times New Roman" w:hAnsi="Times New Roman" w:eastAsia="宋体" w:cs="Times New Roman"/>
          <w:szCs w:val="28"/>
        </w:rPr>
        <w:t>.</w:t>
      </w:r>
      <w:r>
        <w:rPr>
          <w:rFonts w:hint="default" w:ascii="Times New Roman" w:hAnsi="Times New Roman" w:cs="Times New Roman"/>
          <w:szCs w:val="28"/>
          <w:lang w:val="en-US" w:eastAsia="zh-CN"/>
        </w:rPr>
        <w:t>3.9</w:t>
      </w:r>
      <w:r>
        <w:rPr>
          <w:rFonts w:hint="default" w:ascii="Times New Roman" w:hAnsi="Times New Roman" w:cs="Times New Roman"/>
          <w:szCs w:val="28"/>
          <w:lang w:eastAsia="zh-CN"/>
        </w:rPr>
        <w:t>分析结论</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_Toc12964 \h </w:instrText>
      </w:r>
      <w:r>
        <w:rPr>
          <w:rFonts w:hint="default" w:ascii="Times New Roman" w:hAnsi="Times New Roman" w:cs="Times New Roman"/>
        </w:rPr>
        <w:fldChar w:fldCharType="separate"/>
      </w:r>
      <w:r>
        <w:rPr>
          <w:rFonts w:hint="default" w:ascii="Times New Roman" w:hAnsi="Times New Roman" w:cs="Times New Roman"/>
        </w:rPr>
        <w:t>180</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31"/>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_Toc12515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6</w:t>
      </w:r>
      <w:r>
        <w:rPr>
          <w:rFonts w:hint="default" w:ascii="Times New Roman" w:hAnsi="Times New Roman" w:cs="Times New Roman"/>
        </w:rPr>
        <w:t>环境保护措施及其可行性分析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_Toc12515 \h </w:instrText>
      </w:r>
      <w:r>
        <w:rPr>
          <w:rFonts w:hint="default" w:ascii="Times New Roman" w:hAnsi="Times New Roman" w:cs="Times New Roman"/>
        </w:rPr>
        <w:fldChar w:fldCharType="separate"/>
      </w:r>
      <w:r>
        <w:rPr>
          <w:rFonts w:hint="default" w:ascii="Times New Roman" w:hAnsi="Times New Roman" w:cs="Times New Roman"/>
        </w:rPr>
        <w:t>181</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36"/>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_Toc19051 </w:instrText>
      </w:r>
      <w:r>
        <w:rPr>
          <w:rFonts w:hint="default" w:ascii="Times New Roman" w:hAnsi="Times New Roman" w:cs="Times New Roman"/>
          <w:bCs/>
          <w:lang w:val="zh-CN"/>
        </w:rPr>
        <w:fldChar w:fldCharType="separate"/>
      </w:r>
      <w:r>
        <w:rPr>
          <w:rFonts w:hint="default" w:ascii="Times New Roman" w:hAnsi="Times New Roman" w:eastAsia="宋体" w:cs="Times New Roman"/>
          <w:szCs w:val="28"/>
          <w:lang w:val="en-US" w:eastAsia="zh-CN"/>
        </w:rPr>
        <w:t>6</w:t>
      </w:r>
      <w:r>
        <w:rPr>
          <w:rFonts w:hint="default" w:ascii="Times New Roman" w:hAnsi="Times New Roman" w:eastAsia="宋体" w:cs="Times New Roman"/>
          <w:szCs w:val="28"/>
        </w:rPr>
        <w:t>.1运营期大气污染防治措施</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_Toc19051 \h </w:instrText>
      </w:r>
      <w:r>
        <w:rPr>
          <w:rFonts w:hint="default" w:ascii="Times New Roman" w:hAnsi="Times New Roman" w:cs="Times New Roman"/>
        </w:rPr>
        <w:fldChar w:fldCharType="separate"/>
      </w:r>
      <w:r>
        <w:rPr>
          <w:rFonts w:hint="default" w:ascii="Times New Roman" w:hAnsi="Times New Roman" w:cs="Times New Roman"/>
        </w:rPr>
        <w:t>181</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23"/>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_Toc18743 </w:instrText>
      </w:r>
      <w:r>
        <w:rPr>
          <w:rFonts w:hint="default" w:ascii="Times New Roman" w:hAnsi="Times New Roman" w:cs="Times New Roman"/>
          <w:bCs/>
          <w:lang w:val="zh-CN"/>
        </w:rPr>
        <w:fldChar w:fldCharType="separate"/>
      </w:r>
      <w:r>
        <w:rPr>
          <w:rFonts w:hint="default" w:ascii="Times New Roman" w:hAnsi="Times New Roman" w:cs="Times New Roman"/>
          <w:szCs w:val="28"/>
          <w:lang w:val="en-US" w:eastAsia="zh-CN"/>
        </w:rPr>
        <w:t>6</w:t>
      </w:r>
      <w:r>
        <w:rPr>
          <w:rFonts w:hint="default" w:ascii="Times New Roman" w:hAnsi="Times New Roman" w:cs="Times New Roman"/>
          <w:szCs w:val="28"/>
        </w:rPr>
        <w:t>.1.1</w:t>
      </w:r>
      <w:r>
        <w:rPr>
          <w:rFonts w:hint="default" w:ascii="Times New Roman" w:hAnsi="Times New Roman" w:cs="Times New Roman"/>
          <w:szCs w:val="28"/>
          <w:lang w:eastAsia="zh-CN"/>
        </w:rPr>
        <w:t>切片车间有机废气</w:t>
      </w:r>
      <w:r>
        <w:rPr>
          <w:rFonts w:hint="default" w:ascii="Times New Roman" w:hAnsi="Times New Roman" w:cs="Times New Roman"/>
          <w:szCs w:val="28"/>
        </w:rPr>
        <w:t>防治措施及措施可行性</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_Toc18743 \h </w:instrText>
      </w:r>
      <w:r>
        <w:rPr>
          <w:rFonts w:hint="default" w:ascii="Times New Roman" w:hAnsi="Times New Roman" w:cs="Times New Roman"/>
        </w:rPr>
        <w:fldChar w:fldCharType="separate"/>
      </w:r>
      <w:r>
        <w:rPr>
          <w:rFonts w:hint="default" w:ascii="Times New Roman" w:hAnsi="Times New Roman" w:cs="Times New Roman"/>
        </w:rPr>
        <w:t>181</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36"/>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_Toc4635 </w:instrText>
      </w:r>
      <w:r>
        <w:rPr>
          <w:rFonts w:hint="default" w:ascii="Times New Roman" w:hAnsi="Times New Roman" w:cs="Times New Roman"/>
          <w:bCs/>
          <w:lang w:val="zh-CN"/>
        </w:rPr>
        <w:fldChar w:fldCharType="separate"/>
      </w:r>
      <w:r>
        <w:rPr>
          <w:rFonts w:hint="default" w:ascii="Times New Roman" w:hAnsi="Times New Roman" w:eastAsia="宋体" w:cs="Times New Roman"/>
          <w:szCs w:val="28"/>
          <w:lang w:val="en-US" w:eastAsia="zh-CN"/>
        </w:rPr>
        <w:t>6</w:t>
      </w:r>
      <w:r>
        <w:rPr>
          <w:rFonts w:hint="default" w:ascii="Times New Roman" w:hAnsi="Times New Roman" w:eastAsia="宋体" w:cs="Times New Roman"/>
          <w:szCs w:val="28"/>
        </w:rPr>
        <w:t>.2运营期废水治理措施</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_Toc4635 \h </w:instrText>
      </w:r>
      <w:r>
        <w:rPr>
          <w:rFonts w:hint="default" w:ascii="Times New Roman" w:hAnsi="Times New Roman" w:cs="Times New Roman"/>
        </w:rPr>
        <w:fldChar w:fldCharType="separate"/>
      </w:r>
      <w:r>
        <w:rPr>
          <w:rFonts w:hint="default" w:ascii="Times New Roman" w:hAnsi="Times New Roman" w:cs="Times New Roman"/>
        </w:rPr>
        <w:t>181</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23"/>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_Toc12618 </w:instrText>
      </w:r>
      <w:r>
        <w:rPr>
          <w:rFonts w:hint="default" w:ascii="Times New Roman" w:hAnsi="Times New Roman" w:cs="Times New Roman"/>
          <w:bCs/>
          <w:lang w:val="zh-CN"/>
        </w:rPr>
        <w:fldChar w:fldCharType="separate"/>
      </w:r>
      <w:r>
        <w:rPr>
          <w:rFonts w:hint="default" w:ascii="Times New Roman" w:hAnsi="Times New Roman" w:cs="Times New Roman"/>
          <w:szCs w:val="28"/>
          <w:lang w:val="en-US" w:eastAsia="zh-CN"/>
        </w:rPr>
        <w:t>6</w:t>
      </w:r>
      <w:r>
        <w:rPr>
          <w:rFonts w:hint="default" w:ascii="Times New Roman" w:hAnsi="Times New Roman" w:cs="Times New Roman"/>
          <w:szCs w:val="28"/>
        </w:rPr>
        <w:t>.2.</w:t>
      </w:r>
      <w:r>
        <w:rPr>
          <w:rFonts w:hint="default" w:ascii="Times New Roman" w:hAnsi="Times New Roman" w:cs="Times New Roman"/>
          <w:szCs w:val="28"/>
          <w:lang w:val="en-US" w:eastAsia="zh-CN"/>
        </w:rPr>
        <w:t>1生产</w:t>
      </w:r>
      <w:r>
        <w:rPr>
          <w:rFonts w:hint="default" w:ascii="Times New Roman" w:hAnsi="Times New Roman" w:cs="Times New Roman"/>
          <w:szCs w:val="28"/>
        </w:rPr>
        <w:t>废水防治措施及措施可行性</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_Toc12618 \h </w:instrText>
      </w:r>
      <w:r>
        <w:rPr>
          <w:rFonts w:hint="default" w:ascii="Times New Roman" w:hAnsi="Times New Roman" w:cs="Times New Roman"/>
        </w:rPr>
        <w:fldChar w:fldCharType="separate"/>
      </w:r>
      <w:r>
        <w:rPr>
          <w:rFonts w:hint="default" w:ascii="Times New Roman" w:hAnsi="Times New Roman" w:cs="Times New Roman"/>
        </w:rPr>
        <w:t>181</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23"/>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_Toc18714 </w:instrText>
      </w:r>
      <w:r>
        <w:rPr>
          <w:rFonts w:hint="default" w:ascii="Times New Roman" w:hAnsi="Times New Roman" w:cs="Times New Roman"/>
          <w:bCs/>
          <w:lang w:val="zh-CN"/>
        </w:rPr>
        <w:fldChar w:fldCharType="separate"/>
      </w:r>
      <w:r>
        <w:rPr>
          <w:rFonts w:hint="default" w:ascii="Times New Roman" w:hAnsi="Times New Roman" w:cs="Times New Roman"/>
          <w:szCs w:val="28"/>
          <w:lang w:val="en-US" w:eastAsia="zh-CN"/>
        </w:rPr>
        <w:t>6</w:t>
      </w:r>
      <w:r>
        <w:rPr>
          <w:rFonts w:hint="default" w:ascii="Times New Roman" w:hAnsi="Times New Roman" w:cs="Times New Roman"/>
          <w:szCs w:val="28"/>
        </w:rPr>
        <w:t>.2.</w:t>
      </w:r>
      <w:r>
        <w:rPr>
          <w:rFonts w:hint="default" w:ascii="Times New Roman" w:hAnsi="Times New Roman" w:cs="Times New Roman"/>
          <w:szCs w:val="28"/>
          <w:lang w:val="en-US" w:eastAsia="zh-CN"/>
        </w:rPr>
        <w:t>2</w:t>
      </w:r>
      <w:r>
        <w:rPr>
          <w:rFonts w:hint="default" w:ascii="Times New Roman" w:hAnsi="Times New Roman" w:cs="Times New Roman"/>
          <w:szCs w:val="28"/>
        </w:rPr>
        <w:t>生活废水防治措施及措施可行性</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_Toc18714 \h </w:instrText>
      </w:r>
      <w:r>
        <w:rPr>
          <w:rFonts w:hint="default" w:ascii="Times New Roman" w:hAnsi="Times New Roman" w:cs="Times New Roman"/>
        </w:rPr>
        <w:fldChar w:fldCharType="separate"/>
      </w:r>
      <w:r>
        <w:rPr>
          <w:rFonts w:hint="default" w:ascii="Times New Roman" w:hAnsi="Times New Roman" w:cs="Times New Roman"/>
        </w:rPr>
        <w:t>183</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23"/>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_Toc14534 </w:instrText>
      </w:r>
      <w:r>
        <w:rPr>
          <w:rFonts w:hint="default" w:ascii="Times New Roman" w:hAnsi="Times New Roman" w:cs="Times New Roman"/>
          <w:bCs/>
          <w:lang w:val="zh-CN"/>
        </w:rPr>
        <w:fldChar w:fldCharType="separate"/>
      </w:r>
      <w:r>
        <w:rPr>
          <w:rFonts w:hint="default" w:ascii="Times New Roman" w:hAnsi="Times New Roman" w:cs="Times New Roman"/>
          <w:szCs w:val="28"/>
          <w:lang w:val="en-US" w:eastAsia="zh-CN"/>
        </w:rPr>
        <w:t>6</w:t>
      </w:r>
      <w:r>
        <w:rPr>
          <w:rFonts w:hint="default" w:ascii="Times New Roman" w:hAnsi="Times New Roman" w:cs="Times New Roman"/>
          <w:szCs w:val="28"/>
        </w:rPr>
        <w:t>.2.</w:t>
      </w:r>
      <w:r>
        <w:rPr>
          <w:rFonts w:hint="default" w:ascii="Times New Roman" w:hAnsi="Times New Roman" w:cs="Times New Roman"/>
          <w:szCs w:val="28"/>
          <w:lang w:val="en-US" w:eastAsia="zh-CN"/>
        </w:rPr>
        <w:t>3</w:t>
      </w:r>
      <w:r>
        <w:rPr>
          <w:rFonts w:hint="default" w:ascii="Times New Roman" w:hAnsi="Times New Roman" w:cs="Times New Roman"/>
          <w:szCs w:val="28"/>
        </w:rPr>
        <w:t>初期雨水池、事故水池</w:t>
      </w:r>
      <w:r>
        <w:rPr>
          <w:rFonts w:hint="default" w:ascii="Times New Roman" w:hAnsi="Times New Roman" w:cs="Times New Roman"/>
          <w:szCs w:val="28"/>
          <w:lang w:eastAsia="zh-CN"/>
        </w:rPr>
        <w:t>措施可行性</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_Toc14534 \h </w:instrText>
      </w:r>
      <w:r>
        <w:rPr>
          <w:rFonts w:hint="default" w:ascii="Times New Roman" w:hAnsi="Times New Roman" w:cs="Times New Roman"/>
        </w:rPr>
        <w:fldChar w:fldCharType="separate"/>
      </w:r>
      <w:r>
        <w:rPr>
          <w:rFonts w:hint="default" w:ascii="Times New Roman" w:hAnsi="Times New Roman" w:cs="Times New Roman"/>
        </w:rPr>
        <w:t>183</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36"/>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_Toc16094 </w:instrText>
      </w:r>
      <w:r>
        <w:rPr>
          <w:rFonts w:hint="default" w:ascii="Times New Roman" w:hAnsi="Times New Roman" w:cs="Times New Roman"/>
          <w:bCs/>
          <w:lang w:val="zh-CN"/>
        </w:rPr>
        <w:fldChar w:fldCharType="separate"/>
      </w:r>
      <w:r>
        <w:rPr>
          <w:rFonts w:hint="default" w:ascii="Times New Roman" w:hAnsi="Times New Roman" w:eastAsia="宋体" w:cs="Times New Roman"/>
          <w:szCs w:val="28"/>
          <w:lang w:val="en-US" w:eastAsia="zh-CN"/>
        </w:rPr>
        <w:t>6</w:t>
      </w:r>
      <w:r>
        <w:rPr>
          <w:rFonts w:hint="default" w:ascii="Times New Roman" w:hAnsi="Times New Roman" w:eastAsia="宋体" w:cs="Times New Roman"/>
          <w:szCs w:val="28"/>
        </w:rPr>
        <w:t>.3运营期噪声治理措施</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_Toc16094 \h </w:instrText>
      </w:r>
      <w:r>
        <w:rPr>
          <w:rFonts w:hint="default" w:ascii="Times New Roman" w:hAnsi="Times New Roman" w:cs="Times New Roman"/>
        </w:rPr>
        <w:fldChar w:fldCharType="separate"/>
      </w:r>
      <w:r>
        <w:rPr>
          <w:rFonts w:hint="default" w:ascii="Times New Roman" w:hAnsi="Times New Roman" w:cs="Times New Roman"/>
        </w:rPr>
        <w:t>184</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36"/>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_Toc32239 </w:instrText>
      </w:r>
      <w:r>
        <w:rPr>
          <w:rFonts w:hint="default" w:ascii="Times New Roman" w:hAnsi="Times New Roman" w:cs="Times New Roman"/>
          <w:bCs/>
          <w:lang w:val="zh-CN"/>
        </w:rPr>
        <w:fldChar w:fldCharType="separate"/>
      </w:r>
      <w:r>
        <w:rPr>
          <w:rFonts w:hint="default" w:ascii="Times New Roman" w:hAnsi="Times New Roman" w:eastAsia="宋体" w:cs="Times New Roman"/>
          <w:szCs w:val="28"/>
          <w:lang w:val="en-US" w:eastAsia="zh-CN"/>
        </w:rPr>
        <w:t>6</w:t>
      </w:r>
      <w:r>
        <w:rPr>
          <w:rFonts w:hint="default" w:ascii="Times New Roman" w:hAnsi="Times New Roman" w:eastAsia="宋体" w:cs="Times New Roman"/>
          <w:szCs w:val="28"/>
        </w:rPr>
        <w:t>.4运营期固体废物处置措施及可行性分析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_Toc32239 \h </w:instrText>
      </w:r>
      <w:r>
        <w:rPr>
          <w:rFonts w:hint="default" w:ascii="Times New Roman" w:hAnsi="Times New Roman" w:cs="Times New Roman"/>
        </w:rPr>
        <w:fldChar w:fldCharType="separate"/>
      </w:r>
      <w:r>
        <w:rPr>
          <w:rFonts w:hint="default" w:ascii="Times New Roman" w:hAnsi="Times New Roman" w:cs="Times New Roman"/>
        </w:rPr>
        <w:t>184</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36"/>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_Toc6813 </w:instrText>
      </w:r>
      <w:r>
        <w:rPr>
          <w:rFonts w:hint="default" w:ascii="Times New Roman" w:hAnsi="Times New Roman" w:cs="Times New Roman"/>
          <w:bCs/>
          <w:lang w:val="zh-CN"/>
        </w:rPr>
        <w:fldChar w:fldCharType="separate"/>
      </w:r>
      <w:r>
        <w:rPr>
          <w:rFonts w:hint="default" w:ascii="Times New Roman" w:hAnsi="Times New Roman" w:eastAsia="宋体" w:cs="Times New Roman"/>
          <w:szCs w:val="28"/>
          <w:lang w:val="en-US" w:eastAsia="zh-CN"/>
        </w:rPr>
        <w:t>6</w:t>
      </w:r>
      <w:r>
        <w:rPr>
          <w:rFonts w:hint="default" w:ascii="Times New Roman" w:hAnsi="Times New Roman" w:eastAsia="宋体" w:cs="Times New Roman"/>
          <w:szCs w:val="28"/>
        </w:rPr>
        <w:t>.5地下水防渗措施及可行性分析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_Toc6813 \h </w:instrText>
      </w:r>
      <w:r>
        <w:rPr>
          <w:rFonts w:hint="default" w:ascii="Times New Roman" w:hAnsi="Times New Roman" w:cs="Times New Roman"/>
        </w:rPr>
        <w:fldChar w:fldCharType="separate"/>
      </w:r>
      <w:r>
        <w:rPr>
          <w:rFonts w:hint="default" w:ascii="Times New Roman" w:hAnsi="Times New Roman" w:cs="Times New Roman"/>
        </w:rPr>
        <w:t>185</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36"/>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_Toc3363 </w:instrText>
      </w:r>
      <w:r>
        <w:rPr>
          <w:rFonts w:hint="default" w:ascii="Times New Roman" w:hAnsi="Times New Roman" w:cs="Times New Roman"/>
          <w:bCs/>
          <w:lang w:val="zh-CN"/>
        </w:rPr>
        <w:fldChar w:fldCharType="separate"/>
      </w:r>
      <w:r>
        <w:rPr>
          <w:rFonts w:hint="default" w:ascii="Times New Roman" w:hAnsi="Times New Roman" w:eastAsia="宋体" w:cs="Times New Roman"/>
          <w:szCs w:val="28"/>
          <w:lang w:val="en-US" w:eastAsia="zh-CN"/>
        </w:rPr>
        <w:t>6</w:t>
      </w:r>
      <w:r>
        <w:rPr>
          <w:rFonts w:hint="default" w:ascii="Times New Roman" w:hAnsi="Times New Roman" w:eastAsia="宋体" w:cs="Times New Roman"/>
          <w:szCs w:val="28"/>
        </w:rPr>
        <w:t>.6运营期土壤污染防治措施及可行性分析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_Toc3363 \h </w:instrText>
      </w:r>
      <w:r>
        <w:rPr>
          <w:rFonts w:hint="default" w:ascii="Times New Roman" w:hAnsi="Times New Roman" w:cs="Times New Roman"/>
        </w:rPr>
        <w:fldChar w:fldCharType="separate"/>
      </w:r>
      <w:r>
        <w:rPr>
          <w:rFonts w:hint="default" w:ascii="Times New Roman" w:hAnsi="Times New Roman" w:cs="Times New Roman"/>
        </w:rPr>
        <w:t>186</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31"/>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_Toc6480 </w:instrText>
      </w:r>
      <w:r>
        <w:rPr>
          <w:rFonts w:hint="default" w:ascii="Times New Roman" w:hAnsi="Times New Roman" w:cs="Times New Roman"/>
          <w:bCs/>
          <w:lang w:val="zh-CN"/>
        </w:rPr>
        <w:fldChar w:fldCharType="separate"/>
      </w:r>
      <w:r>
        <w:rPr>
          <w:rFonts w:hint="default" w:ascii="Times New Roman" w:hAnsi="Times New Roman" w:cs="Times New Roman"/>
          <w:kern w:val="44"/>
          <w:szCs w:val="44"/>
          <w:lang w:val="en-US" w:eastAsia="zh-CN"/>
        </w:rPr>
        <w:t>7</w:t>
      </w:r>
      <w:r>
        <w:rPr>
          <w:rFonts w:hint="default" w:ascii="Times New Roman" w:hAnsi="Times New Roman" w:cs="Times New Roman"/>
          <w:kern w:val="44"/>
          <w:szCs w:val="44"/>
        </w:rPr>
        <w:t>环境影响经济损益分析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_Toc6480 \h </w:instrText>
      </w:r>
      <w:r>
        <w:rPr>
          <w:rFonts w:hint="default" w:ascii="Times New Roman" w:hAnsi="Times New Roman" w:cs="Times New Roman"/>
        </w:rPr>
        <w:fldChar w:fldCharType="separate"/>
      </w:r>
      <w:r>
        <w:rPr>
          <w:rFonts w:hint="default" w:ascii="Times New Roman" w:hAnsi="Times New Roman" w:cs="Times New Roman"/>
        </w:rPr>
        <w:t>187</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36"/>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_Toc20798 </w:instrText>
      </w:r>
      <w:r>
        <w:rPr>
          <w:rFonts w:hint="default" w:ascii="Times New Roman" w:hAnsi="Times New Roman" w:cs="Times New Roman"/>
          <w:bCs/>
          <w:lang w:val="zh-CN"/>
        </w:rPr>
        <w:fldChar w:fldCharType="separate"/>
      </w:r>
      <w:r>
        <w:rPr>
          <w:rFonts w:hint="default" w:ascii="Times New Roman" w:hAnsi="Times New Roman" w:eastAsia="宋体" w:cs="Times New Roman"/>
          <w:szCs w:val="28"/>
          <w:lang w:val="en-US" w:eastAsia="zh-CN"/>
        </w:rPr>
        <w:t>7</w:t>
      </w:r>
      <w:r>
        <w:rPr>
          <w:rFonts w:hint="default" w:ascii="Times New Roman" w:hAnsi="Times New Roman" w:eastAsia="宋体" w:cs="Times New Roman"/>
          <w:szCs w:val="28"/>
        </w:rPr>
        <w:t>.1环保投资估算</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_Toc20798 \h </w:instrText>
      </w:r>
      <w:r>
        <w:rPr>
          <w:rFonts w:hint="default" w:ascii="Times New Roman" w:hAnsi="Times New Roman" w:cs="Times New Roman"/>
        </w:rPr>
        <w:fldChar w:fldCharType="separate"/>
      </w:r>
      <w:r>
        <w:rPr>
          <w:rFonts w:hint="default" w:ascii="Times New Roman" w:hAnsi="Times New Roman" w:cs="Times New Roman"/>
        </w:rPr>
        <w:t>187</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36"/>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_Toc15620 </w:instrText>
      </w:r>
      <w:r>
        <w:rPr>
          <w:rFonts w:hint="default" w:ascii="Times New Roman" w:hAnsi="Times New Roman" w:cs="Times New Roman"/>
          <w:bCs/>
          <w:lang w:val="zh-CN"/>
        </w:rPr>
        <w:fldChar w:fldCharType="separate"/>
      </w:r>
      <w:r>
        <w:rPr>
          <w:rFonts w:hint="default" w:ascii="Times New Roman" w:hAnsi="Times New Roman" w:eastAsia="宋体" w:cs="Times New Roman"/>
          <w:szCs w:val="28"/>
          <w:lang w:val="en-US" w:eastAsia="zh-CN"/>
        </w:rPr>
        <w:t>7</w:t>
      </w:r>
      <w:r>
        <w:rPr>
          <w:rFonts w:hint="default" w:ascii="Times New Roman" w:hAnsi="Times New Roman" w:eastAsia="宋体" w:cs="Times New Roman"/>
          <w:szCs w:val="28"/>
        </w:rPr>
        <w:t>.2环境经济效益分析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_Toc15620 \h </w:instrText>
      </w:r>
      <w:r>
        <w:rPr>
          <w:rFonts w:hint="default" w:ascii="Times New Roman" w:hAnsi="Times New Roman" w:cs="Times New Roman"/>
        </w:rPr>
        <w:fldChar w:fldCharType="separate"/>
      </w:r>
      <w:r>
        <w:rPr>
          <w:rFonts w:hint="default" w:ascii="Times New Roman" w:hAnsi="Times New Roman" w:cs="Times New Roman"/>
        </w:rPr>
        <w:t>188</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23"/>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_Toc1074 </w:instrText>
      </w:r>
      <w:r>
        <w:rPr>
          <w:rFonts w:hint="default" w:ascii="Times New Roman" w:hAnsi="Times New Roman" w:cs="Times New Roman"/>
          <w:bCs/>
          <w:lang w:val="zh-CN"/>
        </w:rPr>
        <w:fldChar w:fldCharType="separate"/>
      </w:r>
      <w:r>
        <w:rPr>
          <w:rFonts w:hint="default" w:ascii="Times New Roman" w:hAnsi="Times New Roman" w:cs="Times New Roman"/>
          <w:szCs w:val="28"/>
          <w:lang w:val="en-US" w:eastAsia="zh-CN"/>
        </w:rPr>
        <w:t>7</w:t>
      </w:r>
      <w:r>
        <w:rPr>
          <w:rFonts w:hint="default" w:ascii="Times New Roman" w:hAnsi="Times New Roman" w:cs="Times New Roman"/>
          <w:szCs w:val="28"/>
        </w:rPr>
        <w:t>.2.1环保投资与建设项目总投资比例</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_Toc1074 \h </w:instrText>
      </w:r>
      <w:r>
        <w:rPr>
          <w:rFonts w:hint="default" w:ascii="Times New Roman" w:hAnsi="Times New Roman" w:cs="Times New Roman"/>
        </w:rPr>
        <w:fldChar w:fldCharType="separate"/>
      </w:r>
      <w:r>
        <w:rPr>
          <w:rFonts w:hint="default" w:ascii="Times New Roman" w:hAnsi="Times New Roman" w:cs="Times New Roman"/>
        </w:rPr>
        <w:t>188</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23"/>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_Toc32661 </w:instrText>
      </w:r>
      <w:r>
        <w:rPr>
          <w:rFonts w:hint="default" w:ascii="Times New Roman" w:hAnsi="Times New Roman" w:cs="Times New Roman"/>
          <w:bCs/>
          <w:lang w:val="zh-CN"/>
        </w:rPr>
        <w:fldChar w:fldCharType="separate"/>
      </w:r>
      <w:r>
        <w:rPr>
          <w:rFonts w:hint="default" w:ascii="Times New Roman" w:hAnsi="Times New Roman" w:cs="Times New Roman"/>
          <w:szCs w:val="28"/>
          <w:lang w:val="en-US" w:eastAsia="zh-CN"/>
        </w:rPr>
        <w:t>7</w:t>
      </w:r>
      <w:r>
        <w:rPr>
          <w:rFonts w:hint="default" w:ascii="Times New Roman" w:hAnsi="Times New Roman" w:cs="Times New Roman"/>
          <w:szCs w:val="28"/>
        </w:rPr>
        <w:t>.2.2环境经济损益分析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_Toc32661 \h </w:instrText>
      </w:r>
      <w:r>
        <w:rPr>
          <w:rFonts w:hint="default" w:ascii="Times New Roman" w:hAnsi="Times New Roman" w:cs="Times New Roman"/>
        </w:rPr>
        <w:fldChar w:fldCharType="separate"/>
      </w:r>
      <w:r>
        <w:rPr>
          <w:rFonts w:hint="default" w:ascii="Times New Roman" w:hAnsi="Times New Roman" w:cs="Times New Roman"/>
        </w:rPr>
        <w:t>188</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36"/>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_Toc2392 </w:instrText>
      </w:r>
      <w:r>
        <w:rPr>
          <w:rFonts w:hint="default" w:ascii="Times New Roman" w:hAnsi="Times New Roman" w:cs="Times New Roman"/>
          <w:bCs/>
          <w:lang w:val="zh-CN"/>
        </w:rPr>
        <w:fldChar w:fldCharType="separate"/>
      </w:r>
      <w:r>
        <w:rPr>
          <w:rFonts w:hint="default" w:ascii="Times New Roman" w:hAnsi="Times New Roman" w:eastAsia="宋体" w:cs="Times New Roman"/>
          <w:szCs w:val="28"/>
          <w:lang w:val="en-US" w:eastAsia="zh-CN"/>
        </w:rPr>
        <w:t>7</w:t>
      </w:r>
      <w:r>
        <w:rPr>
          <w:rFonts w:hint="default" w:ascii="Times New Roman" w:hAnsi="Times New Roman" w:eastAsia="宋体" w:cs="Times New Roman"/>
          <w:szCs w:val="28"/>
        </w:rPr>
        <w:t>.3社会效益</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_Toc2392 \h </w:instrText>
      </w:r>
      <w:r>
        <w:rPr>
          <w:rFonts w:hint="default" w:ascii="Times New Roman" w:hAnsi="Times New Roman" w:cs="Times New Roman"/>
        </w:rPr>
        <w:fldChar w:fldCharType="separate"/>
      </w:r>
      <w:r>
        <w:rPr>
          <w:rFonts w:hint="default" w:ascii="Times New Roman" w:hAnsi="Times New Roman" w:cs="Times New Roman"/>
        </w:rPr>
        <w:t>190</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36"/>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_Toc27707 </w:instrText>
      </w:r>
      <w:r>
        <w:rPr>
          <w:rFonts w:hint="default" w:ascii="Times New Roman" w:hAnsi="Times New Roman" w:cs="Times New Roman"/>
          <w:bCs/>
          <w:lang w:val="zh-CN"/>
        </w:rPr>
        <w:fldChar w:fldCharType="separate"/>
      </w:r>
      <w:r>
        <w:rPr>
          <w:rFonts w:hint="default" w:ascii="Times New Roman" w:hAnsi="Times New Roman" w:eastAsia="宋体" w:cs="Times New Roman"/>
          <w:szCs w:val="28"/>
          <w:lang w:val="en-US" w:eastAsia="zh-CN"/>
        </w:rPr>
        <w:t>7</w:t>
      </w:r>
      <w:r>
        <w:rPr>
          <w:rFonts w:hint="default" w:ascii="Times New Roman" w:hAnsi="Times New Roman" w:eastAsia="宋体" w:cs="Times New Roman"/>
          <w:szCs w:val="28"/>
        </w:rPr>
        <w:t>.4环境损益分析结论</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_Toc27707 \h </w:instrText>
      </w:r>
      <w:r>
        <w:rPr>
          <w:rFonts w:hint="default" w:ascii="Times New Roman" w:hAnsi="Times New Roman" w:cs="Times New Roman"/>
        </w:rPr>
        <w:fldChar w:fldCharType="separate"/>
      </w:r>
      <w:r>
        <w:rPr>
          <w:rFonts w:hint="default" w:ascii="Times New Roman" w:hAnsi="Times New Roman" w:cs="Times New Roman"/>
        </w:rPr>
        <w:t>190</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31"/>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_Toc10047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8</w:t>
      </w:r>
      <w:r>
        <w:rPr>
          <w:rFonts w:hint="default" w:ascii="Times New Roman" w:hAnsi="Times New Roman" w:cs="Times New Roman"/>
        </w:rPr>
        <w:t>产业政策及规划符合性分析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_Toc10047 \h </w:instrText>
      </w:r>
      <w:r>
        <w:rPr>
          <w:rFonts w:hint="default" w:ascii="Times New Roman" w:hAnsi="Times New Roman" w:cs="Times New Roman"/>
        </w:rPr>
        <w:fldChar w:fldCharType="separate"/>
      </w:r>
      <w:r>
        <w:rPr>
          <w:rFonts w:hint="default" w:ascii="Times New Roman" w:hAnsi="Times New Roman" w:cs="Times New Roman"/>
        </w:rPr>
        <w:t>192</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36"/>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_Toc24218 </w:instrText>
      </w:r>
      <w:r>
        <w:rPr>
          <w:rFonts w:hint="default" w:ascii="Times New Roman" w:hAnsi="Times New Roman" w:cs="Times New Roman"/>
          <w:bCs/>
          <w:lang w:val="zh-CN"/>
        </w:rPr>
        <w:fldChar w:fldCharType="separate"/>
      </w:r>
      <w:r>
        <w:rPr>
          <w:rFonts w:hint="default" w:ascii="Times New Roman" w:hAnsi="Times New Roman" w:eastAsia="宋体" w:cs="Times New Roman"/>
          <w:szCs w:val="28"/>
          <w:lang w:val="en-US" w:eastAsia="zh-CN"/>
        </w:rPr>
        <w:t>8</w:t>
      </w:r>
      <w:r>
        <w:rPr>
          <w:rFonts w:hint="default" w:ascii="Times New Roman" w:hAnsi="Times New Roman" w:eastAsia="宋体" w:cs="Times New Roman"/>
          <w:szCs w:val="28"/>
        </w:rPr>
        <w:t>.1产业政策符合性分析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_Toc24218 \h </w:instrText>
      </w:r>
      <w:r>
        <w:rPr>
          <w:rFonts w:hint="default" w:ascii="Times New Roman" w:hAnsi="Times New Roman" w:cs="Times New Roman"/>
        </w:rPr>
        <w:fldChar w:fldCharType="separate"/>
      </w:r>
      <w:r>
        <w:rPr>
          <w:rFonts w:hint="default" w:ascii="Times New Roman" w:hAnsi="Times New Roman" w:cs="Times New Roman"/>
        </w:rPr>
        <w:t>192</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36"/>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_Toc1288 </w:instrText>
      </w:r>
      <w:r>
        <w:rPr>
          <w:rFonts w:hint="default" w:ascii="Times New Roman" w:hAnsi="Times New Roman" w:cs="Times New Roman"/>
          <w:bCs/>
          <w:lang w:val="zh-CN"/>
        </w:rPr>
        <w:fldChar w:fldCharType="separate"/>
      </w:r>
      <w:r>
        <w:rPr>
          <w:rFonts w:hint="default" w:ascii="Times New Roman" w:hAnsi="Times New Roman" w:eastAsia="宋体" w:cs="Times New Roman"/>
          <w:szCs w:val="28"/>
          <w:lang w:val="en-US" w:eastAsia="zh-CN"/>
        </w:rPr>
        <w:t>8</w:t>
      </w:r>
      <w:r>
        <w:rPr>
          <w:rFonts w:hint="default" w:ascii="Times New Roman" w:hAnsi="Times New Roman" w:eastAsia="宋体" w:cs="Times New Roman"/>
          <w:szCs w:val="28"/>
        </w:rPr>
        <w:t>.2与规划符合性分析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_Toc1288 \h </w:instrText>
      </w:r>
      <w:r>
        <w:rPr>
          <w:rFonts w:hint="default" w:ascii="Times New Roman" w:hAnsi="Times New Roman" w:cs="Times New Roman"/>
        </w:rPr>
        <w:fldChar w:fldCharType="separate"/>
      </w:r>
      <w:r>
        <w:rPr>
          <w:rFonts w:hint="default" w:ascii="Times New Roman" w:hAnsi="Times New Roman" w:cs="Times New Roman"/>
        </w:rPr>
        <w:t>192</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36"/>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_Toc23343 </w:instrText>
      </w:r>
      <w:r>
        <w:rPr>
          <w:rFonts w:hint="default" w:ascii="Times New Roman" w:hAnsi="Times New Roman" w:cs="Times New Roman"/>
          <w:bCs/>
          <w:lang w:val="zh-CN"/>
        </w:rPr>
        <w:fldChar w:fldCharType="separate"/>
      </w:r>
      <w:r>
        <w:rPr>
          <w:rFonts w:hint="default" w:ascii="Times New Roman" w:hAnsi="Times New Roman" w:eastAsia="宋体" w:cs="Times New Roman"/>
          <w:szCs w:val="28"/>
          <w:lang w:val="en-US" w:eastAsia="zh-CN"/>
        </w:rPr>
        <w:t>8</w:t>
      </w:r>
      <w:r>
        <w:rPr>
          <w:rFonts w:hint="default" w:ascii="Times New Roman" w:hAnsi="Times New Roman" w:eastAsia="宋体" w:cs="Times New Roman"/>
          <w:szCs w:val="28"/>
        </w:rPr>
        <w:t>.3与《楚雄工业园区总体规划修改（2018-2035）》符合性分析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_Toc23343 \h </w:instrText>
      </w:r>
      <w:r>
        <w:rPr>
          <w:rFonts w:hint="default" w:ascii="Times New Roman" w:hAnsi="Times New Roman" w:cs="Times New Roman"/>
        </w:rPr>
        <w:fldChar w:fldCharType="separate"/>
      </w:r>
      <w:r>
        <w:rPr>
          <w:rFonts w:hint="default" w:ascii="Times New Roman" w:hAnsi="Times New Roman" w:cs="Times New Roman"/>
        </w:rPr>
        <w:t>196</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36"/>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_Toc12178 </w:instrText>
      </w:r>
      <w:r>
        <w:rPr>
          <w:rFonts w:hint="default" w:ascii="Times New Roman" w:hAnsi="Times New Roman" w:cs="Times New Roman"/>
          <w:bCs/>
          <w:lang w:val="zh-CN"/>
        </w:rPr>
        <w:fldChar w:fldCharType="separate"/>
      </w:r>
      <w:r>
        <w:rPr>
          <w:rFonts w:hint="default" w:ascii="Times New Roman" w:hAnsi="Times New Roman" w:eastAsia="宋体" w:cs="Times New Roman"/>
          <w:szCs w:val="28"/>
          <w:lang w:val="en-US" w:eastAsia="zh-CN"/>
        </w:rPr>
        <w:t>8</w:t>
      </w:r>
      <w:r>
        <w:rPr>
          <w:rFonts w:hint="default" w:ascii="Times New Roman" w:hAnsi="Times New Roman" w:eastAsia="宋体" w:cs="Times New Roman"/>
          <w:szCs w:val="28"/>
        </w:rPr>
        <w:t>.4与规划环评符合性分析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_Toc12178 \h </w:instrText>
      </w:r>
      <w:r>
        <w:rPr>
          <w:rFonts w:hint="default" w:ascii="Times New Roman" w:hAnsi="Times New Roman" w:cs="Times New Roman"/>
        </w:rPr>
        <w:fldChar w:fldCharType="separate"/>
      </w:r>
      <w:r>
        <w:rPr>
          <w:rFonts w:hint="default" w:ascii="Times New Roman" w:hAnsi="Times New Roman" w:cs="Times New Roman"/>
        </w:rPr>
        <w:t>197</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36"/>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_Toc21589 </w:instrText>
      </w:r>
      <w:r>
        <w:rPr>
          <w:rFonts w:hint="default" w:ascii="Times New Roman" w:hAnsi="Times New Roman" w:cs="Times New Roman"/>
          <w:bCs/>
          <w:lang w:val="zh-CN"/>
        </w:rPr>
        <w:fldChar w:fldCharType="separate"/>
      </w:r>
      <w:r>
        <w:rPr>
          <w:rFonts w:hint="default" w:ascii="Times New Roman" w:hAnsi="Times New Roman" w:eastAsia="宋体" w:cs="Times New Roman"/>
          <w:szCs w:val="28"/>
          <w:lang w:val="en-US" w:eastAsia="zh-CN"/>
        </w:rPr>
        <w:t>8</w:t>
      </w:r>
      <w:r>
        <w:rPr>
          <w:rFonts w:hint="default" w:ascii="Times New Roman" w:hAnsi="Times New Roman" w:eastAsia="宋体" w:cs="Times New Roman"/>
          <w:szCs w:val="28"/>
        </w:rPr>
        <w:t>.5“三线一单”符合性分析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_Toc21589 \h </w:instrText>
      </w:r>
      <w:r>
        <w:rPr>
          <w:rFonts w:hint="default" w:ascii="Times New Roman" w:hAnsi="Times New Roman" w:cs="Times New Roman"/>
        </w:rPr>
        <w:fldChar w:fldCharType="separate"/>
      </w:r>
      <w:r>
        <w:rPr>
          <w:rFonts w:hint="default" w:ascii="Times New Roman" w:hAnsi="Times New Roman" w:cs="Times New Roman"/>
        </w:rPr>
        <w:t>197</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36"/>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_Toc19706 </w:instrText>
      </w:r>
      <w:r>
        <w:rPr>
          <w:rFonts w:hint="default" w:ascii="Times New Roman" w:hAnsi="Times New Roman" w:cs="Times New Roman"/>
          <w:bCs/>
          <w:lang w:val="zh-CN"/>
        </w:rPr>
        <w:fldChar w:fldCharType="separate"/>
      </w:r>
      <w:r>
        <w:rPr>
          <w:rFonts w:hint="default" w:ascii="Times New Roman" w:hAnsi="Times New Roman" w:eastAsia="宋体" w:cs="Times New Roman"/>
          <w:szCs w:val="28"/>
          <w:lang w:val="en-US" w:eastAsia="zh-CN"/>
        </w:rPr>
        <w:t>7</w:t>
      </w:r>
      <w:r>
        <w:rPr>
          <w:rFonts w:hint="default" w:ascii="Times New Roman" w:hAnsi="Times New Roman" w:eastAsia="宋体" w:cs="Times New Roman"/>
          <w:szCs w:val="28"/>
        </w:rPr>
        <w:t>.6选址合理性分析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_Toc19706 \h </w:instrText>
      </w:r>
      <w:r>
        <w:rPr>
          <w:rFonts w:hint="default" w:ascii="Times New Roman" w:hAnsi="Times New Roman" w:cs="Times New Roman"/>
        </w:rPr>
        <w:fldChar w:fldCharType="separate"/>
      </w:r>
      <w:r>
        <w:rPr>
          <w:rFonts w:hint="default" w:ascii="Times New Roman" w:hAnsi="Times New Roman" w:cs="Times New Roman"/>
        </w:rPr>
        <w:t>198</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31"/>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_Toc2098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9</w:t>
      </w:r>
      <w:r>
        <w:rPr>
          <w:rFonts w:hint="default" w:ascii="Times New Roman" w:hAnsi="Times New Roman" w:cs="Times New Roman"/>
        </w:rPr>
        <w:t>环境管理及监测计划</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_Toc2098 \h </w:instrText>
      </w:r>
      <w:r>
        <w:rPr>
          <w:rFonts w:hint="default" w:ascii="Times New Roman" w:hAnsi="Times New Roman" w:cs="Times New Roman"/>
        </w:rPr>
        <w:fldChar w:fldCharType="separate"/>
      </w:r>
      <w:r>
        <w:rPr>
          <w:rFonts w:hint="default" w:ascii="Times New Roman" w:hAnsi="Times New Roman" w:cs="Times New Roman"/>
        </w:rPr>
        <w:t>199</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36"/>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_Toc6467 </w:instrText>
      </w:r>
      <w:r>
        <w:rPr>
          <w:rFonts w:hint="default" w:ascii="Times New Roman" w:hAnsi="Times New Roman" w:cs="Times New Roman"/>
          <w:bCs/>
          <w:lang w:val="zh-CN"/>
        </w:rPr>
        <w:fldChar w:fldCharType="separate"/>
      </w:r>
      <w:r>
        <w:rPr>
          <w:rFonts w:hint="default" w:ascii="Times New Roman" w:hAnsi="Times New Roman" w:eastAsia="宋体" w:cs="Times New Roman"/>
          <w:szCs w:val="28"/>
          <w:lang w:val="en-US" w:eastAsia="zh-CN"/>
        </w:rPr>
        <w:t>9</w:t>
      </w:r>
      <w:r>
        <w:rPr>
          <w:rFonts w:hint="default" w:ascii="Times New Roman" w:hAnsi="Times New Roman" w:eastAsia="宋体" w:cs="Times New Roman"/>
          <w:szCs w:val="28"/>
        </w:rPr>
        <w:t>.1环境管理要求</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_Toc6467 \h </w:instrText>
      </w:r>
      <w:r>
        <w:rPr>
          <w:rFonts w:hint="default" w:ascii="Times New Roman" w:hAnsi="Times New Roman" w:cs="Times New Roman"/>
        </w:rPr>
        <w:fldChar w:fldCharType="separate"/>
      </w:r>
      <w:r>
        <w:rPr>
          <w:rFonts w:hint="default" w:ascii="Times New Roman" w:hAnsi="Times New Roman" w:cs="Times New Roman"/>
        </w:rPr>
        <w:t>199</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23"/>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_Toc18254 </w:instrText>
      </w:r>
      <w:r>
        <w:rPr>
          <w:rFonts w:hint="default" w:ascii="Times New Roman" w:hAnsi="Times New Roman" w:cs="Times New Roman"/>
          <w:bCs/>
          <w:lang w:val="zh-CN"/>
        </w:rPr>
        <w:fldChar w:fldCharType="separate"/>
      </w:r>
      <w:r>
        <w:rPr>
          <w:rFonts w:hint="default" w:ascii="Times New Roman" w:hAnsi="Times New Roman" w:cs="Times New Roman"/>
          <w:szCs w:val="28"/>
          <w:lang w:val="en-US" w:eastAsia="zh-CN"/>
        </w:rPr>
        <w:t>9</w:t>
      </w:r>
      <w:r>
        <w:rPr>
          <w:rFonts w:hint="default" w:ascii="Times New Roman" w:hAnsi="Times New Roman" w:cs="Times New Roman"/>
          <w:szCs w:val="28"/>
        </w:rPr>
        <w:t>.1.1环境管理目标</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_Toc18254 \h </w:instrText>
      </w:r>
      <w:r>
        <w:rPr>
          <w:rFonts w:hint="default" w:ascii="Times New Roman" w:hAnsi="Times New Roman" w:cs="Times New Roman"/>
        </w:rPr>
        <w:fldChar w:fldCharType="separate"/>
      </w:r>
      <w:r>
        <w:rPr>
          <w:rFonts w:hint="default" w:ascii="Times New Roman" w:hAnsi="Times New Roman" w:cs="Times New Roman"/>
        </w:rPr>
        <w:t>199</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23"/>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_Toc23847 </w:instrText>
      </w:r>
      <w:r>
        <w:rPr>
          <w:rFonts w:hint="default" w:ascii="Times New Roman" w:hAnsi="Times New Roman" w:cs="Times New Roman"/>
          <w:bCs/>
          <w:lang w:val="zh-CN"/>
        </w:rPr>
        <w:fldChar w:fldCharType="separate"/>
      </w:r>
      <w:r>
        <w:rPr>
          <w:rFonts w:hint="default" w:ascii="Times New Roman" w:hAnsi="Times New Roman" w:cs="Times New Roman"/>
          <w:szCs w:val="28"/>
          <w:lang w:val="en-US" w:eastAsia="zh-CN"/>
        </w:rPr>
        <w:t>9.</w:t>
      </w:r>
      <w:r>
        <w:rPr>
          <w:rFonts w:hint="default" w:ascii="Times New Roman" w:hAnsi="Times New Roman" w:cs="Times New Roman"/>
          <w:szCs w:val="28"/>
        </w:rPr>
        <w:t>1.2环境监督机构</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_Toc23847 \h </w:instrText>
      </w:r>
      <w:r>
        <w:rPr>
          <w:rFonts w:hint="default" w:ascii="Times New Roman" w:hAnsi="Times New Roman" w:cs="Times New Roman"/>
        </w:rPr>
        <w:fldChar w:fldCharType="separate"/>
      </w:r>
      <w:r>
        <w:rPr>
          <w:rFonts w:hint="default" w:ascii="Times New Roman" w:hAnsi="Times New Roman" w:cs="Times New Roman"/>
        </w:rPr>
        <w:t>199</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36"/>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_Toc12449 </w:instrText>
      </w:r>
      <w:r>
        <w:rPr>
          <w:rFonts w:hint="default" w:ascii="Times New Roman" w:hAnsi="Times New Roman" w:cs="Times New Roman"/>
          <w:bCs/>
          <w:lang w:val="zh-CN"/>
        </w:rPr>
        <w:fldChar w:fldCharType="separate"/>
      </w:r>
      <w:r>
        <w:rPr>
          <w:rFonts w:hint="default" w:ascii="Times New Roman" w:hAnsi="Times New Roman" w:eastAsia="宋体" w:cs="Times New Roman"/>
          <w:szCs w:val="28"/>
          <w:lang w:val="en-US" w:eastAsia="zh-CN"/>
        </w:rPr>
        <w:t>9</w:t>
      </w:r>
      <w:r>
        <w:rPr>
          <w:rFonts w:hint="default" w:ascii="Times New Roman" w:hAnsi="Times New Roman" w:eastAsia="宋体" w:cs="Times New Roman"/>
          <w:szCs w:val="28"/>
        </w:rPr>
        <w:t>.2建设单位环境管理体系及管理计划</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_Toc12449 \h </w:instrText>
      </w:r>
      <w:r>
        <w:rPr>
          <w:rFonts w:hint="default" w:ascii="Times New Roman" w:hAnsi="Times New Roman" w:cs="Times New Roman"/>
        </w:rPr>
        <w:fldChar w:fldCharType="separate"/>
      </w:r>
      <w:r>
        <w:rPr>
          <w:rFonts w:hint="default" w:ascii="Times New Roman" w:hAnsi="Times New Roman" w:cs="Times New Roman"/>
        </w:rPr>
        <w:t>200</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23"/>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_Toc22608 </w:instrText>
      </w:r>
      <w:r>
        <w:rPr>
          <w:rFonts w:hint="default" w:ascii="Times New Roman" w:hAnsi="Times New Roman" w:cs="Times New Roman"/>
          <w:bCs/>
          <w:lang w:val="zh-CN"/>
        </w:rPr>
        <w:fldChar w:fldCharType="separate"/>
      </w:r>
      <w:r>
        <w:rPr>
          <w:rFonts w:hint="default" w:ascii="Times New Roman" w:hAnsi="Times New Roman" w:cs="Times New Roman"/>
          <w:szCs w:val="28"/>
          <w:lang w:val="en-US" w:eastAsia="zh-CN"/>
        </w:rPr>
        <w:t>9</w:t>
      </w:r>
      <w:r>
        <w:rPr>
          <w:rFonts w:hint="default" w:ascii="Times New Roman" w:hAnsi="Times New Roman" w:cs="Times New Roman"/>
          <w:szCs w:val="28"/>
        </w:rPr>
        <w:t>.2.1企业环境管理机构</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_Toc22608 \h </w:instrText>
      </w:r>
      <w:r>
        <w:rPr>
          <w:rFonts w:hint="default" w:ascii="Times New Roman" w:hAnsi="Times New Roman" w:cs="Times New Roman"/>
        </w:rPr>
        <w:fldChar w:fldCharType="separate"/>
      </w:r>
      <w:r>
        <w:rPr>
          <w:rFonts w:hint="default" w:ascii="Times New Roman" w:hAnsi="Times New Roman" w:cs="Times New Roman"/>
        </w:rPr>
        <w:t>200</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23"/>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_Toc5982 </w:instrText>
      </w:r>
      <w:r>
        <w:rPr>
          <w:rFonts w:hint="default" w:ascii="Times New Roman" w:hAnsi="Times New Roman" w:cs="Times New Roman"/>
          <w:bCs/>
          <w:lang w:val="zh-CN"/>
        </w:rPr>
        <w:fldChar w:fldCharType="separate"/>
      </w:r>
      <w:r>
        <w:rPr>
          <w:rFonts w:hint="default" w:ascii="Times New Roman" w:hAnsi="Times New Roman" w:cs="Times New Roman"/>
          <w:szCs w:val="28"/>
          <w:lang w:val="en-US" w:eastAsia="zh-CN"/>
        </w:rPr>
        <w:t>9</w:t>
      </w:r>
      <w:r>
        <w:rPr>
          <w:rFonts w:hint="default" w:ascii="Times New Roman" w:hAnsi="Times New Roman" w:cs="Times New Roman"/>
          <w:szCs w:val="28"/>
        </w:rPr>
        <w:t>.2.2环境管理人员职责</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_Toc5982 \h </w:instrText>
      </w:r>
      <w:r>
        <w:rPr>
          <w:rFonts w:hint="default" w:ascii="Times New Roman" w:hAnsi="Times New Roman" w:cs="Times New Roman"/>
        </w:rPr>
        <w:fldChar w:fldCharType="separate"/>
      </w:r>
      <w:r>
        <w:rPr>
          <w:rFonts w:hint="default" w:ascii="Times New Roman" w:hAnsi="Times New Roman" w:cs="Times New Roman"/>
        </w:rPr>
        <w:t>200</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23"/>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_Toc8852 </w:instrText>
      </w:r>
      <w:r>
        <w:rPr>
          <w:rFonts w:hint="default" w:ascii="Times New Roman" w:hAnsi="Times New Roman" w:cs="Times New Roman"/>
          <w:bCs/>
          <w:lang w:val="zh-CN"/>
        </w:rPr>
        <w:fldChar w:fldCharType="separate"/>
      </w:r>
      <w:r>
        <w:rPr>
          <w:rFonts w:hint="default" w:ascii="Times New Roman" w:hAnsi="Times New Roman" w:cs="Times New Roman"/>
          <w:szCs w:val="28"/>
          <w:lang w:val="en-US" w:eastAsia="zh-CN"/>
        </w:rPr>
        <w:t>9</w:t>
      </w:r>
      <w:r>
        <w:rPr>
          <w:rFonts w:hint="default" w:ascii="Times New Roman" w:hAnsi="Times New Roman" w:cs="Times New Roman"/>
          <w:szCs w:val="28"/>
        </w:rPr>
        <w:t>.2.3企业环境管理制度</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_Toc8852 \h </w:instrText>
      </w:r>
      <w:r>
        <w:rPr>
          <w:rFonts w:hint="default" w:ascii="Times New Roman" w:hAnsi="Times New Roman" w:cs="Times New Roman"/>
        </w:rPr>
        <w:fldChar w:fldCharType="separate"/>
      </w:r>
      <w:r>
        <w:rPr>
          <w:rFonts w:hint="default" w:ascii="Times New Roman" w:hAnsi="Times New Roman" w:cs="Times New Roman"/>
        </w:rPr>
        <w:t>200</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23"/>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_Toc10180 </w:instrText>
      </w:r>
      <w:r>
        <w:rPr>
          <w:rFonts w:hint="default" w:ascii="Times New Roman" w:hAnsi="Times New Roman" w:cs="Times New Roman"/>
          <w:bCs/>
          <w:lang w:val="zh-CN"/>
        </w:rPr>
        <w:fldChar w:fldCharType="separate"/>
      </w:r>
      <w:r>
        <w:rPr>
          <w:rFonts w:hint="default" w:ascii="Times New Roman" w:hAnsi="Times New Roman" w:cs="Times New Roman"/>
          <w:szCs w:val="28"/>
          <w:lang w:val="en-US" w:eastAsia="zh-CN"/>
        </w:rPr>
        <w:t>9</w:t>
      </w:r>
      <w:r>
        <w:rPr>
          <w:rFonts w:hint="default" w:ascii="Times New Roman" w:hAnsi="Times New Roman" w:cs="Times New Roman"/>
          <w:szCs w:val="28"/>
        </w:rPr>
        <w:t>.2.4环境管理计划</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_Toc10180 \h </w:instrText>
      </w:r>
      <w:r>
        <w:rPr>
          <w:rFonts w:hint="default" w:ascii="Times New Roman" w:hAnsi="Times New Roman" w:cs="Times New Roman"/>
        </w:rPr>
        <w:fldChar w:fldCharType="separate"/>
      </w:r>
      <w:r>
        <w:rPr>
          <w:rFonts w:hint="default" w:ascii="Times New Roman" w:hAnsi="Times New Roman" w:cs="Times New Roman"/>
        </w:rPr>
        <w:t>201</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23"/>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_Toc25581 </w:instrText>
      </w:r>
      <w:r>
        <w:rPr>
          <w:rFonts w:hint="default" w:ascii="Times New Roman" w:hAnsi="Times New Roman" w:cs="Times New Roman"/>
          <w:bCs/>
          <w:lang w:val="zh-CN"/>
        </w:rPr>
        <w:fldChar w:fldCharType="separate"/>
      </w:r>
      <w:r>
        <w:rPr>
          <w:rFonts w:hint="default" w:ascii="Times New Roman" w:hAnsi="Times New Roman" w:cs="Times New Roman"/>
          <w:szCs w:val="28"/>
          <w:lang w:val="en-US" w:eastAsia="zh-CN"/>
        </w:rPr>
        <w:t>9</w:t>
      </w:r>
      <w:r>
        <w:rPr>
          <w:rFonts w:hint="default" w:ascii="Times New Roman" w:hAnsi="Times New Roman" w:cs="Times New Roman"/>
          <w:szCs w:val="28"/>
        </w:rPr>
        <w:t>.2.5环境管理台账</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_Toc25581 \h </w:instrText>
      </w:r>
      <w:r>
        <w:rPr>
          <w:rFonts w:hint="default" w:ascii="Times New Roman" w:hAnsi="Times New Roman" w:cs="Times New Roman"/>
        </w:rPr>
        <w:fldChar w:fldCharType="separate"/>
      </w:r>
      <w:r>
        <w:rPr>
          <w:rFonts w:hint="default" w:ascii="Times New Roman" w:hAnsi="Times New Roman" w:cs="Times New Roman"/>
        </w:rPr>
        <w:t>201</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23"/>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_Toc19382 </w:instrText>
      </w:r>
      <w:r>
        <w:rPr>
          <w:rFonts w:hint="default" w:ascii="Times New Roman" w:hAnsi="Times New Roman" w:cs="Times New Roman"/>
          <w:bCs/>
          <w:lang w:val="zh-CN"/>
        </w:rPr>
        <w:fldChar w:fldCharType="separate"/>
      </w:r>
      <w:r>
        <w:rPr>
          <w:rFonts w:hint="default" w:ascii="Times New Roman" w:hAnsi="Times New Roman" w:cs="Times New Roman"/>
          <w:szCs w:val="28"/>
          <w:lang w:val="en-US" w:eastAsia="zh-CN"/>
        </w:rPr>
        <w:t>9</w:t>
      </w:r>
      <w:r>
        <w:rPr>
          <w:rFonts w:hint="default" w:ascii="Times New Roman" w:hAnsi="Times New Roman" w:cs="Times New Roman"/>
          <w:szCs w:val="28"/>
        </w:rPr>
        <w:t>.2.6</w:t>
      </w:r>
      <w:r>
        <w:rPr>
          <w:rFonts w:hint="default" w:ascii="Times New Roman" w:hAnsi="Times New Roman" w:cs="Times New Roman"/>
        </w:rPr>
        <w:t>危险废物转移联单制度</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_Toc19382 \h </w:instrText>
      </w:r>
      <w:r>
        <w:rPr>
          <w:rFonts w:hint="default" w:ascii="Times New Roman" w:hAnsi="Times New Roman" w:cs="Times New Roman"/>
        </w:rPr>
        <w:fldChar w:fldCharType="separate"/>
      </w:r>
      <w:r>
        <w:rPr>
          <w:rFonts w:hint="default" w:ascii="Times New Roman" w:hAnsi="Times New Roman" w:cs="Times New Roman"/>
        </w:rPr>
        <w:t>202</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36"/>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_Toc316 </w:instrText>
      </w:r>
      <w:r>
        <w:rPr>
          <w:rFonts w:hint="default" w:ascii="Times New Roman" w:hAnsi="Times New Roman" w:cs="Times New Roman"/>
          <w:bCs/>
          <w:lang w:val="zh-CN"/>
        </w:rPr>
        <w:fldChar w:fldCharType="separate"/>
      </w:r>
      <w:r>
        <w:rPr>
          <w:rFonts w:hint="default" w:ascii="Times New Roman" w:hAnsi="Times New Roman" w:eastAsia="宋体" w:cs="Times New Roman"/>
          <w:szCs w:val="28"/>
          <w:lang w:val="en-US" w:eastAsia="zh-CN"/>
        </w:rPr>
        <w:t>9</w:t>
      </w:r>
      <w:r>
        <w:rPr>
          <w:rFonts w:hint="default" w:ascii="Times New Roman" w:hAnsi="Times New Roman" w:eastAsia="宋体" w:cs="Times New Roman"/>
          <w:szCs w:val="28"/>
        </w:rPr>
        <w:t>.3信息公开制度</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_Toc316 \h </w:instrText>
      </w:r>
      <w:r>
        <w:rPr>
          <w:rFonts w:hint="default" w:ascii="Times New Roman" w:hAnsi="Times New Roman" w:cs="Times New Roman"/>
        </w:rPr>
        <w:fldChar w:fldCharType="separate"/>
      </w:r>
      <w:r>
        <w:rPr>
          <w:rFonts w:hint="default" w:ascii="Times New Roman" w:hAnsi="Times New Roman" w:cs="Times New Roman"/>
        </w:rPr>
        <w:t>203</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36"/>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_Toc5365 </w:instrText>
      </w:r>
      <w:r>
        <w:rPr>
          <w:rFonts w:hint="default" w:ascii="Times New Roman" w:hAnsi="Times New Roman" w:cs="Times New Roman"/>
          <w:bCs/>
          <w:lang w:val="zh-CN"/>
        </w:rPr>
        <w:fldChar w:fldCharType="separate"/>
      </w:r>
      <w:r>
        <w:rPr>
          <w:rFonts w:hint="default" w:ascii="Times New Roman" w:hAnsi="Times New Roman" w:eastAsia="宋体" w:cs="Times New Roman"/>
          <w:szCs w:val="28"/>
          <w:lang w:val="en-US" w:eastAsia="zh-CN"/>
        </w:rPr>
        <w:t>9</w:t>
      </w:r>
      <w:r>
        <w:rPr>
          <w:rFonts w:hint="default" w:ascii="Times New Roman" w:hAnsi="Times New Roman" w:eastAsia="宋体" w:cs="Times New Roman"/>
          <w:szCs w:val="28"/>
        </w:rPr>
        <w:t>.4环境监理</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_Toc5365 \h </w:instrText>
      </w:r>
      <w:r>
        <w:rPr>
          <w:rFonts w:hint="default" w:ascii="Times New Roman" w:hAnsi="Times New Roman" w:cs="Times New Roman"/>
        </w:rPr>
        <w:fldChar w:fldCharType="separate"/>
      </w:r>
      <w:r>
        <w:rPr>
          <w:rFonts w:hint="default" w:ascii="Times New Roman" w:hAnsi="Times New Roman" w:cs="Times New Roman"/>
        </w:rPr>
        <w:t>203</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36"/>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_Toc3099 </w:instrText>
      </w:r>
      <w:r>
        <w:rPr>
          <w:rFonts w:hint="default" w:ascii="Times New Roman" w:hAnsi="Times New Roman" w:cs="Times New Roman"/>
          <w:bCs/>
          <w:lang w:val="zh-CN"/>
        </w:rPr>
        <w:fldChar w:fldCharType="separate"/>
      </w:r>
      <w:r>
        <w:rPr>
          <w:rFonts w:hint="default" w:ascii="Times New Roman" w:hAnsi="Times New Roman" w:eastAsia="宋体" w:cs="Times New Roman"/>
          <w:szCs w:val="28"/>
          <w:lang w:val="en-US" w:eastAsia="zh-CN"/>
        </w:rPr>
        <w:t>9</w:t>
      </w:r>
      <w:r>
        <w:rPr>
          <w:rFonts w:hint="default" w:ascii="Times New Roman" w:hAnsi="Times New Roman" w:eastAsia="宋体" w:cs="Times New Roman"/>
          <w:szCs w:val="28"/>
        </w:rPr>
        <w:t>.5环境监测</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_Toc3099 \h </w:instrText>
      </w:r>
      <w:r>
        <w:rPr>
          <w:rFonts w:hint="default" w:ascii="Times New Roman" w:hAnsi="Times New Roman" w:cs="Times New Roman"/>
        </w:rPr>
        <w:fldChar w:fldCharType="separate"/>
      </w:r>
      <w:r>
        <w:rPr>
          <w:rFonts w:hint="default" w:ascii="Times New Roman" w:hAnsi="Times New Roman" w:cs="Times New Roman"/>
        </w:rPr>
        <w:t>204</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36"/>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_Toc25124 </w:instrText>
      </w:r>
      <w:r>
        <w:rPr>
          <w:rFonts w:hint="default" w:ascii="Times New Roman" w:hAnsi="Times New Roman" w:cs="Times New Roman"/>
          <w:bCs/>
          <w:lang w:val="zh-CN"/>
        </w:rPr>
        <w:fldChar w:fldCharType="separate"/>
      </w:r>
      <w:r>
        <w:rPr>
          <w:rFonts w:hint="default" w:ascii="Times New Roman" w:hAnsi="Times New Roman" w:eastAsia="宋体" w:cs="Times New Roman"/>
          <w:szCs w:val="28"/>
          <w:lang w:val="en-US" w:eastAsia="zh-CN"/>
        </w:rPr>
        <w:t>9</w:t>
      </w:r>
      <w:r>
        <w:rPr>
          <w:rFonts w:hint="default" w:ascii="Times New Roman" w:hAnsi="Times New Roman" w:eastAsia="宋体" w:cs="Times New Roman"/>
          <w:szCs w:val="28"/>
        </w:rPr>
        <w:t>.6环保竣工验收及管理要求</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_Toc25124 \h </w:instrText>
      </w:r>
      <w:r>
        <w:rPr>
          <w:rFonts w:hint="default" w:ascii="Times New Roman" w:hAnsi="Times New Roman" w:cs="Times New Roman"/>
        </w:rPr>
        <w:fldChar w:fldCharType="separate"/>
      </w:r>
      <w:r>
        <w:rPr>
          <w:rFonts w:hint="default" w:ascii="Times New Roman" w:hAnsi="Times New Roman" w:cs="Times New Roman"/>
        </w:rPr>
        <w:t>205</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23"/>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_Toc30282 </w:instrText>
      </w:r>
      <w:r>
        <w:rPr>
          <w:rFonts w:hint="default" w:ascii="Times New Roman" w:hAnsi="Times New Roman" w:cs="Times New Roman"/>
          <w:bCs/>
          <w:lang w:val="zh-CN"/>
        </w:rPr>
        <w:fldChar w:fldCharType="separate"/>
      </w:r>
      <w:r>
        <w:rPr>
          <w:rFonts w:hint="default" w:ascii="Times New Roman" w:hAnsi="Times New Roman" w:cs="Times New Roman"/>
          <w:szCs w:val="28"/>
          <w:lang w:val="en-US" w:eastAsia="zh-CN"/>
        </w:rPr>
        <w:t>9</w:t>
      </w:r>
      <w:r>
        <w:rPr>
          <w:rFonts w:hint="default" w:ascii="Times New Roman" w:hAnsi="Times New Roman" w:cs="Times New Roman"/>
          <w:szCs w:val="28"/>
        </w:rPr>
        <w:t>.6.1环保竣工验收内容及要求</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_Toc30282 \h </w:instrText>
      </w:r>
      <w:r>
        <w:rPr>
          <w:rFonts w:hint="default" w:ascii="Times New Roman" w:hAnsi="Times New Roman" w:cs="Times New Roman"/>
        </w:rPr>
        <w:fldChar w:fldCharType="separate"/>
      </w:r>
      <w:r>
        <w:rPr>
          <w:rFonts w:hint="default" w:ascii="Times New Roman" w:hAnsi="Times New Roman" w:cs="Times New Roman"/>
        </w:rPr>
        <w:t>205</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23"/>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_Toc23813 </w:instrText>
      </w:r>
      <w:r>
        <w:rPr>
          <w:rFonts w:hint="default" w:ascii="Times New Roman" w:hAnsi="Times New Roman" w:cs="Times New Roman"/>
          <w:bCs/>
          <w:lang w:val="zh-CN"/>
        </w:rPr>
        <w:fldChar w:fldCharType="separate"/>
      </w:r>
      <w:r>
        <w:rPr>
          <w:rFonts w:hint="default" w:ascii="Times New Roman" w:hAnsi="Times New Roman" w:cs="Times New Roman"/>
          <w:szCs w:val="28"/>
          <w:lang w:val="en-US" w:eastAsia="zh-CN"/>
        </w:rPr>
        <w:t>9</w:t>
      </w:r>
      <w:r>
        <w:rPr>
          <w:rFonts w:hint="default" w:ascii="Times New Roman" w:hAnsi="Times New Roman" w:cs="Times New Roman"/>
          <w:szCs w:val="28"/>
        </w:rPr>
        <w:t>.6.2项目环保竣工验收条件</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_Toc23813 \h </w:instrText>
      </w:r>
      <w:r>
        <w:rPr>
          <w:rFonts w:hint="default" w:ascii="Times New Roman" w:hAnsi="Times New Roman" w:cs="Times New Roman"/>
        </w:rPr>
        <w:fldChar w:fldCharType="separate"/>
      </w:r>
      <w:r>
        <w:rPr>
          <w:rFonts w:hint="default" w:ascii="Times New Roman" w:hAnsi="Times New Roman" w:cs="Times New Roman"/>
        </w:rPr>
        <w:t>208</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36"/>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_Toc19836 </w:instrText>
      </w:r>
      <w:r>
        <w:rPr>
          <w:rFonts w:hint="default" w:ascii="Times New Roman" w:hAnsi="Times New Roman" w:cs="Times New Roman"/>
          <w:bCs/>
          <w:lang w:val="zh-CN"/>
        </w:rPr>
        <w:fldChar w:fldCharType="separate"/>
      </w:r>
      <w:r>
        <w:rPr>
          <w:rFonts w:hint="default" w:ascii="Times New Roman" w:hAnsi="Times New Roman" w:eastAsia="宋体" w:cs="Times New Roman"/>
          <w:szCs w:val="28"/>
          <w:lang w:val="en-US" w:eastAsia="zh-CN"/>
        </w:rPr>
        <w:t>9</w:t>
      </w:r>
      <w:r>
        <w:rPr>
          <w:rFonts w:hint="default" w:ascii="Times New Roman" w:hAnsi="Times New Roman" w:eastAsia="宋体" w:cs="Times New Roman"/>
          <w:szCs w:val="28"/>
        </w:rPr>
        <w:t>.7污染物排放清单</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_Toc19836 \h </w:instrText>
      </w:r>
      <w:r>
        <w:rPr>
          <w:rFonts w:hint="default" w:ascii="Times New Roman" w:hAnsi="Times New Roman" w:cs="Times New Roman"/>
        </w:rPr>
        <w:fldChar w:fldCharType="separate"/>
      </w:r>
      <w:r>
        <w:rPr>
          <w:rFonts w:hint="default" w:ascii="Times New Roman" w:hAnsi="Times New Roman" w:cs="Times New Roman"/>
        </w:rPr>
        <w:t>208</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36"/>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_Toc9106 </w:instrText>
      </w:r>
      <w:r>
        <w:rPr>
          <w:rFonts w:hint="default" w:ascii="Times New Roman" w:hAnsi="Times New Roman" w:cs="Times New Roman"/>
          <w:bCs/>
          <w:lang w:val="zh-CN"/>
        </w:rPr>
        <w:fldChar w:fldCharType="separate"/>
      </w:r>
      <w:r>
        <w:rPr>
          <w:rFonts w:hint="default" w:ascii="Times New Roman" w:hAnsi="Times New Roman" w:eastAsia="宋体" w:cs="Times New Roman"/>
          <w:szCs w:val="28"/>
          <w:lang w:val="en-US" w:eastAsia="zh-CN"/>
        </w:rPr>
        <w:t>9</w:t>
      </w:r>
      <w:r>
        <w:rPr>
          <w:rFonts w:hint="default" w:ascii="Times New Roman" w:hAnsi="Times New Roman" w:eastAsia="宋体" w:cs="Times New Roman"/>
          <w:szCs w:val="28"/>
        </w:rPr>
        <w:t>.8污染物排放总量控制</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_Toc9106 \h </w:instrText>
      </w:r>
      <w:r>
        <w:rPr>
          <w:rFonts w:hint="default" w:ascii="Times New Roman" w:hAnsi="Times New Roman" w:cs="Times New Roman"/>
        </w:rPr>
        <w:fldChar w:fldCharType="separate"/>
      </w:r>
      <w:r>
        <w:rPr>
          <w:rFonts w:hint="default" w:ascii="Times New Roman" w:hAnsi="Times New Roman" w:cs="Times New Roman"/>
        </w:rPr>
        <w:t>209</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36"/>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_Toc10892 </w:instrText>
      </w:r>
      <w:r>
        <w:rPr>
          <w:rFonts w:hint="default" w:ascii="Times New Roman" w:hAnsi="Times New Roman" w:cs="Times New Roman"/>
          <w:bCs/>
          <w:lang w:val="zh-CN"/>
        </w:rPr>
        <w:fldChar w:fldCharType="separate"/>
      </w:r>
      <w:r>
        <w:rPr>
          <w:rFonts w:hint="default" w:ascii="Times New Roman" w:hAnsi="Times New Roman" w:eastAsia="宋体" w:cs="Times New Roman"/>
          <w:szCs w:val="28"/>
          <w:lang w:val="en-US" w:eastAsia="zh-CN"/>
        </w:rPr>
        <w:t>9</w:t>
      </w:r>
      <w:r>
        <w:rPr>
          <w:rFonts w:hint="default" w:ascii="Times New Roman" w:hAnsi="Times New Roman" w:eastAsia="宋体" w:cs="Times New Roman"/>
          <w:szCs w:val="28"/>
        </w:rPr>
        <w:t>.9排污口规范化管理</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_Toc10892 \h </w:instrText>
      </w:r>
      <w:r>
        <w:rPr>
          <w:rFonts w:hint="default" w:ascii="Times New Roman" w:hAnsi="Times New Roman" w:cs="Times New Roman"/>
        </w:rPr>
        <w:fldChar w:fldCharType="separate"/>
      </w:r>
      <w:r>
        <w:rPr>
          <w:rFonts w:hint="default" w:ascii="Times New Roman" w:hAnsi="Times New Roman" w:cs="Times New Roman"/>
        </w:rPr>
        <w:t>209</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31"/>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_Toc15067 </w:instrText>
      </w:r>
      <w:r>
        <w:rPr>
          <w:rFonts w:hint="default" w:ascii="Times New Roman" w:hAnsi="Times New Roman" w:cs="Times New Roman"/>
          <w:bCs/>
          <w:lang w:val="zh-CN"/>
        </w:rPr>
        <w:fldChar w:fldCharType="separate"/>
      </w:r>
      <w:r>
        <w:rPr>
          <w:rFonts w:hint="default" w:ascii="Times New Roman" w:hAnsi="Times New Roman" w:cs="Times New Roman"/>
          <w:kern w:val="44"/>
          <w:szCs w:val="44"/>
          <w:lang w:val="en-US" w:eastAsia="zh-CN"/>
        </w:rPr>
        <w:t>10</w:t>
      </w:r>
      <w:r>
        <w:rPr>
          <w:rFonts w:hint="default" w:ascii="Times New Roman" w:hAnsi="Times New Roman" w:cs="Times New Roman"/>
          <w:kern w:val="44"/>
          <w:szCs w:val="44"/>
        </w:rPr>
        <w:t>环境影响评价结论</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_Toc15067 \h </w:instrText>
      </w:r>
      <w:r>
        <w:rPr>
          <w:rFonts w:hint="default" w:ascii="Times New Roman" w:hAnsi="Times New Roman" w:cs="Times New Roman"/>
        </w:rPr>
        <w:fldChar w:fldCharType="separate"/>
      </w:r>
      <w:r>
        <w:rPr>
          <w:rFonts w:hint="default" w:ascii="Times New Roman" w:hAnsi="Times New Roman" w:cs="Times New Roman"/>
        </w:rPr>
        <w:t>212</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36"/>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_Toc5990 </w:instrText>
      </w:r>
      <w:r>
        <w:rPr>
          <w:rFonts w:hint="default" w:ascii="Times New Roman" w:hAnsi="Times New Roman" w:cs="Times New Roman"/>
          <w:bCs/>
          <w:lang w:val="zh-CN"/>
        </w:rPr>
        <w:fldChar w:fldCharType="separate"/>
      </w:r>
      <w:r>
        <w:rPr>
          <w:rFonts w:hint="default" w:ascii="Times New Roman" w:hAnsi="Times New Roman" w:eastAsia="宋体" w:cs="Times New Roman"/>
          <w:szCs w:val="28"/>
          <w:lang w:val="en-US" w:eastAsia="zh-CN"/>
        </w:rPr>
        <w:t>10</w:t>
      </w:r>
      <w:r>
        <w:rPr>
          <w:rFonts w:hint="default" w:ascii="Times New Roman" w:hAnsi="Times New Roman" w:eastAsia="宋体" w:cs="Times New Roman"/>
          <w:szCs w:val="28"/>
        </w:rPr>
        <w:t>.1项目概况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_Toc5990 \h </w:instrText>
      </w:r>
      <w:r>
        <w:rPr>
          <w:rFonts w:hint="default" w:ascii="Times New Roman" w:hAnsi="Times New Roman" w:cs="Times New Roman"/>
        </w:rPr>
        <w:fldChar w:fldCharType="separate"/>
      </w:r>
      <w:r>
        <w:rPr>
          <w:rFonts w:hint="default" w:ascii="Times New Roman" w:hAnsi="Times New Roman" w:cs="Times New Roman"/>
        </w:rPr>
        <w:t>212</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36"/>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_Toc8656 </w:instrText>
      </w:r>
      <w:r>
        <w:rPr>
          <w:rFonts w:hint="default" w:ascii="Times New Roman" w:hAnsi="Times New Roman" w:cs="Times New Roman"/>
          <w:bCs/>
          <w:lang w:val="zh-CN"/>
        </w:rPr>
        <w:fldChar w:fldCharType="separate"/>
      </w:r>
      <w:r>
        <w:rPr>
          <w:rFonts w:hint="default" w:ascii="Times New Roman" w:hAnsi="Times New Roman" w:eastAsia="宋体" w:cs="Times New Roman"/>
          <w:szCs w:val="28"/>
          <w:lang w:val="en-US" w:eastAsia="zh-CN"/>
        </w:rPr>
        <w:t>10</w:t>
      </w:r>
      <w:r>
        <w:rPr>
          <w:rFonts w:hint="default" w:ascii="Times New Roman" w:hAnsi="Times New Roman" w:eastAsia="宋体" w:cs="Times New Roman"/>
          <w:szCs w:val="28"/>
        </w:rPr>
        <w:t>.2环境质量现状评价结论</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_Toc8656 \h </w:instrText>
      </w:r>
      <w:r>
        <w:rPr>
          <w:rFonts w:hint="default" w:ascii="Times New Roman" w:hAnsi="Times New Roman" w:cs="Times New Roman"/>
        </w:rPr>
        <w:fldChar w:fldCharType="separate"/>
      </w:r>
      <w:r>
        <w:rPr>
          <w:rFonts w:hint="default" w:ascii="Times New Roman" w:hAnsi="Times New Roman" w:cs="Times New Roman"/>
        </w:rPr>
        <w:t>212</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36"/>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_Toc2341 </w:instrText>
      </w:r>
      <w:r>
        <w:rPr>
          <w:rFonts w:hint="default" w:ascii="Times New Roman" w:hAnsi="Times New Roman" w:cs="Times New Roman"/>
          <w:bCs/>
          <w:lang w:val="zh-CN"/>
        </w:rPr>
        <w:fldChar w:fldCharType="separate"/>
      </w:r>
      <w:r>
        <w:rPr>
          <w:rFonts w:hint="default" w:ascii="Times New Roman" w:hAnsi="Times New Roman" w:eastAsia="宋体" w:cs="Times New Roman"/>
          <w:szCs w:val="28"/>
          <w:lang w:val="en-US" w:eastAsia="zh-CN"/>
        </w:rPr>
        <w:t>10</w:t>
      </w:r>
      <w:r>
        <w:rPr>
          <w:rFonts w:hint="default" w:ascii="Times New Roman" w:hAnsi="Times New Roman" w:eastAsia="宋体" w:cs="Times New Roman"/>
          <w:szCs w:val="28"/>
        </w:rPr>
        <w:t>.3环境影响评价结论</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_Toc2341 \h </w:instrText>
      </w:r>
      <w:r>
        <w:rPr>
          <w:rFonts w:hint="default" w:ascii="Times New Roman" w:hAnsi="Times New Roman" w:cs="Times New Roman"/>
        </w:rPr>
        <w:fldChar w:fldCharType="separate"/>
      </w:r>
      <w:r>
        <w:rPr>
          <w:rFonts w:hint="default" w:ascii="Times New Roman" w:hAnsi="Times New Roman" w:cs="Times New Roman"/>
        </w:rPr>
        <w:t>212</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23"/>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_Toc19294 </w:instrText>
      </w:r>
      <w:r>
        <w:rPr>
          <w:rFonts w:hint="default" w:ascii="Times New Roman" w:hAnsi="Times New Roman" w:cs="Times New Roman"/>
          <w:bCs/>
          <w:lang w:val="zh-CN"/>
        </w:rPr>
        <w:fldChar w:fldCharType="separate"/>
      </w:r>
      <w:r>
        <w:rPr>
          <w:rFonts w:hint="default" w:ascii="Times New Roman" w:hAnsi="Times New Roman" w:cs="Times New Roman"/>
          <w:szCs w:val="28"/>
          <w:lang w:val="en-US" w:eastAsia="zh-CN"/>
        </w:rPr>
        <w:t>10</w:t>
      </w:r>
      <w:r>
        <w:rPr>
          <w:rFonts w:hint="default" w:ascii="Times New Roman" w:hAnsi="Times New Roman" w:cs="Times New Roman"/>
          <w:szCs w:val="28"/>
        </w:rPr>
        <w:t>.3.1施工期环境影响评价</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_Toc19294 \h </w:instrText>
      </w:r>
      <w:r>
        <w:rPr>
          <w:rFonts w:hint="default" w:ascii="Times New Roman" w:hAnsi="Times New Roman" w:cs="Times New Roman"/>
        </w:rPr>
        <w:fldChar w:fldCharType="separate"/>
      </w:r>
      <w:r>
        <w:rPr>
          <w:rFonts w:hint="default" w:ascii="Times New Roman" w:hAnsi="Times New Roman" w:cs="Times New Roman"/>
        </w:rPr>
        <w:t>212</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23"/>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_Toc14390 </w:instrText>
      </w:r>
      <w:r>
        <w:rPr>
          <w:rFonts w:hint="default" w:ascii="Times New Roman" w:hAnsi="Times New Roman" w:cs="Times New Roman"/>
          <w:bCs/>
          <w:lang w:val="zh-CN"/>
        </w:rPr>
        <w:fldChar w:fldCharType="separate"/>
      </w:r>
      <w:r>
        <w:rPr>
          <w:rFonts w:hint="default" w:ascii="Times New Roman" w:hAnsi="Times New Roman" w:cs="Times New Roman"/>
          <w:szCs w:val="28"/>
          <w:lang w:val="en-US" w:eastAsia="zh-CN"/>
        </w:rPr>
        <w:t>10</w:t>
      </w:r>
      <w:r>
        <w:rPr>
          <w:rFonts w:hint="default" w:ascii="Times New Roman" w:hAnsi="Times New Roman" w:cs="Times New Roman"/>
          <w:szCs w:val="28"/>
        </w:rPr>
        <w:t>.3.2运营期环境影响评价</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_Toc14390 \h </w:instrText>
      </w:r>
      <w:r>
        <w:rPr>
          <w:rFonts w:hint="default" w:ascii="Times New Roman" w:hAnsi="Times New Roman" w:cs="Times New Roman"/>
        </w:rPr>
        <w:fldChar w:fldCharType="separate"/>
      </w:r>
      <w:r>
        <w:rPr>
          <w:rFonts w:hint="default" w:ascii="Times New Roman" w:hAnsi="Times New Roman" w:cs="Times New Roman"/>
        </w:rPr>
        <w:t>213</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36"/>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_Toc17043 </w:instrText>
      </w:r>
      <w:r>
        <w:rPr>
          <w:rFonts w:hint="default" w:ascii="Times New Roman" w:hAnsi="Times New Roman" w:cs="Times New Roman"/>
          <w:bCs/>
          <w:lang w:val="zh-CN"/>
        </w:rPr>
        <w:fldChar w:fldCharType="separate"/>
      </w:r>
      <w:r>
        <w:rPr>
          <w:rFonts w:hint="default" w:ascii="Times New Roman" w:hAnsi="Times New Roman" w:eastAsia="宋体" w:cs="Times New Roman"/>
          <w:szCs w:val="28"/>
          <w:lang w:val="en-US" w:eastAsia="zh-CN"/>
        </w:rPr>
        <w:t>10</w:t>
      </w:r>
      <w:r>
        <w:rPr>
          <w:rFonts w:hint="default" w:ascii="Times New Roman" w:hAnsi="Times New Roman" w:eastAsia="宋体" w:cs="Times New Roman"/>
          <w:szCs w:val="28"/>
        </w:rPr>
        <w:t>.</w:t>
      </w:r>
      <w:r>
        <w:rPr>
          <w:rFonts w:hint="default" w:ascii="Times New Roman" w:hAnsi="Times New Roman" w:eastAsia="宋体" w:cs="Times New Roman"/>
          <w:szCs w:val="28"/>
          <w:lang w:val="en-US" w:eastAsia="zh-CN"/>
        </w:rPr>
        <w:t>4</w:t>
      </w:r>
      <w:r>
        <w:rPr>
          <w:rFonts w:hint="default" w:ascii="Times New Roman" w:hAnsi="Times New Roman" w:eastAsia="宋体" w:cs="Times New Roman"/>
          <w:szCs w:val="28"/>
        </w:rPr>
        <w:t>项目经济损益分析结论</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_Toc17043 \h </w:instrText>
      </w:r>
      <w:r>
        <w:rPr>
          <w:rFonts w:hint="default" w:ascii="Times New Roman" w:hAnsi="Times New Roman" w:cs="Times New Roman"/>
        </w:rPr>
        <w:fldChar w:fldCharType="separate"/>
      </w:r>
      <w:r>
        <w:rPr>
          <w:rFonts w:hint="default" w:ascii="Times New Roman" w:hAnsi="Times New Roman" w:cs="Times New Roman"/>
        </w:rPr>
        <w:t>214</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36"/>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_Toc11906 </w:instrText>
      </w:r>
      <w:r>
        <w:rPr>
          <w:rFonts w:hint="default" w:ascii="Times New Roman" w:hAnsi="Times New Roman" w:cs="Times New Roman"/>
          <w:bCs/>
          <w:lang w:val="zh-CN"/>
        </w:rPr>
        <w:fldChar w:fldCharType="separate"/>
      </w:r>
      <w:r>
        <w:rPr>
          <w:rFonts w:hint="default" w:ascii="Times New Roman" w:hAnsi="Times New Roman" w:eastAsia="宋体" w:cs="Times New Roman"/>
          <w:szCs w:val="28"/>
          <w:lang w:val="en-US" w:eastAsia="zh-CN"/>
        </w:rPr>
        <w:t>10</w:t>
      </w:r>
      <w:r>
        <w:rPr>
          <w:rFonts w:hint="default" w:ascii="Times New Roman" w:hAnsi="Times New Roman" w:eastAsia="宋体" w:cs="Times New Roman"/>
          <w:szCs w:val="28"/>
        </w:rPr>
        <w:t>.</w:t>
      </w:r>
      <w:r>
        <w:rPr>
          <w:rFonts w:hint="default" w:ascii="Times New Roman" w:hAnsi="Times New Roman" w:eastAsia="宋体" w:cs="Times New Roman"/>
          <w:szCs w:val="28"/>
          <w:lang w:val="en-US" w:eastAsia="zh-CN"/>
        </w:rPr>
        <w:t>5</w:t>
      </w:r>
      <w:r>
        <w:rPr>
          <w:rFonts w:hint="default" w:ascii="Times New Roman" w:hAnsi="Times New Roman" w:eastAsia="宋体" w:cs="Times New Roman"/>
          <w:szCs w:val="28"/>
          <w:lang w:eastAsia="zh-CN"/>
        </w:rPr>
        <w:t>公众意见采纳情况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_Toc11906 \h </w:instrText>
      </w:r>
      <w:r>
        <w:rPr>
          <w:rFonts w:hint="default" w:ascii="Times New Roman" w:hAnsi="Times New Roman" w:cs="Times New Roman"/>
        </w:rPr>
        <w:fldChar w:fldCharType="separate"/>
      </w:r>
      <w:r>
        <w:rPr>
          <w:rFonts w:hint="default" w:ascii="Times New Roman" w:hAnsi="Times New Roman" w:cs="Times New Roman"/>
        </w:rPr>
        <w:t>214</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pStyle w:val="36"/>
        <w:tabs>
          <w:tab w:val="right" w:leader="dot" w:pos="8312"/>
        </w:tabs>
        <w:rPr>
          <w:rFonts w:hint="default" w:ascii="Times New Roman" w:hAnsi="Times New Roman" w:cs="Times New Roman"/>
        </w:rPr>
      </w:pPr>
      <w:r>
        <w:rPr>
          <w:rFonts w:hint="default" w:ascii="Times New Roman" w:hAnsi="Times New Roman" w:cs="Times New Roman"/>
          <w:bCs/>
          <w:color w:val="FF0000"/>
          <w:lang w:val="zh-CN"/>
        </w:rPr>
        <w:fldChar w:fldCharType="begin"/>
      </w:r>
      <w:r>
        <w:rPr>
          <w:rFonts w:hint="default" w:ascii="Times New Roman" w:hAnsi="Times New Roman" w:cs="Times New Roman"/>
          <w:bCs/>
          <w:lang w:val="zh-CN"/>
        </w:rPr>
        <w:instrText xml:space="preserve"> HYPERLINK \l _Toc4246 </w:instrText>
      </w:r>
      <w:r>
        <w:rPr>
          <w:rFonts w:hint="default" w:ascii="Times New Roman" w:hAnsi="Times New Roman" w:cs="Times New Roman"/>
          <w:bCs/>
          <w:lang w:val="zh-CN"/>
        </w:rPr>
        <w:fldChar w:fldCharType="separate"/>
      </w:r>
      <w:r>
        <w:rPr>
          <w:rFonts w:hint="default" w:ascii="Times New Roman" w:hAnsi="Times New Roman" w:eastAsia="宋体" w:cs="Times New Roman"/>
          <w:szCs w:val="28"/>
          <w:lang w:val="en-US" w:eastAsia="zh-CN"/>
        </w:rPr>
        <w:t>10</w:t>
      </w:r>
      <w:r>
        <w:rPr>
          <w:rFonts w:hint="default" w:ascii="Times New Roman" w:hAnsi="Times New Roman" w:eastAsia="宋体" w:cs="Times New Roman"/>
          <w:szCs w:val="28"/>
        </w:rPr>
        <w:t>.6环境影响评价总结论</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_Toc4246 \h </w:instrText>
      </w:r>
      <w:r>
        <w:rPr>
          <w:rFonts w:hint="default" w:ascii="Times New Roman" w:hAnsi="Times New Roman" w:cs="Times New Roman"/>
        </w:rPr>
        <w:fldChar w:fldCharType="separate"/>
      </w:r>
      <w:r>
        <w:rPr>
          <w:rFonts w:hint="default" w:ascii="Times New Roman" w:hAnsi="Times New Roman" w:cs="Times New Roman"/>
        </w:rPr>
        <w:t>214</w:t>
      </w:r>
      <w:r>
        <w:rPr>
          <w:rFonts w:hint="default" w:ascii="Times New Roman" w:hAnsi="Times New Roman" w:cs="Times New Roman"/>
        </w:rPr>
        <w:fldChar w:fldCharType="end"/>
      </w:r>
      <w:r>
        <w:rPr>
          <w:rFonts w:hint="default" w:ascii="Times New Roman" w:hAnsi="Times New Roman" w:cs="Times New Roman"/>
          <w:bCs/>
          <w:color w:val="FF0000"/>
          <w:lang w:val="zh-CN"/>
        </w:rPr>
        <w:fldChar w:fldCharType="end"/>
      </w:r>
    </w:p>
    <w:p>
      <w:pPr>
        <w:spacing w:line="300" w:lineRule="exact"/>
        <w:rPr>
          <w:rFonts w:hint="default" w:ascii="Times New Roman" w:hAnsi="Times New Roman" w:cs="Times New Roman"/>
          <w:color w:val="FF0000"/>
        </w:rPr>
      </w:pPr>
      <w:r>
        <w:rPr>
          <w:rFonts w:hint="default" w:ascii="Times New Roman" w:hAnsi="Times New Roman" w:cs="Times New Roman"/>
          <w:bCs/>
          <w:color w:val="FF0000"/>
          <w:lang w:val="zh-CN"/>
        </w:rPr>
        <w:fldChar w:fldCharType="end"/>
      </w:r>
    </w:p>
    <w:p>
      <w:pPr>
        <w:spacing w:line="360" w:lineRule="auto"/>
        <w:ind w:firstLine="560" w:firstLineChars="200"/>
        <w:rPr>
          <w:rFonts w:hint="default" w:ascii="Times New Roman" w:hAnsi="Times New Roman" w:cs="Times New Roman"/>
          <w:color w:val="FF0000"/>
          <w:sz w:val="28"/>
          <w:szCs w:val="36"/>
        </w:rPr>
      </w:pPr>
    </w:p>
    <w:p>
      <w:pPr>
        <w:pStyle w:val="3"/>
        <w:spacing w:before="360" w:after="360"/>
        <w:rPr>
          <w:rFonts w:hint="default" w:ascii="Times New Roman" w:hAnsi="Times New Roman" w:cs="Times New Roman"/>
          <w:color w:val="FF0000"/>
        </w:rPr>
        <w:sectPr>
          <w:headerReference r:id="rId3" w:type="default"/>
          <w:footerReference r:id="rId4" w:type="default"/>
          <w:pgSz w:w="11906" w:h="16838"/>
          <w:pgMar w:top="1440" w:right="1797" w:bottom="1440" w:left="1797" w:header="851" w:footer="992" w:gutter="0"/>
          <w:pgBorders>
            <w:top w:val="none" w:sz="0" w:space="0"/>
            <w:left w:val="none" w:sz="0" w:space="0"/>
            <w:bottom w:val="none" w:sz="0" w:space="0"/>
            <w:right w:val="none" w:sz="0" w:space="0"/>
          </w:pgBorders>
          <w:pgNumType w:fmt="upperRoman" w:start="1"/>
          <w:cols w:space="720" w:num="1"/>
          <w:docGrid w:linePitch="312" w:charSpace="0"/>
        </w:sectPr>
      </w:pPr>
      <w:bookmarkStart w:id="3" w:name="_Toc11961"/>
      <w:bookmarkStart w:id="4" w:name="_Toc21768"/>
    </w:p>
    <w:p>
      <w:pPr>
        <w:pStyle w:val="3"/>
        <w:spacing w:beforeLines="0" w:afterLines="100"/>
        <w:jc w:val="center"/>
        <w:rPr>
          <w:rFonts w:hint="default" w:ascii="Times New Roman" w:hAnsi="Times New Roman" w:cs="Times New Roman"/>
          <w:color w:val="auto"/>
        </w:rPr>
      </w:pPr>
      <w:bookmarkStart w:id="5" w:name="_Toc3206"/>
      <w:r>
        <w:rPr>
          <w:rFonts w:hint="default" w:ascii="Times New Roman" w:hAnsi="Times New Roman" w:cs="Times New Roman"/>
          <w:color w:val="auto"/>
        </w:rPr>
        <w:t>概述</w:t>
      </w:r>
      <w:bookmarkEnd w:id="0"/>
      <w:bookmarkEnd w:id="1"/>
      <w:bookmarkEnd w:id="2"/>
      <w:bookmarkEnd w:id="3"/>
      <w:bookmarkEnd w:id="4"/>
      <w:bookmarkEnd w:id="5"/>
    </w:p>
    <w:p>
      <w:pPr>
        <w:spacing w:line="360" w:lineRule="auto"/>
        <w:ind w:firstLine="482" w:firstLineChars="200"/>
        <w:rPr>
          <w:rFonts w:hint="default" w:ascii="Times New Roman" w:hAnsi="Times New Roman" w:cs="Times New Roman"/>
          <w:b/>
          <w:color w:val="auto"/>
        </w:rPr>
      </w:pPr>
      <w:r>
        <w:rPr>
          <w:rFonts w:hint="default" w:ascii="Times New Roman" w:hAnsi="Times New Roman" w:cs="Times New Roman"/>
          <w:b/>
          <w:color w:val="auto"/>
        </w:rPr>
        <w:t>一、建设项目概况及特点</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1、项目背景</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lang w:eastAsia="zh-CN"/>
        </w:rPr>
        <w:t>云南</w:t>
      </w:r>
      <w:r>
        <w:rPr>
          <w:rFonts w:hint="default" w:ascii="Times New Roman" w:hAnsi="Times New Roman" w:cs="Times New Roman"/>
          <w:color w:val="auto"/>
        </w:rPr>
        <w:t>宇泽半导体有限公司是一家以太阳能多晶硅锭、单晶硅棒、硅片、太阳能电池、氢燃料电池为主，集研发、生产、销售、服务于一体的中外合资技术创新型企业。公司拥有国际领先的研发实验室及一流生产基地，由日本资深电池专家带领的核心研发团队，以及一支有着团结进取、勇于创新、经验丰富的管理队伍，凭借雄厚的技术优势和多年的研发生产经验，不懈创新，致力于为客户在太阳能与风能发电储能、国家电网、电动汽车等领域提供高效Perc、N型电池片及储能技术的解决方案。</w:t>
      </w:r>
    </w:p>
    <w:p>
      <w:pPr>
        <w:spacing w:line="360" w:lineRule="auto"/>
        <w:ind w:firstLine="480" w:firstLineChars="20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2、历史沿革</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2019年5月28日，宇泽半导体（云南）有限公司成立；</w:t>
      </w:r>
    </w:p>
    <w:p>
      <w:pPr>
        <w:spacing w:line="360" w:lineRule="auto"/>
        <w:ind w:firstLine="480" w:firstLineChars="200"/>
        <w:rPr>
          <w:rFonts w:hint="default" w:ascii="Times New Roman" w:hAnsi="Times New Roman" w:cs="Times New Roman"/>
          <w:color w:val="auto"/>
          <w:kern w:val="0"/>
        </w:rPr>
      </w:pPr>
      <w:r>
        <w:rPr>
          <w:rFonts w:hint="default" w:ascii="Times New Roman" w:hAnsi="Times New Roman" w:cs="Times New Roman"/>
          <w:color w:val="auto"/>
          <w:kern w:val="0"/>
        </w:rPr>
        <w:t>2019年11月，《宇泽半导体（云南）有限公司年产5GW单晶硅棒及3GW切片生产线项目环境影响报告书》通过评审并取得批复</w:t>
      </w:r>
      <w:r>
        <w:rPr>
          <w:rFonts w:hint="default" w:ascii="Times New Roman" w:hAnsi="Times New Roman" w:cs="Times New Roman"/>
          <w:color w:val="auto"/>
        </w:rPr>
        <w:t>（楚市环许准</w:t>
      </w:r>
      <w:r>
        <w:rPr>
          <w:rFonts w:hint="default" w:ascii="Times New Roman" w:hAnsi="Times New Roman" w:cs="Times New Roman"/>
          <w:color w:val="auto"/>
          <w:lang w:eastAsia="zh-CN"/>
        </w:rPr>
        <w:t>〔20</w:t>
      </w:r>
      <w:r>
        <w:rPr>
          <w:rFonts w:hint="default" w:ascii="Times New Roman" w:hAnsi="Times New Roman" w:cs="Times New Roman"/>
          <w:color w:val="auto"/>
          <w:lang w:val="en-US" w:eastAsia="zh-CN"/>
        </w:rPr>
        <w:t>19</w:t>
      </w:r>
      <w:r>
        <w:rPr>
          <w:rFonts w:hint="default" w:ascii="Times New Roman" w:hAnsi="Times New Roman" w:cs="Times New Roman"/>
          <w:color w:val="auto"/>
          <w:lang w:eastAsia="zh-CN"/>
        </w:rPr>
        <w:t>〕</w:t>
      </w:r>
      <w:r>
        <w:rPr>
          <w:rFonts w:hint="default" w:ascii="Times New Roman" w:hAnsi="Times New Roman" w:cs="Times New Roman"/>
          <w:color w:val="auto"/>
        </w:rPr>
        <w:t>33号），该项目分两期进行建设，</w:t>
      </w:r>
      <w:r>
        <w:rPr>
          <w:rFonts w:hint="default" w:ascii="Times New Roman" w:hAnsi="Times New Roman" w:cs="Times New Roman"/>
          <w:color w:val="auto"/>
          <w:kern w:val="0"/>
        </w:rPr>
        <w:t>一期建设3GW单晶硅生产线，二期建设2GW单晶硅生产线及3GW单晶硅切片生产线。</w:t>
      </w:r>
    </w:p>
    <w:p>
      <w:pPr>
        <w:spacing w:line="360" w:lineRule="auto"/>
        <w:ind w:firstLine="480" w:firstLineChars="200"/>
        <w:rPr>
          <w:rFonts w:hint="default" w:ascii="Times New Roman" w:hAnsi="Times New Roman" w:cs="Times New Roman"/>
          <w:color w:val="auto"/>
          <w:kern w:val="0"/>
        </w:rPr>
      </w:pPr>
      <w:r>
        <w:rPr>
          <w:rFonts w:hint="default" w:ascii="Times New Roman" w:hAnsi="Times New Roman" w:cs="Times New Roman"/>
          <w:color w:val="auto"/>
          <w:kern w:val="0"/>
        </w:rPr>
        <w:t>2020年10月，一期建设完成3GW单晶硅拉棒生产线并投产。</w:t>
      </w:r>
    </w:p>
    <w:p>
      <w:pPr>
        <w:pStyle w:val="2"/>
        <w:spacing w:line="360" w:lineRule="auto"/>
        <w:ind w:firstLine="480" w:firstLineChars="200"/>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t>2021年4月，一期取得楚雄州生态环境局核发的排污许可证，证书编号：91532300MA6NUK4U8G001W；</w:t>
      </w:r>
    </w:p>
    <w:p>
      <w:pPr>
        <w:pStyle w:val="2"/>
        <w:spacing w:line="360" w:lineRule="auto"/>
        <w:ind w:firstLine="480" w:firstLineChars="200"/>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t>2021年5月，一期已完成环保验收工作，二期（2GW单晶硅拉棒及3GW单晶硅切片）仍处于建设阶段。</w:t>
      </w:r>
    </w:p>
    <w:p>
      <w:pPr>
        <w:spacing w:line="360" w:lineRule="auto"/>
        <w:ind w:firstLine="480" w:firstLineChars="200"/>
        <w:rPr>
          <w:rFonts w:hint="default" w:ascii="Times New Roman" w:hAnsi="Times New Roman" w:cs="Times New Roman"/>
          <w:color w:val="auto"/>
          <w:kern w:val="2"/>
          <w:sz w:val="24"/>
          <w:szCs w:val="24"/>
          <w:lang w:val="en-US" w:eastAsia="zh-CN"/>
        </w:rPr>
      </w:pPr>
      <w:r>
        <w:rPr>
          <w:rFonts w:hint="default" w:ascii="Times New Roman" w:hAnsi="Times New Roman" w:cs="Times New Roman"/>
          <w:color w:val="auto"/>
          <w:lang w:val="en-US" w:eastAsia="zh-CN"/>
        </w:rPr>
        <w:t>2021年9月，</w:t>
      </w:r>
      <w:r>
        <w:rPr>
          <w:rFonts w:hint="default" w:ascii="Times New Roman" w:hAnsi="Times New Roman" w:cs="Times New Roman"/>
          <w:color w:val="auto"/>
          <w:kern w:val="0"/>
        </w:rPr>
        <w:t>《年产5GW单晶硅</w:t>
      </w:r>
      <w:r>
        <w:rPr>
          <w:rFonts w:hint="default" w:ascii="Times New Roman" w:hAnsi="Times New Roman" w:cs="Times New Roman"/>
          <w:color w:val="auto"/>
          <w:kern w:val="0"/>
          <w:lang w:eastAsia="zh-CN"/>
        </w:rPr>
        <w:t>拉</w:t>
      </w:r>
      <w:r>
        <w:rPr>
          <w:rFonts w:hint="default" w:ascii="Times New Roman" w:hAnsi="Times New Roman" w:cs="Times New Roman"/>
          <w:color w:val="auto"/>
          <w:kern w:val="0"/>
        </w:rPr>
        <w:t>棒及</w:t>
      </w:r>
      <w:r>
        <w:rPr>
          <w:rFonts w:hint="default" w:ascii="Times New Roman" w:hAnsi="Times New Roman" w:cs="Times New Roman"/>
          <w:color w:val="auto"/>
          <w:kern w:val="0"/>
          <w:lang w:val="en-US" w:eastAsia="zh-CN"/>
        </w:rPr>
        <w:t>2</w:t>
      </w:r>
      <w:r>
        <w:rPr>
          <w:rFonts w:hint="default" w:ascii="Times New Roman" w:hAnsi="Times New Roman" w:cs="Times New Roman"/>
          <w:color w:val="auto"/>
          <w:kern w:val="0"/>
        </w:rPr>
        <w:t>GW切片项目环境影响报告书》</w:t>
      </w:r>
      <w:r>
        <w:rPr>
          <w:rFonts w:hint="default" w:ascii="Times New Roman" w:hAnsi="Times New Roman" w:cs="Times New Roman"/>
          <w:color w:val="auto"/>
          <w:kern w:val="0"/>
          <w:lang w:eastAsia="zh-CN"/>
        </w:rPr>
        <w:t>通过评审并取得批复（楚环许准</w:t>
      </w:r>
      <w:r>
        <w:rPr>
          <w:rFonts w:hint="default" w:ascii="Times New Roman" w:hAnsi="Times New Roman" w:cs="Times New Roman"/>
          <w:color w:val="auto"/>
          <w:lang w:eastAsia="zh-CN"/>
        </w:rPr>
        <w:t>〔2021〕79</w:t>
      </w:r>
      <w:r>
        <w:rPr>
          <w:rFonts w:hint="default" w:ascii="Times New Roman" w:hAnsi="Times New Roman" w:cs="Times New Roman"/>
          <w:color w:val="auto"/>
        </w:rPr>
        <w:t>号</w:t>
      </w:r>
      <w:r>
        <w:rPr>
          <w:rFonts w:hint="default" w:ascii="Times New Roman" w:hAnsi="Times New Roman" w:cs="Times New Roman"/>
          <w:color w:val="auto"/>
          <w:kern w:val="0"/>
          <w:lang w:eastAsia="zh-CN"/>
        </w:rPr>
        <w:t>），项目在“</w:t>
      </w:r>
      <w:r>
        <w:rPr>
          <w:rFonts w:hint="default" w:ascii="Times New Roman" w:hAnsi="Times New Roman" w:cs="Times New Roman"/>
          <w:color w:val="auto"/>
          <w:kern w:val="0"/>
        </w:rPr>
        <w:t>宇泽半导体（云南）有限公司年产5GW单晶硅棒及3GW切片生产线项目</w:t>
      </w:r>
      <w:r>
        <w:rPr>
          <w:rFonts w:hint="default" w:ascii="Times New Roman" w:hAnsi="Times New Roman" w:cs="Times New Roman"/>
          <w:color w:val="auto"/>
          <w:kern w:val="0"/>
          <w:lang w:eastAsia="zh-CN"/>
        </w:rPr>
        <w:t>”原厂址内扩大生产规模，依托原项目生产车间及基础设施</w:t>
      </w:r>
      <w:r>
        <w:rPr>
          <w:rFonts w:hint="default" w:ascii="Times New Roman" w:hAnsi="Times New Roman" w:cs="Times New Roman"/>
          <w:color w:val="auto"/>
          <w:kern w:val="2"/>
          <w:sz w:val="24"/>
          <w:szCs w:val="24"/>
          <w:lang w:val="en-US" w:eastAsia="zh-CN"/>
        </w:rPr>
        <w:t>。目前，该项目5GW单晶硅棒生产线已建成试运行，2GW切片生产线仍处于建设阶段。厂区内计划生产总规模达到10GW单晶硅拉棒及5GW单晶硅切片。</w:t>
      </w:r>
    </w:p>
    <w:p>
      <w:pPr>
        <w:spacing w:line="360" w:lineRule="auto"/>
        <w:ind w:firstLine="480" w:firstLineChars="200"/>
        <w:rPr>
          <w:rFonts w:hint="default" w:ascii="Times New Roman" w:hAnsi="Times New Roman" w:cs="Times New Roman"/>
          <w:color w:val="auto"/>
          <w:kern w:val="0"/>
          <w:lang w:val="en-US" w:eastAsia="zh-CN"/>
        </w:rPr>
      </w:pPr>
      <w:r>
        <w:rPr>
          <w:rFonts w:hint="default" w:ascii="Times New Roman" w:hAnsi="Times New Roman" w:cs="Times New Roman"/>
          <w:color w:val="auto"/>
          <w:kern w:val="0"/>
          <w:lang w:val="en-US" w:eastAsia="zh-CN"/>
        </w:rPr>
        <w:t>2022年11月，为满足与政府签订的生产目标，项目办理了“投资备案证”，计划在</w:t>
      </w:r>
      <w:r>
        <w:rPr>
          <w:rFonts w:hint="default" w:ascii="Times New Roman" w:hAnsi="Times New Roman" w:cs="Times New Roman"/>
          <w:color w:val="auto"/>
          <w:kern w:val="0"/>
          <w:lang w:eastAsia="zh-CN"/>
        </w:rPr>
        <w:t>原厂址内</w:t>
      </w:r>
      <w:r>
        <w:rPr>
          <w:rFonts w:hint="default" w:ascii="Times New Roman" w:hAnsi="Times New Roman" w:cs="Times New Roman"/>
          <w:color w:val="auto"/>
          <w:kern w:val="0"/>
          <w:lang w:val="en-US" w:eastAsia="zh-CN"/>
        </w:rPr>
        <w:t>依托原有项目的5GW切片车间继续扩大3GW切片的生产规模，使厂区内</w:t>
      </w:r>
      <w:r>
        <w:rPr>
          <w:rFonts w:hint="default" w:ascii="Times New Roman" w:hAnsi="Times New Roman" w:cs="Times New Roman"/>
          <w:color w:val="auto"/>
          <w:kern w:val="2"/>
          <w:sz w:val="24"/>
          <w:szCs w:val="24"/>
          <w:lang w:val="en-US" w:eastAsia="zh-CN"/>
        </w:rPr>
        <w:t>生产总规模达到10GW单晶硅拉棒及8GW单晶硅切片。</w:t>
      </w:r>
    </w:p>
    <w:p>
      <w:pPr>
        <w:spacing w:line="360" w:lineRule="auto"/>
        <w:ind w:firstLine="480" w:firstLineChars="200"/>
        <w:rPr>
          <w:rFonts w:hint="default" w:ascii="Times New Roman" w:hAnsi="Times New Roman" w:cs="Times New Roman"/>
          <w:color w:val="auto"/>
          <w:kern w:val="0"/>
          <w:lang w:val="en-US" w:eastAsia="zh-CN"/>
        </w:rPr>
      </w:pPr>
      <w:r>
        <w:rPr>
          <w:rFonts w:hint="default" w:ascii="Times New Roman" w:hAnsi="Times New Roman" w:cs="Times New Roman"/>
          <w:color w:val="auto"/>
          <w:kern w:val="0"/>
          <w:lang w:val="en-US" w:eastAsia="zh-CN"/>
        </w:rPr>
        <w:t>截止我公司接受委托时（2023年2月15日），厂区内已建成规模为10GW单晶硅棒生产线，5GW单晶硅切片生产线尚未建成。</w:t>
      </w:r>
    </w:p>
    <w:p>
      <w:pPr>
        <w:spacing w:line="360" w:lineRule="auto"/>
        <w:ind w:firstLine="480" w:firstLineChars="200"/>
        <w:rPr>
          <w:rFonts w:hint="default" w:ascii="Times New Roman" w:hAnsi="Times New Roman" w:cs="Times New Roman"/>
          <w:color w:val="auto"/>
          <w:kern w:val="0"/>
          <w:lang w:val="en-US" w:eastAsia="zh-CN"/>
        </w:rPr>
      </w:pPr>
      <w:r>
        <w:rPr>
          <w:rFonts w:hint="default" w:ascii="Times New Roman" w:hAnsi="Times New Roman" w:cs="Times New Roman"/>
          <w:color w:val="auto"/>
          <w:kern w:val="0"/>
          <w:lang w:val="en-US" w:eastAsia="zh-CN"/>
        </w:rPr>
        <w:t>2023年4月，项目建设单位名称由宇泽半导体（云南）有限公司改为云南宇泽半导体有限公司，实际公司法人、公司架构、建设主体未发生改变，仅变更公司名称。</w:t>
      </w:r>
    </w:p>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bCs/>
          <w:color w:val="auto"/>
          <w:lang w:val="en-US" w:eastAsia="zh-CN"/>
        </w:rPr>
      </w:pPr>
      <w:r>
        <w:rPr>
          <w:rFonts w:hint="default" w:ascii="Times New Roman" w:hAnsi="Times New Roman" w:cs="Times New Roman"/>
          <w:b/>
          <w:bCs/>
          <w:color w:val="auto"/>
          <w:kern w:val="0"/>
          <w:lang w:val="en-US" w:eastAsia="zh-CN"/>
        </w:rPr>
        <w:t>表1 云南宇泽半导体有限公司厂址内项目梳理</w:t>
      </w:r>
    </w:p>
    <w:tbl>
      <w:tblPr>
        <w:tblStyle w:val="44"/>
        <w:tblW w:w="83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792"/>
        <w:gridCol w:w="1108"/>
        <w:gridCol w:w="1438"/>
        <w:gridCol w:w="1471"/>
        <w:gridCol w:w="25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792" w:type="dxa"/>
            <w:vAlign w:val="center"/>
          </w:tcPr>
          <w:p>
            <w:pPr>
              <w:pStyle w:val="167"/>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项目名称</w:t>
            </w:r>
          </w:p>
        </w:tc>
        <w:tc>
          <w:tcPr>
            <w:tcW w:w="1108" w:type="dxa"/>
            <w:vAlign w:val="center"/>
          </w:tcPr>
          <w:p>
            <w:pPr>
              <w:pStyle w:val="167"/>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环评手续办理情况</w:t>
            </w:r>
          </w:p>
        </w:tc>
        <w:tc>
          <w:tcPr>
            <w:tcW w:w="1438" w:type="dxa"/>
            <w:vAlign w:val="center"/>
          </w:tcPr>
          <w:p>
            <w:pPr>
              <w:pStyle w:val="167"/>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lang w:eastAsia="zh-CN"/>
              </w:rPr>
              <w:t>分期情况</w:t>
            </w:r>
          </w:p>
        </w:tc>
        <w:tc>
          <w:tcPr>
            <w:tcW w:w="1471" w:type="dxa"/>
            <w:vAlign w:val="center"/>
          </w:tcPr>
          <w:p>
            <w:pPr>
              <w:pStyle w:val="167"/>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建设内容</w:t>
            </w:r>
          </w:p>
        </w:tc>
        <w:tc>
          <w:tcPr>
            <w:tcW w:w="2589" w:type="dxa"/>
            <w:vAlign w:val="center"/>
          </w:tcPr>
          <w:p>
            <w:pPr>
              <w:pStyle w:val="167"/>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现状建设情况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75" w:hRule="atLeast"/>
          <w:jc w:val="center"/>
        </w:trPr>
        <w:tc>
          <w:tcPr>
            <w:tcW w:w="1792" w:type="dxa"/>
            <w:vMerge w:val="restart"/>
            <w:vAlign w:val="center"/>
          </w:tcPr>
          <w:p>
            <w:pPr>
              <w:pStyle w:val="167"/>
              <w:rPr>
                <w:rFonts w:hint="default" w:ascii="Times New Roman" w:hAnsi="Times New Roman" w:cs="Times New Roman"/>
                <w:color w:val="auto"/>
                <w:sz w:val="21"/>
                <w:szCs w:val="21"/>
                <w:lang w:val="en-US" w:eastAsia="zh-CN"/>
              </w:rPr>
            </w:pPr>
            <w:r>
              <w:rPr>
                <w:rFonts w:hint="default" w:ascii="Times New Roman" w:hAnsi="Times New Roman" w:cs="Times New Roman"/>
                <w:color w:val="auto"/>
                <w:kern w:val="0"/>
                <w:sz w:val="21"/>
                <w:szCs w:val="21"/>
              </w:rPr>
              <w:t>宇泽半导体（云南）有限公司年产5GW单晶硅棒及3GW切片生产线项目</w:t>
            </w:r>
          </w:p>
        </w:tc>
        <w:tc>
          <w:tcPr>
            <w:tcW w:w="1108" w:type="dxa"/>
            <w:vMerge w:val="restart"/>
            <w:vAlign w:val="center"/>
          </w:tcPr>
          <w:p>
            <w:pPr>
              <w:pStyle w:val="167"/>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rPr>
              <w:t>楚市环许准</w:t>
            </w:r>
            <w:r>
              <w:rPr>
                <w:rFonts w:hint="default" w:ascii="Times New Roman" w:hAnsi="Times New Roman" w:cs="Times New Roman"/>
                <w:color w:val="auto"/>
                <w:lang w:eastAsia="zh-CN"/>
              </w:rPr>
              <w:t>〔20</w:t>
            </w:r>
            <w:r>
              <w:rPr>
                <w:rFonts w:hint="default" w:ascii="Times New Roman" w:hAnsi="Times New Roman" w:cs="Times New Roman"/>
                <w:color w:val="auto"/>
                <w:lang w:val="en-US" w:eastAsia="zh-CN"/>
              </w:rPr>
              <w:t>19</w:t>
            </w:r>
            <w:r>
              <w:rPr>
                <w:rFonts w:hint="default" w:ascii="Times New Roman" w:hAnsi="Times New Roman" w:cs="Times New Roman"/>
                <w:color w:val="auto"/>
                <w:lang w:eastAsia="zh-CN"/>
              </w:rPr>
              <w:t>〕</w:t>
            </w:r>
            <w:r>
              <w:rPr>
                <w:rFonts w:hint="default" w:ascii="Times New Roman" w:hAnsi="Times New Roman" w:cs="Times New Roman"/>
                <w:color w:val="auto"/>
              </w:rPr>
              <w:t>33号</w:t>
            </w:r>
          </w:p>
        </w:tc>
        <w:tc>
          <w:tcPr>
            <w:tcW w:w="1438" w:type="dxa"/>
            <w:vAlign w:val="center"/>
          </w:tcPr>
          <w:p>
            <w:pPr>
              <w:pStyle w:val="167"/>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lang w:val="en-US" w:eastAsia="zh-CN"/>
              </w:rPr>
              <w:t>一期（3GW单晶硅拉棒）</w:t>
            </w:r>
          </w:p>
        </w:tc>
        <w:tc>
          <w:tcPr>
            <w:tcW w:w="1471" w:type="dxa"/>
            <w:vAlign w:val="center"/>
          </w:tcPr>
          <w:p>
            <w:pPr>
              <w:pStyle w:val="167"/>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3GW单晶硅拉棒生产线</w:t>
            </w:r>
          </w:p>
        </w:tc>
        <w:tc>
          <w:tcPr>
            <w:tcW w:w="2589" w:type="dxa"/>
            <w:vAlign w:val="center"/>
          </w:tcPr>
          <w:p>
            <w:pPr>
              <w:pStyle w:val="167"/>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已建成投产，已验收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32" w:hRule="atLeast"/>
          <w:jc w:val="center"/>
        </w:trPr>
        <w:tc>
          <w:tcPr>
            <w:tcW w:w="1792" w:type="dxa"/>
            <w:vMerge w:val="continue"/>
            <w:vAlign w:val="center"/>
          </w:tcPr>
          <w:p>
            <w:pPr>
              <w:pStyle w:val="167"/>
              <w:rPr>
                <w:rFonts w:hint="default" w:ascii="Times New Roman" w:hAnsi="Times New Roman" w:cs="Times New Roman"/>
                <w:color w:val="auto"/>
              </w:rPr>
            </w:pPr>
          </w:p>
        </w:tc>
        <w:tc>
          <w:tcPr>
            <w:tcW w:w="1108" w:type="dxa"/>
            <w:vMerge w:val="continue"/>
            <w:vAlign w:val="center"/>
          </w:tcPr>
          <w:p>
            <w:pPr>
              <w:pStyle w:val="167"/>
              <w:rPr>
                <w:rFonts w:hint="default" w:ascii="Times New Roman" w:hAnsi="Times New Roman" w:eastAsia="宋体" w:cs="Times New Roman"/>
                <w:color w:val="auto"/>
                <w:sz w:val="21"/>
                <w:szCs w:val="21"/>
                <w:lang w:val="en-US" w:eastAsia="zh-CN"/>
              </w:rPr>
            </w:pPr>
          </w:p>
        </w:tc>
        <w:tc>
          <w:tcPr>
            <w:tcW w:w="1438" w:type="dxa"/>
            <w:vMerge w:val="restart"/>
            <w:vAlign w:val="center"/>
          </w:tcPr>
          <w:p>
            <w:pPr>
              <w:pStyle w:val="167"/>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lang w:val="en-US" w:eastAsia="zh-CN"/>
              </w:rPr>
              <w:t>二期（2GW单晶硅拉棒及3GW单晶硅切片）</w:t>
            </w:r>
          </w:p>
        </w:tc>
        <w:tc>
          <w:tcPr>
            <w:tcW w:w="1471" w:type="dxa"/>
            <w:vAlign w:val="center"/>
          </w:tcPr>
          <w:p>
            <w:pPr>
              <w:pStyle w:val="167"/>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2GW单晶硅拉棒生产线</w:t>
            </w:r>
          </w:p>
        </w:tc>
        <w:tc>
          <w:tcPr>
            <w:tcW w:w="2589" w:type="dxa"/>
            <w:vAlign w:val="center"/>
          </w:tcPr>
          <w:p>
            <w:pPr>
              <w:pStyle w:val="167"/>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eastAsia="zh-CN"/>
              </w:rPr>
              <w:t>已建成投产，已验收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32" w:hRule="atLeast"/>
          <w:jc w:val="center"/>
        </w:trPr>
        <w:tc>
          <w:tcPr>
            <w:tcW w:w="1792" w:type="dxa"/>
            <w:vMerge w:val="continue"/>
            <w:vAlign w:val="center"/>
          </w:tcPr>
          <w:p>
            <w:pPr>
              <w:pStyle w:val="167"/>
              <w:rPr>
                <w:rFonts w:hint="default" w:ascii="Times New Roman" w:hAnsi="Times New Roman" w:cs="Times New Roman"/>
                <w:color w:val="auto"/>
              </w:rPr>
            </w:pPr>
          </w:p>
        </w:tc>
        <w:tc>
          <w:tcPr>
            <w:tcW w:w="1108" w:type="dxa"/>
            <w:vMerge w:val="continue"/>
            <w:vAlign w:val="center"/>
          </w:tcPr>
          <w:p>
            <w:pPr>
              <w:pStyle w:val="167"/>
              <w:rPr>
                <w:rFonts w:hint="default" w:ascii="Times New Roman" w:hAnsi="Times New Roman" w:cs="Times New Roman"/>
                <w:color w:val="auto"/>
              </w:rPr>
            </w:pPr>
          </w:p>
        </w:tc>
        <w:tc>
          <w:tcPr>
            <w:tcW w:w="1438" w:type="dxa"/>
            <w:vMerge w:val="continue"/>
            <w:vAlign w:val="center"/>
          </w:tcPr>
          <w:p>
            <w:pPr>
              <w:pStyle w:val="167"/>
              <w:rPr>
                <w:rFonts w:hint="default" w:ascii="Times New Roman" w:hAnsi="Times New Roman" w:cs="Times New Roman"/>
                <w:color w:val="auto"/>
              </w:rPr>
            </w:pPr>
          </w:p>
        </w:tc>
        <w:tc>
          <w:tcPr>
            <w:tcW w:w="1471" w:type="dxa"/>
            <w:vAlign w:val="center"/>
          </w:tcPr>
          <w:p>
            <w:pPr>
              <w:pStyle w:val="167"/>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3GW单晶硅切片生产线</w:t>
            </w:r>
          </w:p>
        </w:tc>
        <w:tc>
          <w:tcPr>
            <w:tcW w:w="2589" w:type="dxa"/>
            <w:vAlign w:val="center"/>
          </w:tcPr>
          <w:p>
            <w:pPr>
              <w:pStyle w:val="167"/>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正在建设过程中，尚未投产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3" w:hRule="atLeast"/>
          <w:jc w:val="center"/>
        </w:trPr>
        <w:tc>
          <w:tcPr>
            <w:tcW w:w="1792" w:type="dxa"/>
            <w:vMerge w:val="restart"/>
            <w:vAlign w:val="center"/>
          </w:tcPr>
          <w:p>
            <w:pPr>
              <w:pStyle w:val="167"/>
              <w:rPr>
                <w:rFonts w:hint="default" w:ascii="Times New Roman" w:hAnsi="Times New Roman" w:cs="Times New Roman"/>
                <w:color w:val="auto"/>
                <w:sz w:val="21"/>
                <w:szCs w:val="21"/>
              </w:rPr>
            </w:pPr>
            <w:r>
              <w:rPr>
                <w:rFonts w:hint="default" w:ascii="Times New Roman" w:hAnsi="Times New Roman" w:cs="Times New Roman"/>
                <w:color w:val="auto"/>
                <w:kern w:val="0"/>
              </w:rPr>
              <w:t>年产5GW单晶硅</w:t>
            </w:r>
            <w:r>
              <w:rPr>
                <w:rFonts w:hint="default" w:ascii="Times New Roman" w:hAnsi="Times New Roman" w:cs="Times New Roman"/>
                <w:color w:val="auto"/>
                <w:kern w:val="0"/>
                <w:lang w:eastAsia="zh-CN"/>
              </w:rPr>
              <w:t>拉</w:t>
            </w:r>
            <w:r>
              <w:rPr>
                <w:rFonts w:hint="default" w:ascii="Times New Roman" w:hAnsi="Times New Roman" w:cs="Times New Roman"/>
                <w:color w:val="auto"/>
                <w:kern w:val="0"/>
              </w:rPr>
              <w:t>棒及</w:t>
            </w:r>
            <w:r>
              <w:rPr>
                <w:rFonts w:hint="default" w:ascii="Times New Roman" w:hAnsi="Times New Roman" w:cs="Times New Roman"/>
                <w:color w:val="auto"/>
                <w:kern w:val="0"/>
                <w:lang w:val="en-US" w:eastAsia="zh-CN"/>
              </w:rPr>
              <w:t>2</w:t>
            </w:r>
            <w:r>
              <w:rPr>
                <w:rFonts w:hint="default" w:ascii="Times New Roman" w:hAnsi="Times New Roman" w:cs="Times New Roman"/>
                <w:color w:val="auto"/>
                <w:kern w:val="0"/>
              </w:rPr>
              <w:t>GW切片项目</w:t>
            </w:r>
          </w:p>
        </w:tc>
        <w:tc>
          <w:tcPr>
            <w:tcW w:w="1108" w:type="dxa"/>
            <w:vMerge w:val="restart"/>
            <w:vAlign w:val="center"/>
          </w:tcPr>
          <w:p>
            <w:pPr>
              <w:pStyle w:val="167"/>
              <w:rPr>
                <w:rFonts w:hint="default" w:ascii="Times New Roman" w:hAnsi="Times New Roman" w:cs="Times New Roman"/>
                <w:color w:val="auto"/>
                <w:sz w:val="21"/>
                <w:szCs w:val="21"/>
              </w:rPr>
            </w:pPr>
            <w:r>
              <w:rPr>
                <w:rFonts w:hint="default" w:ascii="Times New Roman" w:hAnsi="Times New Roman" w:cs="Times New Roman"/>
                <w:color w:val="auto"/>
                <w:kern w:val="0"/>
                <w:lang w:eastAsia="zh-CN"/>
              </w:rPr>
              <w:t>楚环许准</w:t>
            </w:r>
            <w:r>
              <w:rPr>
                <w:rFonts w:hint="default" w:ascii="Times New Roman" w:hAnsi="Times New Roman" w:cs="Times New Roman"/>
                <w:color w:val="auto"/>
                <w:lang w:eastAsia="zh-CN"/>
              </w:rPr>
              <w:t>〔2021〕79</w:t>
            </w:r>
            <w:r>
              <w:rPr>
                <w:rFonts w:hint="default" w:ascii="Times New Roman" w:hAnsi="Times New Roman" w:cs="Times New Roman"/>
                <w:color w:val="auto"/>
              </w:rPr>
              <w:t>号</w:t>
            </w:r>
          </w:p>
        </w:tc>
        <w:tc>
          <w:tcPr>
            <w:tcW w:w="1438" w:type="dxa"/>
            <w:vMerge w:val="restart"/>
            <w:vAlign w:val="center"/>
          </w:tcPr>
          <w:p>
            <w:pPr>
              <w:pStyle w:val="167"/>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不分期</w:t>
            </w:r>
          </w:p>
        </w:tc>
        <w:tc>
          <w:tcPr>
            <w:tcW w:w="1471" w:type="dxa"/>
            <w:vAlign w:val="center"/>
          </w:tcPr>
          <w:p>
            <w:pPr>
              <w:pStyle w:val="167"/>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5GW单晶硅拉棒生产线</w:t>
            </w:r>
          </w:p>
        </w:tc>
        <w:tc>
          <w:tcPr>
            <w:tcW w:w="2589" w:type="dxa"/>
            <w:vAlign w:val="center"/>
          </w:tcPr>
          <w:p>
            <w:pPr>
              <w:pStyle w:val="167"/>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已建成试运行，正在办理竣工环境保护验收手续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3" w:hRule="atLeast"/>
          <w:jc w:val="center"/>
        </w:trPr>
        <w:tc>
          <w:tcPr>
            <w:tcW w:w="1792" w:type="dxa"/>
            <w:vMerge w:val="continue"/>
            <w:vAlign w:val="center"/>
          </w:tcPr>
          <w:p>
            <w:pPr>
              <w:pStyle w:val="167"/>
              <w:rPr>
                <w:rFonts w:hint="default" w:ascii="Times New Roman" w:hAnsi="Times New Roman" w:cs="Times New Roman"/>
                <w:color w:val="auto"/>
              </w:rPr>
            </w:pPr>
          </w:p>
        </w:tc>
        <w:tc>
          <w:tcPr>
            <w:tcW w:w="1108" w:type="dxa"/>
            <w:vMerge w:val="continue"/>
            <w:vAlign w:val="center"/>
          </w:tcPr>
          <w:p>
            <w:pPr>
              <w:pStyle w:val="167"/>
              <w:rPr>
                <w:rFonts w:hint="default" w:ascii="Times New Roman" w:hAnsi="Times New Roman" w:cs="Times New Roman"/>
                <w:color w:val="auto"/>
              </w:rPr>
            </w:pPr>
          </w:p>
        </w:tc>
        <w:tc>
          <w:tcPr>
            <w:tcW w:w="1438" w:type="dxa"/>
            <w:vMerge w:val="continue"/>
            <w:vAlign w:val="center"/>
          </w:tcPr>
          <w:p>
            <w:pPr>
              <w:pStyle w:val="167"/>
              <w:rPr>
                <w:rFonts w:hint="default" w:ascii="Times New Roman" w:hAnsi="Times New Roman" w:cs="Times New Roman"/>
                <w:color w:val="auto"/>
              </w:rPr>
            </w:pPr>
          </w:p>
        </w:tc>
        <w:tc>
          <w:tcPr>
            <w:tcW w:w="1471" w:type="dxa"/>
            <w:vAlign w:val="center"/>
          </w:tcPr>
          <w:p>
            <w:pPr>
              <w:pStyle w:val="167"/>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2GW单晶硅切片生产线</w:t>
            </w:r>
          </w:p>
        </w:tc>
        <w:tc>
          <w:tcPr>
            <w:tcW w:w="2589" w:type="dxa"/>
            <w:vAlign w:val="center"/>
          </w:tcPr>
          <w:p>
            <w:pPr>
              <w:pStyle w:val="167"/>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正在建设过程中，尚未投产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3" w:hRule="atLeast"/>
          <w:jc w:val="center"/>
        </w:trPr>
        <w:tc>
          <w:tcPr>
            <w:tcW w:w="1792"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kern w:val="0"/>
                <w:lang w:val="en-US" w:eastAsia="zh-CN"/>
              </w:rPr>
              <w:t>楚雄市富民工业园区110kv宇泽晶科输变电工程</w:t>
            </w:r>
          </w:p>
        </w:tc>
        <w:tc>
          <w:tcPr>
            <w:tcW w:w="1108" w:type="dxa"/>
            <w:vAlign w:val="center"/>
          </w:tcPr>
          <w:p>
            <w:pPr>
              <w:pStyle w:val="167"/>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正在办理</w:t>
            </w:r>
          </w:p>
        </w:tc>
        <w:tc>
          <w:tcPr>
            <w:tcW w:w="1438"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kern w:val="0"/>
                <w:sz w:val="21"/>
                <w:szCs w:val="21"/>
                <w:lang w:val="en-US" w:eastAsia="zh-CN" w:bidi="ar-SA"/>
              </w:rPr>
              <w:t>不分期</w:t>
            </w:r>
          </w:p>
        </w:tc>
        <w:tc>
          <w:tcPr>
            <w:tcW w:w="1471" w:type="dxa"/>
            <w:vAlign w:val="center"/>
          </w:tcPr>
          <w:p>
            <w:pPr>
              <w:pStyle w:val="167"/>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110KV变电站及输电线路</w:t>
            </w:r>
          </w:p>
        </w:tc>
        <w:tc>
          <w:tcPr>
            <w:tcW w:w="2589" w:type="dxa"/>
            <w:vAlign w:val="center"/>
          </w:tcPr>
          <w:p>
            <w:pPr>
              <w:pStyle w:val="167"/>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已建成投产，属于未批先建，已进行处罚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792" w:type="dxa"/>
            <w:vAlign w:val="center"/>
          </w:tcPr>
          <w:p>
            <w:pPr>
              <w:pStyle w:val="167"/>
              <w:rPr>
                <w:rFonts w:hint="default" w:ascii="Times New Roman" w:hAnsi="Times New Roman" w:eastAsia="宋体" w:cs="Times New Roman"/>
                <w:color w:val="auto"/>
                <w:sz w:val="21"/>
                <w:szCs w:val="21"/>
                <w:lang w:eastAsia="zh-CN"/>
              </w:rPr>
            </w:pPr>
            <w:r>
              <w:rPr>
                <w:rFonts w:hint="default" w:ascii="Times New Roman" w:hAnsi="Times New Roman" w:cs="Times New Roman"/>
                <w:b/>
                <w:bCs/>
                <w:color w:val="auto"/>
                <w:kern w:val="0"/>
                <w:lang w:eastAsia="zh-CN"/>
              </w:rPr>
              <w:t>年产</w:t>
            </w:r>
            <w:r>
              <w:rPr>
                <w:rFonts w:hint="default" w:ascii="Times New Roman" w:hAnsi="Times New Roman" w:cs="Times New Roman"/>
                <w:b/>
                <w:bCs/>
                <w:color w:val="auto"/>
                <w:kern w:val="0"/>
                <w:lang w:val="en-US" w:eastAsia="zh-CN"/>
              </w:rPr>
              <w:t>3GW单晶硅片生产线</w:t>
            </w:r>
            <w:r>
              <w:rPr>
                <w:rFonts w:hint="default" w:ascii="Times New Roman" w:hAnsi="Times New Roman" w:cs="Times New Roman"/>
                <w:b/>
                <w:bCs/>
                <w:color w:val="auto"/>
                <w:kern w:val="0"/>
              </w:rPr>
              <w:t>项目</w:t>
            </w:r>
            <w:r>
              <w:rPr>
                <w:rFonts w:hint="default" w:ascii="Times New Roman" w:hAnsi="Times New Roman" w:cs="Times New Roman"/>
                <w:b/>
                <w:bCs/>
                <w:color w:val="auto"/>
                <w:kern w:val="0"/>
                <w:lang w:eastAsia="zh-CN"/>
              </w:rPr>
              <w:t>（本项目）</w:t>
            </w:r>
          </w:p>
        </w:tc>
        <w:tc>
          <w:tcPr>
            <w:tcW w:w="1108" w:type="dxa"/>
            <w:vAlign w:val="center"/>
          </w:tcPr>
          <w:p>
            <w:pPr>
              <w:pStyle w:val="167"/>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正在办理环评手续</w:t>
            </w:r>
          </w:p>
        </w:tc>
        <w:tc>
          <w:tcPr>
            <w:tcW w:w="1438" w:type="dxa"/>
            <w:vAlign w:val="center"/>
          </w:tcPr>
          <w:p>
            <w:pPr>
              <w:pStyle w:val="167"/>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不分期</w:t>
            </w:r>
          </w:p>
        </w:tc>
        <w:tc>
          <w:tcPr>
            <w:tcW w:w="1471" w:type="dxa"/>
            <w:vAlign w:val="center"/>
          </w:tcPr>
          <w:p>
            <w:pPr>
              <w:pStyle w:val="167"/>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3GW单晶硅切片生产线</w:t>
            </w:r>
          </w:p>
        </w:tc>
        <w:tc>
          <w:tcPr>
            <w:tcW w:w="2589" w:type="dxa"/>
            <w:vAlign w:val="center"/>
          </w:tcPr>
          <w:p>
            <w:pPr>
              <w:pStyle w:val="167"/>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尚未</w:t>
            </w:r>
            <w:r>
              <w:rPr>
                <w:rFonts w:hint="default" w:ascii="Times New Roman" w:hAnsi="Times New Roman" w:cs="Times New Roman"/>
                <w:color w:val="auto"/>
                <w:sz w:val="21"/>
                <w:szCs w:val="21"/>
                <w:lang w:eastAsia="zh-CN"/>
              </w:rPr>
              <w:t>开工</w:t>
            </w:r>
            <w:r>
              <w:rPr>
                <w:rFonts w:hint="default" w:ascii="Times New Roman" w:hAnsi="Times New Roman" w:cs="Times New Roman"/>
                <w:color w:val="auto"/>
                <w:sz w:val="21"/>
                <w:szCs w:val="21"/>
                <w:lang w:eastAsia="zh-CN"/>
              </w:rPr>
              <w:t>建设</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default" w:ascii="Times New Roman" w:hAnsi="Times New Roman" w:cs="Times New Roman"/>
          <w:color w:val="auto"/>
          <w:shd w:val="clear" w:color="auto" w:fill="FAFAFA"/>
        </w:rPr>
      </w:pPr>
      <w:r>
        <w:rPr>
          <w:rFonts w:hint="default" w:ascii="Times New Roman" w:hAnsi="Times New Roman" w:cs="Times New Roman"/>
          <w:color w:val="auto"/>
          <w:shd w:val="clear" w:color="auto" w:fill="FAFAFA"/>
          <w:lang w:val="en-US" w:eastAsia="zh-CN"/>
        </w:rPr>
        <w:t>3</w:t>
      </w:r>
      <w:r>
        <w:rPr>
          <w:rFonts w:hint="default" w:ascii="Times New Roman" w:hAnsi="Times New Roman" w:cs="Times New Roman"/>
          <w:color w:val="auto"/>
          <w:shd w:val="clear" w:color="auto" w:fill="FAFAFA"/>
        </w:rPr>
        <w:t>、项目所在地的规划环评</w:t>
      </w:r>
    </w:p>
    <w:p>
      <w:pPr>
        <w:spacing w:line="360" w:lineRule="auto"/>
        <w:ind w:firstLine="480" w:firstLineChars="200"/>
        <w:rPr>
          <w:rFonts w:hint="default" w:ascii="Times New Roman" w:hAnsi="Times New Roman" w:eastAsia="宋体" w:cs="Times New Roman"/>
          <w:color w:val="auto"/>
          <w:lang w:eastAsia="zh-CN"/>
        </w:rPr>
      </w:pPr>
      <w:r>
        <w:rPr>
          <w:rFonts w:hint="default" w:ascii="Times New Roman" w:hAnsi="Times New Roman" w:cs="Times New Roman"/>
          <w:color w:val="auto"/>
        </w:rPr>
        <w:t>2019年10月8日，《楚雄工业园区总体规划修改（2018-2035）环境影响报告书》通过云南省生态环境厅的审查并出具了&lt;云南省生态环境厅关于《楚雄工业园区总体规划修改（2018-2035）环境影响报告书》审查意见的函&gt;，详见</w:t>
      </w:r>
      <w:r>
        <w:rPr>
          <w:rFonts w:hint="default" w:ascii="Times New Roman" w:hAnsi="Times New Roman" w:cs="Times New Roman"/>
          <w:b/>
          <w:bCs/>
          <w:color w:val="auto"/>
        </w:rPr>
        <w:t>附件5</w:t>
      </w:r>
      <w:r>
        <w:rPr>
          <w:rFonts w:hint="default" w:ascii="Times New Roman" w:hAnsi="Times New Roman" w:cs="Times New Roman"/>
          <w:color w:val="auto"/>
        </w:rPr>
        <w:t>。根据《楚雄工业园区总体规划修改（2018-2035）环境影响报告书》：楚雄工业园区规划为“一园三区六地块”，分别为：赵家湾桃园工业区（赵家湾地块、桃园地块）、富民庄甸工业区、苍岭工业区（智明地块、黄草地块、云甸地块）。本项目位于富民庄甸工业区内，规划用地面积973.2817hm</w:t>
      </w:r>
      <w:r>
        <w:rPr>
          <w:rFonts w:hint="default" w:ascii="Times New Roman" w:hAnsi="Times New Roman" w:cs="Times New Roman"/>
          <w:color w:val="auto"/>
          <w:vertAlign w:val="superscript"/>
        </w:rPr>
        <w:t>2</w:t>
      </w:r>
      <w:r>
        <w:rPr>
          <w:rFonts w:hint="default" w:ascii="Times New Roman" w:hAnsi="Times New Roman" w:cs="Times New Roman"/>
          <w:color w:val="auto"/>
        </w:rPr>
        <w:t>，规划布局为烟草及配套、生物产业、先进装备制造、新材料新型建材等。</w:t>
      </w:r>
    </w:p>
    <w:p>
      <w:pPr>
        <w:spacing w:line="360" w:lineRule="auto"/>
        <w:ind w:firstLine="480" w:firstLineChars="200"/>
        <w:rPr>
          <w:rFonts w:hint="default" w:ascii="Times New Roman" w:hAnsi="Times New Roman" w:eastAsia="宋体" w:cs="Times New Roman"/>
          <w:b w:val="0"/>
          <w:bCs/>
          <w:color w:val="auto"/>
          <w:lang w:val="en-US" w:eastAsia="zh-CN"/>
        </w:rPr>
      </w:pPr>
      <w:bookmarkStart w:id="6" w:name="_Toc8860"/>
      <w:bookmarkStart w:id="7" w:name="_Toc12950"/>
      <w:bookmarkStart w:id="8" w:name="_Toc19559"/>
      <w:bookmarkStart w:id="9" w:name="_Toc18736"/>
      <w:bookmarkStart w:id="10" w:name="_Toc15102"/>
      <w:r>
        <w:rPr>
          <w:rFonts w:hint="default" w:ascii="Times New Roman" w:hAnsi="Times New Roman" w:cs="Times New Roman"/>
          <w:b w:val="0"/>
          <w:bCs/>
          <w:color w:val="auto"/>
          <w:lang w:val="en-US" w:eastAsia="zh-CN"/>
        </w:rPr>
        <w:t>4、项目概况及特点</w:t>
      </w:r>
    </w:p>
    <w:p>
      <w:pPr>
        <w:spacing w:line="360" w:lineRule="auto"/>
        <w:ind w:firstLine="480" w:firstLineChars="200"/>
        <w:rPr>
          <w:rFonts w:hint="default" w:ascii="Times New Roman" w:hAnsi="Times New Roman" w:eastAsia="宋体" w:cs="Times New Roman"/>
          <w:b/>
          <w:color w:val="auto"/>
          <w:vertAlign w:val="baseline"/>
          <w:lang w:val="en-US" w:eastAsia="zh-CN"/>
        </w:rPr>
      </w:pPr>
      <w:r>
        <w:rPr>
          <w:rFonts w:hint="default" w:ascii="Times New Roman" w:hAnsi="Times New Roman" w:cs="Times New Roman"/>
          <w:b w:val="0"/>
          <w:bCs/>
          <w:color w:val="auto"/>
          <w:lang w:eastAsia="zh-CN"/>
        </w:rPr>
        <w:t>本项目依托现状已建成的</w:t>
      </w:r>
      <w:r>
        <w:rPr>
          <w:rFonts w:hint="default" w:ascii="Times New Roman" w:hAnsi="Times New Roman" w:cs="Times New Roman"/>
          <w:b w:val="0"/>
          <w:bCs/>
          <w:color w:val="auto"/>
          <w:lang w:val="en-US" w:eastAsia="zh-CN"/>
        </w:rPr>
        <w:t>切片车间基础设施，在切片车间内新增3GW切片生产线，</w:t>
      </w:r>
      <w:r>
        <w:rPr>
          <w:rFonts w:hint="default" w:ascii="Times New Roman" w:hAnsi="Times New Roman" w:cs="Times New Roman"/>
          <w:b w:val="0"/>
          <w:bCs/>
          <w:color w:val="auto"/>
          <w:lang w:val="en-US" w:eastAsia="zh-CN"/>
        </w:rPr>
        <w:t>新增吸杂生产线，</w:t>
      </w:r>
      <w:r>
        <w:rPr>
          <w:rFonts w:hint="default" w:ascii="Times New Roman" w:hAnsi="Times New Roman" w:cs="Times New Roman"/>
          <w:b w:val="0"/>
          <w:bCs/>
          <w:color w:val="auto"/>
          <w:lang w:val="en-US" w:eastAsia="zh-CN"/>
        </w:rPr>
        <w:t>不涉及土建工程施工，仅</w:t>
      </w:r>
      <w:r>
        <w:rPr>
          <w:rFonts w:hint="default" w:ascii="Times New Roman" w:hAnsi="Times New Roman" w:cs="Times New Roman"/>
          <w:b w:val="0"/>
          <w:bCs/>
          <w:color w:val="auto"/>
          <w:lang w:val="en-US" w:eastAsia="zh-CN"/>
        </w:rPr>
        <w:t>进行</w:t>
      </w:r>
      <w:r>
        <w:rPr>
          <w:rFonts w:hint="default" w:ascii="Times New Roman" w:hAnsi="Times New Roman" w:cs="Times New Roman"/>
          <w:b w:val="0"/>
          <w:bCs/>
          <w:color w:val="auto"/>
          <w:lang w:val="en-US" w:eastAsia="zh-CN"/>
        </w:rPr>
        <w:t>设备安装调试。项目总投资18000万元。</w:t>
      </w:r>
      <w:r>
        <w:rPr>
          <w:rFonts w:hint="default" w:ascii="Times New Roman" w:hAnsi="Times New Roman" w:cs="Times New Roman"/>
          <w:color w:val="auto"/>
          <w:lang w:eastAsia="zh-CN"/>
        </w:rPr>
        <w:t>本项目生产工艺仅涉及将单晶硅方棒切割成片，然后作为初级产品外售，不涉及生产太阳能电池组件的退火、打磨、刻蚀、镀膜、激光雕刻等一系列工艺。</w:t>
      </w:r>
    </w:p>
    <w:p>
      <w:pPr>
        <w:spacing w:line="360" w:lineRule="auto"/>
        <w:ind w:firstLine="482" w:firstLineChars="200"/>
        <w:rPr>
          <w:rFonts w:hint="default" w:ascii="Times New Roman" w:hAnsi="Times New Roman" w:cs="Times New Roman"/>
          <w:b/>
          <w:color w:val="auto"/>
        </w:rPr>
      </w:pPr>
      <w:r>
        <w:rPr>
          <w:rFonts w:hint="default" w:ascii="Times New Roman" w:hAnsi="Times New Roman" w:cs="Times New Roman"/>
          <w:b/>
          <w:color w:val="auto"/>
        </w:rPr>
        <w:t>二、建设项目环境影响评价过程</w:t>
      </w:r>
      <w:bookmarkEnd w:id="6"/>
      <w:bookmarkEnd w:id="7"/>
      <w:bookmarkEnd w:id="8"/>
      <w:bookmarkEnd w:id="9"/>
      <w:bookmarkEnd w:id="10"/>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根据《中华人民共和国环境保护法》《中华人民共和国环境影响评价法》《建设项目环境保护管理条例》的相关规定，本项目需履行环境影响评价制度。查阅《国民经济行业分类</w:t>
      </w:r>
      <w:r>
        <w:rPr>
          <w:rFonts w:hint="default" w:ascii="Times New Roman" w:hAnsi="Times New Roman" w:cs="Times New Roman"/>
          <w:color w:val="auto"/>
          <w:lang w:eastAsia="zh-CN"/>
        </w:rPr>
        <w:t>（</w:t>
      </w:r>
      <w:r>
        <w:rPr>
          <w:rFonts w:hint="default" w:ascii="Times New Roman" w:hAnsi="Times New Roman" w:cs="Times New Roman"/>
          <w:color w:val="auto"/>
        </w:rPr>
        <w:t>GB/T 4754-2017</w:t>
      </w:r>
      <w:r>
        <w:rPr>
          <w:rFonts w:hint="default" w:ascii="Times New Roman" w:hAnsi="Times New Roman" w:cs="Times New Roman"/>
          <w:color w:val="auto"/>
          <w:lang w:eastAsia="zh-CN"/>
        </w:rPr>
        <w:t>）（</w:t>
      </w:r>
      <w:r>
        <w:rPr>
          <w:rFonts w:hint="default" w:ascii="Times New Roman" w:hAnsi="Times New Roman" w:cs="Times New Roman"/>
          <w:color w:val="auto"/>
        </w:rPr>
        <w:t>按第1号修改单修订</w:t>
      </w:r>
      <w:r>
        <w:rPr>
          <w:rFonts w:hint="default" w:ascii="Times New Roman" w:hAnsi="Times New Roman" w:cs="Times New Roman"/>
          <w:color w:val="auto"/>
          <w:lang w:eastAsia="zh-CN"/>
        </w:rPr>
        <w:t>）</w:t>
      </w:r>
      <w:r>
        <w:rPr>
          <w:rFonts w:hint="default" w:ascii="Times New Roman" w:hAnsi="Times New Roman" w:cs="Times New Roman"/>
          <w:color w:val="auto"/>
        </w:rPr>
        <w:t>（2019年5月20日修订）》、《2017年国民经济行业分类注释》以及《建设项目环境影响评价分类管理名录》（2021年版），本项目单晶硅切片属于“三十六、计算机、通信和其他电子设备制造业81、电子元件及电子专用材料制造398半导体材料制造”，应编制环境影响报告书。</w:t>
      </w:r>
    </w:p>
    <w:p>
      <w:pPr>
        <w:spacing w:line="360" w:lineRule="auto"/>
        <w:ind w:firstLine="480" w:firstLineChars="200"/>
        <w:jc w:val="left"/>
        <w:rPr>
          <w:rFonts w:hint="default" w:ascii="Times New Roman" w:hAnsi="Times New Roman" w:cs="Times New Roman"/>
          <w:color w:val="auto"/>
        </w:rPr>
      </w:pPr>
      <w:r>
        <w:rPr>
          <w:rFonts w:hint="default" w:ascii="Times New Roman" w:hAnsi="Times New Roman" w:cs="Times New Roman"/>
          <w:color w:val="auto"/>
        </w:rPr>
        <w:t>202</w:t>
      </w:r>
      <w:r>
        <w:rPr>
          <w:rFonts w:hint="default" w:ascii="Times New Roman" w:hAnsi="Times New Roman" w:cs="Times New Roman"/>
          <w:color w:val="auto"/>
          <w:lang w:val="en-US" w:eastAsia="zh-CN"/>
        </w:rPr>
        <w:t>3</w:t>
      </w:r>
      <w:r>
        <w:rPr>
          <w:rFonts w:hint="default" w:ascii="Times New Roman" w:hAnsi="Times New Roman" w:cs="Times New Roman"/>
          <w:color w:val="auto"/>
        </w:rPr>
        <w:t>年</w:t>
      </w:r>
      <w:r>
        <w:rPr>
          <w:rFonts w:hint="default" w:ascii="Times New Roman" w:hAnsi="Times New Roman" w:cs="Times New Roman"/>
          <w:color w:val="auto"/>
          <w:lang w:val="en-US" w:eastAsia="zh-CN"/>
        </w:rPr>
        <w:t>2</w:t>
      </w:r>
      <w:r>
        <w:rPr>
          <w:rFonts w:hint="default" w:ascii="Times New Roman" w:hAnsi="Times New Roman" w:cs="Times New Roman"/>
          <w:color w:val="auto"/>
        </w:rPr>
        <w:t>月</w:t>
      </w:r>
      <w:r>
        <w:rPr>
          <w:rFonts w:hint="default" w:ascii="Times New Roman" w:hAnsi="Times New Roman" w:cs="Times New Roman"/>
          <w:color w:val="auto"/>
          <w:lang w:val="en-US" w:eastAsia="zh-CN"/>
        </w:rPr>
        <w:t>15</w:t>
      </w:r>
      <w:r>
        <w:rPr>
          <w:rFonts w:hint="default" w:ascii="Times New Roman" w:hAnsi="Times New Roman" w:cs="Times New Roman"/>
          <w:color w:val="auto"/>
        </w:rPr>
        <w:t>日受</w:t>
      </w:r>
      <w:r>
        <w:rPr>
          <w:rFonts w:hint="default" w:ascii="Times New Roman" w:hAnsi="Times New Roman" w:cs="Times New Roman"/>
          <w:color w:val="auto"/>
          <w:shd w:val="clear" w:color="auto" w:fill="FFFFFF"/>
        </w:rPr>
        <w:t>云南宇泽半导体有限公司</w:t>
      </w:r>
      <w:r>
        <w:rPr>
          <w:rFonts w:hint="default" w:ascii="Times New Roman" w:hAnsi="Times New Roman" w:cs="Times New Roman"/>
          <w:color w:val="auto"/>
        </w:rPr>
        <w:t>委托（委托书见</w:t>
      </w:r>
      <w:r>
        <w:rPr>
          <w:rFonts w:hint="default" w:ascii="Times New Roman" w:hAnsi="Times New Roman" w:cs="Times New Roman"/>
          <w:b/>
          <w:bCs/>
          <w:color w:val="auto"/>
        </w:rPr>
        <w:t>附件1</w:t>
      </w:r>
      <w:r>
        <w:rPr>
          <w:rFonts w:hint="default" w:ascii="Times New Roman" w:hAnsi="Times New Roman" w:cs="Times New Roman"/>
          <w:color w:val="auto"/>
        </w:rPr>
        <w:t>），</w:t>
      </w:r>
      <w:r>
        <w:rPr>
          <w:rFonts w:hint="default" w:ascii="Times New Roman" w:hAnsi="Times New Roman" w:cs="Times New Roman"/>
          <w:color w:val="auto"/>
          <w:lang w:eastAsia="zh-CN"/>
        </w:rPr>
        <w:t>楚雄硕利环境技术咨询有限公司</w:t>
      </w:r>
      <w:r>
        <w:rPr>
          <w:rFonts w:hint="default" w:ascii="Times New Roman" w:hAnsi="Times New Roman" w:cs="Times New Roman"/>
          <w:color w:val="auto"/>
        </w:rPr>
        <w:t>（以下简称“我公司”）承担本项目的环境影响评价工作，接受委托后，我公司立即成立项目组，开始进行该项目的环境影响评价工作。</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202</w:t>
      </w:r>
      <w:r>
        <w:rPr>
          <w:rFonts w:hint="default" w:ascii="Times New Roman" w:hAnsi="Times New Roman" w:cs="Times New Roman"/>
          <w:color w:val="auto"/>
          <w:lang w:val="en-US" w:eastAsia="zh-CN"/>
        </w:rPr>
        <w:t>3</w:t>
      </w:r>
      <w:r>
        <w:rPr>
          <w:rFonts w:hint="default" w:ascii="Times New Roman" w:hAnsi="Times New Roman" w:cs="Times New Roman"/>
          <w:color w:val="auto"/>
        </w:rPr>
        <w:t>年</w:t>
      </w:r>
      <w:r>
        <w:rPr>
          <w:rFonts w:hint="default" w:ascii="Times New Roman" w:hAnsi="Times New Roman" w:cs="Times New Roman"/>
          <w:color w:val="auto"/>
          <w:lang w:val="en-US" w:eastAsia="zh-CN"/>
        </w:rPr>
        <w:t>2</w:t>
      </w:r>
      <w:r>
        <w:rPr>
          <w:rFonts w:hint="default" w:ascii="Times New Roman" w:hAnsi="Times New Roman" w:cs="Times New Roman"/>
          <w:color w:val="auto"/>
        </w:rPr>
        <w:t>月</w:t>
      </w:r>
      <w:r>
        <w:rPr>
          <w:rFonts w:hint="default" w:ascii="Times New Roman" w:hAnsi="Times New Roman" w:cs="Times New Roman"/>
          <w:color w:val="auto"/>
          <w:lang w:val="en-US" w:eastAsia="zh-CN"/>
        </w:rPr>
        <w:t>17</w:t>
      </w:r>
      <w:r>
        <w:rPr>
          <w:rFonts w:hint="default" w:ascii="Times New Roman" w:hAnsi="Times New Roman" w:cs="Times New Roman"/>
          <w:color w:val="auto"/>
        </w:rPr>
        <w:t>日我公司组织技术人员踏勘了项目场址，对项目周围地区的环境状况进行现场调查，</w:t>
      </w:r>
      <w:r>
        <w:rPr>
          <w:rStyle w:val="127"/>
          <w:rFonts w:hint="default" w:ascii="Times New Roman" w:hAnsi="Times New Roman" w:cs="Times New Roman"/>
          <w:color w:val="auto"/>
          <w:sz w:val="24"/>
        </w:rPr>
        <w:t>重点调查了本项目</w:t>
      </w:r>
      <w:r>
        <w:rPr>
          <w:rStyle w:val="127"/>
          <w:rFonts w:hint="default" w:ascii="Times New Roman" w:hAnsi="Times New Roman" w:cs="Times New Roman"/>
          <w:color w:val="auto"/>
          <w:sz w:val="24"/>
          <w:lang w:eastAsia="zh-CN"/>
        </w:rPr>
        <w:t>已建成的</w:t>
      </w:r>
      <w:r>
        <w:rPr>
          <w:rStyle w:val="127"/>
          <w:rFonts w:hint="default" w:ascii="Times New Roman" w:hAnsi="Times New Roman" w:cs="Times New Roman"/>
          <w:color w:val="auto"/>
          <w:sz w:val="24"/>
          <w:lang w:val="en-US" w:eastAsia="zh-CN"/>
        </w:rPr>
        <w:t>切片车间现状、依托相关环保设施建成情况以及</w:t>
      </w:r>
      <w:r>
        <w:rPr>
          <w:rStyle w:val="127"/>
          <w:rFonts w:hint="default" w:ascii="Times New Roman" w:hAnsi="Times New Roman" w:cs="Times New Roman"/>
          <w:color w:val="auto"/>
          <w:sz w:val="24"/>
        </w:rPr>
        <w:t>周围存在的主要环境问题</w:t>
      </w:r>
      <w:r>
        <w:rPr>
          <w:rStyle w:val="127"/>
          <w:rFonts w:hint="default" w:ascii="Times New Roman" w:hAnsi="Times New Roman" w:cs="Times New Roman"/>
          <w:color w:val="auto"/>
          <w:sz w:val="24"/>
          <w:lang w:eastAsia="zh-CN"/>
        </w:rPr>
        <w:t>、</w:t>
      </w:r>
      <w:r>
        <w:rPr>
          <w:rStyle w:val="127"/>
          <w:rFonts w:hint="default" w:ascii="Times New Roman" w:hAnsi="Times New Roman" w:cs="Times New Roman"/>
          <w:color w:val="auto"/>
          <w:sz w:val="24"/>
        </w:rPr>
        <w:t>周边的环境敏感目标分布情况</w:t>
      </w:r>
      <w:r>
        <w:rPr>
          <w:rFonts w:hint="default" w:ascii="Times New Roman" w:hAnsi="Times New Roman" w:cs="Times New Roman"/>
          <w:color w:val="auto"/>
        </w:rPr>
        <w:t>，同时收集了项目相关技术和社会环境资料，随后收集并研究了有关政策及相关法律、法规文件，初步判定项目符合国家产业政策，选址没有大的环境制约因素。</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根据《环境影响评价公众参与办法》第三十一条规定，本项目位于楚雄工业园区—富民庄甸工业区内，园区已开展了规划环评公众参与，本项目亦符合园区准入条件，可免予进行第一次公众参与公示。因此，本项目未进行第一次公众参与公示。</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在收集和核实有关资料，认真研究项目相关情况的基础上，202</w:t>
      </w:r>
      <w:r>
        <w:rPr>
          <w:rFonts w:hint="default" w:ascii="Times New Roman" w:hAnsi="Times New Roman" w:cs="Times New Roman"/>
          <w:color w:val="auto"/>
          <w:lang w:val="en-US" w:eastAsia="zh-CN"/>
        </w:rPr>
        <w:t>3</w:t>
      </w:r>
      <w:r>
        <w:rPr>
          <w:rFonts w:hint="default" w:ascii="Times New Roman" w:hAnsi="Times New Roman" w:cs="Times New Roman"/>
          <w:color w:val="auto"/>
        </w:rPr>
        <w:t>年</w:t>
      </w:r>
      <w:r>
        <w:rPr>
          <w:rFonts w:hint="default" w:ascii="Times New Roman" w:hAnsi="Times New Roman" w:cs="Times New Roman"/>
          <w:color w:val="auto"/>
          <w:lang w:val="en-US" w:eastAsia="zh-CN"/>
        </w:rPr>
        <w:t>5</w:t>
      </w:r>
      <w:r>
        <w:rPr>
          <w:rFonts w:hint="default" w:ascii="Times New Roman" w:hAnsi="Times New Roman" w:cs="Times New Roman"/>
          <w:color w:val="auto"/>
        </w:rPr>
        <w:t>月编制完成环境影响报告书初稿；202</w:t>
      </w:r>
      <w:r>
        <w:rPr>
          <w:rFonts w:hint="default" w:ascii="Times New Roman" w:hAnsi="Times New Roman" w:cs="Times New Roman"/>
          <w:color w:val="auto"/>
          <w:lang w:val="en-US" w:eastAsia="zh-CN"/>
        </w:rPr>
        <w:t>3</w:t>
      </w:r>
      <w:r>
        <w:rPr>
          <w:rFonts w:hint="default" w:ascii="Times New Roman" w:hAnsi="Times New Roman" w:cs="Times New Roman"/>
          <w:color w:val="auto"/>
        </w:rPr>
        <w:t>年</w:t>
      </w:r>
      <w:r>
        <w:rPr>
          <w:rFonts w:hint="default" w:ascii="Times New Roman" w:hAnsi="Times New Roman" w:cs="Times New Roman"/>
          <w:color w:val="auto"/>
          <w:lang w:val="en-US" w:eastAsia="zh-CN"/>
        </w:rPr>
        <w:t>5</w:t>
      </w:r>
      <w:r>
        <w:rPr>
          <w:rFonts w:hint="default" w:ascii="Times New Roman" w:hAnsi="Times New Roman" w:cs="Times New Roman"/>
          <w:color w:val="auto"/>
        </w:rPr>
        <w:t>月</w:t>
      </w:r>
      <w:r>
        <w:rPr>
          <w:rFonts w:hint="default" w:ascii="Times New Roman" w:hAnsi="Times New Roman" w:cs="Times New Roman"/>
          <w:color w:val="auto"/>
          <w:lang w:val="en-US" w:eastAsia="zh-CN"/>
        </w:rPr>
        <w:t>1</w:t>
      </w:r>
      <w:r>
        <w:rPr>
          <w:rFonts w:hint="default" w:ascii="Times New Roman" w:hAnsi="Times New Roman" w:cs="Times New Roman"/>
          <w:color w:val="auto"/>
          <w:lang w:val="en-US" w:eastAsia="zh-CN"/>
        </w:rPr>
        <w:t>9</w:t>
      </w:r>
      <w:r>
        <w:rPr>
          <w:rFonts w:hint="default" w:ascii="Times New Roman" w:hAnsi="Times New Roman" w:cs="Times New Roman"/>
          <w:color w:val="auto"/>
        </w:rPr>
        <w:t>日至</w:t>
      </w:r>
      <w:r>
        <w:rPr>
          <w:rFonts w:hint="default" w:ascii="Times New Roman" w:hAnsi="Times New Roman" w:cs="Times New Roman"/>
          <w:color w:val="auto"/>
          <w:lang w:val="en-US" w:eastAsia="zh-CN"/>
        </w:rPr>
        <w:t>5</w:t>
      </w:r>
      <w:r>
        <w:rPr>
          <w:rFonts w:hint="default" w:ascii="Times New Roman" w:hAnsi="Times New Roman" w:cs="Times New Roman"/>
          <w:color w:val="auto"/>
        </w:rPr>
        <w:t>月</w:t>
      </w:r>
      <w:r>
        <w:rPr>
          <w:rFonts w:hint="default" w:ascii="Times New Roman" w:hAnsi="Times New Roman" w:cs="Times New Roman"/>
          <w:color w:val="auto"/>
          <w:lang w:val="en-US" w:eastAsia="zh-CN"/>
        </w:rPr>
        <w:t>2</w:t>
      </w:r>
      <w:r>
        <w:rPr>
          <w:rFonts w:hint="default" w:ascii="Times New Roman" w:hAnsi="Times New Roman" w:cs="Times New Roman"/>
          <w:color w:val="auto"/>
          <w:lang w:val="en-US" w:eastAsia="zh-CN"/>
        </w:rPr>
        <w:t>6</w:t>
      </w:r>
      <w:r>
        <w:rPr>
          <w:rFonts w:hint="default" w:ascii="Times New Roman" w:hAnsi="Times New Roman" w:cs="Times New Roman"/>
          <w:color w:val="auto"/>
        </w:rPr>
        <w:t>日进行了第二次环境信息公示，在楚雄</w:t>
      </w:r>
      <w:r>
        <w:rPr>
          <w:rFonts w:hint="default" w:ascii="Times New Roman" w:hAnsi="Times New Roman" w:cs="Times New Roman"/>
          <w:color w:val="auto"/>
          <w:lang w:eastAsia="zh-CN"/>
        </w:rPr>
        <w:t>网</w:t>
      </w:r>
      <w:r>
        <w:rPr>
          <w:rFonts w:hint="default" w:ascii="Times New Roman" w:hAnsi="Times New Roman" w:cs="Times New Roman"/>
          <w:color w:val="auto"/>
        </w:rPr>
        <w:t>（https://www.chuxiong.com/forum.php?mod=viewthread&amp;tid=</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77038&amp;highlight）进行了征求意见稿公示，在楚雄日报进行了两次登报公示，广泛征求了公众意见。至截止日时，没有收到任何的回复意见及建议。为减少污染物对环境的影响，环评提出了相应的污染防治措施，要求建设单位在建设和运行过程中严格执行。</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按照环境保护有关法律法规及环境影响评价有关技术规范要求，202</w:t>
      </w:r>
      <w:r>
        <w:rPr>
          <w:rFonts w:hint="default" w:ascii="Times New Roman" w:hAnsi="Times New Roman" w:cs="Times New Roman"/>
          <w:color w:val="auto"/>
          <w:lang w:val="en-US" w:eastAsia="zh-CN"/>
        </w:rPr>
        <w:t>3</w:t>
      </w:r>
      <w:r>
        <w:rPr>
          <w:rFonts w:hint="default" w:ascii="Times New Roman" w:hAnsi="Times New Roman" w:cs="Times New Roman"/>
          <w:color w:val="auto"/>
        </w:rPr>
        <w:t>年</w:t>
      </w:r>
      <w:r>
        <w:rPr>
          <w:rFonts w:hint="default" w:ascii="Times New Roman" w:hAnsi="Times New Roman" w:cs="Times New Roman"/>
          <w:color w:val="auto"/>
          <w:lang w:val="en-US" w:eastAsia="zh-CN"/>
        </w:rPr>
        <w:t>5</w:t>
      </w:r>
      <w:r>
        <w:rPr>
          <w:rFonts w:hint="default" w:ascii="Times New Roman" w:hAnsi="Times New Roman" w:cs="Times New Roman"/>
          <w:color w:val="auto"/>
        </w:rPr>
        <w:t>月，我单位编制完成了《</w:t>
      </w:r>
      <w:r>
        <w:rPr>
          <w:rFonts w:hint="default" w:ascii="Times New Roman" w:hAnsi="Times New Roman" w:cs="Times New Roman"/>
          <w:color w:val="auto"/>
          <w:lang w:eastAsia="zh-CN"/>
        </w:rPr>
        <w:t>年产</w:t>
      </w:r>
      <w:r>
        <w:rPr>
          <w:rFonts w:hint="default" w:ascii="Times New Roman" w:hAnsi="Times New Roman" w:cs="Times New Roman"/>
          <w:color w:val="auto"/>
          <w:lang w:val="en-US" w:eastAsia="zh-CN"/>
        </w:rPr>
        <w:t>3GW单晶硅片生产线</w:t>
      </w:r>
      <w:r>
        <w:rPr>
          <w:rFonts w:hint="default" w:ascii="Times New Roman" w:hAnsi="Times New Roman" w:cs="Times New Roman"/>
          <w:color w:val="auto"/>
        </w:rPr>
        <w:t>项目环境影响报告书》（</w:t>
      </w:r>
      <w:r>
        <w:rPr>
          <w:rFonts w:hint="default" w:ascii="Times New Roman" w:hAnsi="Times New Roman" w:cs="Times New Roman"/>
          <w:color w:val="auto"/>
          <w:lang w:eastAsia="zh-CN"/>
        </w:rPr>
        <w:t>送审</w:t>
      </w:r>
      <w:r>
        <w:rPr>
          <w:rFonts w:hint="default" w:ascii="Times New Roman" w:hAnsi="Times New Roman" w:cs="Times New Roman"/>
          <w:color w:val="auto"/>
        </w:rPr>
        <w:t>稿），供建设单位上报审查，作为环境管理的依据。</w:t>
      </w:r>
      <w:bookmarkStart w:id="11" w:name="_Toc15105"/>
      <w:bookmarkStart w:id="12" w:name="_Toc14640"/>
    </w:p>
    <w:p>
      <w:pPr>
        <w:spacing w:line="360" w:lineRule="auto"/>
        <w:ind w:firstLine="482" w:firstLineChars="200"/>
        <w:rPr>
          <w:rFonts w:hint="default" w:ascii="Times New Roman" w:hAnsi="Times New Roman" w:cs="Times New Roman"/>
          <w:b/>
          <w:color w:val="auto"/>
        </w:rPr>
      </w:pPr>
      <w:r>
        <w:rPr>
          <w:rFonts w:hint="default" w:ascii="Times New Roman" w:hAnsi="Times New Roman" w:cs="Times New Roman"/>
          <w:b/>
          <w:color w:val="auto"/>
        </w:rPr>
        <w:t>三、分析判定相关情况</w:t>
      </w:r>
      <w:bookmarkEnd w:id="11"/>
      <w:bookmarkEnd w:id="12"/>
    </w:p>
    <w:p>
      <w:pPr>
        <w:spacing w:line="360" w:lineRule="auto"/>
        <w:ind w:firstLine="480" w:firstLineChars="200"/>
        <w:rPr>
          <w:rFonts w:hint="default" w:ascii="Times New Roman" w:hAnsi="Times New Roman" w:cs="Times New Roman"/>
          <w:color w:val="auto"/>
        </w:rPr>
      </w:pPr>
      <w:bookmarkStart w:id="13" w:name="_Toc7815"/>
      <w:bookmarkStart w:id="14" w:name="_Toc11347"/>
      <w:r>
        <w:rPr>
          <w:rFonts w:hint="default" w:ascii="Times New Roman" w:hAnsi="Times New Roman" w:cs="Times New Roman"/>
          <w:color w:val="auto"/>
        </w:rPr>
        <w:t>本项目产业政策及选址符合性分析在第</w:t>
      </w:r>
      <w:r>
        <w:rPr>
          <w:rFonts w:hint="default" w:ascii="Times New Roman" w:hAnsi="Times New Roman" w:cs="Times New Roman"/>
          <w:color w:val="auto"/>
          <w:lang w:eastAsia="zh-CN"/>
        </w:rPr>
        <w:t>八</w:t>
      </w:r>
      <w:r>
        <w:rPr>
          <w:rFonts w:hint="default" w:ascii="Times New Roman" w:hAnsi="Times New Roman" w:cs="Times New Roman"/>
          <w:color w:val="auto"/>
        </w:rPr>
        <w:t>章已详细论述，此处直接引用分析结论。</w:t>
      </w:r>
    </w:p>
    <w:p>
      <w:pPr>
        <w:spacing w:line="360" w:lineRule="auto"/>
        <w:ind w:firstLine="482" w:firstLineChars="200"/>
        <w:rPr>
          <w:rFonts w:hint="default" w:ascii="Times New Roman" w:hAnsi="Times New Roman" w:cs="Times New Roman"/>
          <w:b/>
          <w:color w:val="auto"/>
        </w:rPr>
      </w:pPr>
      <w:r>
        <w:rPr>
          <w:rFonts w:hint="default" w:ascii="Times New Roman" w:hAnsi="Times New Roman" w:cs="Times New Roman"/>
          <w:b/>
          <w:color w:val="auto"/>
        </w:rPr>
        <w:t>1、产业政策</w:t>
      </w:r>
      <w:bookmarkEnd w:id="13"/>
      <w:bookmarkEnd w:id="14"/>
      <w:r>
        <w:rPr>
          <w:rFonts w:hint="default" w:ascii="Times New Roman" w:hAnsi="Times New Roman" w:cs="Times New Roman"/>
          <w:b/>
          <w:color w:val="auto"/>
        </w:rPr>
        <w:t>判定情况</w:t>
      </w:r>
    </w:p>
    <w:p>
      <w:pPr>
        <w:spacing w:line="360" w:lineRule="auto"/>
        <w:ind w:firstLine="480" w:firstLineChars="200"/>
        <w:rPr>
          <w:rFonts w:hint="default" w:ascii="Times New Roman" w:hAnsi="Times New Roman" w:cs="Times New Roman"/>
          <w:color w:val="auto"/>
        </w:rPr>
      </w:pPr>
      <w:bookmarkStart w:id="15" w:name="_Toc25516"/>
      <w:r>
        <w:rPr>
          <w:rFonts w:hint="default" w:ascii="Times New Roman" w:hAnsi="Times New Roman" w:cs="Times New Roman"/>
          <w:color w:val="auto"/>
        </w:rPr>
        <w:t>根据中华人民共和国国家发展和改革委员会令第29号《产业结构调整指导目录（2019年本）</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2021修订版</w:t>
      </w:r>
      <w:r>
        <w:rPr>
          <w:rFonts w:hint="default" w:ascii="Times New Roman" w:hAnsi="Times New Roman" w:cs="Times New Roman"/>
          <w:color w:val="auto"/>
          <w:lang w:eastAsia="zh-CN"/>
        </w:rPr>
        <w:t>）</w:t>
      </w:r>
      <w:r>
        <w:rPr>
          <w:rFonts w:hint="default" w:ascii="Times New Roman" w:hAnsi="Times New Roman" w:cs="Times New Roman"/>
          <w:color w:val="auto"/>
        </w:rPr>
        <w:t>》：本项目属于“鼓励类：二十八、信息产业22、半导体、光电子器件、新型电子元器件（片式元器件、电力电子器件、光电子器件、敏感元器件及传感器、新型机电元件、高频微波印制电路板、高速通信电路板、柔性电路板、高性能覆铜板等）等电子产品用材料”。</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本项目已取得楚雄市发展和改革局出具的投资项目备案证（项目代码：</w:t>
      </w:r>
      <w:r>
        <w:rPr>
          <w:rFonts w:hint="default" w:ascii="Times New Roman" w:hAnsi="Times New Roman" w:cs="Times New Roman"/>
          <w:color w:val="auto"/>
          <w:lang w:eastAsia="zh-CN"/>
        </w:rPr>
        <w:t>2211-532301-04-01-153877</w:t>
      </w:r>
      <w:r>
        <w:rPr>
          <w:rFonts w:hint="default" w:ascii="Times New Roman" w:hAnsi="Times New Roman" w:cs="Times New Roman"/>
          <w:color w:val="auto"/>
        </w:rPr>
        <w:t>）。</w:t>
      </w:r>
      <w:bookmarkEnd w:id="15"/>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综上所述，本项目符合国家、地方相关产业政策。</w:t>
      </w:r>
    </w:p>
    <w:p>
      <w:pPr>
        <w:spacing w:line="360" w:lineRule="auto"/>
        <w:ind w:firstLine="482" w:firstLineChars="200"/>
        <w:rPr>
          <w:rFonts w:hint="default" w:ascii="Times New Roman" w:hAnsi="Times New Roman" w:cs="Times New Roman"/>
          <w:b/>
          <w:color w:val="auto"/>
        </w:rPr>
      </w:pPr>
      <w:bookmarkStart w:id="16" w:name="_Toc23915"/>
      <w:bookmarkStart w:id="17" w:name="_Toc7067"/>
      <w:r>
        <w:rPr>
          <w:rFonts w:hint="default" w:ascii="Times New Roman" w:hAnsi="Times New Roman" w:cs="Times New Roman"/>
          <w:b/>
          <w:color w:val="auto"/>
        </w:rPr>
        <w:t>2、与相关规划符合性判定情况</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本项目位于</w:t>
      </w:r>
      <w:r>
        <w:rPr>
          <w:rFonts w:hint="default" w:ascii="Times New Roman" w:hAnsi="Times New Roman" w:cs="Times New Roman"/>
          <w:color w:val="auto"/>
          <w:kern w:val="0"/>
        </w:rPr>
        <w:t>楚雄工业园区富民庄甸工业区</w:t>
      </w:r>
      <w:r>
        <w:rPr>
          <w:rFonts w:hint="default" w:ascii="Times New Roman" w:hAnsi="Times New Roman" w:cs="Times New Roman"/>
          <w:color w:val="auto"/>
        </w:rPr>
        <w:t>，园区定位为</w:t>
      </w:r>
      <w:r>
        <w:rPr>
          <w:rFonts w:hint="default" w:ascii="Times New Roman" w:hAnsi="Times New Roman" w:cs="Times New Roman"/>
          <w:color w:val="auto"/>
          <w:spacing w:val="-7"/>
          <w:kern w:val="0"/>
          <w:lang w:val="zh-CN" w:bidi="zh-CN"/>
        </w:rPr>
        <w:t>新材料新型建材产业，本项目属于电子专用产品制造，</w:t>
      </w:r>
      <w:r>
        <w:rPr>
          <w:rFonts w:hint="default" w:ascii="Times New Roman" w:hAnsi="Times New Roman" w:cs="Times New Roman"/>
          <w:color w:val="auto"/>
        </w:rPr>
        <w:t>符合《楚雄工业园区总体规划修改（2018—2035）》产业发展布局规划、用地规划。</w:t>
      </w:r>
    </w:p>
    <w:p>
      <w:pPr>
        <w:spacing w:line="360" w:lineRule="auto"/>
        <w:ind w:firstLine="482"/>
        <w:rPr>
          <w:rFonts w:hint="default" w:ascii="Times New Roman" w:hAnsi="Times New Roman" w:cs="Times New Roman"/>
          <w:b/>
          <w:color w:val="auto"/>
          <w:kern w:val="0"/>
        </w:rPr>
      </w:pPr>
      <w:r>
        <w:rPr>
          <w:rFonts w:hint="default" w:ascii="Times New Roman" w:hAnsi="Times New Roman" w:cs="Times New Roman"/>
          <w:b/>
          <w:color w:val="auto"/>
          <w:kern w:val="0"/>
        </w:rPr>
        <w:t>3、长江经济带生态环境保护规划的判定</w:t>
      </w:r>
    </w:p>
    <w:p>
      <w:pPr>
        <w:autoSpaceDE w:val="0"/>
        <w:autoSpaceDN w:val="0"/>
        <w:adjustRightIn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本项目为单晶硅棒和切片生产项目，位于长江一级支流龙川江东侧3.6km处，不涉及《关于发布长江经济带发展负面清单指南（试行）的通知》的中禁止建设项目，严格遵守资源利用上线和生态保护红线等相关要求，符合《长江经济带生态环境保护规划》、《关于发布长江经济带发展负面清单指南（试行）的通知》以及《云南省长江经济带发展负面清单指南实施细则（试行）》的相关要求。</w:t>
      </w:r>
    </w:p>
    <w:bookmarkEnd w:id="16"/>
    <w:bookmarkEnd w:id="17"/>
    <w:p>
      <w:pPr>
        <w:spacing w:line="360" w:lineRule="auto"/>
        <w:ind w:firstLine="482" w:firstLineChars="200"/>
        <w:rPr>
          <w:rFonts w:hint="default" w:ascii="Times New Roman" w:hAnsi="Times New Roman" w:cs="Times New Roman"/>
          <w:b/>
          <w:color w:val="auto"/>
        </w:rPr>
      </w:pPr>
      <w:bookmarkStart w:id="18" w:name="_Toc2874"/>
      <w:bookmarkStart w:id="19" w:name="_Toc4838"/>
      <w:r>
        <w:rPr>
          <w:rFonts w:hint="default" w:ascii="Times New Roman" w:hAnsi="Times New Roman" w:cs="Times New Roman"/>
          <w:b/>
          <w:color w:val="auto"/>
        </w:rPr>
        <w:t>4、“三线一单”相符性判定</w:t>
      </w:r>
    </w:p>
    <w:p>
      <w:pPr>
        <w:spacing w:line="360" w:lineRule="auto"/>
        <w:ind w:firstLine="482"/>
        <w:jc w:val="left"/>
        <w:rPr>
          <w:rFonts w:hint="default" w:ascii="Times New Roman" w:hAnsi="Times New Roman" w:cs="Times New Roman"/>
          <w:color w:val="auto"/>
          <w:kern w:val="0"/>
        </w:rPr>
      </w:pPr>
      <w:r>
        <w:rPr>
          <w:rFonts w:hint="default" w:ascii="Times New Roman" w:hAnsi="Times New Roman" w:cs="Times New Roman"/>
          <w:color w:val="auto"/>
          <w:kern w:val="0"/>
        </w:rPr>
        <w:t>（1）生态保护红线</w:t>
      </w:r>
    </w:p>
    <w:p>
      <w:pPr>
        <w:spacing w:line="360" w:lineRule="auto"/>
        <w:ind w:firstLine="482"/>
        <w:jc w:val="left"/>
        <w:rPr>
          <w:rFonts w:hint="default" w:ascii="Times New Roman" w:hAnsi="Times New Roman" w:cs="Times New Roman"/>
          <w:color w:val="auto"/>
          <w:kern w:val="0"/>
        </w:rPr>
      </w:pPr>
      <w:r>
        <w:rPr>
          <w:rFonts w:hint="default" w:ascii="Times New Roman" w:hAnsi="Times New Roman" w:cs="Times New Roman"/>
          <w:color w:val="auto"/>
          <w:sz w:val="24"/>
          <w:szCs w:val="24"/>
        </w:rPr>
        <w:t>本项目位于</w:t>
      </w:r>
      <w:r>
        <w:rPr>
          <w:rFonts w:hint="default" w:ascii="Times New Roman" w:hAnsi="Times New Roman" w:cs="Times New Roman"/>
          <w:color w:val="auto"/>
          <w:sz w:val="24"/>
          <w:szCs w:val="24"/>
          <w:lang w:eastAsia="zh-CN"/>
        </w:rPr>
        <w:t>楚雄</w:t>
      </w:r>
      <w:r>
        <w:rPr>
          <w:rFonts w:hint="default" w:ascii="Times New Roman" w:hAnsi="Times New Roman" w:cs="Times New Roman"/>
          <w:color w:val="auto"/>
          <w:sz w:val="24"/>
          <w:szCs w:val="24"/>
        </w:rPr>
        <w:t>工业园区内，</w:t>
      </w:r>
      <w:r>
        <w:rPr>
          <w:rFonts w:hint="default" w:ascii="Times New Roman" w:hAnsi="Times New Roman" w:cs="Times New Roman"/>
          <w:b w:val="0"/>
          <w:bCs w:val="0"/>
          <w:color w:val="auto"/>
          <w:kern w:val="0"/>
          <w:sz w:val="24"/>
          <w:szCs w:val="24"/>
          <w:highlight w:val="none"/>
          <w:lang w:val="en-US" w:eastAsia="zh-CN"/>
        </w:rPr>
        <w:t>经查阅《云南省生态保护红线》划定范围，不在《云南省生态保护红线》划定的红线范围内</w:t>
      </w:r>
      <w:r>
        <w:rPr>
          <w:rFonts w:hint="default" w:ascii="Times New Roman" w:hAnsi="Times New Roman" w:cs="Times New Roman"/>
          <w:color w:val="auto"/>
          <w:kern w:val="0"/>
        </w:rPr>
        <w:t>。</w:t>
      </w:r>
    </w:p>
    <w:p>
      <w:pPr>
        <w:spacing w:line="360" w:lineRule="auto"/>
        <w:ind w:firstLine="482"/>
        <w:jc w:val="left"/>
        <w:rPr>
          <w:rFonts w:hint="default" w:ascii="Times New Roman" w:hAnsi="Times New Roman" w:cs="Times New Roman"/>
          <w:color w:val="auto"/>
          <w:kern w:val="0"/>
        </w:rPr>
      </w:pPr>
      <w:r>
        <w:rPr>
          <w:rFonts w:hint="default" w:ascii="Times New Roman" w:hAnsi="Times New Roman" w:cs="Times New Roman"/>
          <w:color w:val="auto"/>
          <w:kern w:val="0"/>
        </w:rPr>
        <w:t>（2）环境质量底线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 1 \* GB3 \* MERGEFORMAT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①</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t>环境空气质量底线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本项目选址区域环境空气质量能够满足《环境空气质量标准》（GB3095-2012）</w:t>
      </w:r>
      <w:r>
        <w:rPr>
          <w:rFonts w:hint="default" w:ascii="Times New Roman" w:hAnsi="Times New Roman" w:cs="Times New Roman"/>
          <w:color w:val="auto"/>
          <w:sz w:val="24"/>
          <w:szCs w:val="24"/>
          <w:lang w:val="en-US" w:eastAsia="zh-CN"/>
        </w:rPr>
        <w:t>及其</w:t>
      </w:r>
      <w:r>
        <w:rPr>
          <w:rFonts w:hint="default" w:ascii="Times New Roman" w:hAnsi="Times New Roman" w:cs="Times New Roman"/>
          <w:color w:val="auto"/>
          <w:sz w:val="24"/>
          <w:szCs w:val="24"/>
        </w:rPr>
        <w:t>修改单中二级标准要求，空气质量较好。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 2 \* GB3 \* MERGEFORMAT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②</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t>地表水环境质量底线</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b w:val="0"/>
          <w:bCs w:val="0"/>
          <w:color w:val="auto"/>
          <w:kern w:val="0"/>
          <w:sz w:val="24"/>
          <w:szCs w:val="24"/>
          <w:highlight w:val="none"/>
          <w:lang w:val="en-US" w:eastAsia="zh-CN"/>
        </w:rPr>
      </w:pPr>
      <w:r>
        <w:rPr>
          <w:rFonts w:hint="default" w:ascii="Times New Roman" w:hAnsi="Times New Roman" w:cs="Times New Roman"/>
          <w:color w:val="auto"/>
          <w:sz w:val="24"/>
          <w:szCs w:val="24"/>
          <w:lang w:eastAsia="zh-CN"/>
        </w:rPr>
        <w:t>根据《楚</w:t>
      </w:r>
      <w:r>
        <w:rPr>
          <w:rFonts w:hint="default" w:ascii="Times New Roman" w:hAnsi="Times New Roman" w:cs="Times New Roman"/>
          <w:color w:val="auto"/>
          <w:sz w:val="24"/>
          <w:szCs w:val="24"/>
          <w:lang w:val="en-US" w:eastAsia="zh-CN"/>
        </w:rPr>
        <w:t>雄</w:t>
      </w:r>
      <w:r>
        <w:rPr>
          <w:rFonts w:hint="default" w:ascii="Times New Roman" w:hAnsi="Times New Roman" w:eastAsia="宋体" w:cs="Times New Roman"/>
          <w:color w:val="auto"/>
          <w:sz w:val="24"/>
          <w:szCs w:val="24"/>
          <w:lang w:eastAsia="zh-CN"/>
        </w:rPr>
        <w:t>州人民政府关于印发楚雄州“三线一单”生态环</w:t>
      </w:r>
      <w:r>
        <w:rPr>
          <w:rFonts w:hint="default" w:ascii="Times New Roman" w:hAnsi="Times New Roman" w:cs="Times New Roman"/>
          <w:color w:val="auto"/>
          <w:sz w:val="24"/>
          <w:szCs w:val="24"/>
          <w:lang w:eastAsia="zh-CN"/>
        </w:rPr>
        <w:t>境分区管控实施方案的通知》（楚政通〔</w:t>
      </w:r>
      <w:r>
        <w:rPr>
          <w:rFonts w:hint="default" w:ascii="Times New Roman" w:hAnsi="Times New Roman" w:cs="Times New Roman"/>
          <w:color w:val="auto"/>
          <w:sz w:val="24"/>
          <w:szCs w:val="24"/>
          <w:lang w:val="en-US" w:eastAsia="zh-CN"/>
        </w:rPr>
        <w:t>2021</w:t>
      </w:r>
      <w:r>
        <w:rPr>
          <w:rFonts w:hint="default" w:ascii="Times New Roman" w:hAnsi="Times New Roman" w:cs="Times New Roman"/>
          <w:color w:val="auto"/>
          <w:sz w:val="24"/>
          <w:szCs w:val="24"/>
          <w:lang w:eastAsia="zh-CN"/>
        </w:rPr>
        <w:t>〕22号）：“到2025年，国控、省控地表水监测断面水质优良率高于全国全省平均水平，重点区域、流域水环境质量进一步改善，全面消除劣V类水体，集中式饮用水水源水质巩固改善。到2035年，地表水体水质优良率全面提升，各监测断面水质达到水环境功能要求，全面消除V类及以下水体，集中式饮用水水源水质稳定达标”。</w:t>
      </w:r>
    </w:p>
    <w:p>
      <w:pPr>
        <w:spacing w:line="360" w:lineRule="auto"/>
        <w:ind w:firstLine="482"/>
        <w:jc w:val="left"/>
        <w:rPr>
          <w:rFonts w:hint="default" w:ascii="Times New Roman" w:hAnsi="Times New Roman" w:cs="Times New Roman"/>
          <w:color w:val="auto"/>
          <w:kern w:val="21"/>
          <w:lang w:eastAsia="zh-CN"/>
        </w:rPr>
      </w:pPr>
      <w:r>
        <w:rPr>
          <w:rFonts w:hint="default" w:ascii="Times New Roman" w:hAnsi="Times New Roman" w:cs="Times New Roman"/>
          <w:color w:val="auto"/>
          <w:lang w:eastAsia="zh-CN"/>
        </w:rPr>
        <w:t>项目地表水保护目标中龙川江现状水质达到</w:t>
      </w:r>
      <w:r>
        <w:rPr>
          <w:rFonts w:hint="default" w:ascii="Times New Roman" w:hAnsi="Times New Roman" w:cs="Times New Roman"/>
          <w:color w:val="auto"/>
        </w:rPr>
        <w:t>Ⅲ类</w:t>
      </w:r>
      <w:r>
        <w:rPr>
          <w:rFonts w:hint="default" w:ascii="Times New Roman" w:hAnsi="Times New Roman" w:cs="Times New Roman"/>
          <w:color w:val="auto"/>
          <w:lang w:eastAsia="zh-CN"/>
        </w:rPr>
        <w:t>，青龙河现状为</w:t>
      </w:r>
      <w:r>
        <w:rPr>
          <w:rFonts w:hint="default" w:ascii="Times New Roman" w:hAnsi="Times New Roman" w:cs="Times New Roman"/>
          <w:color w:val="auto"/>
          <w:lang w:val="en-US" w:eastAsia="zh-CN"/>
        </w:rPr>
        <w:t>V</w:t>
      </w:r>
      <w:r>
        <w:rPr>
          <w:rFonts w:hint="default" w:ascii="Times New Roman" w:hAnsi="Times New Roman" w:cs="Times New Roman"/>
          <w:color w:val="auto"/>
        </w:rPr>
        <w:t>类</w:t>
      </w:r>
      <w:r>
        <w:rPr>
          <w:rFonts w:hint="default" w:ascii="Times New Roman" w:hAnsi="Times New Roman" w:cs="Times New Roman"/>
          <w:color w:val="auto"/>
          <w:lang w:eastAsia="zh-CN"/>
        </w:rPr>
        <w:t>，地表水现状不达标。</w:t>
      </w:r>
      <w:r>
        <w:rPr>
          <w:rFonts w:hint="default" w:ascii="Times New Roman" w:hAnsi="Times New Roman" w:cs="Times New Roman"/>
          <w:color w:val="auto"/>
          <w:kern w:val="21"/>
        </w:rPr>
        <w:t>2022年楚雄市人民政府下发了《楚雄市人民政府办公室关于印发楚雄市青龙河水体达标方案的通知》（楚市政办通〔2022〕6号）</w:t>
      </w:r>
      <w:r>
        <w:rPr>
          <w:rFonts w:hint="default" w:ascii="Times New Roman" w:hAnsi="Times New Roman" w:cs="Times New Roman"/>
          <w:color w:val="auto"/>
          <w:kern w:val="21"/>
          <w:lang w:eastAsia="zh-CN"/>
        </w:rPr>
        <w:t>，</w:t>
      </w:r>
      <w:r>
        <w:rPr>
          <w:rFonts w:hint="default" w:ascii="Times New Roman" w:hAnsi="Times New Roman" w:cs="Times New Roman"/>
          <w:color w:val="auto"/>
          <w:kern w:val="21"/>
        </w:rPr>
        <w:t>拟实施17项重点工程，包括城镇两污类、工业污染防治类、农村环境综合整治类、水生态保护及修复类、水资源优化调度类、生态环境管理类6类项目</w:t>
      </w:r>
      <w:r>
        <w:rPr>
          <w:rFonts w:hint="default" w:ascii="Times New Roman" w:hAnsi="Times New Roman" w:cs="Times New Roman"/>
          <w:color w:val="auto"/>
          <w:kern w:val="21"/>
          <w:lang w:eastAsia="zh-CN"/>
        </w:rPr>
        <w:t>，同时在考虑最大程度削减楚雄市富民工业园区污水处理厂（处理规模</w:t>
      </w:r>
      <w:r>
        <w:rPr>
          <w:rFonts w:hint="default" w:ascii="Times New Roman" w:hAnsi="Times New Roman" w:cs="Times New Roman"/>
          <w:color w:val="auto"/>
          <w:kern w:val="21"/>
          <w:lang w:val="en-US" w:eastAsia="zh-CN"/>
        </w:rPr>
        <w:t>22000m</w:t>
      </w:r>
      <w:r>
        <w:rPr>
          <w:rFonts w:hint="default" w:ascii="Times New Roman" w:hAnsi="Times New Roman" w:cs="Times New Roman"/>
          <w:color w:val="auto"/>
          <w:kern w:val="21"/>
          <w:vertAlign w:val="superscript"/>
          <w:lang w:val="en-US" w:eastAsia="zh-CN"/>
        </w:rPr>
        <w:t>3</w:t>
      </w:r>
      <w:r>
        <w:rPr>
          <w:rFonts w:hint="default" w:ascii="Times New Roman" w:hAnsi="Times New Roman" w:cs="Times New Roman"/>
          <w:color w:val="auto"/>
          <w:kern w:val="21"/>
          <w:vertAlign w:val="baseline"/>
          <w:lang w:val="en-US" w:eastAsia="zh-CN"/>
        </w:rPr>
        <w:t>/d</w:t>
      </w:r>
      <w:r>
        <w:rPr>
          <w:rFonts w:hint="default" w:ascii="Times New Roman" w:hAnsi="Times New Roman" w:cs="Times New Roman"/>
          <w:color w:val="auto"/>
          <w:kern w:val="21"/>
          <w:lang w:eastAsia="zh-CN"/>
        </w:rPr>
        <w:t>）入河污染物量和增加中石坝水库（青龙河源头水库）最大生态下泄流量的情况下，争取</w:t>
      </w:r>
      <w:r>
        <w:rPr>
          <w:rFonts w:hint="default" w:ascii="Times New Roman" w:hAnsi="Times New Roman" w:cs="Times New Roman"/>
          <w:color w:val="auto"/>
          <w:kern w:val="21"/>
          <w:lang w:val="en-US" w:eastAsia="zh-CN"/>
        </w:rPr>
        <w:t>2025年</w:t>
      </w:r>
      <w:r>
        <w:rPr>
          <w:rFonts w:hint="default" w:ascii="Times New Roman" w:hAnsi="Times New Roman" w:cs="Times New Roman"/>
          <w:color w:val="auto"/>
          <w:kern w:val="21"/>
        </w:rPr>
        <w:t>青龙河入龙川江口断面水质目标达到《地表水环境质量标准》</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GB3838-2002</w:t>
      </w:r>
      <w:r>
        <w:rPr>
          <w:rFonts w:hint="default" w:ascii="Times New Roman" w:hAnsi="Times New Roman" w:cs="Times New Roman"/>
          <w:color w:val="auto"/>
          <w:lang w:eastAsia="zh-CN"/>
        </w:rPr>
        <w:t>）</w:t>
      </w:r>
      <w:r>
        <w:rPr>
          <w:rFonts w:hint="default" w:ascii="Times New Roman" w:hAnsi="Times New Roman" w:cs="Times New Roman"/>
          <w:color w:val="auto"/>
          <w:kern w:val="21"/>
        </w:rPr>
        <w:t>IV类标准要求</w:t>
      </w:r>
      <w:r>
        <w:rPr>
          <w:rFonts w:hint="default" w:ascii="Times New Roman" w:hAnsi="Times New Roman" w:cs="Times New Roman"/>
          <w:color w:val="auto"/>
          <w:kern w:val="21"/>
          <w:lang w:eastAsia="zh-CN"/>
        </w:rPr>
        <w:t>。</w:t>
      </w:r>
    </w:p>
    <w:p>
      <w:pPr>
        <w:pStyle w:val="2"/>
        <w:rPr>
          <w:rFonts w:hint="default" w:ascii="Times New Roman" w:hAnsi="Times New Roman" w:cs="Times New Roman"/>
          <w:lang w:val="en-US" w:eastAsia="zh-CN"/>
        </w:rPr>
      </w:pPr>
      <w:r>
        <w:rPr>
          <w:rFonts w:hint="default" w:ascii="Times New Roman" w:hAnsi="Times New Roman" w:cs="Times New Roman"/>
          <w:lang w:eastAsia="zh-CN"/>
        </w:rPr>
        <w:t>根据地表水预测评价结论，项目建成后全厂废水执行表</w:t>
      </w:r>
      <w:r>
        <w:rPr>
          <w:rFonts w:hint="default" w:ascii="Times New Roman" w:hAnsi="Times New Roman" w:cs="Times New Roman"/>
          <w:lang w:val="en-US" w:eastAsia="zh-CN"/>
        </w:rPr>
        <w:t>1-12的排放限值要求后，可以保证不会造成青龙河水质类别降低。</w:t>
      </w:r>
    </w:p>
    <w:p>
      <w:pPr>
        <w:spacing w:line="360" w:lineRule="auto"/>
        <w:ind w:firstLine="482"/>
        <w:jc w:val="left"/>
        <w:rPr>
          <w:rFonts w:hint="default" w:ascii="Times New Roman" w:hAnsi="Times New Roman" w:cs="Times New Roman"/>
          <w:color w:val="auto"/>
          <w:kern w:val="0"/>
        </w:rPr>
      </w:pPr>
      <w:r>
        <w:rPr>
          <w:rFonts w:hint="default" w:ascii="Times New Roman" w:hAnsi="Times New Roman" w:cs="Times New Roman"/>
          <w:color w:val="auto"/>
          <w:kern w:val="0"/>
        </w:rPr>
        <w:t>（3）资源利用上线</w:t>
      </w:r>
    </w:p>
    <w:p>
      <w:pPr>
        <w:spacing w:line="360" w:lineRule="auto"/>
        <w:ind w:firstLine="482"/>
        <w:jc w:val="left"/>
        <w:rPr>
          <w:rFonts w:hint="default" w:ascii="Times New Roman" w:hAnsi="Times New Roman" w:cs="Times New Roman"/>
          <w:color w:val="auto"/>
          <w:kern w:val="0"/>
        </w:rPr>
      </w:pPr>
      <w:r>
        <w:rPr>
          <w:rFonts w:hint="default" w:ascii="Times New Roman" w:hAnsi="Times New Roman" w:cs="Times New Roman"/>
          <w:color w:val="auto"/>
          <w:kern w:val="0"/>
          <w:lang w:eastAsia="zh-CN"/>
        </w:rPr>
        <w:t>项目生产</w:t>
      </w:r>
      <w:r>
        <w:rPr>
          <w:rFonts w:hint="default" w:ascii="Times New Roman" w:hAnsi="Times New Roman" w:cs="Times New Roman"/>
          <w:color w:val="auto"/>
          <w:kern w:val="0"/>
        </w:rPr>
        <w:t>过程中</w:t>
      </w:r>
      <w:r>
        <w:rPr>
          <w:rFonts w:hint="default" w:ascii="Times New Roman" w:hAnsi="Times New Roman" w:cs="Times New Roman"/>
          <w:color w:val="auto"/>
          <w:kern w:val="0"/>
          <w:lang w:eastAsia="zh-CN"/>
        </w:rPr>
        <w:t>已考虑浓水回用，最大程度利用水资源，</w:t>
      </w:r>
      <w:r>
        <w:rPr>
          <w:rFonts w:hint="default" w:ascii="Times New Roman" w:hAnsi="Times New Roman" w:cs="Times New Roman"/>
          <w:color w:val="auto"/>
          <w:kern w:val="0"/>
        </w:rPr>
        <w:t>产生的</w:t>
      </w:r>
      <w:r>
        <w:rPr>
          <w:rFonts w:hint="default" w:ascii="Times New Roman" w:hAnsi="Times New Roman" w:cs="Times New Roman"/>
          <w:color w:val="auto"/>
          <w:kern w:val="0"/>
          <w:lang w:eastAsia="zh-CN"/>
        </w:rPr>
        <w:t>废切片</w:t>
      </w:r>
      <w:r>
        <w:rPr>
          <w:rFonts w:hint="default" w:ascii="Times New Roman" w:hAnsi="Times New Roman" w:cs="Times New Roman"/>
          <w:color w:val="auto"/>
          <w:kern w:val="0"/>
          <w:lang w:eastAsia="zh-CN"/>
        </w:rPr>
        <w:t>破碎后回用于单晶硅棒生产</w:t>
      </w:r>
      <w:r>
        <w:rPr>
          <w:rFonts w:hint="default" w:ascii="Times New Roman" w:hAnsi="Times New Roman" w:cs="Times New Roman"/>
          <w:color w:val="auto"/>
          <w:kern w:val="0"/>
        </w:rPr>
        <w:t>，提高原料利用率，最大限度的实现“三废”的回收利用，满足资源利用上线的要求。</w:t>
      </w:r>
    </w:p>
    <w:p>
      <w:pPr>
        <w:spacing w:line="360" w:lineRule="auto"/>
        <w:ind w:firstLine="482"/>
        <w:jc w:val="left"/>
        <w:rPr>
          <w:rFonts w:hint="default" w:ascii="Times New Roman" w:hAnsi="Times New Roman" w:cs="Times New Roman"/>
          <w:color w:val="auto"/>
          <w:kern w:val="0"/>
        </w:rPr>
      </w:pPr>
      <w:r>
        <w:rPr>
          <w:rFonts w:hint="default" w:ascii="Times New Roman" w:hAnsi="Times New Roman" w:cs="Times New Roman"/>
          <w:color w:val="auto"/>
          <w:kern w:val="0"/>
        </w:rPr>
        <w:t>（4）环境准入负面清单</w:t>
      </w:r>
    </w:p>
    <w:p>
      <w:pPr>
        <w:spacing w:line="360" w:lineRule="auto"/>
        <w:ind w:firstLine="482"/>
        <w:jc w:val="left"/>
        <w:rPr>
          <w:rFonts w:hint="default" w:ascii="Times New Roman" w:hAnsi="Times New Roman" w:cs="Times New Roman"/>
          <w:color w:val="auto"/>
          <w:kern w:val="0"/>
        </w:rPr>
      </w:pPr>
      <w:r>
        <w:rPr>
          <w:rFonts w:hint="default" w:ascii="Times New Roman" w:hAnsi="Times New Roman" w:cs="Times New Roman"/>
          <w:color w:val="auto"/>
          <w:kern w:val="0"/>
        </w:rPr>
        <w:t>本项目位于楚雄工业园区富民庄甸工业区先进装备制造产业组团，对照《楚雄工业园区总体规划修改（2018—2035）环境影响报告书》中行业准入要求，项目建设符合《楚雄工业园区总体规划修改（2018—2035）环境影响报告书》中行业准入要求。本项目所属行业、规划选址、清洁生产水平及环境保护措施等均满足环境准入基本条件，其采用的生产工艺、实施的生产规模、产品及使用原料等均未列入环境准入负面清单内。</w:t>
      </w:r>
    </w:p>
    <w:p>
      <w:pPr>
        <w:spacing w:line="360" w:lineRule="auto"/>
        <w:ind w:firstLine="480" w:firstLineChars="200"/>
        <w:rPr>
          <w:rFonts w:hint="default" w:ascii="Times New Roman" w:hAnsi="Times New Roman" w:cs="Times New Roman"/>
          <w:color w:val="FF0000"/>
          <w:kern w:val="0"/>
          <w:lang w:eastAsia="zh-CN"/>
        </w:rPr>
      </w:pPr>
      <w:r>
        <w:rPr>
          <w:rFonts w:hint="default" w:ascii="Times New Roman" w:hAnsi="Times New Roman" w:cs="Times New Roman"/>
          <w:color w:val="auto"/>
          <w:kern w:val="0"/>
          <w:lang w:eastAsia="zh-CN"/>
        </w:rPr>
        <w:t>综上，项目能满足“三线一单”的要求。</w:t>
      </w:r>
    </w:p>
    <w:p>
      <w:pPr>
        <w:spacing w:line="360" w:lineRule="auto"/>
        <w:ind w:firstLine="482" w:firstLineChars="200"/>
        <w:rPr>
          <w:rFonts w:hint="default" w:ascii="Times New Roman" w:hAnsi="Times New Roman" w:cs="Times New Roman"/>
          <w:b/>
          <w:color w:val="auto"/>
        </w:rPr>
      </w:pPr>
      <w:r>
        <w:rPr>
          <w:rFonts w:hint="default" w:ascii="Times New Roman" w:hAnsi="Times New Roman" w:cs="Times New Roman"/>
          <w:b/>
          <w:color w:val="auto"/>
        </w:rPr>
        <w:t>5、选址</w:t>
      </w:r>
      <w:bookmarkEnd w:id="18"/>
      <w:bookmarkEnd w:id="19"/>
      <w:r>
        <w:rPr>
          <w:rFonts w:hint="default" w:ascii="Times New Roman" w:hAnsi="Times New Roman" w:cs="Times New Roman"/>
          <w:b/>
          <w:color w:val="auto"/>
        </w:rPr>
        <w:t>合理性判定情况</w:t>
      </w:r>
    </w:p>
    <w:p>
      <w:pPr>
        <w:spacing w:line="360" w:lineRule="auto"/>
        <w:ind w:firstLine="482"/>
        <w:rPr>
          <w:rFonts w:hint="default" w:ascii="Times New Roman" w:hAnsi="Times New Roman" w:cs="Times New Roman"/>
          <w:color w:val="auto"/>
        </w:rPr>
      </w:pPr>
      <w:r>
        <w:rPr>
          <w:rFonts w:hint="default" w:ascii="Times New Roman" w:hAnsi="Times New Roman" w:cs="Times New Roman"/>
          <w:color w:val="auto"/>
          <w:kern w:val="0"/>
        </w:rPr>
        <w:t>项目位于楚雄工业园区富民庄甸工业区，用地性质为工业用地，选址符合工业园区规划；项目切片车间无组织排放源设置50m卫生防护距离，该范围内无环境保护目标；项目占地不涉及自然保护区、风景名胜区、水源保护区等敏感区；项目区域环境质量现状较好，本项目建成后，各污染物经环保设施处理后均能保证达标排放。</w:t>
      </w:r>
    </w:p>
    <w:p>
      <w:pPr>
        <w:spacing w:line="360" w:lineRule="auto"/>
        <w:ind w:firstLine="482" w:firstLineChars="200"/>
        <w:rPr>
          <w:rFonts w:hint="default" w:ascii="Times New Roman" w:hAnsi="Times New Roman" w:cs="Times New Roman"/>
          <w:b/>
          <w:color w:val="auto"/>
        </w:rPr>
      </w:pPr>
      <w:bookmarkStart w:id="20" w:name="_Toc27648"/>
      <w:bookmarkStart w:id="21" w:name="_Toc12999"/>
      <w:bookmarkStart w:id="22" w:name="_Toc28824"/>
      <w:bookmarkStart w:id="23" w:name="_Toc8774"/>
      <w:bookmarkStart w:id="24" w:name="_Toc26030"/>
      <w:r>
        <w:rPr>
          <w:rFonts w:hint="default" w:ascii="Times New Roman" w:hAnsi="Times New Roman" w:cs="Times New Roman"/>
          <w:b/>
          <w:color w:val="auto"/>
        </w:rPr>
        <w:t>四、关注的主要环境问题及环境影响</w:t>
      </w:r>
      <w:bookmarkEnd w:id="20"/>
      <w:bookmarkEnd w:id="21"/>
      <w:bookmarkEnd w:id="22"/>
      <w:bookmarkEnd w:id="23"/>
      <w:bookmarkEnd w:id="24"/>
    </w:p>
    <w:p>
      <w:pPr>
        <w:spacing w:line="360" w:lineRule="auto"/>
        <w:ind w:firstLine="480" w:firstLineChars="200"/>
        <w:rPr>
          <w:rFonts w:hint="default" w:ascii="Times New Roman" w:hAnsi="Times New Roman" w:cs="Times New Roman"/>
          <w:color w:val="auto"/>
        </w:rPr>
      </w:pPr>
      <w:bookmarkStart w:id="25" w:name="_Toc3172"/>
      <w:bookmarkStart w:id="26" w:name="_Toc7016"/>
      <w:bookmarkStart w:id="27" w:name="_Toc30955"/>
      <w:bookmarkStart w:id="28" w:name="_Toc23724"/>
      <w:bookmarkStart w:id="29" w:name="_Toc27247"/>
      <w:r>
        <w:rPr>
          <w:rFonts w:hint="default" w:ascii="Times New Roman" w:hAnsi="Times New Roman" w:cs="Times New Roman"/>
          <w:color w:val="auto"/>
        </w:rPr>
        <w:t>根据本项目现场调查、工程分析的结果，结合本项目生产工艺特点及区域环境特征，运营期关注的主要环境问题如下几方面：</w:t>
      </w:r>
    </w:p>
    <w:p>
      <w:pPr>
        <w:spacing w:line="360" w:lineRule="auto"/>
        <w:ind w:firstLine="480" w:firstLineChars="200"/>
        <w:rPr>
          <w:rFonts w:hint="default" w:ascii="Times New Roman" w:hAnsi="Times New Roman" w:cs="Times New Roman"/>
          <w:bCs/>
          <w:color w:val="auto"/>
        </w:rPr>
      </w:pPr>
      <w:r>
        <w:rPr>
          <w:rFonts w:hint="default" w:ascii="Times New Roman" w:hAnsi="Times New Roman" w:cs="Times New Roman"/>
          <w:bCs/>
          <w:color w:val="auto"/>
        </w:rPr>
        <w:t>（1）大气环境</w:t>
      </w:r>
    </w:p>
    <w:p>
      <w:pPr>
        <w:spacing w:line="360" w:lineRule="auto"/>
        <w:ind w:firstLine="480" w:firstLineChars="200"/>
        <w:rPr>
          <w:rFonts w:hint="default" w:ascii="Times New Roman" w:hAnsi="Times New Roman" w:cs="Times New Roman"/>
          <w:bCs/>
          <w:color w:val="auto"/>
        </w:rPr>
      </w:pPr>
      <w:r>
        <w:rPr>
          <w:rFonts w:hint="default" w:ascii="Times New Roman" w:hAnsi="Times New Roman" w:cs="Times New Roman"/>
          <w:bCs/>
          <w:color w:val="auto"/>
        </w:rPr>
        <w:t>重点关注生产废气处理措施</w:t>
      </w:r>
      <w:r>
        <w:rPr>
          <w:rFonts w:hint="default" w:ascii="Times New Roman" w:hAnsi="Times New Roman" w:cs="Times New Roman"/>
          <w:bCs/>
          <w:color w:val="auto"/>
          <w:lang w:eastAsia="zh-CN"/>
        </w:rPr>
        <w:t>依托可行性</w:t>
      </w:r>
      <w:r>
        <w:rPr>
          <w:rFonts w:hint="default" w:ascii="Times New Roman" w:hAnsi="Times New Roman" w:cs="Times New Roman"/>
          <w:bCs/>
          <w:color w:val="auto"/>
        </w:rPr>
        <w:t>，废气达标排放可行性，对区域大气环境及敏感目标的影响程度和范围；</w:t>
      </w:r>
    </w:p>
    <w:p>
      <w:pPr>
        <w:spacing w:line="360" w:lineRule="auto"/>
        <w:ind w:firstLine="480" w:firstLineChars="200"/>
        <w:rPr>
          <w:rFonts w:hint="default" w:ascii="Times New Roman" w:hAnsi="Times New Roman" w:cs="Times New Roman"/>
          <w:bCs/>
          <w:color w:val="auto"/>
        </w:rPr>
      </w:pPr>
      <w:r>
        <w:rPr>
          <w:rFonts w:hint="default" w:ascii="Times New Roman" w:hAnsi="Times New Roman" w:cs="Times New Roman"/>
          <w:bCs/>
          <w:color w:val="auto"/>
        </w:rPr>
        <w:t>（2）水环境</w:t>
      </w:r>
    </w:p>
    <w:p>
      <w:pPr>
        <w:spacing w:line="360" w:lineRule="auto"/>
        <w:ind w:firstLine="480" w:firstLineChars="200"/>
        <w:rPr>
          <w:rFonts w:hint="default" w:ascii="Times New Roman" w:hAnsi="Times New Roman" w:cs="Times New Roman"/>
          <w:bCs/>
          <w:color w:val="auto"/>
        </w:rPr>
      </w:pPr>
      <w:r>
        <w:rPr>
          <w:rFonts w:hint="default" w:ascii="Times New Roman" w:hAnsi="Times New Roman" w:cs="Times New Roman"/>
          <w:bCs/>
          <w:color w:val="auto"/>
          <w:lang w:eastAsia="zh-CN"/>
        </w:rPr>
        <w:t>重点关注</w:t>
      </w:r>
      <w:r>
        <w:rPr>
          <w:rFonts w:hint="default" w:ascii="Times New Roman" w:hAnsi="Times New Roman" w:cs="Times New Roman"/>
          <w:bCs/>
          <w:color w:val="auto"/>
        </w:rPr>
        <w:t>生产废水、生活废水处理措施可行性</w:t>
      </w:r>
      <w:r>
        <w:rPr>
          <w:rFonts w:hint="default" w:ascii="Times New Roman" w:hAnsi="Times New Roman" w:cs="Times New Roman"/>
          <w:bCs/>
          <w:color w:val="auto"/>
          <w:lang w:eastAsia="zh-CN"/>
        </w:rPr>
        <w:t>、依托可行性</w:t>
      </w:r>
      <w:r>
        <w:rPr>
          <w:rFonts w:hint="default" w:ascii="Times New Roman" w:hAnsi="Times New Roman" w:cs="Times New Roman"/>
          <w:bCs/>
          <w:color w:val="auto"/>
        </w:rPr>
        <w:t>，分析和评价对周边地表水体及地下水的影响；</w:t>
      </w:r>
    </w:p>
    <w:p>
      <w:pPr>
        <w:spacing w:line="360" w:lineRule="auto"/>
        <w:ind w:firstLine="480" w:firstLineChars="200"/>
        <w:rPr>
          <w:rFonts w:hint="default" w:ascii="Times New Roman" w:hAnsi="Times New Roman" w:cs="Times New Roman"/>
          <w:bCs/>
          <w:color w:val="auto"/>
        </w:rPr>
      </w:pPr>
      <w:r>
        <w:rPr>
          <w:rFonts w:hint="default" w:ascii="Times New Roman" w:hAnsi="Times New Roman" w:cs="Times New Roman"/>
          <w:bCs/>
          <w:color w:val="auto"/>
        </w:rPr>
        <w:t>（3）声环境</w:t>
      </w:r>
    </w:p>
    <w:p>
      <w:pPr>
        <w:spacing w:line="360" w:lineRule="auto"/>
        <w:ind w:firstLine="480" w:firstLineChars="200"/>
        <w:rPr>
          <w:rFonts w:hint="default" w:ascii="Times New Roman" w:hAnsi="Times New Roman" w:cs="Times New Roman"/>
          <w:bCs/>
          <w:color w:val="auto"/>
        </w:rPr>
      </w:pPr>
      <w:r>
        <w:rPr>
          <w:rFonts w:hint="default" w:ascii="Times New Roman" w:hAnsi="Times New Roman" w:cs="Times New Roman"/>
          <w:bCs/>
          <w:color w:val="auto"/>
        </w:rPr>
        <w:t>主要关注机械设备噪声防治、噪声排放情况，重点关注厂界噪声排放达标情况和对周边敏感点的影响；</w:t>
      </w:r>
    </w:p>
    <w:p>
      <w:pPr>
        <w:spacing w:line="360" w:lineRule="auto"/>
        <w:ind w:left="480"/>
        <w:rPr>
          <w:rFonts w:hint="default" w:ascii="Times New Roman" w:hAnsi="Times New Roman" w:cs="Times New Roman"/>
          <w:bCs/>
          <w:color w:val="auto"/>
        </w:rPr>
      </w:pPr>
      <w:r>
        <w:rPr>
          <w:rFonts w:hint="default" w:ascii="Times New Roman" w:hAnsi="Times New Roman" w:cs="Times New Roman"/>
          <w:bCs/>
          <w:color w:val="auto"/>
        </w:rPr>
        <w:t>（4）固体废物</w:t>
      </w:r>
    </w:p>
    <w:p>
      <w:pPr>
        <w:spacing w:line="360" w:lineRule="auto"/>
        <w:ind w:firstLine="480" w:firstLineChars="200"/>
        <w:rPr>
          <w:rFonts w:hint="default" w:ascii="Times New Roman" w:hAnsi="Times New Roman" w:cs="Times New Roman"/>
          <w:bCs/>
          <w:color w:val="auto"/>
        </w:rPr>
      </w:pPr>
      <w:r>
        <w:rPr>
          <w:rFonts w:hint="default" w:ascii="Times New Roman" w:hAnsi="Times New Roman" w:cs="Times New Roman"/>
          <w:bCs/>
          <w:color w:val="auto"/>
        </w:rPr>
        <w:t>重点关注工业固废、危险废物和生活垃圾的临时贮存和最终处置去向的合理性；</w:t>
      </w:r>
    </w:p>
    <w:p>
      <w:pPr>
        <w:spacing w:line="360" w:lineRule="auto"/>
        <w:ind w:left="480"/>
        <w:rPr>
          <w:rFonts w:hint="default" w:ascii="Times New Roman" w:hAnsi="Times New Roman" w:cs="Times New Roman"/>
          <w:bCs/>
          <w:color w:val="auto"/>
        </w:rPr>
      </w:pPr>
      <w:r>
        <w:rPr>
          <w:rFonts w:hint="default" w:ascii="Times New Roman" w:hAnsi="Times New Roman" w:cs="Times New Roman"/>
          <w:bCs/>
          <w:color w:val="auto"/>
        </w:rPr>
        <w:t>（5）环境风险</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本项目涉及的危险化学品如发生泄漏事故对环境产生较大影响</w:t>
      </w:r>
      <w:r>
        <w:rPr>
          <w:rFonts w:hint="default" w:ascii="Times New Roman" w:hAnsi="Times New Roman" w:cs="Times New Roman"/>
          <w:color w:val="auto"/>
          <w:lang w:eastAsia="zh-CN"/>
        </w:rPr>
        <w:t>，</w:t>
      </w:r>
      <w:r>
        <w:rPr>
          <w:rFonts w:hint="default" w:ascii="Times New Roman" w:hAnsi="Times New Roman" w:cs="Times New Roman"/>
          <w:color w:val="auto"/>
        </w:rPr>
        <w:t>应</w:t>
      </w:r>
      <w:r>
        <w:rPr>
          <w:rFonts w:hint="default" w:ascii="Times New Roman" w:hAnsi="Times New Roman" w:cs="Times New Roman"/>
          <w:bCs/>
          <w:color w:val="auto"/>
        </w:rPr>
        <w:t>关注项目的环境风险是否可接受，风险防范措施是否符合要求。</w:t>
      </w:r>
    </w:p>
    <w:p>
      <w:pPr>
        <w:spacing w:line="360" w:lineRule="auto"/>
        <w:ind w:firstLine="482" w:firstLineChars="200"/>
        <w:rPr>
          <w:rFonts w:hint="default" w:ascii="Times New Roman" w:hAnsi="Times New Roman" w:cs="Times New Roman"/>
          <w:b/>
          <w:color w:val="auto"/>
        </w:rPr>
      </w:pPr>
      <w:r>
        <w:rPr>
          <w:rFonts w:hint="default" w:ascii="Times New Roman" w:hAnsi="Times New Roman" w:cs="Times New Roman"/>
          <w:b/>
          <w:color w:val="auto"/>
        </w:rPr>
        <w:t>五、环境影响评价的主要结论</w:t>
      </w:r>
      <w:bookmarkEnd w:id="25"/>
      <w:bookmarkEnd w:id="26"/>
      <w:bookmarkEnd w:id="27"/>
      <w:bookmarkEnd w:id="28"/>
      <w:bookmarkEnd w:id="29"/>
    </w:p>
    <w:p>
      <w:pPr>
        <w:pStyle w:val="17"/>
        <w:spacing w:line="360" w:lineRule="auto"/>
        <w:ind w:firstLine="480" w:firstLineChars="200"/>
        <w:rPr>
          <w:rFonts w:hint="default" w:ascii="Times New Roman" w:hAnsi="Times New Roman" w:cs="Times New Roman"/>
          <w:color w:val="auto"/>
        </w:rPr>
      </w:pPr>
      <w:bookmarkStart w:id="30" w:name="_Toc32124"/>
      <w:bookmarkStart w:id="31" w:name="_Toc32579"/>
      <w:bookmarkStart w:id="32" w:name="_Toc17174"/>
      <w:bookmarkStart w:id="33" w:name="_Toc4219"/>
      <w:bookmarkStart w:id="34" w:name="_Toc5597"/>
      <w:r>
        <w:rPr>
          <w:rFonts w:hint="default" w:ascii="Times New Roman" w:hAnsi="Times New Roman" w:cs="Times New Roman"/>
          <w:color w:val="auto"/>
        </w:rPr>
        <w:t>项目产生的废气、废水、固废、噪声经各项污染防治措施治理后，污染物均能够实现达标排放，经环境影响预测，对当地环境影响较小</w:t>
      </w:r>
      <w:r>
        <w:rPr>
          <w:rFonts w:hint="default" w:ascii="Times New Roman" w:hAnsi="Times New Roman" w:cs="Times New Roman"/>
          <w:color w:val="auto"/>
          <w:lang w:eastAsia="zh-CN"/>
        </w:rPr>
        <w:t>，项目建设具有可行性</w:t>
      </w:r>
      <w:r>
        <w:rPr>
          <w:rFonts w:hint="default" w:ascii="Times New Roman" w:hAnsi="Times New Roman" w:cs="Times New Roman"/>
          <w:b/>
          <w:bCs/>
          <w:color w:val="auto"/>
        </w:rPr>
        <w:t>。</w:t>
      </w:r>
    </w:p>
    <w:p>
      <w:pPr>
        <w:spacing w:line="360" w:lineRule="auto"/>
        <w:ind w:firstLine="480" w:firstLineChars="200"/>
        <w:rPr>
          <w:rFonts w:hint="default" w:ascii="Times New Roman" w:hAnsi="Times New Roman" w:cs="Times New Roman"/>
          <w:color w:val="auto"/>
        </w:rPr>
      </w:pPr>
    </w:p>
    <w:p>
      <w:pPr>
        <w:pStyle w:val="3"/>
        <w:spacing w:beforeLines="100" w:afterLines="100"/>
        <w:jc w:val="center"/>
        <w:rPr>
          <w:rFonts w:hint="default" w:ascii="Times New Roman" w:hAnsi="Times New Roman" w:cs="Times New Roman"/>
          <w:color w:val="FF0000"/>
        </w:rPr>
        <w:sectPr>
          <w:footerReference r:id="rId5" w:type="default"/>
          <w:pgSz w:w="11906" w:h="16838"/>
          <w:pgMar w:top="1440" w:right="1797" w:bottom="1440" w:left="1797" w:header="851" w:footer="992" w:gutter="0"/>
          <w:pgBorders>
            <w:top w:val="none" w:sz="0" w:space="0"/>
            <w:left w:val="none" w:sz="0" w:space="0"/>
            <w:bottom w:val="none" w:sz="0" w:space="0"/>
            <w:right w:val="none" w:sz="0" w:space="0"/>
          </w:pgBorders>
          <w:pgNumType w:start="1"/>
          <w:cols w:space="720" w:num="1"/>
          <w:docGrid w:linePitch="312" w:charSpace="0"/>
        </w:sectPr>
      </w:pPr>
    </w:p>
    <w:p>
      <w:pPr>
        <w:pStyle w:val="3"/>
        <w:spacing w:beforeLines="100" w:afterLines="100"/>
        <w:jc w:val="center"/>
        <w:rPr>
          <w:rFonts w:hint="default" w:ascii="Times New Roman" w:hAnsi="Times New Roman" w:cs="Times New Roman"/>
          <w:color w:val="auto"/>
        </w:rPr>
      </w:pPr>
      <w:bookmarkStart w:id="35" w:name="_Toc588"/>
      <w:r>
        <w:rPr>
          <w:rFonts w:hint="default" w:ascii="Times New Roman" w:hAnsi="Times New Roman" w:cs="Times New Roman"/>
          <w:color w:val="auto"/>
        </w:rPr>
        <w:t>1总则</w:t>
      </w:r>
      <w:bookmarkEnd w:id="30"/>
      <w:bookmarkEnd w:id="31"/>
      <w:bookmarkEnd w:id="32"/>
      <w:bookmarkEnd w:id="33"/>
      <w:bookmarkEnd w:id="34"/>
      <w:bookmarkEnd w:id="35"/>
    </w:p>
    <w:p>
      <w:pPr>
        <w:pStyle w:val="4"/>
        <w:spacing w:before="0" w:after="0" w:line="360" w:lineRule="auto"/>
        <w:rPr>
          <w:rFonts w:hint="default" w:ascii="Times New Roman" w:hAnsi="Times New Roman" w:eastAsia="宋体" w:cs="Times New Roman"/>
          <w:color w:val="auto"/>
          <w:sz w:val="28"/>
          <w:szCs w:val="28"/>
        </w:rPr>
      </w:pPr>
      <w:bookmarkStart w:id="36" w:name="_Toc4729"/>
      <w:bookmarkStart w:id="37" w:name="_Toc22969"/>
      <w:bookmarkStart w:id="38" w:name="_Toc1498"/>
      <w:bookmarkStart w:id="39" w:name="_Toc303426415"/>
      <w:bookmarkStart w:id="40" w:name="_Toc27977"/>
      <w:bookmarkStart w:id="41" w:name="_Toc12425"/>
      <w:bookmarkStart w:id="42" w:name="_Toc16193"/>
      <w:bookmarkStart w:id="43" w:name="_Toc26271"/>
      <w:r>
        <w:rPr>
          <w:rFonts w:hint="default" w:ascii="Times New Roman" w:hAnsi="Times New Roman" w:eastAsia="宋体" w:cs="Times New Roman"/>
          <w:color w:val="auto"/>
          <w:sz w:val="28"/>
          <w:szCs w:val="28"/>
        </w:rPr>
        <w:t>1.1编制依据</w:t>
      </w:r>
      <w:bookmarkEnd w:id="36"/>
      <w:bookmarkEnd w:id="37"/>
      <w:bookmarkEnd w:id="38"/>
      <w:bookmarkEnd w:id="39"/>
      <w:bookmarkEnd w:id="40"/>
      <w:bookmarkEnd w:id="41"/>
      <w:bookmarkEnd w:id="42"/>
      <w:bookmarkEnd w:id="43"/>
    </w:p>
    <w:p>
      <w:pPr>
        <w:pStyle w:val="6"/>
        <w:spacing w:before="0" w:after="0" w:line="360" w:lineRule="auto"/>
        <w:rPr>
          <w:rFonts w:hint="default" w:ascii="Times New Roman" w:hAnsi="Times New Roman" w:cs="Times New Roman"/>
          <w:color w:val="auto"/>
          <w:szCs w:val="28"/>
        </w:rPr>
      </w:pPr>
      <w:bookmarkStart w:id="44" w:name="_Toc24143"/>
      <w:bookmarkStart w:id="45" w:name="_Toc24960"/>
      <w:bookmarkStart w:id="46" w:name="_Toc9018"/>
      <w:bookmarkStart w:id="47" w:name="_Toc28259"/>
      <w:bookmarkStart w:id="48" w:name="_Toc20946"/>
      <w:bookmarkStart w:id="49" w:name="_Toc22726"/>
      <w:bookmarkStart w:id="50" w:name="_Toc18247"/>
      <w:r>
        <w:rPr>
          <w:rFonts w:hint="default" w:ascii="Times New Roman" w:hAnsi="Times New Roman" w:cs="Times New Roman"/>
          <w:color w:val="auto"/>
          <w:szCs w:val="28"/>
        </w:rPr>
        <w:t>1.1.1国家环境保护法律、法规和有关文件</w:t>
      </w:r>
      <w:bookmarkEnd w:id="44"/>
      <w:bookmarkEnd w:id="45"/>
      <w:bookmarkEnd w:id="46"/>
      <w:bookmarkEnd w:id="47"/>
      <w:bookmarkEnd w:id="48"/>
      <w:bookmarkEnd w:id="49"/>
      <w:bookmarkEnd w:id="50"/>
    </w:p>
    <w:p>
      <w:pPr>
        <w:spacing w:line="360" w:lineRule="auto"/>
        <w:ind w:firstLine="480" w:firstLineChars="200"/>
        <w:rPr>
          <w:rFonts w:hint="default" w:ascii="Times New Roman" w:hAnsi="Times New Roman" w:cs="Times New Roman"/>
          <w:color w:val="auto"/>
        </w:rPr>
      </w:pPr>
      <w:bookmarkStart w:id="51" w:name="_Toc303426426"/>
      <w:bookmarkStart w:id="52" w:name="_Toc28218"/>
      <w:bookmarkStart w:id="53" w:name="_Toc27231"/>
      <w:bookmarkStart w:id="54" w:name="_Toc21258"/>
      <w:bookmarkStart w:id="55" w:name="_Toc18272"/>
      <w:bookmarkStart w:id="56" w:name="_Toc16894"/>
      <w:bookmarkStart w:id="57" w:name="_Toc237751275"/>
      <w:r>
        <w:rPr>
          <w:rFonts w:hint="default" w:ascii="Times New Roman" w:hAnsi="Times New Roman" w:cs="Times New Roman"/>
          <w:color w:val="auto"/>
        </w:rPr>
        <w:t>（1）《中华人民共和国环境保护法》，2015年1月1日实施；</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（2）《中华人民共和国大气污染防治法》，2018年10月16日实施；</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（3）《中华人民共和国水污染防治法》，2018年1月1日实施；</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（4）《中华人民共和国环境噪声污染防治法》，2018年12月29日实施；</w:t>
      </w:r>
    </w:p>
    <w:p>
      <w:pPr>
        <w:spacing w:line="360" w:lineRule="auto"/>
        <w:ind w:firstLine="480" w:firstLineChars="200"/>
        <w:rPr>
          <w:rFonts w:hint="default" w:ascii="Times New Roman" w:hAnsi="Times New Roman" w:cs="Times New Roman"/>
          <w:color w:val="auto"/>
          <w:spacing w:val="-2"/>
        </w:rPr>
      </w:pPr>
      <w:r>
        <w:rPr>
          <w:rFonts w:hint="default" w:ascii="Times New Roman" w:hAnsi="Times New Roman" w:cs="Times New Roman"/>
          <w:color w:val="auto"/>
        </w:rPr>
        <w:t>（5）</w:t>
      </w:r>
      <w:r>
        <w:rPr>
          <w:rFonts w:hint="default" w:ascii="Times New Roman" w:hAnsi="Times New Roman" w:cs="Times New Roman"/>
          <w:color w:val="auto"/>
          <w:spacing w:val="-2"/>
        </w:rPr>
        <w:t>《中华人民共和国固体废物污染环境防治法》，2020年9月1日实施；</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lang w:val="zh-CN"/>
        </w:rPr>
        <w:t>（6）《中华人民共和国土壤污染防治法》，2019年1月1日起实施；</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（7）《中华人民共和国环境影响评价法》，2018年12月29日实施；</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（8）《中华人民共和国土地管理法（2019修订）》，2020年1月1日实施；</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（9）《中华人民共和国水法》，2016年9月1日实施；</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（10）《中华人民共和国水土保持法》，2011年3月1日实施；</w:t>
      </w:r>
    </w:p>
    <w:p>
      <w:pPr>
        <w:adjustRightInd w:val="0"/>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（11）《中华人民共和国循环经济促进法》，2018年10月26日实施；</w:t>
      </w:r>
    </w:p>
    <w:p>
      <w:pPr>
        <w:adjustRightInd w:val="0"/>
        <w:snapToGrid w:val="0"/>
        <w:spacing w:line="360" w:lineRule="auto"/>
        <w:ind w:firstLine="480" w:firstLineChars="200"/>
        <w:rPr>
          <w:rFonts w:hint="default" w:ascii="Times New Roman" w:hAnsi="Times New Roman" w:cs="Times New Roman"/>
          <w:bCs/>
          <w:color w:val="auto"/>
        </w:rPr>
      </w:pPr>
      <w:r>
        <w:rPr>
          <w:rFonts w:hint="default" w:ascii="Times New Roman" w:hAnsi="Times New Roman" w:cs="Times New Roman"/>
          <w:color w:val="auto"/>
        </w:rPr>
        <w:t>（12）</w:t>
      </w:r>
      <w:r>
        <w:rPr>
          <w:rFonts w:hint="default" w:ascii="Times New Roman" w:hAnsi="Times New Roman" w:cs="Times New Roman"/>
          <w:bCs/>
          <w:color w:val="auto"/>
        </w:rPr>
        <w:t>《国家危险废物名录（2021年版）》，2021年1月1日实施；</w:t>
      </w:r>
    </w:p>
    <w:p>
      <w:pPr>
        <w:autoSpaceDE w:val="0"/>
        <w:autoSpaceDN w:val="0"/>
        <w:adjustRightInd w:val="0"/>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（13）《建设项目环境保护管理条例》（2017年7月16日修订、2017年10月1日施行）；</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（14）《关于进一步规范环境影响评价工作的通知》，2011年8月11日；</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bCs/>
          <w:color w:val="auto"/>
        </w:rPr>
        <w:t>（15）</w:t>
      </w:r>
      <w:r>
        <w:rPr>
          <w:rFonts w:hint="default" w:ascii="Times New Roman" w:hAnsi="Times New Roman" w:cs="Times New Roman"/>
          <w:color w:val="auto"/>
        </w:rPr>
        <w:t>《关于进一步加强环境影响评价管理防范环境风险的通知》，2012年7月3日实施；</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kern w:val="0"/>
        </w:rPr>
        <w:t>（16）</w:t>
      </w:r>
      <w:r>
        <w:rPr>
          <w:rFonts w:hint="default" w:ascii="Times New Roman" w:hAnsi="Times New Roman" w:cs="Times New Roman"/>
          <w:bCs/>
          <w:color w:val="auto"/>
        </w:rPr>
        <w:t>《关于切实加强风险防范严格环境影响评价管理的通知》</w:t>
      </w:r>
      <w:r>
        <w:rPr>
          <w:rFonts w:hint="default" w:ascii="Times New Roman" w:hAnsi="Times New Roman" w:cs="Times New Roman"/>
          <w:color w:val="auto"/>
        </w:rPr>
        <w:t>，2012年8月8日实施；</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（17）《建设项目环境影响评价分类管理目录（2021年版）》，2021年1月1日实施；</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（18）《国务院关于印发水污染防治行动计划的通知》（国发〔2015〕17号）；</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（19）《国务院关于印发打赢蓝天保卫战三年行动计划的通知》（国发〔2018〕22号）；</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（20）《国务院关于印发土壤污染防治行动计划的通知》（国发〔2016〕31号）；</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（21）《环境影响评价公众参与办法》（生态环境部令第4号）2019年1月1日实施；</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（22）《关于做好环评与排污许可制度衔接工作的通知》（环办环评〔2017〕84号）；</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（23）《固定污染源排污许可分类管理名录（2017年版）》环境保护部令第45号；</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（24）《国务院关于印发“十三五”生态环境保护规划的通知》（国发〔2016〕65号）；</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（25）《危险化学品目录（2015版）》，2015年2月27日起实施；</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（26）《危险化学品重大危险源监督管理暂行规定》（国家安全生产监督管理总局令第40号）；</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（27）《关于开展重大危险源监督管理工作的指导意见》（安监管协调字〔2004〕56号）；</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（28）关于印发《“十三五”挥发性有机物污染防治工作方案》的通知（环大气〔2017〕121号）；</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（29）关于印发《</w:t>
      </w:r>
      <w:r>
        <w:rPr>
          <w:rFonts w:hint="default" w:ascii="Times New Roman" w:hAnsi="Times New Roman" w:cs="Times New Roman"/>
          <w:color w:val="auto"/>
          <w:szCs w:val="18"/>
        </w:rPr>
        <w:t>重点行业挥发性有机物综合治理方案</w:t>
      </w:r>
      <w:r>
        <w:rPr>
          <w:rFonts w:hint="default" w:ascii="Times New Roman" w:hAnsi="Times New Roman" w:cs="Times New Roman"/>
          <w:color w:val="auto"/>
        </w:rPr>
        <w:t>》的通知（环大气〔2019〕53号）。</w:t>
      </w:r>
    </w:p>
    <w:p>
      <w:pPr>
        <w:pStyle w:val="6"/>
        <w:spacing w:before="0" w:after="0" w:line="360" w:lineRule="auto"/>
        <w:rPr>
          <w:rFonts w:hint="default" w:ascii="Times New Roman" w:hAnsi="Times New Roman" w:cs="Times New Roman"/>
          <w:color w:val="auto"/>
          <w:szCs w:val="28"/>
        </w:rPr>
      </w:pPr>
      <w:bookmarkStart w:id="58" w:name="_Toc17177"/>
      <w:bookmarkStart w:id="59" w:name="_Toc7377"/>
      <w:bookmarkStart w:id="60" w:name="_Toc30017"/>
      <w:r>
        <w:rPr>
          <w:rFonts w:hint="default" w:ascii="Times New Roman" w:hAnsi="Times New Roman" w:cs="Times New Roman"/>
          <w:color w:val="auto"/>
          <w:szCs w:val="28"/>
        </w:rPr>
        <w:t>1.1.2</w:t>
      </w:r>
      <w:bookmarkEnd w:id="58"/>
      <w:r>
        <w:rPr>
          <w:rFonts w:hint="default" w:ascii="Times New Roman" w:hAnsi="Times New Roman" w:cs="Times New Roman"/>
          <w:color w:val="auto"/>
          <w:szCs w:val="28"/>
        </w:rPr>
        <w:t>地方法律法规及政策</w:t>
      </w:r>
      <w:bookmarkEnd w:id="59"/>
      <w:bookmarkEnd w:id="60"/>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（1）《云南省人民政府关于发布云南省生态保护红线的通知》（云政发[2018]32号；</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（2）《云南省人民政府关于印发云南省水污染防治工作方案的通知》（云政发[2016]3号）；</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（3）《云南省人民政府关于印发云南省土壤污染防治工作方案的通知》（云政发[2017]8号）；</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（4）《云南省大气污染防治条例》，2019年1月1日；</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（5）《云南省打赢蓝天保卫战三年行动实施方案》，2018年9月11日；</w:t>
      </w:r>
    </w:p>
    <w:p>
      <w:pPr>
        <w:pStyle w:val="17"/>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（6）《云南省水功能区划》（2014修订）。</w:t>
      </w:r>
    </w:p>
    <w:p>
      <w:pPr>
        <w:pStyle w:val="6"/>
        <w:spacing w:before="0" w:after="0" w:line="360" w:lineRule="auto"/>
        <w:rPr>
          <w:rFonts w:hint="default" w:ascii="Times New Roman" w:hAnsi="Times New Roman" w:cs="Times New Roman"/>
          <w:color w:val="auto"/>
          <w:szCs w:val="28"/>
        </w:rPr>
      </w:pPr>
      <w:bookmarkStart w:id="61" w:name="_Toc237751272"/>
      <w:bookmarkStart w:id="62" w:name="_Toc222310476"/>
      <w:bookmarkStart w:id="63" w:name="_Toc2150"/>
      <w:bookmarkStart w:id="64" w:name="_Toc303426425"/>
      <w:bookmarkStart w:id="65" w:name="_Toc8843"/>
      <w:bookmarkStart w:id="66" w:name="_Toc10662"/>
      <w:bookmarkStart w:id="67" w:name="_Toc10277"/>
      <w:bookmarkStart w:id="68" w:name="_Toc19682"/>
      <w:bookmarkStart w:id="69" w:name="_Toc10617"/>
      <w:bookmarkStart w:id="70" w:name="_Toc15490"/>
      <w:r>
        <w:rPr>
          <w:rFonts w:hint="default" w:ascii="Times New Roman" w:hAnsi="Times New Roman" w:cs="Times New Roman"/>
          <w:color w:val="auto"/>
          <w:szCs w:val="28"/>
        </w:rPr>
        <w:t>1.1.3评价技术</w:t>
      </w:r>
      <w:bookmarkEnd w:id="61"/>
      <w:bookmarkEnd w:id="62"/>
      <w:bookmarkEnd w:id="63"/>
      <w:bookmarkEnd w:id="64"/>
      <w:r>
        <w:rPr>
          <w:rFonts w:hint="default" w:ascii="Times New Roman" w:hAnsi="Times New Roman" w:cs="Times New Roman"/>
          <w:color w:val="auto"/>
          <w:szCs w:val="28"/>
        </w:rPr>
        <w:t>导则</w:t>
      </w:r>
      <w:bookmarkEnd w:id="65"/>
      <w:bookmarkEnd w:id="66"/>
      <w:bookmarkEnd w:id="67"/>
      <w:bookmarkEnd w:id="68"/>
      <w:bookmarkEnd w:id="69"/>
      <w:r>
        <w:rPr>
          <w:rFonts w:hint="default" w:ascii="Times New Roman" w:hAnsi="Times New Roman" w:cs="Times New Roman"/>
          <w:color w:val="auto"/>
          <w:szCs w:val="28"/>
        </w:rPr>
        <w:t>及相关规范</w:t>
      </w:r>
      <w:bookmarkEnd w:id="70"/>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（1）《建设项目环境影响评价技术导则总纲》HJ2.1-2016；</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（2）《环境影响评价技术导则大气环境》HJ2.2-2018；</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（3）《环境影响评价技术导则地表水环境》HJ2.3-2018；</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（4）《环境影响评价技术导则声环境》HJ2.4-2009；</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（5）《环境影响评价技术导则生态影响》HJ19-2011；</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（6）《环境影响评价技术导则地下水环境》HJ610-2016；</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（7）《环境影响评价技术导则土壤环境（试行）》HJ964-2018；</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（8）《建设项目环境风险评价技术导则》HJ169-2018；</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（9）《建设项目危险废物环境影响评价指南》，2017年8月29日；</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（10）《危险废物鉴别技术规范》HJ298-2019；</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（11）《排污许可证申请与核发技术规范总则》（HJ942-2018）；</w:t>
      </w:r>
    </w:p>
    <w:p>
      <w:pPr>
        <w:spacing w:line="360" w:lineRule="auto"/>
        <w:ind w:firstLine="480" w:firstLineChars="200"/>
        <w:rPr>
          <w:rFonts w:hint="default" w:ascii="Times New Roman" w:hAnsi="Times New Roman" w:cs="Times New Roman"/>
          <w:color w:val="auto"/>
          <w:kern w:val="0"/>
        </w:rPr>
      </w:pPr>
      <w:r>
        <w:rPr>
          <w:rFonts w:hint="default" w:ascii="Times New Roman" w:hAnsi="Times New Roman" w:cs="Times New Roman"/>
          <w:color w:val="auto"/>
        </w:rPr>
        <w:t>（12）《</w:t>
      </w:r>
      <w:r>
        <w:rPr>
          <w:rFonts w:hint="default" w:ascii="Times New Roman" w:hAnsi="Times New Roman" w:cs="Times New Roman"/>
          <w:color w:val="auto"/>
          <w:kern w:val="0"/>
        </w:rPr>
        <w:t>排污许可证申请与核发技术规范电子工业》（HJ 1031-2019）；</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（14）《地表水和污水监测技术规范》HJ/T91-2002；</w:t>
      </w:r>
    </w:p>
    <w:p>
      <w:pPr>
        <w:spacing w:line="360" w:lineRule="auto"/>
        <w:ind w:firstLine="480" w:firstLineChars="200"/>
        <w:rPr>
          <w:rFonts w:hint="default" w:ascii="Times New Roman" w:hAnsi="Times New Roman" w:cs="Times New Roman"/>
          <w:bCs/>
          <w:color w:val="auto"/>
          <w:shd w:val="clear" w:color="auto" w:fill="FFFFFF"/>
        </w:rPr>
      </w:pPr>
      <w:r>
        <w:rPr>
          <w:rFonts w:hint="default" w:ascii="Times New Roman" w:hAnsi="Times New Roman" w:cs="Times New Roman"/>
          <w:color w:val="auto"/>
        </w:rPr>
        <w:t>（15）</w:t>
      </w:r>
      <w:r>
        <w:rPr>
          <w:rFonts w:hint="default" w:ascii="Times New Roman" w:hAnsi="Times New Roman" w:cs="Times New Roman"/>
          <w:bCs/>
          <w:color w:val="auto"/>
          <w:shd w:val="clear" w:color="auto" w:fill="FFFFFF"/>
        </w:rPr>
        <w:t>《大气污染治理工程技术导则》HJ2000-2010；</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bCs/>
          <w:color w:val="auto"/>
          <w:shd w:val="clear" w:color="auto" w:fill="FFFFFF"/>
        </w:rPr>
        <w:t>（16）《水污染治理工程技术导则》HJ2015-2012；</w:t>
      </w:r>
    </w:p>
    <w:p>
      <w:pPr>
        <w:spacing w:line="360" w:lineRule="auto"/>
        <w:ind w:firstLine="480" w:firstLineChars="200"/>
        <w:rPr>
          <w:rFonts w:hint="default" w:ascii="Times New Roman" w:hAnsi="Times New Roman" w:cs="Times New Roman"/>
          <w:bCs/>
          <w:color w:val="auto"/>
          <w:shd w:val="clear" w:color="auto" w:fill="FFFFFF"/>
        </w:rPr>
      </w:pPr>
      <w:r>
        <w:rPr>
          <w:rFonts w:hint="default" w:ascii="Times New Roman" w:hAnsi="Times New Roman" w:cs="Times New Roman"/>
          <w:color w:val="auto"/>
        </w:rPr>
        <w:t>（17）</w:t>
      </w:r>
      <w:r>
        <w:rPr>
          <w:rFonts w:hint="default" w:ascii="Times New Roman" w:hAnsi="Times New Roman" w:cs="Times New Roman"/>
          <w:bCs/>
          <w:color w:val="auto"/>
          <w:shd w:val="clear" w:color="auto" w:fill="FFFFFF"/>
        </w:rPr>
        <w:t>《环境噪声与振动控制工程技术导则》</w:t>
      </w:r>
      <w:r>
        <w:rPr>
          <w:rFonts w:hint="default" w:ascii="Times New Roman" w:hAnsi="Times New Roman" w:cs="Times New Roman"/>
          <w:bCs/>
          <w:color w:val="auto"/>
        </w:rPr>
        <w:t>HJ 2034-2013</w:t>
      </w:r>
      <w:r>
        <w:rPr>
          <w:rFonts w:hint="default" w:ascii="Times New Roman" w:hAnsi="Times New Roman" w:cs="Times New Roman"/>
          <w:bCs/>
          <w:color w:val="auto"/>
          <w:shd w:val="clear" w:color="auto" w:fill="FFFFFF"/>
        </w:rPr>
        <w:t>；</w:t>
      </w:r>
    </w:p>
    <w:p>
      <w:pPr>
        <w:spacing w:line="360" w:lineRule="auto"/>
        <w:ind w:firstLine="480" w:firstLineChars="200"/>
        <w:rPr>
          <w:rFonts w:hint="default" w:ascii="Times New Roman" w:hAnsi="Times New Roman" w:cs="Times New Roman"/>
          <w:bCs/>
          <w:color w:val="auto"/>
          <w:shd w:val="clear" w:color="auto" w:fill="FFFFFF"/>
        </w:rPr>
      </w:pPr>
      <w:r>
        <w:rPr>
          <w:rFonts w:hint="default" w:ascii="Times New Roman" w:hAnsi="Times New Roman" w:cs="Times New Roman"/>
          <w:bCs/>
          <w:color w:val="auto"/>
          <w:shd w:val="clear" w:color="auto" w:fill="FFFFFF"/>
        </w:rPr>
        <w:t>（18）《固体废物处理处置工程技术导则》</w:t>
      </w:r>
      <w:r>
        <w:rPr>
          <w:rFonts w:hint="default" w:ascii="Times New Roman" w:hAnsi="Times New Roman" w:cs="Times New Roman"/>
          <w:bCs/>
          <w:color w:val="auto"/>
        </w:rPr>
        <w:t>HJ2035-2013</w:t>
      </w:r>
      <w:r>
        <w:rPr>
          <w:rFonts w:hint="default" w:ascii="Times New Roman" w:hAnsi="Times New Roman" w:cs="Times New Roman"/>
          <w:bCs/>
          <w:color w:val="auto"/>
          <w:shd w:val="clear" w:color="auto" w:fill="FFFFFF"/>
        </w:rPr>
        <w:t>；</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bCs/>
          <w:color w:val="auto"/>
          <w:shd w:val="clear" w:color="auto" w:fill="FFFFFF"/>
        </w:rPr>
        <w:t>（19）《危险废物鉴别标准通则》（GB5085.7-2019）。</w:t>
      </w:r>
    </w:p>
    <w:p>
      <w:pPr>
        <w:pStyle w:val="6"/>
        <w:spacing w:before="0" w:after="0" w:line="360" w:lineRule="auto"/>
        <w:rPr>
          <w:rFonts w:hint="default" w:ascii="Times New Roman" w:hAnsi="Times New Roman" w:cs="Times New Roman"/>
          <w:color w:val="auto"/>
          <w:szCs w:val="28"/>
        </w:rPr>
      </w:pPr>
      <w:bookmarkStart w:id="71" w:name="_Toc31377"/>
      <w:bookmarkStart w:id="72" w:name="_Toc29492"/>
      <w:r>
        <w:rPr>
          <w:rFonts w:hint="default" w:ascii="Times New Roman" w:hAnsi="Times New Roman" w:cs="Times New Roman"/>
          <w:color w:val="auto"/>
          <w:szCs w:val="28"/>
        </w:rPr>
        <w:t>1.1.4项目主要技术文件</w:t>
      </w:r>
      <w:bookmarkEnd w:id="51"/>
      <w:bookmarkEnd w:id="52"/>
      <w:bookmarkEnd w:id="53"/>
      <w:bookmarkEnd w:id="54"/>
      <w:bookmarkEnd w:id="55"/>
      <w:bookmarkEnd w:id="56"/>
      <w:bookmarkEnd w:id="57"/>
      <w:bookmarkEnd w:id="71"/>
      <w:bookmarkEnd w:id="72"/>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（1）项目环评委托书；</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（2）投资备案证；</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（3）云南省生态环境厅关于《楚雄工业园区总体规划修改（2018-2035）环境影响报告书》审查意见的函；</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（4）项目可行性研究报告；</w:t>
      </w:r>
    </w:p>
    <w:p>
      <w:pPr>
        <w:tabs>
          <w:tab w:val="left" w:pos="2855"/>
        </w:tabs>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（5）项目环评现状监测报告；</w:t>
      </w:r>
    </w:p>
    <w:p>
      <w:pPr>
        <w:tabs>
          <w:tab w:val="left" w:pos="2855"/>
        </w:tabs>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（6）业主提供的其他资料。</w:t>
      </w:r>
    </w:p>
    <w:p>
      <w:pPr>
        <w:pStyle w:val="4"/>
        <w:spacing w:before="0" w:after="0" w:line="360" w:lineRule="auto"/>
        <w:rPr>
          <w:rFonts w:hint="default" w:ascii="Times New Roman" w:hAnsi="Times New Roman" w:eastAsia="宋体" w:cs="Times New Roman"/>
          <w:color w:val="auto"/>
          <w:sz w:val="28"/>
          <w:szCs w:val="28"/>
        </w:rPr>
      </w:pPr>
      <w:bookmarkStart w:id="73" w:name="_Toc542"/>
      <w:bookmarkStart w:id="74" w:name="_Toc21031"/>
      <w:bookmarkStart w:id="75" w:name="_Toc29709"/>
      <w:bookmarkStart w:id="76" w:name="_Toc7896"/>
      <w:bookmarkStart w:id="77" w:name="_Toc11706"/>
      <w:bookmarkStart w:id="78" w:name="_Toc18395"/>
      <w:bookmarkStart w:id="79" w:name="_Toc303426428"/>
      <w:bookmarkStart w:id="80" w:name="_Toc30082"/>
      <w:bookmarkStart w:id="81" w:name="_Toc237751277"/>
      <w:r>
        <w:rPr>
          <w:rFonts w:hint="default" w:ascii="Times New Roman" w:hAnsi="Times New Roman" w:eastAsia="宋体" w:cs="Times New Roman"/>
          <w:color w:val="auto"/>
          <w:sz w:val="28"/>
          <w:szCs w:val="28"/>
        </w:rPr>
        <w:t>1.2评价目的和评价原则</w:t>
      </w:r>
      <w:bookmarkEnd w:id="73"/>
      <w:bookmarkEnd w:id="74"/>
      <w:bookmarkEnd w:id="75"/>
      <w:bookmarkEnd w:id="76"/>
      <w:bookmarkEnd w:id="77"/>
      <w:bookmarkEnd w:id="78"/>
    </w:p>
    <w:p>
      <w:pPr>
        <w:pStyle w:val="6"/>
        <w:spacing w:before="0" w:after="0" w:line="360" w:lineRule="auto"/>
        <w:rPr>
          <w:rFonts w:hint="default" w:ascii="Times New Roman" w:hAnsi="Times New Roman" w:cs="Times New Roman"/>
          <w:color w:val="auto"/>
          <w:szCs w:val="28"/>
        </w:rPr>
      </w:pPr>
      <w:bookmarkStart w:id="82" w:name="_Toc39"/>
      <w:bookmarkStart w:id="83" w:name="_Toc9829"/>
      <w:bookmarkStart w:id="84" w:name="_Toc16042"/>
      <w:bookmarkStart w:id="85" w:name="_Toc24989"/>
      <w:bookmarkStart w:id="86" w:name="_Toc4975"/>
      <w:bookmarkStart w:id="87" w:name="_Toc17033"/>
      <w:r>
        <w:rPr>
          <w:rFonts w:hint="default" w:ascii="Times New Roman" w:hAnsi="Times New Roman" w:cs="Times New Roman"/>
          <w:color w:val="auto"/>
          <w:szCs w:val="28"/>
        </w:rPr>
        <w:t>1.2.1评价目的</w:t>
      </w:r>
      <w:bookmarkEnd w:id="79"/>
      <w:bookmarkEnd w:id="80"/>
      <w:bookmarkEnd w:id="81"/>
      <w:bookmarkEnd w:id="82"/>
      <w:bookmarkEnd w:id="83"/>
      <w:bookmarkEnd w:id="84"/>
      <w:bookmarkEnd w:id="85"/>
      <w:bookmarkEnd w:id="86"/>
      <w:bookmarkEnd w:id="87"/>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通过对建设项目所在区域环境现状的调查，掌握评价区域内的环境质量现状及环境特征。通过对项目污染源调查及工程分析，搞清楚该项目建成后废水、废气及固废等污染物的产生、排放情况，并预测分析工程建设及运行所产生的废水、废气、噪声和固体废物等污染物对当地地表水、地下水环境、环境空气、声环境、土壤环境、生态环境以及环境保护目标可能造成的影响范围和程度，针对项目存在的环境问题，提出切实可行的污染防治措施，在达标排放的前提下，制定污染物排放的总量控制指标。按照国家环保法及有关规定，以保护环境为目的和出发点，实事求是地论述该项目环保措施的可行性和可靠性；从环境保护角度对本项目建设的可行性作出明确结论，为设计部门优化设计，为主管部门决策和环境管理提供依据。</w:t>
      </w:r>
    </w:p>
    <w:p>
      <w:pPr>
        <w:pStyle w:val="6"/>
        <w:spacing w:before="0" w:after="0" w:line="360" w:lineRule="auto"/>
        <w:rPr>
          <w:rFonts w:hint="default" w:ascii="Times New Roman" w:hAnsi="Times New Roman" w:cs="Times New Roman"/>
          <w:color w:val="auto"/>
          <w:szCs w:val="28"/>
        </w:rPr>
      </w:pPr>
      <w:bookmarkStart w:id="88" w:name="_Toc12723"/>
      <w:bookmarkStart w:id="89" w:name="_Toc303426429"/>
      <w:bookmarkStart w:id="90" w:name="_Toc24999"/>
      <w:bookmarkStart w:id="91" w:name="_Toc10907"/>
      <w:bookmarkStart w:id="92" w:name="_Toc17458"/>
      <w:bookmarkStart w:id="93" w:name="_Toc237751278"/>
      <w:bookmarkStart w:id="94" w:name="_Toc26822"/>
      <w:bookmarkStart w:id="95" w:name="_Toc22121"/>
      <w:bookmarkStart w:id="96" w:name="_Toc4280"/>
      <w:r>
        <w:rPr>
          <w:rFonts w:hint="default" w:ascii="Times New Roman" w:hAnsi="Times New Roman" w:cs="Times New Roman"/>
          <w:color w:val="auto"/>
          <w:szCs w:val="28"/>
        </w:rPr>
        <w:t>1.2.2评价原则</w:t>
      </w:r>
      <w:bookmarkEnd w:id="88"/>
      <w:bookmarkEnd w:id="89"/>
      <w:bookmarkEnd w:id="90"/>
      <w:bookmarkEnd w:id="91"/>
      <w:bookmarkEnd w:id="92"/>
      <w:bookmarkEnd w:id="93"/>
      <w:bookmarkEnd w:id="94"/>
      <w:bookmarkEnd w:id="95"/>
      <w:bookmarkEnd w:id="96"/>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根据项目的建设内容和生产工艺特点，结合项目所在地的环境状况及环境保护的政策法规，本项目环评将遵循以下原则：</w:t>
      </w:r>
    </w:p>
    <w:p>
      <w:pPr>
        <w:spacing w:line="360" w:lineRule="auto"/>
        <w:ind w:firstLine="480" w:firstLineChars="200"/>
        <w:rPr>
          <w:rFonts w:hint="default" w:ascii="Times New Roman" w:hAnsi="Times New Roman" w:cs="Times New Roman"/>
          <w:bCs/>
          <w:color w:val="auto"/>
        </w:rPr>
      </w:pPr>
      <w:bookmarkStart w:id="97" w:name="_Toc20240"/>
      <w:bookmarkStart w:id="98" w:name="_Toc15806"/>
      <w:bookmarkStart w:id="99" w:name="_Toc1952"/>
      <w:bookmarkStart w:id="100" w:name="_Toc19963"/>
      <w:bookmarkStart w:id="101" w:name="_Toc9821"/>
      <w:bookmarkStart w:id="102" w:name="_Toc303426431"/>
      <w:bookmarkStart w:id="103" w:name="_Toc25090"/>
      <w:bookmarkStart w:id="104" w:name="_Toc28696"/>
      <w:bookmarkStart w:id="105" w:name="_Toc303426443"/>
      <w:bookmarkStart w:id="106" w:name="_Toc9169"/>
      <w:bookmarkStart w:id="107" w:name="_Toc9585"/>
      <w:bookmarkStart w:id="108" w:name="_Toc6085"/>
      <w:bookmarkStart w:id="109" w:name="_Toc21489"/>
      <w:bookmarkStart w:id="110" w:name="_Toc20606"/>
      <w:r>
        <w:rPr>
          <w:rFonts w:hint="default" w:ascii="Times New Roman" w:hAnsi="Times New Roman" w:cs="Times New Roman"/>
          <w:bCs/>
          <w:color w:val="auto"/>
        </w:rPr>
        <w:t>（1）依法评价</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贯彻执行我国环境保护相关法律法规、标准、政策和规划等，优化项目建设，服务环境管理。</w:t>
      </w:r>
    </w:p>
    <w:p>
      <w:pPr>
        <w:spacing w:line="360" w:lineRule="auto"/>
        <w:ind w:firstLine="480" w:firstLineChars="200"/>
        <w:rPr>
          <w:rFonts w:hint="default" w:ascii="Times New Roman" w:hAnsi="Times New Roman" w:cs="Times New Roman"/>
          <w:bCs/>
          <w:color w:val="auto"/>
        </w:rPr>
      </w:pPr>
      <w:r>
        <w:rPr>
          <w:rFonts w:hint="default" w:ascii="Times New Roman" w:hAnsi="Times New Roman" w:cs="Times New Roman"/>
          <w:bCs/>
          <w:color w:val="auto"/>
        </w:rPr>
        <w:t>（2）科学评价</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规范环境影响评价方法，科学分析项目建设对环境质量的影响。</w:t>
      </w:r>
    </w:p>
    <w:p>
      <w:pPr>
        <w:spacing w:line="360" w:lineRule="auto"/>
        <w:ind w:firstLine="480" w:firstLineChars="200"/>
        <w:rPr>
          <w:rFonts w:hint="default" w:ascii="Times New Roman" w:hAnsi="Times New Roman" w:cs="Times New Roman"/>
          <w:bCs/>
          <w:color w:val="auto"/>
        </w:rPr>
      </w:pPr>
      <w:r>
        <w:rPr>
          <w:rFonts w:hint="default" w:ascii="Times New Roman" w:hAnsi="Times New Roman" w:cs="Times New Roman"/>
          <w:bCs/>
          <w:color w:val="auto"/>
        </w:rPr>
        <w:t>（3）突出重点</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根据建设项目的工程内容及其特点，明确与环境要素间的作用效应关系，根据规划环境影响评价结论和审查意见，充分利用符合时效的数据资料及成果，对建设项目主要环境影响予以重点分析和评价。</w:t>
      </w:r>
    </w:p>
    <w:p>
      <w:pPr>
        <w:pStyle w:val="4"/>
        <w:spacing w:before="0" w:after="0" w:line="360" w:lineRule="auto"/>
        <w:rPr>
          <w:rFonts w:hint="default" w:ascii="Times New Roman" w:hAnsi="Times New Roman" w:eastAsia="宋体" w:cs="Times New Roman"/>
          <w:color w:val="auto"/>
          <w:sz w:val="28"/>
          <w:szCs w:val="28"/>
        </w:rPr>
      </w:pPr>
      <w:bookmarkStart w:id="111" w:name="_Toc1427"/>
      <w:r>
        <w:rPr>
          <w:rFonts w:hint="default" w:ascii="Times New Roman" w:hAnsi="Times New Roman" w:eastAsia="宋体" w:cs="Times New Roman"/>
          <w:color w:val="auto"/>
          <w:sz w:val="28"/>
          <w:szCs w:val="28"/>
        </w:rPr>
        <w:t>1.3环境影响因素识别和评价因子筛选</w:t>
      </w:r>
      <w:bookmarkEnd w:id="111"/>
    </w:p>
    <w:p>
      <w:pPr>
        <w:pStyle w:val="6"/>
        <w:spacing w:before="0" w:after="0" w:line="360" w:lineRule="auto"/>
        <w:rPr>
          <w:rFonts w:hint="default" w:ascii="Times New Roman" w:hAnsi="Times New Roman" w:cs="Times New Roman"/>
          <w:color w:val="auto"/>
          <w:szCs w:val="28"/>
        </w:rPr>
      </w:pPr>
      <w:bookmarkStart w:id="112" w:name="_Toc5825"/>
      <w:bookmarkStart w:id="113" w:name="_Toc74"/>
      <w:bookmarkStart w:id="114" w:name="_Toc27254"/>
      <w:bookmarkStart w:id="115" w:name="_Toc303426444"/>
      <w:bookmarkStart w:id="116" w:name="_Toc19021"/>
      <w:bookmarkStart w:id="117" w:name="_Toc21311"/>
      <w:bookmarkStart w:id="118" w:name="_Toc14380"/>
      <w:bookmarkStart w:id="119" w:name="_Toc21158"/>
      <w:r>
        <w:rPr>
          <w:rFonts w:hint="default" w:ascii="Times New Roman" w:hAnsi="Times New Roman" w:cs="Times New Roman"/>
          <w:color w:val="auto"/>
          <w:szCs w:val="28"/>
        </w:rPr>
        <w:t>1.3.1环境影响因素识别</w:t>
      </w:r>
      <w:bookmarkEnd w:id="112"/>
      <w:bookmarkEnd w:id="113"/>
      <w:bookmarkEnd w:id="114"/>
      <w:bookmarkEnd w:id="115"/>
      <w:bookmarkEnd w:id="116"/>
      <w:bookmarkEnd w:id="117"/>
      <w:bookmarkEnd w:id="118"/>
      <w:bookmarkEnd w:id="119"/>
    </w:p>
    <w:p>
      <w:pPr>
        <w:spacing w:line="360" w:lineRule="auto"/>
        <w:ind w:firstLine="480" w:firstLineChars="200"/>
        <w:rPr>
          <w:rFonts w:hint="default" w:ascii="Times New Roman" w:hAnsi="Times New Roman" w:cs="Times New Roman"/>
          <w:color w:val="auto"/>
        </w:rPr>
      </w:pPr>
      <w:bookmarkStart w:id="120" w:name="_Toc7781"/>
      <w:bookmarkStart w:id="121" w:name="_Toc8501"/>
      <w:bookmarkStart w:id="122" w:name="_Toc23373"/>
      <w:bookmarkStart w:id="123" w:name="_Toc2096"/>
      <w:bookmarkStart w:id="124" w:name="_Toc303426445"/>
      <w:bookmarkStart w:id="125" w:name="_Toc17894"/>
      <w:bookmarkStart w:id="126" w:name="_Toc5965"/>
      <w:bookmarkStart w:id="127" w:name="_Toc98920092"/>
      <w:bookmarkStart w:id="128" w:name="_Toc83525083"/>
      <w:bookmarkStart w:id="129" w:name="_Toc141843695"/>
      <w:r>
        <w:rPr>
          <w:rFonts w:hint="default" w:ascii="Times New Roman" w:hAnsi="Times New Roman" w:cs="Times New Roman"/>
          <w:bCs/>
          <w:color w:val="auto"/>
        </w:rPr>
        <w:t>1、环境对项目的制约因素分析</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环境条件对本项目的主要制约因素为：气候资源、地形地貌、环境质量现状、人群分布等。</w:t>
      </w:r>
    </w:p>
    <w:p>
      <w:pPr>
        <w:spacing w:line="360" w:lineRule="auto"/>
        <w:ind w:firstLine="480" w:firstLineChars="200"/>
        <w:rPr>
          <w:rFonts w:hint="default" w:ascii="Times New Roman" w:hAnsi="Times New Roman" w:cs="Times New Roman"/>
          <w:bCs/>
          <w:color w:val="auto"/>
        </w:rPr>
      </w:pPr>
      <w:r>
        <w:rPr>
          <w:rFonts w:hint="default" w:ascii="Times New Roman" w:hAnsi="Times New Roman" w:cs="Times New Roman"/>
          <w:bCs/>
          <w:color w:val="auto"/>
        </w:rPr>
        <w:t>2、工程项目对环境影响的要素识别</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采用矩阵识别法对运营期产生的环境影响因素进行识别，识别结果见表1-1。</w:t>
      </w:r>
    </w:p>
    <w:p>
      <w:pPr>
        <w:pStyle w:val="133"/>
        <w:numPr>
          <w:ilvl w:val="1"/>
          <w:numId w:val="6"/>
        </w:numPr>
        <w:spacing w:line="360" w:lineRule="auto"/>
        <w:ind w:left="0" w:firstLine="0" w:firstLineChars="0"/>
        <w:jc w:val="center"/>
        <w:rPr>
          <w:rFonts w:hint="default" w:ascii="Times New Roman" w:hAnsi="Times New Roman" w:cs="Times New Roman"/>
          <w:b/>
          <w:bCs/>
          <w:color w:val="auto"/>
        </w:rPr>
      </w:pPr>
      <w:r>
        <w:rPr>
          <w:rFonts w:hint="default" w:ascii="Times New Roman" w:hAnsi="Times New Roman" w:cs="Times New Roman"/>
          <w:b/>
          <w:bCs/>
          <w:color w:val="auto"/>
        </w:rPr>
        <w:t>环境影响因素识别矩阵一览表</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78"/>
        <w:gridCol w:w="1252"/>
        <w:gridCol w:w="763"/>
        <w:gridCol w:w="1450"/>
        <w:gridCol w:w="1466"/>
        <w:gridCol w:w="1468"/>
        <w:gridCol w:w="14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730" w:type="dxa"/>
            <w:gridSpan w:val="2"/>
            <w:vMerge w:val="restar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环境因素</w:t>
            </w:r>
          </w:p>
        </w:tc>
        <w:tc>
          <w:tcPr>
            <w:tcW w:w="763" w:type="dxa"/>
            <w:vMerge w:val="restar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项目建设</w:t>
            </w:r>
          </w:p>
        </w:tc>
        <w:tc>
          <w:tcPr>
            <w:tcW w:w="1450"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废气</w:t>
            </w:r>
          </w:p>
        </w:tc>
        <w:tc>
          <w:tcPr>
            <w:tcW w:w="1466"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废水</w:t>
            </w:r>
          </w:p>
        </w:tc>
        <w:tc>
          <w:tcPr>
            <w:tcW w:w="1468"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固体废物</w:t>
            </w:r>
          </w:p>
        </w:tc>
        <w:tc>
          <w:tcPr>
            <w:tcW w:w="1435"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730" w:type="dxa"/>
            <w:gridSpan w:val="2"/>
            <w:vMerge w:val="continue"/>
            <w:vAlign w:val="center"/>
          </w:tcPr>
          <w:p>
            <w:pPr>
              <w:pStyle w:val="167"/>
              <w:rPr>
                <w:rFonts w:hint="default" w:ascii="Times New Roman" w:hAnsi="Times New Roman" w:cs="Times New Roman"/>
                <w:color w:val="auto"/>
              </w:rPr>
            </w:pPr>
          </w:p>
        </w:tc>
        <w:tc>
          <w:tcPr>
            <w:tcW w:w="763" w:type="dxa"/>
            <w:vMerge w:val="continue"/>
            <w:vAlign w:val="center"/>
          </w:tcPr>
          <w:p>
            <w:pPr>
              <w:pStyle w:val="167"/>
              <w:rPr>
                <w:rFonts w:hint="default" w:ascii="Times New Roman" w:hAnsi="Times New Roman" w:cs="Times New Roman"/>
                <w:color w:val="auto"/>
              </w:rPr>
            </w:pPr>
          </w:p>
        </w:tc>
        <w:tc>
          <w:tcPr>
            <w:tcW w:w="1450"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营运期</w:t>
            </w:r>
          </w:p>
        </w:tc>
        <w:tc>
          <w:tcPr>
            <w:tcW w:w="1466"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营运期</w:t>
            </w:r>
          </w:p>
        </w:tc>
        <w:tc>
          <w:tcPr>
            <w:tcW w:w="1468"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营运期</w:t>
            </w:r>
          </w:p>
        </w:tc>
        <w:tc>
          <w:tcPr>
            <w:tcW w:w="1435"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营运期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78" w:type="dxa"/>
            <w:vMerge w:val="restar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自</w:t>
            </w:r>
          </w:p>
          <w:p>
            <w:pPr>
              <w:pStyle w:val="167"/>
              <w:rPr>
                <w:rFonts w:hint="default" w:ascii="Times New Roman" w:hAnsi="Times New Roman" w:cs="Times New Roman"/>
                <w:color w:val="auto"/>
              </w:rPr>
            </w:pPr>
            <w:r>
              <w:rPr>
                <w:rFonts w:hint="default" w:ascii="Times New Roman" w:hAnsi="Times New Roman" w:cs="Times New Roman"/>
                <w:color w:val="auto"/>
              </w:rPr>
              <w:t>然</w:t>
            </w:r>
          </w:p>
          <w:p>
            <w:pPr>
              <w:pStyle w:val="167"/>
              <w:rPr>
                <w:rFonts w:hint="default" w:ascii="Times New Roman" w:hAnsi="Times New Roman" w:cs="Times New Roman"/>
                <w:color w:val="auto"/>
              </w:rPr>
            </w:pPr>
            <w:r>
              <w:rPr>
                <w:rFonts w:hint="default" w:ascii="Times New Roman" w:hAnsi="Times New Roman" w:cs="Times New Roman"/>
                <w:color w:val="auto"/>
              </w:rPr>
              <w:t>环</w:t>
            </w:r>
          </w:p>
          <w:p>
            <w:pPr>
              <w:pStyle w:val="167"/>
              <w:rPr>
                <w:rFonts w:hint="default" w:ascii="Times New Roman" w:hAnsi="Times New Roman" w:cs="Times New Roman"/>
                <w:color w:val="auto"/>
              </w:rPr>
            </w:pPr>
            <w:r>
              <w:rPr>
                <w:rFonts w:hint="default" w:ascii="Times New Roman" w:hAnsi="Times New Roman" w:cs="Times New Roman"/>
                <w:color w:val="auto"/>
              </w:rPr>
              <w:t>境</w:t>
            </w:r>
          </w:p>
        </w:tc>
        <w:tc>
          <w:tcPr>
            <w:tcW w:w="1252"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地质、地貌</w:t>
            </w:r>
          </w:p>
        </w:tc>
        <w:tc>
          <w:tcPr>
            <w:tcW w:w="763"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〇</w:t>
            </w:r>
          </w:p>
        </w:tc>
        <w:tc>
          <w:tcPr>
            <w:tcW w:w="1450"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w:t>
            </w:r>
          </w:p>
        </w:tc>
        <w:tc>
          <w:tcPr>
            <w:tcW w:w="1466"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w:t>
            </w:r>
          </w:p>
        </w:tc>
        <w:tc>
          <w:tcPr>
            <w:tcW w:w="1468"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w:t>
            </w:r>
          </w:p>
        </w:tc>
        <w:tc>
          <w:tcPr>
            <w:tcW w:w="1435"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78" w:type="dxa"/>
            <w:vMerge w:val="continue"/>
            <w:vAlign w:val="center"/>
          </w:tcPr>
          <w:p>
            <w:pPr>
              <w:pStyle w:val="167"/>
              <w:rPr>
                <w:rFonts w:hint="default" w:ascii="Times New Roman" w:hAnsi="Times New Roman" w:cs="Times New Roman"/>
                <w:color w:val="auto"/>
              </w:rPr>
            </w:pPr>
          </w:p>
        </w:tc>
        <w:tc>
          <w:tcPr>
            <w:tcW w:w="1252"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小气候</w:t>
            </w:r>
          </w:p>
        </w:tc>
        <w:tc>
          <w:tcPr>
            <w:tcW w:w="763"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w:t>
            </w:r>
          </w:p>
        </w:tc>
        <w:tc>
          <w:tcPr>
            <w:tcW w:w="1450"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w:t>
            </w:r>
          </w:p>
        </w:tc>
        <w:tc>
          <w:tcPr>
            <w:tcW w:w="1466"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w:t>
            </w:r>
          </w:p>
        </w:tc>
        <w:tc>
          <w:tcPr>
            <w:tcW w:w="1468"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w:t>
            </w:r>
          </w:p>
        </w:tc>
        <w:tc>
          <w:tcPr>
            <w:tcW w:w="1435"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78" w:type="dxa"/>
            <w:vMerge w:val="continue"/>
            <w:vAlign w:val="center"/>
          </w:tcPr>
          <w:p>
            <w:pPr>
              <w:pStyle w:val="167"/>
              <w:rPr>
                <w:rFonts w:hint="default" w:ascii="Times New Roman" w:hAnsi="Times New Roman" w:cs="Times New Roman"/>
                <w:color w:val="auto"/>
              </w:rPr>
            </w:pPr>
          </w:p>
        </w:tc>
        <w:tc>
          <w:tcPr>
            <w:tcW w:w="1252"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空气质量</w:t>
            </w:r>
          </w:p>
        </w:tc>
        <w:tc>
          <w:tcPr>
            <w:tcW w:w="763"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〇</w:t>
            </w:r>
          </w:p>
        </w:tc>
        <w:tc>
          <w:tcPr>
            <w:tcW w:w="1450"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w:t>
            </w:r>
          </w:p>
        </w:tc>
        <w:tc>
          <w:tcPr>
            <w:tcW w:w="1466"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w:t>
            </w:r>
          </w:p>
        </w:tc>
        <w:tc>
          <w:tcPr>
            <w:tcW w:w="1468"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w:t>
            </w:r>
          </w:p>
        </w:tc>
        <w:tc>
          <w:tcPr>
            <w:tcW w:w="1435"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78" w:type="dxa"/>
            <w:vMerge w:val="continue"/>
            <w:vAlign w:val="center"/>
          </w:tcPr>
          <w:p>
            <w:pPr>
              <w:pStyle w:val="167"/>
              <w:rPr>
                <w:rFonts w:hint="default" w:ascii="Times New Roman" w:hAnsi="Times New Roman" w:cs="Times New Roman"/>
                <w:color w:val="auto"/>
              </w:rPr>
            </w:pPr>
          </w:p>
        </w:tc>
        <w:tc>
          <w:tcPr>
            <w:tcW w:w="1252"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地表水文</w:t>
            </w:r>
          </w:p>
        </w:tc>
        <w:tc>
          <w:tcPr>
            <w:tcW w:w="763"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w:t>
            </w:r>
          </w:p>
        </w:tc>
        <w:tc>
          <w:tcPr>
            <w:tcW w:w="1450"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w:t>
            </w:r>
          </w:p>
        </w:tc>
        <w:tc>
          <w:tcPr>
            <w:tcW w:w="1466"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w:t>
            </w:r>
          </w:p>
        </w:tc>
        <w:tc>
          <w:tcPr>
            <w:tcW w:w="1468"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w:t>
            </w:r>
          </w:p>
        </w:tc>
        <w:tc>
          <w:tcPr>
            <w:tcW w:w="1435"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78" w:type="dxa"/>
            <w:vMerge w:val="continue"/>
            <w:vAlign w:val="center"/>
          </w:tcPr>
          <w:p>
            <w:pPr>
              <w:pStyle w:val="167"/>
              <w:rPr>
                <w:rFonts w:hint="default" w:ascii="Times New Roman" w:hAnsi="Times New Roman" w:cs="Times New Roman"/>
                <w:color w:val="auto"/>
              </w:rPr>
            </w:pPr>
          </w:p>
        </w:tc>
        <w:tc>
          <w:tcPr>
            <w:tcW w:w="1252"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地表水质</w:t>
            </w:r>
          </w:p>
        </w:tc>
        <w:tc>
          <w:tcPr>
            <w:tcW w:w="763"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〇</w:t>
            </w:r>
          </w:p>
        </w:tc>
        <w:tc>
          <w:tcPr>
            <w:tcW w:w="1450"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w:t>
            </w:r>
          </w:p>
        </w:tc>
        <w:tc>
          <w:tcPr>
            <w:tcW w:w="1466"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w:t>
            </w:r>
          </w:p>
        </w:tc>
        <w:tc>
          <w:tcPr>
            <w:tcW w:w="1468"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〇</w:t>
            </w:r>
          </w:p>
        </w:tc>
        <w:tc>
          <w:tcPr>
            <w:tcW w:w="1435"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78" w:type="dxa"/>
            <w:vMerge w:val="continue"/>
            <w:vAlign w:val="center"/>
          </w:tcPr>
          <w:p>
            <w:pPr>
              <w:pStyle w:val="167"/>
              <w:rPr>
                <w:rFonts w:hint="default" w:ascii="Times New Roman" w:hAnsi="Times New Roman" w:cs="Times New Roman"/>
                <w:color w:val="auto"/>
              </w:rPr>
            </w:pPr>
          </w:p>
        </w:tc>
        <w:tc>
          <w:tcPr>
            <w:tcW w:w="1252"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地下水文</w:t>
            </w:r>
          </w:p>
        </w:tc>
        <w:tc>
          <w:tcPr>
            <w:tcW w:w="763"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w:t>
            </w:r>
          </w:p>
        </w:tc>
        <w:tc>
          <w:tcPr>
            <w:tcW w:w="1450"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w:t>
            </w:r>
          </w:p>
        </w:tc>
        <w:tc>
          <w:tcPr>
            <w:tcW w:w="1466"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w:t>
            </w:r>
          </w:p>
        </w:tc>
        <w:tc>
          <w:tcPr>
            <w:tcW w:w="1468"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w:t>
            </w:r>
          </w:p>
        </w:tc>
        <w:tc>
          <w:tcPr>
            <w:tcW w:w="1435"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78" w:type="dxa"/>
            <w:vMerge w:val="continue"/>
            <w:vAlign w:val="center"/>
          </w:tcPr>
          <w:p>
            <w:pPr>
              <w:pStyle w:val="167"/>
              <w:rPr>
                <w:rFonts w:hint="default" w:ascii="Times New Roman" w:hAnsi="Times New Roman" w:cs="Times New Roman"/>
                <w:color w:val="auto"/>
              </w:rPr>
            </w:pPr>
          </w:p>
        </w:tc>
        <w:tc>
          <w:tcPr>
            <w:tcW w:w="1252"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地下水质</w:t>
            </w:r>
          </w:p>
        </w:tc>
        <w:tc>
          <w:tcPr>
            <w:tcW w:w="763"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w:t>
            </w:r>
          </w:p>
        </w:tc>
        <w:tc>
          <w:tcPr>
            <w:tcW w:w="1450"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w:t>
            </w:r>
          </w:p>
        </w:tc>
        <w:tc>
          <w:tcPr>
            <w:tcW w:w="1466"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w:t>
            </w:r>
          </w:p>
        </w:tc>
        <w:tc>
          <w:tcPr>
            <w:tcW w:w="1468"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w:t>
            </w:r>
          </w:p>
        </w:tc>
        <w:tc>
          <w:tcPr>
            <w:tcW w:w="1435"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78" w:type="dxa"/>
            <w:vMerge w:val="continue"/>
            <w:vAlign w:val="center"/>
          </w:tcPr>
          <w:p>
            <w:pPr>
              <w:pStyle w:val="167"/>
              <w:rPr>
                <w:rFonts w:hint="default" w:ascii="Times New Roman" w:hAnsi="Times New Roman" w:cs="Times New Roman"/>
                <w:color w:val="auto"/>
              </w:rPr>
            </w:pPr>
          </w:p>
        </w:tc>
        <w:tc>
          <w:tcPr>
            <w:tcW w:w="1252"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植被</w:t>
            </w:r>
          </w:p>
        </w:tc>
        <w:tc>
          <w:tcPr>
            <w:tcW w:w="763"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w:t>
            </w:r>
          </w:p>
        </w:tc>
        <w:tc>
          <w:tcPr>
            <w:tcW w:w="1450"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w:t>
            </w:r>
          </w:p>
        </w:tc>
        <w:tc>
          <w:tcPr>
            <w:tcW w:w="1466"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w:t>
            </w:r>
          </w:p>
        </w:tc>
        <w:tc>
          <w:tcPr>
            <w:tcW w:w="1468"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w:t>
            </w:r>
          </w:p>
        </w:tc>
        <w:tc>
          <w:tcPr>
            <w:tcW w:w="1435"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78" w:type="dxa"/>
            <w:vMerge w:val="continue"/>
            <w:vAlign w:val="center"/>
          </w:tcPr>
          <w:p>
            <w:pPr>
              <w:pStyle w:val="167"/>
              <w:rPr>
                <w:rFonts w:hint="default" w:ascii="Times New Roman" w:hAnsi="Times New Roman" w:cs="Times New Roman"/>
                <w:color w:val="auto"/>
              </w:rPr>
            </w:pPr>
          </w:p>
        </w:tc>
        <w:tc>
          <w:tcPr>
            <w:tcW w:w="1252"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土壤</w:t>
            </w:r>
          </w:p>
        </w:tc>
        <w:tc>
          <w:tcPr>
            <w:tcW w:w="763"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〇</w:t>
            </w:r>
          </w:p>
        </w:tc>
        <w:tc>
          <w:tcPr>
            <w:tcW w:w="1450"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w:t>
            </w:r>
          </w:p>
        </w:tc>
        <w:tc>
          <w:tcPr>
            <w:tcW w:w="1466"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w:t>
            </w:r>
          </w:p>
        </w:tc>
        <w:tc>
          <w:tcPr>
            <w:tcW w:w="1468"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w:t>
            </w:r>
          </w:p>
        </w:tc>
        <w:tc>
          <w:tcPr>
            <w:tcW w:w="1435"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78" w:type="dxa"/>
            <w:vMerge w:val="continue"/>
            <w:vAlign w:val="center"/>
          </w:tcPr>
          <w:p>
            <w:pPr>
              <w:pStyle w:val="167"/>
              <w:rPr>
                <w:rFonts w:hint="default" w:ascii="Times New Roman" w:hAnsi="Times New Roman" w:cs="Times New Roman"/>
                <w:color w:val="auto"/>
              </w:rPr>
            </w:pPr>
          </w:p>
        </w:tc>
        <w:tc>
          <w:tcPr>
            <w:tcW w:w="1252"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水土流失</w:t>
            </w:r>
          </w:p>
        </w:tc>
        <w:tc>
          <w:tcPr>
            <w:tcW w:w="763"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〇</w:t>
            </w:r>
          </w:p>
        </w:tc>
        <w:tc>
          <w:tcPr>
            <w:tcW w:w="1450"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w:t>
            </w:r>
          </w:p>
        </w:tc>
        <w:tc>
          <w:tcPr>
            <w:tcW w:w="1466"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w:t>
            </w:r>
          </w:p>
        </w:tc>
        <w:tc>
          <w:tcPr>
            <w:tcW w:w="1468"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w:t>
            </w:r>
          </w:p>
        </w:tc>
        <w:tc>
          <w:tcPr>
            <w:tcW w:w="1435"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78" w:type="dxa"/>
            <w:vMerge w:val="continue"/>
            <w:vAlign w:val="center"/>
          </w:tcPr>
          <w:p>
            <w:pPr>
              <w:pStyle w:val="167"/>
              <w:rPr>
                <w:rFonts w:hint="default" w:ascii="Times New Roman" w:hAnsi="Times New Roman" w:cs="Times New Roman"/>
                <w:color w:val="auto"/>
              </w:rPr>
            </w:pPr>
          </w:p>
        </w:tc>
        <w:tc>
          <w:tcPr>
            <w:tcW w:w="1252"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声环境</w:t>
            </w:r>
          </w:p>
        </w:tc>
        <w:tc>
          <w:tcPr>
            <w:tcW w:w="763"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〇</w:t>
            </w:r>
          </w:p>
        </w:tc>
        <w:tc>
          <w:tcPr>
            <w:tcW w:w="1450"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w:t>
            </w:r>
          </w:p>
        </w:tc>
        <w:tc>
          <w:tcPr>
            <w:tcW w:w="1466"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w:t>
            </w:r>
          </w:p>
        </w:tc>
        <w:tc>
          <w:tcPr>
            <w:tcW w:w="1468"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w:t>
            </w:r>
          </w:p>
        </w:tc>
        <w:tc>
          <w:tcPr>
            <w:tcW w:w="1435"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78" w:type="dxa"/>
            <w:vMerge w:val="restar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自</w:t>
            </w:r>
          </w:p>
          <w:p>
            <w:pPr>
              <w:pStyle w:val="167"/>
              <w:rPr>
                <w:rFonts w:hint="default" w:ascii="Times New Roman" w:hAnsi="Times New Roman" w:cs="Times New Roman"/>
                <w:color w:val="auto"/>
              </w:rPr>
            </w:pPr>
            <w:r>
              <w:rPr>
                <w:rFonts w:hint="default" w:ascii="Times New Roman" w:hAnsi="Times New Roman" w:cs="Times New Roman"/>
                <w:color w:val="auto"/>
              </w:rPr>
              <w:t>然</w:t>
            </w:r>
          </w:p>
          <w:p>
            <w:pPr>
              <w:pStyle w:val="167"/>
              <w:rPr>
                <w:rFonts w:hint="default" w:ascii="Times New Roman" w:hAnsi="Times New Roman" w:cs="Times New Roman"/>
                <w:color w:val="auto"/>
              </w:rPr>
            </w:pPr>
            <w:r>
              <w:rPr>
                <w:rFonts w:hint="default" w:ascii="Times New Roman" w:hAnsi="Times New Roman" w:cs="Times New Roman"/>
                <w:color w:val="auto"/>
              </w:rPr>
              <w:t>资</w:t>
            </w:r>
          </w:p>
          <w:p>
            <w:pPr>
              <w:pStyle w:val="167"/>
              <w:rPr>
                <w:rFonts w:hint="default" w:ascii="Times New Roman" w:hAnsi="Times New Roman" w:cs="Times New Roman"/>
                <w:color w:val="auto"/>
              </w:rPr>
            </w:pPr>
            <w:r>
              <w:rPr>
                <w:rFonts w:hint="default" w:ascii="Times New Roman" w:hAnsi="Times New Roman" w:cs="Times New Roman"/>
                <w:color w:val="auto"/>
              </w:rPr>
              <w:t>源</w:t>
            </w:r>
          </w:p>
        </w:tc>
        <w:tc>
          <w:tcPr>
            <w:tcW w:w="1252"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水资源</w:t>
            </w:r>
          </w:p>
        </w:tc>
        <w:tc>
          <w:tcPr>
            <w:tcW w:w="763"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〇</w:t>
            </w:r>
          </w:p>
        </w:tc>
        <w:tc>
          <w:tcPr>
            <w:tcW w:w="1450"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w:t>
            </w:r>
          </w:p>
        </w:tc>
        <w:tc>
          <w:tcPr>
            <w:tcW w:w="1466"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〇</w:t>
            </w:r>
          </w:p>
        </w:tc>
        <w:tc>
          <w:tcPr>
            <w:tcW w:w="1468"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w:t>
            </w:r>
          </w:p>
        </w:tc>
        <w:tc>
          <w:tcPr>
            <w:tcW w:w="1435"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78" w:type="dxa"/>
            <w:vMerge w:val="continue"/>
            <w:vAlign w:val="center"/>
          </w:tcPr>
          <w:p>
            <w:pPr>
              <w:pStyle w:val="167"/>
              <w:rPr>
                <w:rFonts w:hint="default" w:ascii="Times New Roman" w:hAnsi="Times New Roman" w:cs="Times New Roman"/>
                <w:color w:val="auto"/>
              </w:rPr>
            </w:pPr>
          </w:p>
        </w:tc>
        <w:tc>
          <w:tcPr>
            <w:tcW w:w="1252"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森林资源</w:t>
            </w:r>
          </w:p>
        </w:tc>
        <w:tc>
          <w:tcPr>
            <w:tcW w:w="763"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w:t>
            </w:r>
          </w:p>
        </w:tc>
        <w:tc>
          <w:tcPr>
            <w:tcW w:w="1450"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w:t>
            </w:r>
          </w:p>
        </w:tc>
        <w:tc>
          <w:tcPr>
            <w:tcW w:w="1466"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w:t>
            </w:r>
          </w:p>
        </w:tc>
        <w:tc>
          <w:tcPr>
            <w:tcW w:w="1468"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w:t>
            </w:r>
          </w:p>
        </w:tc>
        <w:tc>
          <w:tcPr>
            <w:tcW w:w="1435"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78" w:type="dxa"/>
            <w:vMerge w:val="continue"/>
            <w:vAlign w:val="center"/>
          </w:tcPr>
          <w:p>
            <w:pPr>
              <w:pStyle w:val="167"/>
              <w:rPr>
                <w:rFonts w:hint="default" w:ascii="Times New Roman" w:hAnsi="Times New Roman" w:cs="Times New Roman"/>
                <w:color w:val="auto"/>
              </w:rPr>
            </w:pPr>
          </w:p>
        </w:tc>
        <w:tc>
          <w:tcPr>
            <w:tcW w:w="1252"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土地资源</w:t>
            </w:r>
          </w:p>
        </w:tc>
        <w:tc>
          <w:tcPr>
            <w:tcW w:w="763"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〇</w:t>
            </w:r>
          </w:p>
        </w:tc>
        <w:tc>
          <w:tcPr>
            <w:tcW w:w="1450"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w:t>
            </w:r>
          </w:p>
        </w:tc>
        <w:tc>
          <w:tcPr>
            <w:tcW w:w="1466"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w:t>
            </w:r>
          </w:p>
        </w:tc>
        <w:tc>
          <w:tcPr>
            <w:tcW w:w="1468"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〇</w:t>
            </w:r>
          </w:p>
        </w:tc>
        <w:tc>
          <w:tcPr>
            <w:tcW w:w="1435"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78" w:type="dxa"/>
            <w:vMerge w:val="restar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社</w:t>
            </w:r>
          </w:p>
          <w:p>
            <w:pPr>
              <w:pStyle w:val="167"/>
              <w:rPr>
                <w:rFonts w:hint="default" w:ascii="Times New Roman" w:hAnsi="Times New Roman" w:cs="Times New Roman"/>
                <w:color w:val="auto"/>
              </w:rPr>
            </w:pPr>
            <w:r>
              <w:rPr>
                <w:rFonts w:hint="default" w:ascii="Times New Roman" w:hAnsi="Times New Roman" w:cs="Times New Roman"/>
                <w:color w:val="auto"/>
              </w:rPr>
              <w:t>会</w:t>
            </w:r>
          </w:p>
          <w:p>
            <w:pPr>
              <w:pStyle w:val="167"/>
              <w:rPr>
                <w:rFonts w:hint="default" w:ascii="Times New Roman" w:hAnsi="Times New Roman" w:cs="Times New Roman"/>
                <w:color w:val="auto"/>
              </w:rPr>
            </w:pPr>
            <w:r>
              <w:rPr>
                <w:rFonts w:hint="default" w:ascii="Times New Roman" w:hAnsi="Times New Roman" w:cs="Times New Roman"/>
                <w:color w:val="auto"/>
              </w:rPr>
              <w:t>经</w:t>
            </w:r>
          </w:p>
          <w:p>
            <w:pPr>
              <w:pStyle w:val="167"/>
              <w:rPr>
                <w:rFonts w:hint="default" w:ascii="Times New Roman" w:hAnsi="Times New Roman" w:cs="Times New Roman"/>
                <w:color w:val="auto"/>
              </w:rPr>
            </w:pPr>
            <w:r>
              <w:rPr>
                <w:rFonts w:hint="default" w:ascii="Times New Roman" w:hAnsi="Times New Roman" w:cs="Times New Roman"/>
                <w:color w:val="auto"/>
              </w:rPr>
              <w:t>济</w:t>
            </w:r>
          </w:p>
        </w:tc>
        <w:tc>
          <w:tcPr>
            <w:tcW w:w="1252"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交通运输</w:t>
            </w:r>
          </w:p>
        </w:tc>
        <w:tc>
          <w:tcPr>
            <w:tcW w:w="763"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〇</w:t>
            </w:r>
          </w:p>
        </w:tc>
        <w:tc>
          <w:tcPr>
            <w:tcW w:w="1450"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w:t>
            </w:r>
          </w:p>
        </w:tc>
        <w:tc>
          <w:tcPr>
            <w:tcW w:w="1466"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w:t>
            </w:r>
          </w:p>
        </w:tc>
        <w:tc>
          <w:tcPr>
            <w:tcW w:w="1468"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〇</w:t>
            </w:r>
          </w:p>
        </w:tc>
        <w:tc>
          <w:tcPr>
            <w:tcW w:w="1435"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78" w:type="dxa"/>
            <w:vMerge w:val="continue"/>
            <w:vAlign w:val="center"/>
          </w:tcPr>
          <w:p>
            <w:pPr>
              <w:pStyle w:val="167"/>
              <w:rPr>
                <w:rFonts w:hint="default" w:ascii="Times New Roman" w:hAnsi="Times New Roman" w:cs="Times New Roman"/>
                <w:color w:val="auto"/>
              </w:rPr>
            </w:pPr>
          </w:p>
        </w:tc>
        <w:tc>
          <w:tcPr>
            <w:tcW w:w="1252"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区域经济</w:t>
            </w:r>
          </w:p>
        </w:tc>
        <w:tc>
          <w:tcPr>
            <w:tcW w:w="763"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＋〇</w:t>
            </w:r>
          </w:p>
        </w:tc>
        <w:tc>
          <w:tcPr>
            <w:tcW w:w="1450"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w:t>
            </w:r>
          </w:p>
        </w:tc>
        <w:tc>
          <w:tcPr>
            <w:tcW w:w="1466"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w:t>
            </w:r>
          </w:p>
        </w:tc>
        <w:tc>
          <w:tcPr>
            <w:tcW w:w="1468"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w:t>
            </w:r>
          </w:p>
        </w:tc>
        <w:tc>
          <w:tcPr>
            <w:tcW w:w="1435"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78" w:type="dxa"/>
            <w:vMerge w:val="continue"/>
            <w:vAlign w:val="center"/>
          </w:tcPr>
          <w:p>
            <w:pPr>
              <w:pStyle w:val="167"/>
              <w:rPr>
                <w:rFonts w:hint="default" w:ascii="Times New Roman" w:hAnsi="Times New Roman" w:cs="Times New Roman"/>
                <w:color w:val="auto"/>
              </w:rPr>
            </w:pPr>
          </w:p>
        </w:tc>
        <w:tc>
          <w:tcPr>
            <w:tcW w:w="1252"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农业生产</w:t>
            </w:r>
          </w:p>
        </w:tc>
        <w:tc>
          <w:tcPr>
            <w:tcW w:w="763"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w:t>
            </w:r>
          </w:p>
        </w:tc>
        <w:tc>
          <w:tcPr>
            <w:tcW w:w="1450"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w:t>
            </w:r>
          </w:p>
        </w:tc>
        <w:tc>
          <w:tcPr>
            <w:tcW w:w="1466"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w:t>
            </w:r>
          </w:p>
        </w:tc>
        <w:tc>
          <w:tcPr>
            <w:tcW w:w="1468"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w:t>
            </w:r>
          </w:p>
        </w:tc>
        <w:tc>
          <w:tcPr>
            <w:tcW w:w="1435"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78" w:type="dxa"/>
            <w:vMerge w:val="continue"/>
            <w:vAlign w:val="center"/>
          </w:tcPr>
          <w:p>
            <w:pPr>
              <w:pStyle w:val="167"/>
              <w:rPr>
                <w:rFonts w:hint="default" w:ascii="Times New Roman" w:hAnsi="Times New Roman" w:cs="Times New Roman"/>
                <w:color w:val="auto"/>
              </w:rPr>
            </w:pPr>
          </w:p>
        </w:tc>
        <w:tc>
          <w:tcPr>
            <w:tcW w:w="1252"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美学、游览</w:t>
            </w:r>
          </w:p>
        </w:tc>
        <w:tc>
          <w:tcPr>
            <w:tcW w:w="763"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〇</w:t>
            </w:r>
          </w:p>
        </w:tc>
        <w:tc>
          <w:tcPr>
            <w:tcW w:w="1450"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〇</w:t>
            </w:r>
          </w:p>
        </w:tc>
        <w:tc>
          <w:tcPr>
            <w:tcW w:w="1466"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〇</w:t>
            </w:r>
          </w:p>
        </w:tc>
        <w:tc>
          <w:tcPr>
            <w:tcW w:w="1468"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〇</w:t>
            </w:r>
          </w:p>
        </w:tc>
        <w:tc>
          <w:tcPr>
            <w:tcW w:w="1435"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78" w:type="dxa"/>
            <w:vMerge w:val="continue"/>
            <w:vAlign w:val="center"/>
          </w:tcPr>
          <w:p>
            <w:pPr>
              <w:pStyle w:val="167"/>
              <w:rPr>
                <w:rFonts w:hint="default" w:ascii="Times New Roman" w:hAnsi="Times New Roman" w:cs="Times New Roman"/>
                <w:color w:val="auto"/>
              </w:rPr>
            </w:pPr>
          </w:p>
        </w:tc>
        <w:tc>
          <w:tcPr>
            <w:tcW w:w="1252"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环境风险</w:t>
            </w:r>
          </w:p>
        </w:tc>
        <w:tc>
          <w:tcPr>
            <w:tcW w:w="763"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〇</w:t>
            </w:r>
          </w:p>
        </w:tc>
        <w:tc>
          <w:tcPr>
            <w:tcW w:w="1450"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w:t>
            </w:r>
          </w:p>
        </w:tc>
        <w:tc>
          <w:tcPr>
            <w:tcW w:w="1466"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w:t>
            </w:r>
          </w:p>
        </w:tc>
        <w:tc>
          <w:tcPr>
            <w:tcW w:w="1468"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w:t>
            </w:r>
          </w:p>
        </w:tc>
        <w:tc>
          <w:tcPr>
            <w:tcW w:w="1435"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w:t>
            </w:r>
          </w:p>
        </w:tc>
      </w:tr>
    </w:tbl>
    <w:p>
      <w:pPr>
        <w:spacing w:beforeLines="50" w:line="360" w:lineRule="auto"/>
        <w:ind w:left="105" w:hanging="105" w:hangingChars="5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注：●重大影响，◎中度影响，〇轻微影响，一影响很小或无影响，+为有利影响。</w:t>
      </w:r>
    </w:p>
    <w:p>
      <w:pPr>
        <w:pStyle w:val="6"/>
        <w:spacing w:before="0" w:after="0" w:line="360" w:lineRule="auto"/>
        <w:rPr>
          <w:rFonts w:hint="default" w:ascii="Times New Roman" w:hAnsi="Times New Roman" w:cs="Times New Roman"/>
          <w:color w:val="auto"/>
          <w:szCs w:val="28"/>
        </w:rPr>
      </w:pPr>
      <w:bookmarkStart w:id="130" w:name="_Toc19176"/>
      <w:r>
        <w:rPr>
          <w:rFonts w:hint="default" w:ascii="Times New Roman" w:hAnsi="Times New Roman" w:cs="Times New Roman"/>
          <w:color w:val="auto"/>
          <w:szCs w:val="28"/>
        </w:rPr>
        <w:t>1.3.2评价因子筛选</w:t>
      </w:r>
      <w:bookmarkEnd w:id="120"/>
      <w:bookmarkEnd w:id="121"/>
      <w:bookmarkEnd w:id="122"/>
      <w:bookmarkEnd w:id="123"/>
      <w:bookmarkEnd w:id="124"/>
      <w:bookmarkEnd w:id="125"/>
      <w:bookmarkEnd w:id="126"/>
      <w:bookmarkEnd w:id="130"/>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根据项目的污染排放特征，结合项目周围的环境现状，经环境影响因素识别筛选确定本评价因子筛选结果见表1-2。</w:t>
      </w:r>
    </w:p>
    <w:p>
      <w:pPr>
        <w:pStyle w:val="133"/>
        <w:numPr>
          <w:ilvl w:val="1"/>
          <w:numId w:val="6"/>
        </w:numPr>
        <w:spacing w:line="360" w:lineRule="auto"/>
        <w:ind w:left="0" w:firstLine="0" w:firstLineChars="0"/>
        <w:jc w:val="center"/>
        <w:rPr>
          <w:rFonts w:hint="default" w:ascii="Times New Roman" w:hAnsi="Times New Roman" w:cs="Times New Roman"/>
          <w:b/>
          <w:bCs/>
          <w:color w:val="auto"/>
        </w:rPr>
      </w:pPr>
      <w:r>
        <w:rPr>
          <w:rFonts w:hint="default" w:ascii="Times New Roman" w:hAnsi="Times New Roman" w:cs="Times New Roman"/>
          <w:b/>
          <w:bCs/>
          <w:color w:val="auto"/>
        </w:rPr>
        <w:t>项目主要环境影响评价因子一览表</w:t>
      </w:r>
    </w:p>
    <w:tbl>
      <w:tblPr>
        <w:tblStyle w:val="44"/>
        <w:tblW w:w="83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4678"/>
        <w:gridCol w:w="2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4"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环境要素</w:t>
            </w:r>
          </w:p>
        </w:tc>
        <w:tc>
          <w:tcPr>
            <w:tcW w:w="4678"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现状评价因子</w:t>
            </w:r>
          </w:p>
        </w:tc>
        <w:tc>
          <w:tcPr>
            <w:tcW w:w="2269"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预测因子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4"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环境空气</w:t>
            </w:r>
          </w:p>
        </w:tc>
        <w:tc>
          <w:tcPr>
            <w:tcW w:w="4678" w:type="dxa"/>
            <w:vAlign w:val="center"/>
          </w:tcPr>
          <w:p>
            <w:pPr>
              <w:pStyle w:val="167"/>
              <w:rPr>
                <w:rFonts w:hint="default" w:ascii="Times New Roman" w:hAnsi="Times New Roman" w:eastAsia="宋体" w:cs="Times New Roman"/>
                <w:color w:val="auto"/>
                <w:lang w:eastAsia="zh-CN"/>
              </w:rPr>
            </w:pPr>
            <w:r>
              <w:rPr>
                <w:rFonts w:hint="default" w:ascii="Times New Roman" w:hAnsi="Times New Roman" w:cs="Times New Roman"/>
                <w:color w:val="auto"/>
              </w:rPr>
              <w:t>PM</w:t>
            </w:r>
            <w:r>
              <w:rPr>
                <w:rFonts w:hint="default" w:ascii="Times New Roman" w:hAnsi="Times New Roman" w:cs="Times New Roman"/>
                <w:color w:val="auto"/>
                <w:vertAlign w:val="subscript"/>
              </w:rPr>
              <w:t>10</w:t>
            </w:r>
            <w:r>
              <w:rPr>
                <w:rFonts w:hint="default" w:ascii="Times New Roman" w:hAnsi="Times New Roman" w:cs="Times New Roman"/>
                <w:color w:val="auto"/>
              </w:rPr>
              <w:t>、PM</w:t>
            </w:r>
            <w:r>
              <w:rPr>
                <w:rFonts w:hint="default" w:ascii="Times New Roman" w:hAnsi="Times New Roman" w:cs="Times New Roman"/>
                <w:color w:val="auto"/>
                <w:vertAlign w:val="subscript"/>
              </w:rPr>
              <w:t>2.5</w:t>
            </w:r>
            <w:r>
              <w:rPr>
                <w:rFonts w:hint="default" w:ascii="Times New Roman" w:hAnsi="Times New Roman" w:cs="Times New Roman"/>
                <w:color w:val="auto"/>
              </w:rPr>
              <w:t>、SO</w:t>
            </w:r>
            <w:r>
              <w:rPr>
                <w:rFonts w:hint="default" w:ascii="Times New Roman" w:hAnsi="Times New Roman" w:cs="Times New Roman"/>
                <w:color w:val="auto"/>
                <w:vertAlign w:val="subscript"/>
              </w:rPr>
              <w:t>2</w:t>
            </w:r>
            <w:r>
              <w:rPr>
                <w:rFonts w:hint="default" w:ascii="Times New Roman" w:hAnsi="Times New Roman" w:cs="Times New Roman"/>
                <w:color w:val="auto"/>
              </w:rPr>
              <w:t>、NO</w:t>
            </w:r>
            <w:r>
              <w:rPr>
                <w:rFonts w:hint="default" w:ascii="Times New Roman" w:hAnsi="Times New Roman" w:cs="Times New Roman"/>
                <w:color w:val="auto"/>
                <w:vertAlign w:val="subscript"/>
              </w:rPr>
              <w:t>2</w:t>
            </w:r>
            <w:r>
              <w:rPr>
                <w:rFonts w:hint="default" w:ascii="Times New Roman" w:hAnsi="Times New Roman" w:cs="Times New Roman"/>
                <w:color w:val="auto"/>
              </w:rPr>
              <w:t>、CO、O</w:t>
            </w:r>
            <w:r>
              <w:rPr>
                <w:rFonts w:hint="default" w:ascii="Times New Roman" w:hAnsi="Times New Roman" w:cs="Times New Roman"/>
                <w:color w:val="auto"/>
                <w:vertAlign w:val="subscript"/>
              </w:rPr>
              <w:t>3</w:t>
            </w:r>
            <w:r>
              <w:rPr>
                <w:rFonts w:hint="default" w:ascii="Times New Roman" w:hAnsi="Times New Roman" w:cs="Times New Roman"/>
                <w:color w:val="auto"/>
              </w:rPr>
              <w:t>、</w:t>
            </w:r>
            <w:r>
              <w:rPr>
                <w:rFonts w:hint="default" w:ascii="Times New Roman" w:hAnsi="Times New Roman" w:cs="Times New Roman"/>
                <w:color w:val="auto"/>
                <w:lang w:eastAsia="zh-CN"/>
              </w:rPr>
              <w:t>非甲烷总烃</w:t>
            </w:r>
            <w:r>
              <w:rPr>
                <w:rFonts w:hint="default" w:ascii="Times New Roman" w:hAnsi="Times New Roman" w:cs="Times New Roman"/>
                <w:color w:val="auto"/>
                <w:lang w:eastAsia="zh-CN"/>
              </w:rPr>
              <w:t>、颗粒物、氟化物、按、硫化氢</w:t>
            </w:r>
          </w:p>
        </w:tc>
        <w:tc>
          <w:tcPr>
            <w:tcW w:w="2269" w:type="dxa"/>
            <w:vAlign w:val="center"/>
          </w:tcPr>
          <w:p>
            <w:pPr>
              <w:pStyle w:val="167"/>
              <w:rPr>
                <w:rFonts w:hint="default" w:ascii="Times New Roman" w:hAnsi="Times New Roman" w:eastAsia="宋体" w:cs="Times New Roman"/>
                <w:color w:val="auto"/>
                <w:lang w:eastAsia="zh-CN"/>
              </w:rPr>
            </w:pPr>
            <w:r>
              <w:rPr>
                <w:rFonts w:hint="default" w:ascii="Times New Roman" w:hAnsi="Times New Roman" w:cs="Times New Roman"/>
                <w:color w:va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4"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地表水</w:t>
            </w:r>
          </w:p>
        </w:tc>
        <w:tc>
          <w:tcPr>
            <w:tcW w:w="4678"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pH、CODcr、BOD</w:t>
            </w:r>
            <w:r>
              <w:rPr>
                <w:rFonts w:hint="default" w:ascii="Times New Roman" w:hAnsi="Times New Roman" w:cs="Times New Roman"/>
                <w:color w:val="auto"/>
                <w:vertAlign w:val="subscript"/>
              </w:rPr>
              <w:t>5</w:t>
            </w:r>
            <w:r>
              <w:rPr>
                <w:rFonts w:hint="default" w:ascii="Times New Roman" w:hAnsi="Times New Roman" w:cs="Times New Roman"/>
                <w:color w:val="auto"/>
              </w:rPr>
              <w:t>、</w:t>
            </w:r>
            <w:r>
              <w:rPr>
                <w:rFonts w:hint="default" w:ascii="Times New Roman" w:hAnsi="Times New Roman" w:cs="Times New Roman"/>
                <w:color w:val="auto"/>
                <w:lang w:eastAsia="zh-CN"/>
              </w:rPr>
              <w:t>悬浮物、石油类、阴离子表面活性剂、氨氮</w:t>
            </w:r>
            <w:r>
              <w:rPr>
                <w:rFonts w:hint="default" w:ascii="Times New Roman" w:hAnsi="Times New Roman" w:cs="Times New Roman"/>
                <w:color w:val="auto"/>
              </w:rPr>
              <w:t>、</w:t>
            </w:r>
            <w:r>
              <w:rPr>
                <w:rFonts w:hint="default" w:ascii="Times New Roman" w:hAnsi="Times New Roman" w:cs="Times New Roman"/>
                <w:color w:val="auto"/>
                <w:lang w:eastAsia="zh-CN"/>
              </w:rPr>
              <w:t>总磷</w:t>
            </w:r>
            <w:r>
              <w:rPr>
                <w:rFonts w:hint="default" w:ascii="Times New Roman" w:hAnsi="Times New Roman" w:cs="Times New Roman"/>
                <w:color w:val="auto"/>
              </w:rPr>
              <w:t>、</w:t>
            </w:r>
            <w:r>
              <w:rPr>
                <w:rFonts w:hint="default" w:ascii="Times New Roman" w:hAnsi="Times New Roman" w:cs="Times New Roman"/>
                <w:color w:val="auto"/>
                <w:lang w:eastAsia="zh-CN"/>
              </w:rPr>
              <w:t>色度</w:t>
            </w:r>
            <w:r>
              <w:rPr>
                <w:rFonts w:hint="default" w:ascii="Times New Roman" w:hAnsi="Times New Roman" w:cs="Times New Roman"/>
                <w:color w:val="auto"/>
              </w:rPr>
              <w:t>、</w:t>
            </w:r>
            <w:r>
              <w:rPr>
                <w:rFonts w:hint="default" w:ascii="Times New Roman" w:hAnsi="Times New Roman" w:cs="Times New Roman"/>
                <w:color w:val="auto"/>
                <w:lang w:eastAsia="zh-CN"/>
              </w:rPr>
              <w:t>粪大肠菌群、氟化物、硫化物、总汞、铜、锌、总镉、总铬、六价铬、总砷、总铅</w:t>
            </w:r>
          </w:p>
        </w:tc>
        <w:tc>
          <w:tcPr>
            <w:tcW w:w="2269"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4" w:type="dxa"/>
            <w:vAlign w:val="center"/>
          </w:tcPr>
          <w:p>
            <w:pPr>
              <w:pStyle w:val="167"/>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地下水</w:t>
            </w:r>
          </w:p>
        </w:tc>
        <w:tc>
          <w:tcPr>
            <w:tcW w:w="4678" w:type="dxa"/>
            <w:vAlign w:val="center"/>
          </w:tcPr>
          <w:p>
            <w:pPr>
              <w:pStyle w:val="16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2269" w:type="dxa"/>
            <w:vAlign w:val="center"/>
          </w:tcPr>
          <w:p>
            <w:pPr>
              <w:pStyle w:val="16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4"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土壤</w:t>
            </w:r>
          </w:p>
        </w:tc>
        <w:tc>
          <w:tcPr>
            <w:tcW w:w="4678" w:type="dxa"/>
            <w:vAlign w:val="center"/>
          </w:tcPr>
          <w:p>
            <w:pPr>
              <w:pStyle w:val="167"/>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w:t>
            </w:r>
          </w:p>
        </w:tc>
        <w:tc>
          <w:tcPr>
            <w:tcW w:w="2269" w:type="dxa"/>
            <w:vAlign w:val="center"/>
          </w:tcPr>
          <w:p>
            <w:pPr>
              <w:pStyle w:val="167"/>
              <w:rPr>
                <w:rFonts w:hint="default" w:ascii="Times New Roman" w:hAnsi="Times New Roman" w:eastAsia="宋体" w:cs="Times New Roman"/>
                <w:color w:val="auto"/>
                <w:lang w:eastAsia="zh-CN"/>
              </w:rPr>
            </w:pPr>
            <w:r>
              <w:rPr>
                <w:rFonts w:hint="default" w:ascii="Times New Roman" w:hAnsi="Times New Roman" w:cs="Times New Roman"/>
                <w:color w:va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4"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噪声</w:t>
            </w:r>
          </w:p>
        </w:tc>
        <w:tc>
          <w:tcPr>
            <w:tcW w:w="4678"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噪声Leq</w:t>
            </w:r>
          </w:p>
        </w:tc>
        <w:tc>
          <w:tcPr>
            <w:tcW w:w="2269"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噪声Leq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4"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固体废弃物</w:t>
            </w:r>
          </w:p>
        </w:tc>
        <w:tc>
          <w:tcPr>
            <w:tcW w:w="6947" w:type="dxa"/>
            <w:gridSpan w:val="2"/>
            <w:vAlign w:val="center"/>
          </w:tcPr>
          <w:p>
            <w:pPr>
              <w:pStyle w:val="167"/>
              <w:rPr>
                <w:rFonts w:hint="default" w:ascii="Times New Roman" w:hAnsi="Times New Roman" w:cs="Times New Roman"/>
                <w:color w:val="auto"/>
              </w:rPr>
            </w:pPr>
            <w:r>
              <w:rPr>
                <w:rFonts w:hint="default" w:ascii="Times New Roman" w:hAnsi="Times New Roman" w:cs="Times New Roman"/>
                <w:color w:val="auto"/>
                <w:lang w:eastAsia="zh-CN"/>
              </w:rPr>
              <w:t>废切片、废活性炭、废胶、</w:t>
            </w:r>
            <w:r>
              <w:rPr>
                <w:rFonts w:hint="default" w:ascii="Times New Roman" w:hAnsi="Times New Roman" w:cs="Times New Roman"/>
                <w:color w:val="auto"/>
              </w:rPr>
              <w:t>废钢丝、废包装材料、压滤硅泥、</w:t>
            </w:r>
            <w:r>
              <w:rPr>
                <w:rFonts w:hint="default" w:ascii="Times New Roman" w:hAnsi="Times New Roman" w:cs="Times New Roman"/>
                <w:color w:val="auto"/>
                <w:lang w:eastAsia="zh-CN"/>
              </w:rPr>
              <w:t>综合污水处理站</w:t>
            </w:r>
            <w:r>
              <w:rPr>
                <w:rFonts w:hint="default" w:ascii="Times New Roman" w:hAnsi="Times New Roman" w:cs="Times New Roman"/>
                <w:color w:val="auto"/>
              </w:rPr>
              <w:t>污泥、生活垃圾等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4"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环境风险</w:t>
            </w:r>
          </w:p>
        </w:tc>
        <w:tc>
          <w:tcPr>
            <w:tcW w:w="6947" w:type="dxa"/>
            <w:gridSpan w:val="2"/>
            <w:vAlign w:val="center"/>
          </w:tcPr>
          <w:p>
            <w:pPr>
              <w:pStyle w:val="167"/>
              <w:rPr>
                <w:rFonts w:hint="default" w:ascii="Times New Roman" w:hAnsi="Times New Roman" w:cs="Times New Roman"/>
                <w:color w:val="auto"/>
              </w:rPr>
            </w:pPr>
            <w:r>
              <w:rPr>
                <w:rFonts w:hint="default" w:ascii="Times New Roman" w:hAnsi="Times New Roman" w:cs="Times New Roman"/>
                <w:color w:val="auto"/>
                <w:lang w:eastAsia="zh-CN"/>
              </w:rPr>
              <w:t>氢氟酸</w:t>
            </w:r>
          </w:p>
        </w:tc>
      </w:tr>
    </w:tbl>
    <w:p>
      <w:pPr>
        <w:pStyle w:val="4"/>
        <w:spacing w:beforeLines="50" w:after="0" w:line="360" w:lineRule="auto"/>
        <w:rPr>
          <w:rFonts w:hint="default" w:ascii="Times New Roman" w:hAnsi="Times New Roman" w:eastAsia="宋体" w:cs="Times New Roman"/>
          <w:color w:val="auto"/>
          <w:sz w:val="28"/>
          <w:szCs w:val="28"/>
        </w:rPr>
      </w:pPr>
      <w:bookmarkStart w:id="131" w:name="_Toc13859"/>
      <w:r>
        <w:rPr>
          <w:rFonts w:hint="default" w:ascii="Times New Roman" w:hAnsi="Times New Roman" w:eastAsia="宋体" w:cs="Times New Roman"/>
          <w:color w:val="auto"/>
          <w:sz w:val="28"/>
          <w:szCs w:val="28"/>
        </w:rPr>
        <w:t>1.4评价标准</w:t>
      </w:r>
      <w:bookmarkEnd w:id="97"/>
      <w:bookmarkEnd w:id="98"/>
      <w:bookmarkEnd w:id="99"/>
      <w:bookmarkEnd w:id="100"/>
      <w:bookmarkEnd w:id="101"/>
      <w:bookmarkEnd w:id="102"/>
      <w:bookmarkEnd w:id="103"/>
      <w:bookmarkEnd w:id="127"/>
      <w:bookmarkEnd w:id="128"/>
      <w:bookmarkEnd w:id="129"/>
      <w:bookmarkEnd w:id="131"/>
    </w:p>
    <w:p>
      <w:pPr>
        <w:pStyle w:val="6"/>
        <w:spacing w:before="0" w:after="0" w:line="360" w:lineRule="auto"/>
        <w:rPr>
          <w:rFonts w:hint="default" w:ascii="Times New Roman" w:hAnsi="Times New Roman" w:cs="Times New Roman"/>
          <w:color w:val="auto"/>
          <w:szCs w:val="28"/>
        </w:rPr>
      </w:pPr>
      <w:bookmarkStart w:id="132" w:name="_Toc24858"/>
      <w:r>
        <w:rPr>
          <w:rFonts w:hint="default" w:ascii="Times New Roman" w:hAnsi="Times New Roman" w:cs="Times New Roman"/>
          <w:color w:val="auto"/>
          <w:szCs w:val="28"/>
        </w:rPr>
        <w:t>1.4.1环境质量标准</w:t>
      </w:r>
      <w:bookmarkEnd w:id="132"/>
    </w:p>
    <w:p>
      <w:pPr>
        <w:spacing w:line="360" w:lineRule="auto"/>
        <w:ind w:firstLine="482" w:firstLineChars="200"/>
        <w:rPr>
          <w:rFonts w:hint="default" w:ascii="Times New Roman" w:hAnsi="Times New Roman" w:cs="Times New Roman"/>
          <w:b/>
          <w:bCs/>
          <w:color w:val="auto"/>
        </w:rPr>
      </w:pPr>
      <w:r>
        <w:rPr>
          <w:rFonts w:hint="default" w:ascii="Times New Roman" w:hAnsi="Times New Roman" w:cs="Times New Roman"/>
          <w:b/>
          <w:bCs/>
          <w:color w:val="auto"/>
          <w:lang w:val="en-US" w:eastAsia="zh-CN"/>
        </w:rPr>
        <w:t>1、</w:t>
      </w:r>
      <w:r>
        <w:rPr>
          <w:rFonts w:hint="default" w:ascii="Times New Roman" w:hAnsi="Times New Roman" w:cs="Times New Roman"/>
          <w:b/>
          <w:bCs/>
          <w:color w:val="auto"/>
        </w:rPr>
        <w:t>空气环境质量标准</w:t>
      </w:r>
    </w:p>
    <w:p>
      <w:pPr>
        <w:spacing w:line="360" w:lineRule="auto"/>
        <w:ind w:firstLine="480" w:firstLineChars="200"/>
        <w:rPr>
          <w:rFonts w:hint="default" w:ascii="Times New Roman" w:hAnsi="Times New Roman" w:cs="Times New Roman"/>
          <w:b/>
          <w:bCs/>
          <w:color w:val="auto"/>
        </w:rPr>
      </w:pPr>
      <w:r>
        <w:rPr>
          <w:rFonts w:hint="default" w:ascii="Times New Roman" w:hAnsi="Times New Roman" w:cs="Times New Roman"/>
          <w:color w:val="auto"/>
        </w:rPr>
        <w:t>本项目选址于楚雄工业园区—富民庄甸工业区，环境空气质量执行《环境空气质量标准》（GB3095-2012）及修改单中二级标准，</w:t>
      </w:r>
      <w:r>
        <w:rPr>
          <w:rFonts w:hint="default" w:ascii="Times New Roman" w:hAnsi="Times New Roman" w:cs="Times New Roman"/>
          <w:color w:val="auto"/>
          <w:lang w:eastAsia="zh-CN"/>
        </w:rPr>
        <w:t>非甲烷总烃</w:t>
      </w:r>
      <w:r>
        <w:rPr>
          <w:rFonts w:hint="default" w:ascii="Times New Roman" w:hAnsi="Times New Roman" w:cs="Times New Roman"/>
          <w:color w:val="auto"/>
        </w:rPr>
        <w:t>执行《</w:t>
      </w:r>
      <w:r>
        <w:rPr>
          <w:rFonts w:hint="default" w:ascii="Times New Roman" w:hAnsi="Times New Roman" w:eastAsia="宋体" w:cs="Times New Roman"/>
          <w:bCs/>
          <w:color w:val="auto"/>
          <w:lang w:val="en-US" w:eastAsia="zh-CN"/>
        </w:rPr>
        <w:t>大气污染物综合排放标准详解</w:t>
      </w:r>
      <w:r>
        <w:rPr>
          <w:rFonts w:hint="default" w:ascii="Times New Roman" w:hAnsi="Times New Roman" w:cs="Times New Roman"/>
          <w:color w:val="auto"/>
        </w:rPr>
        <w:t>》</w:t>
      </w:r>
      <w:r>
        <w:rPr>
          <w:rFonts w:hint="default" w:ascii="Times New Roman" w:hAnsi="Times New Roman" w:cs="Times New Roman"/>
          <w:color w:val="auto"/>
          <w:lang w:val="en-US" w:eastAsia="zh-CN"/>
        </w:rPr>
        <w:t>1小时均值标准值</w:t>
      </w:r>
      <w:r>
        <w:rPr>
          <w:rFonts w:hint="default" w:ascii="Times New Roman" w:hAnsi="Times New Roman" w:cs="Times New Roman"/>
          <w:color w:val="auto"/>
          <w:lang w:val="en-US" w:eastAsia="zh-CN"/>
        </w:rPr>
        <w:t>，氨</w:t>
      </w:r>
      <w:r>
        <w:rPr>
          <w:rFonts w:hint="default" w:ascii="Times New Roman" w:hAnsi="Times New Roman" w:cs="Times New Roman"/>
          <w:color w:val="auto"/>
          <w:lang w:eastAsia="zh-CN"/>
        </w:rPr>
        <w:t>、硫化氢</w:t>
      </w:r>
      <w:r>
        <w:rPr>
          <w:rFonts w:hint="default" w:ascii="Times New Roman" w:hAnsi="Times New Roman" w:cs="Times New Roman"/>
          <w:color w:val="auto"/>
        </w:rPr>
        <w:t>执行《环境影响评价技术导则大气环境》（HJ2.2-2018）附录表D.1中的其他污染物空气质量浓度参考限值</w:t>
      </w:r>
      <w:r>
        <w:rPr>
          <w:rFonts w:hint="default" w:ascii="Times New Roman" w:hAnsi="Times New Roman" w:cs="Times New Roman"/>
          <w:color w:val="auto"/>
        </w:rPr>
        <w:t>。</w:t>
      </w:r>
    </w:p>
    <w:p>
      <w:pPr>
        <w:pStyle w:val="133"/>
        <w:numPr>
          <w:ilvl w:val="1"/>
          <w:numId w:val="6"/>
        </w:numPr>
        <w:spacing w:line="360" w:lineRule="auto"/>
        <w:ind w:left="0" w:firstLine="0" w:firstLineChars="0"/>
        <w:jc w:val="center"/>
        <w:rPr>
          <w:rFonts w:hint="default" w:ascii="Times New Roman" w:hAnsi="Times New Roman" w:cs="Times New Roman"/>
          <w:b/>
          <w:bCs/>
          <w:color w:val="auto"/>
        </w:rPr>
      </w:pPr>
      <w:r>
        <w:rPr>
          <w:rFonts w:hint="default" w:ascii="Times New Roman" w:hAnsi="Times New Roman" w:cs="Times New Roman"/>
          <w:b/>
          <w:bCs/>
          <w:color w:val="auto"/>
        </w:rPr>
        <w:t>环境空气质量标准</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0"/>
        <w:gridCol w:w="1891"/>
        <w:gridCol w:w="35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50"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污染物名称</w:t>
            </w:r>
          </w:p>
        </w:tc>
        <w:tc>
          <w:tcPr>
            <w:tcW w:w="1891"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取值时间</w:t>
            </w:r>
          </w:p>
        </w:tc>
        <w:tc>
          <w:tcPr>
            <w:tcW w:w="3537"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浓度限值ug/m</w:t>
            </w:r>
            <w:r>
              <w:rPr>
                <w:rFonts w:hint="default" w:ascii="Times New Roman" w:hAnsi="Times New Roman" w:cs="Times New Roman"/>
                <w:color w:val="auto"/>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50" w:type="dxa"/>
            <w:vMerge w:val="restart"/>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二氧化硫（SO</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w:t>
            </w:r>
          </w:p>
        </w:tc>
        <w:tc>
          <w:tcPr>
            <w:tcW w:w="1891"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年平均</w:t>
            </w:r>
          </w:p>
        </w:tc>
        <w:tc>
          <w:tcPr>
            <w:tcW w:w="3537"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50" w:type="dxa"/>
            <w:vMerge w:val="continue"/>
            <w:vAlign w:val="center"/>
          </w:tcPr>
          <w:p>
            <w:pPr>
              <w:jc w:val="center"/>
              <w:rPr>
                <w:rFonts w:hint="default" w:ascii="Times New Roman" w:hAnsi="Times New Roman" w:cs="Times New Roman"/>
                <w:color w:val="auto"/>
                <w:sz w:val="21"/>
                <w:szCs w:val="21"/>
              </w:rPr>
            </w:pPr>
          </w:p>
        </w:tc>
        <w:tc>
          <w:tcPr>
            <w:tcW w:w="1891"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24小时平均</w:t>
            </w:r>
          </w:p>
        </w:tc>
        <w:tc>
          <w:tcPr>
            <w:tcW w:w="3537"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50" w:type="dxa"/>
            <w:vMerge w:val="continue"/>
            <w:vAlign w:val="center"/>
          </w:tcPr>
          <w:p>
            <w:pPr>
              <w:jc w:val="center"/>
              <w:rPr>
                <w:rFonts w:hint="default" w:ascii="Times New Roman" w:hAnsi="Times New Roman" w:cs="Times New Roman"/>
                <w:color w:val="auto"/>
                <w:sz w:val="21"/>
                <w:szCs w:val="21"/>
              </w:rPr>
            </w:pPr>
          </w:p>
        </w:tc>
        <w:tc>
          <w:tcPr>
            <w:tcW w:w="1891"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1小时平均</w:t>
            </w:r>
          </w:p>
        </w:tc>
        <w:tc>
          <w:tcPr>
            <w:tcW w:w="3537"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950" w:type="dxa"/>
            <w:vMerge w:val="continue"/>
            <w:vAlign w:val="center"/>
          </w:tcPr>
          <w:p>
            <w:pPr>
              <w:jc w:val="center"/>
              <w:rPr>
                <w:rFonts w:hint="default" w:ascii="Times New Roman" w:hAnsi="Times New Roman" w:cs="Times New Roman"/>
                <w:color w:val="auto"/>
                <w:sz w:val="21"/>
                <w:szCs w:val="21"/>
              </w:rPr>
            </w:pPr>
          </w:p>
        </w:tc>
        <w:tc>
          <w:tcPr>
            <w:tcW w:w="1891"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24小时平均</w:t>
            </w:r>
          </w:p>
        </w:tc>
        <w:tc>
          <w:tcPr>
            <w:tcW w:w="3537"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950" w:type="dxa"/>
            <w:vMerge w:val="restart"/>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二氧化氮（NO</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w:t>
            </w:r>
          </w:p>
        </w:tc>
        <w:tc>
          <w:tcPr>
            <w:tcW w:w="1891"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年平均</w:t>
            </w:r>
          </w:p>
        </w:tc>
        <w:tc>
          <w:tcPr>
            <w:tcW w:w="3537"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950" w:type="dxa"/>
            <w:vMerge w:val="continue"/>
            <w:vAlign w:val="center"/>
          </w:tcPr>
          <w:p>
            <w:pPr>
              <w:jc w:val="center"/>
              <w:rPr>
                <w:rFonts w:hint="default" w:ascii="Times New Roman" w:hAnsi="Times New Roman" w:cs="Times New Roman"/>
                <w:color w:val="auto"/>
                <w:sz w:val="21"/>
                <w:szCs w:val="21"/>
              </w:rPr>
            </w:pPr>
          </w:p>
        </w:tc>
        <w:tc>
          <w:tcPr>
            <w:tcW w:w="1891"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24小时平均</w:t>
            </w:r>
          </w:p>
        </w:tc>
        <w:tc>
          <w:tcPr>
            <w:tcW w:w="3537"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950" w:type="dxa"/>
            <w:vMerge w:val="continue"/>
            <w:vAlign w:val="center"/>
          </w:tcPr>
          <w:p>
            <w:pPr>
              <w:jc w:val="center"/>
              <w:rPr>
                <w:rFonts w:hint="default" w:ascii="Times New Roman" w:hAnsi="Times New Roman" w:cs="Times New Roman"/>
                <w:color w:val="auto"/>
                <w:sz w:val="21"/>
                <w:szCs w:val="21"/>
              </w:rPr>
            </w:pPr>
          </w:p>
        </w:tc>
        <w:tc>
          <w:tcPr>
            <w:tcW w:w="1891"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1小时平均</w:t>
            </w:r>
          </w:p>
        </w:tc>
        <w:tc>
          <w:tcPr>
            <w:tcW w:w="3537"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950" w:type="dxa"/>
            <w:vMerge w:val="restart"/>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一氧化碳（CO）</w:t>
            </w:r>
          </w:p>
        </w:tc>
        <w:tc>
          <w:tcPr>
            <w:tcW w:w="1891"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24小时平均</w:t>
            </w:r>
          </w:p>
        </w:tc>
        <w:tc>
          <w:tcPr>
            <w:tcW w:w="3537"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950" w:type="dxa"/>
            <w:vMerge w:val="continue"/>
            <w:vAlign w:val="center"/>
          </w:tcPr>
          <w:p>
            <w:pPr>
              <w:jc w:val="center"/>
              <w:rPr>
                <w:rFonts w:hint="default" w:ascii="Times New Roman" w:hAnsi="Times New Roman" w:cs="Times New Roman"/>
                <w:color w:val="auto"/>
                <w:sz w:val="21"/>
                <w:szCs w:val="21"/>
              </w:rPr>
            </w:pPr>
          </w:p>
        </w:tc>
        <w:tc>
          <w:tcPr>
            <w:tcW w:w="1891"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1小时平均</w:t>
            </w:r>
          </w:p>
        </w:tc>
        <w:tc>
          <w:tcPr>
            <w:tcW w:w="3537"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950" w:type="dxa"/>
            <w:vMerge w:val="restart"/>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臭氧（O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w:t>
            </w:r>
          </w:p>
        </w:tc>
        <w:tc>
          <w:tcPr>
            <w:tcW w:w="1891"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日最大8小时平均</w:t>
            </w:r>
          </w:p>
        </w:tc>
        <w:tc>
          <w:tcPr>
            <w:tcW w:w="3537"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950" w:type="dxa"/>
            <w:vMerge w:val="continue"/>
            <w:vAlign w:val="center"/>
          </w:tcPr>
          <w:p>
            <w:pPr>
              <w:jc w:val="center"/>
              <w:rPr>
                <w:rFonts w:hint="default" w:ascii="Times New Roman" w:hAnsi="Times New Roman" w:cs="Times New Roman"/>
                <w:color w:val="auto"/>
                <w:sz w:val="21"/>
                <w:szCs w:val="21"/>
              </w:rPr>
            </w:pPr>
          </w:p>
        </w:tc>
        <w:tc>
          <w:tcPr>
            <w:tcW w:w="1891"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1小时值</w:t>
            </w:r>
          </w:p>
        </w:tc>
        <w:tc>
          <w:tcPr>
            <w:tcW w:w="3537"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950" w:type="dxa"/>
            <w:vMerge w:val="restart"/>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颗粒物（粒径小于等于10um）</w:t>
            </w:r>
          </w:p>
        </w:tc>
        <w:tc>
          <w:tcPr>
            <w:tcW w:w="1891"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年平均</w:t>
            </w:r>
          </w:p>
        </w:tc>
        <w:tc>
          <w:tcPr>
            <w:tcW w:w="3537"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950" w:type="dxa"/>
            <w:vMerge w:val="continue"/>
            <w:vAlign w:val="center"/>
          </w:tcPr>
          <w:p>
            <w:pPr>
              <w:jc w:val="center"/>
              <w:rPr>
                <w:rFonts w:hint="default" w:ascii="Times New Roman" w:hAnsi="Times New Roman" w:cs="Times New Roman"/>
                <w:color w:val="auto"/>
                <w:sz w:val="21"/>
                <w:szCs w:val="21"/>
              </w:rPr>
            </w:pPr>
          </w:p>
        </w:tc>
        <w:tc>
          <w:tcPr>
            <w:tcW w:w="1891"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24小时平均</w:t>
            </w:r>
          </w:p>
        </w:tc>
        <w:tc>
          <w:tcPr>
            <w:tcW w:w="3537"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950" w:type="dxa"/>
            <w:vMerge w:val="restart"/>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颗粒物（粒径小于等于2.5um）</w:t>
            </w:r>
          </w:p>
        </w:tc>
        <w:tc>
          <w:tcPr>
            <w:tcW w:w="1891"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年平均</w:t>
            </w:r>
          </w:p>
        </w:tc>
        <w:tc>
          <w:tcPr>
            <w:tcW w:w="3537"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950" w:type="dxa"/>
            <w:vMerge w:val="continue"/>
            <w:vAlign w:val="center"/>
          </w:tcPr>
          <w:p>
            <w:pPr>
              <w:jc w:val="center"/>
              <w:rPr>
                <w:rFonts w:hint="default" w:ascii="Times New Roman" w:hAnsi="Times New Roman" w:cs="Times New Roman"/>
                <w:color w:val="auto"/>
                <w:sz w:val="21"/>
                <w:szCs w:val="21"/>
              </w:rPr>
            </w:pPr>
          </w:p>
        </w:tc>
        <w:tc>
          <w:tcPr>
            <w:tcW w:w="1891" w:type="dxa"/>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24小时平均</w:t>
            </w:r>
          </w:p>
        </w:tc>
        <w:tc>
          <w:tcPr>
            <w:tcW w:w="3537" w:type="dxa"/>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950" w:type="dxa"/>
            <w:vMerge w:val="restart"/>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总悬浮颗粒物（TSP）</w:t>
            </w:r>
          </w:p>
        </w:tc>
        <w:tc>
          <w:tcPr>
            <w:tcW w:w="1891"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年平均</w:t>
            </w:r>
          </w:p>
        </w:tc>
        <w:tc>
          <w:tcPr>
            <w:tcW w:w="3537"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950" w:type="dxa"/>
            <w:vMerge w:val="continue"/>
            <w:vAlign w:val="center"/>
          </w:tcPr>
          <w:p>
            <w:pPr>
              <w:jc w:val="center"/>
              <w:rPr>
                <w:rFonts w:hint="default" w:ascii="Times New Roman" w:hAnsi="Times New Roman" w:cs="Times New Roman"/>
                <w:color w:val="auto"/>
                <w:sz w:val="21"/>
                <w:szCs w:val="21"/>
              </w:rPr>
            </w:pPr>
          </w:p>
        </w:tc>
        <w:tc>
          <w:tcPr>
            <w:tcW w:w="1891"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24小时平均</w:t>
            </w:r>
          </w:p>
        </w:tc>
        <w:tc>
          <w:tcPr>
            <w:tcW w:w="3537"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950" w:type="dxa"/>
            <w:vMerge w:val="restart"/>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氟化物</w:t>
            </w:r>
          </w:p>
        </w:tc>
        <w:tc>
          <w:tcPr>
            <w:tcW w:w="1891" w:type="dxa"/>
            <w:vAlign w:val="center"/>
          </w:tcPr>
          <w:p>
            <w:pPr>
              <w:pStyle w:val="167"/>
              <w:rPr>
                <w:rFonts w:hint="default" w:ascii="Times New Roman" w:hAnsi="Times New Roman" w:cs="Times New Roman"/>
                <w:color w:val="auto"/>
                <w:sz w:val="21"/>
                <w:szCs w:val="21"/>
              </w:rPr>
            </w:pPr>
            <w:r>
              <w:rPr>
                <w:rFonts w:hint="default" w:ascii="Times New Roman" w:hAnsi="Times New Roman" w:cs="Times New Roman"/>
                <w:color w:val="auto"/>
              </w:rPr>
              <w:t>24小时平均</w:t>
            </w:r>
          </w:p>
        </w:tc>
        <w:tc>
          <w:tcPr>
            <w:tcW w:w="3537" w:type="dxa"/>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950" w:type="dxa"/>
            <w:vMerge w:val="continue"/>
            <w:vAlign w:val="center"/>
          </w:tcPr>
          <w:p>
            <w:pPr>
              <w:jc w:val="center"/>
              <w:rPr>
                <w:rFonts w:hint="default" w:ascii="Times New Roman" w:hAnsi="Times New Roman" w:cs="Times New Roman"/>
                <w:color w:val="auto"/>
                <w:sz w:val="21"/>
                <w:szCs w:val="21"/>
                <w:lang w:eastAsia="zh-CN"/>
              </w:rPr>
            </w:pPr>
          </w:p>
        </w:tc>
        <w:tc>
          <w:tcPr>
            <w:tcW w:w="1891" w:type="dxa"/>
            <w:vAlign w:val="center"/>
          </w:tcPr>
          <w:p>
            <w:pPr>
              <w:pStyle w:val="167"/>
              <w:rPr>
                <w:rFonts w:hint="default" w:ascii="Times New Roman" w:hAnsi="Times New Roman" w:cs="Times New Roman"/>
                <w:color w:val="auto"/>
                <w:sz w:val="21"/>
                <w:szCs w:val="21"/>
              </w:rPr>
            </w:pPr>
            <w:r>
              <w:rPr>
                <w:rFonts w:hint="default" w:ascii="Times New Roman" w:hAnsi="Times New Roman" w:cs="Times New Roman"/>
                <w:color w:val="auto"/>
              </w:rPr>
              <w:t>1小时平均</w:t>
            </w:r>
          </w:p>
        </w:tc>
        <w:tc>
          <w:tcPr>
            <w:tcW w:w="3537" w:type="dxa"/>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20</w:t>
            </w:r>
          </w:p>
        </w:tc>
      </w:tr>
    </w:tbl>
    <w:p>
      <w:pPr>
        <w:pStyle w:val="133"/>
        <w:widowControl w:val="0"/>
        <w:numPr>
          <w:ilvl w:val="0"/>
          <w:numId w:val="0"/>
        </w:numPr>
        <w:spacing w:beforeLines="50" w:line="360" w:lineRule="auto"/>
        <w:jc w:val="center"/>
        <w:rPr>
          <w:rFonts w:hint="default" w:ascii="Times New Roman" w:hAnsi="Times New Roman" w:cs="Times New Roman"/>
          <w:b/>
          <w:bCs/>
          <w:color w:val="auto"/>
        </w:rPr>
      </w:pPr>
    </w:p>
    <w:p>
      <w:pPr>
        <w:pStyle w:val="133"/>
        <w:numPr>
          <w:ilvl w:val="1"/>
          <w:numId w:val="6"/>
        </w:numPr>
        <w:spacing w:beforeLines="50" w:line="360" w:lineRule="auto"/>
        <w:ind w:left="0" w:firstLine="0" w:firstLineChars="0"/>
        <w:jc w:val="center"/>
        <w:rPr>
          <w:rFonts w:hint="default" w:ascii="Times New Roman" w:hAnsi="Times New Roman" w:cs="Times New Roman"/>
          <w:b/>
          <w:bCs/>
          <w:color w:val="auto"/>
        </w:rPr>
      </w:pPr>
      <w:r>
        <w:rPr>
          <w:rFonts w:hint="default" w:ascii="Times New Roman" w:hAnsi="Times New Roman" w:eastAsia="宋体" w:cs="Times New Roman"/>
          <w:b/>
          <w:bCs w:val="0"/>
          <w:color w:val="auto"/>
          <w:lang w:val="en-US" w:eastAsia="zh-CN"/>
        </w:rPr>
        <w:t>大气污染物综合排放标准详解</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48"/>
        <w:gridCol w:w="1402"/>
        <w:gridCol w:w="1502"/>
        <w:gridCol w:w="1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48"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污染物名称</w:t>
            </w:r>
          </w:p>
        </w:tc>
        <w:tc>
          <w:tcPr>
            <w:tcW w:w="1402"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单位</w:t>
            </w:r>
          </w:p>
        </w:tc>
        <w:tc>
          <w:tcPr>
            <w:tcW w:w="1502"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标准值</w:t>
            </w:r>
          </w:p>
        </w:tc>
        <w:tc>
          <w:tcPr>
            <w:tcW w:w="1748"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48" w:type="dxa"/>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非甲烷总烃</w:t>
            </w:r>
          </w:p>
        </w:tc>
        <w:tc>
          <w:tcPr>
            <w:tcW w:w="1402"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m</w:t>
            </w:r>
            <w:r>
              <w:rPr>
                <w:rFonts w:hint="default" w:ascii="Times New Roman" w:hAnsi="Times New Roman" w:cs="Times New Roman"/>
                <w:color w:val="auto"/>
                <w:sz w:val="21"/>
                <w:szCs w:val="21"/>
              </w:rPr>
              <w:t>g/m</w:t>
            </w:r>
            <w:r>
              <w:rPr>
                <w:rFonts w:hint="default" w:ascii="Times New Roman" w:hAnsi="Times New Roman" w:cs="Times New Roman"/>
                <w:color w:val="auto"/>
                <w:sz w:val="21"/>
                <w:szCs w:val="21"/>
                <w:vertAlign w:val="superscript"/>
              </w:rPr>
              <w:t>3</w:t>
            </w:r>
          </w:p>
        </w:tc>
        <w:tc>
          <w:tcPr>
            <w:tcW w:w="1502" w:type="dxa"/>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2.0</w:t>
            </w:r>
          </w:p>
        </w:tc>
        <w:tc>
          <w:tcPr>
            <w:tcW w:w="1748"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rPr>
              <w:t>小时均值</w:t>
            </w:r>
          </w:p>
        </w:tc>
      </w:tr>
    </w:tbl>
    <w:p>
      <w:pPr>
        <w:pStyle w:val="133"/>
        <w:numPr>
          <w:ilvl w:val="1"/>
          <w:numId w:val="6"/>
        </w:numPr>
        <w:spacing w:beforeLines="50" w:line="360" w:lineRule="auto"/>
        <w:ind w:left="0" w:firstLine="0" w:firstLineChars="0"/>
        <w:jc w:val="center"/>
        <w:rPr>
          <w:rFonts w:hint="default" w:ascii="Times New Roman" w:hAnsi="Times New Roman" w:cs="Times New Roman"/>
          <w:b/>
          <w:bCs/>
          <w:color w:val="auto"/>
        </w:rPr>
      </w:pPr>
      <w:r>
        <w:rPr>
          <w:rFonts w:hint="default" w:ascii="Times New Roman" w:hAnsi="Times New Roman" w:cs="Times New Roman"/>
          <w:b/>
          <w:bCs/>
          <w:color w:val="auto"/>
        </w:rPr>
        <w:t>《环境影响评价技术导则大气环境》（HJ2.2-2018）附录表D.1</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48"/>
        <w:gridCol w:w="1402"/>
        <w:gridCol w:w="1502"/>
        <w:gridCol w:w="1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748"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污染物名称</w:t>
            </w:r>
          </w:p>
        </w:tc>
        <w:tc>
          <w:tcPr>
            <w:tcW w:w="1402"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单位</w:t>
            </w:r>
          </w:p>
        </w:tc>
        <w:tc>
          <w:tcPr>
            <w:tcW w:w="1502"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标准值</w:t>
            </w:r>
          </w:p>
        </w:tc>
        <w:tc>
          <w:tcPr>
            <w:tcW w:w="1748"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48" w:type="dxa"/>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氨</w:t>
            </w:r>
          </w:p>
        </w:tc>
        <w:tc>
          <w:tcPr>
            <w:tcW w:w="1402"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ug/m</w:t>
            </w:r>
            <w:r>
              <w:rPr>
                <w:rFonts w:hint="default" w:ascii="Times New Roman" w:hAnsi="Times New Roman" w:cs="Times New Roman"/>
                <w:color w:val="auto"/>
                <w:sz w:val="21"/>
                <w:szCs w:val="21"/>
                <w:vertAlign w:val="superscript"/>
              </w:rPr>
              <w:t>3</w:t>
            </w:r>
          </w:p>
        </w:tc>
        <w:tc>
          <w:tcPr>
            <w:tcW w:w="1502" w:type="dxa"/>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200</w:t>
            </w:r>
          </w:p>
        </w:tc>
        <w:tc>
          <w:tcPr>
            <w:tcW w:w="1748"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rPr>
              <w:t>小时均值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2748" w:type="dxa"/>
            <w:vAlign w:val="center"/>
          </w:tcPr>
          <w:p>
            <w:pPr>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硫化氢</w:t>
            </w:r>
          </w:p>
        </w:tc>
        <w:tc>
          <w:tcPr>
            <w:tcW w:w="1402"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ug/m</w:t>
            </w:r>
            <w:r>
              <w:rPr>
                <w:rFonts w:hint="default" w:ascii="Times New Roman" w:hAnsi="Times New Roman" w:cs="Times New Roman"/>
                <w:color w:val="auto"/>
                <w:sz w:val="21"/>
                <w:szCs w:val="21"/>
                <w:vertAlign w:val="superscript"/>
              </w:rPr>
              <w:t>3</w:t>
            </w:r>
          </w:p>
        </w:tc>
        <w:tc>
          <w:tcPr>
            <w:tcW w:w="1502" w:type="dxa"/>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10</w:t>
            </w:r>
          </w:p>
        </w:tc>
        <w:tc>
          <w:tcPr>
            <w:tcW w:w="1748"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rPr>
              <w:t>小时均值</w:t>
            </w:r>
          </w:p>
        </w:tc>
      </w:tr>
    </w:tbl>
    <w:p>
      <w:pPr>
        <w:spacing w:beforeLines="50" w:line="360" w:lineRule="auto"/>
        <w:ind w:firstLine="482" w:firstLineChars="200"/>
        <w:rPr>
          <w:rFonts w:hint="default" w:ascii="Times New Roman" w:hAnsi="Times New Roman" w:cs="Times New Roman"/>
          <w:b/>
          <w:bCs/>
          <w:color w:val="auto"/>
        </w:rPr>
      </w:pPr>
      <w:r>
        <w:rPr>
          <w:rFonts w:hint="default" w:ascii="Times New Roman" w:hAnsi="Times New Roman" w:cs="Times New Roman"/>
          <w:b/>
          <w:bCs/>
          <w:color w:val="auto"/>
          <w:lang w:val="en-US" w:eastAsia="zh-CN"/>
        </w:rPr>
        <w:t>2、</w:t>
      </w:r>
      <w:r>
        <w:rPr>
          <w:rFonts w:hint="default" w:ascii="Times New Roman" w:hAnsi="Times New Roman" w:cs="Times New Roman"/>
          <w:b/>
          <w:bCs/>
          <w:color w:val="auto"/>
        </w:rPr>
        <w:t>地表水环境质量标准</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评价区主要涉及的地表水为青龙河和龙川江，根据《云南省水功能区划》（2014修订），龙川江规划目标2020年、2030年均为主要为景观、农业用水、工业用水，规划水质目标为《地表水环境质量标准》（GB3838-2002）</w:t>
      </w:r>
      <w:r>
        <w:rPr>
          <w:rFonts w:hint="default" w:ascii="Times New Roman" w:hAnsi="Times New Roman" w:cs="Times New Roman"/>
          <w:color w:val="auto"/>
          <w:lang w:eastAsia="zh-CN"/>
        </w:rPr>
        <w:t>Ⅲ</w:t>
      </w:r>
      <w:r>
        <w:rPr>
          <w:rFonts w:hint="default" w:ascii="Times New Roman" w:hAnsi="Times New Roman" w:cs="Times New Roman"/>
          <w:color w:val="auto"/>
        </w:rPr>
        <w:t>类水质标准；青龙河为龙川江流域右岸的一级支流，参照龙川江执行《地表水环境质量标准》（GB3838-2002）</w:t>
      </w:r>
      <w:r>
        <w:rPr>
          <w:rFonts w:hint="default" w:ascii="Times New Roman" w:hAnsi="Times New Roman" w:cs="Times New Roman"/>
          <w:color w:val="auto"/>
          <w:lang w:eastAsia="zh-CN"/>
        </w:rPr>
        <w:t>Ⅲ</w:t>
      </w:r>
      <w:r>
        <w:rPr>
          <w:rFonts w:hint="default" w:ascii="Times New Roman" w:hAnsi="Times New Roman" w:cs="Times New Roman"/>
          <w:color w:val="auto"/>
        </w:rPr>
        <w:t>类水质标准，具体标准限值见</w:t>
      </w:r>
      <w:r>
        <w:rPr>
          <w:rFonts w:hint="default" w:ascii="Times New Roman" w:hAnsi="Times New Roman" w:cs="Times New Roman"/>
          <w:color w:val="auto"/>
          <w:lang w:eastAsia="zh-CN"/>
        </w:rPr>
        <w:t>下</w:t>
      </w:r>
      <w:r>
        <w:rPr>
          <w:rFonts w:hint="default" w:ascii="Times New Roman" w:hAnsi="Times New Roman" w:cs="Times New Roman"/>
          <w:color w:val="auto"/>
        </w:rPr>
        <w:t>表。</w:t>
      </w:r>
    </w:p>
    <w:p>
      <w:pPr>
        <w:pStyle w:val="133"/>
        <w:numPr>
          <w:ilvl w:val="1"/>
          <w:numId w:val="6"/>
        </w:numPr>
        <w:spacing w:line="360" w:lineRule="auto"/>
        <w:ind w:left="0" w:firstLine="0" w:firstLineChars="0"/>
        <w:jc w:val="center"/>
        <w:rPr>
          <w:rFonts w:hint="default" w:ascii="Times New Roman" w:hAnsi="Times New Roman" w:cs="Times New Roman"/>
          <w:b/>
          <w:bCs/>
          <w:color w:val="auto"/>
        </w:rPr>
      </w:pPr>
      <w:r>
        <w:rPr>
          <w:rFonts w:hint="default" w:ascii="Times New Roman" w:hAnsi="Times New Roman" w:cs="Times New Roman"/>
          <w:b/>
          <w:bCs/>
          <w:color w:val="auto"/>
        </w:rPr>
        <w:t>地表水环境质量标准（mg/L）</w:t>
      </w:r>
    </w:p>
    <w:tbl>
      <w:tblPr>
        <w:tblStyle w:val="44"/>
        <w:tblW w:w="81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7"/>
        <w:gridCol w:w="708"/>
        <w:gridCol w:w="709"/>
        <w:gridCol w:w="851"/>
        <w:gridCol w:w="850"/>
        <w:gridCol w:w="888"/>
        <w:gridCol w:w="716"/>
        <w:gridCol w:w="851"/>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57" w:type="dxa"/>
            <w:vAlign w:val="center"/>
          </w:tcPr>
          <w:p>
            <w:pPr>
              <w:adjustRightInd w:val="0"/>
              <w:snapToGrid w:val="0"/>
              <w:jc w:val="center"/>
              <w:rPr>
                <w:rFonts w:hint="default" w:ascii="Times New Roman" w:hAnsi="Times New Roman" w:cs="Times New Roman"/>
                <w:snapToGrid w:val="0"/>
                <w:color w:val="auto"/>
                <w:kern w:val="0"/>
                <w:sz w:val="21"/>
                <w:szCs w:val="21"/>
              </w:rPr>
            </w:pPr>
            <w:r>
              <w:rPr>
                <w:rFonts w:hint="default" w:ascii="Times New Roman" w:hAnsi="Times New Roman" w:cs="Times New Roman"/>
                <w:color w:val="auto"/>
                <w:sz w:val="21"/>
                <w:szCs w:val="21"/>
              </w:rPr>
              <w:br w:type="page"/>
            </w:r>
            <w:r>
              <w:rPr>
                <w:rFonts w:hint="default" w:ascii="Times New Roman" w:hAnsi="Times New Roman" w:cs="Times New Roman"/>
                <w:snapToGrid w:val="0"/>
                <w:color w:val="auto"/>
                <w:kern w:val="0"/>
                <w:sz w:val="21"/>
                <w:szCs w:val="21"/>
              </w:rPr>
              <w:t>项目</w:t>
            </w:r>
          </w:p>
        </w:tc>
        <w:tc>
          <w:tcPr>
            <w:tcW w:w="708" w:type="dxa"/>
            <w:vAlign w:val="center"/>
          </w:tcPr>
          <w:p>
            <w:pPr>
              <w:adjustRightInd w:val="0"/>
              <w:snapToGrid w:val="0"/>
              <w:jc w:val="center"/>
              <w:rPr>
                <w:rFonts w:hint="default" w:ascii="Times New Roman" w:hAnsi="Times New Roman" w:cs="Times New Roman"/>
                <w:snapToGrid w:val="0"/>
                <w:color w:val="auto"/>
                <w:kern w:val="0"/>
                <w:sz w:val="21"/>
                <w:szCs w:val="21"/>
              </w:rPr>
            </w:pPr>
            <w:r>
              <w:rPr>
                <w:rFonts w:hint="default" w:ascii="Times New Roman" w:hAnsi="Times New Roman" w:cs="Times New Roman"/>
                <w:snapToGrid w:val="0"/>
                <w:color w:val="auto"/>
                <w:kern w:val="0"/>
                <w:sz w:val="21"/>
                <w:szCs w:val="21"/>
              </w:rPr>
              <w:t>pH</w:t>
            </w:r>
          </w:p>
        </w:tc>
        <w:tc>
          <w:tcPr>
            <w:tcW w:w="709" w:type="dxa"/>
            <w:vAlign w:val="center"/>
          </w:tcPr>
          <w:p>
            <w:pPr>
              <w:adjustRightInd w:val="0"/>
              <w:snapToGrid w:val="0"/>
              <w:jc w:val="center"/>
              <w:rPr>
                <w:rFonts w:hint="default" w:ascii="Times New Roman" w:hAnsi="Times New Roman" w:cs="Times New Roman"/>
                <w:snapToGrid w:val="0"/>
                <w:color w:val="auto"/>
                <w:kern w:val="0"/>
                <w:sz w:val="21"/>
                <w:szCs w:val="21"/>
              </w:rPr>
            </w:pPr>
            <w:r>
              <w:rPr>
                <w:rFonts w:hint="default" w:ascii="Times New Roman" w:hAnsi="Times New Roman" w:cs="Times New Roman"/>
                <w:snapToGrid w:val="0"/>
                <w:color w:val="auto"/>
                <w:kern w:val="0"/>
                <w:sz w:val="21"/>
                <w:szCs w:val="21"/>
              </w:rPr>
              <w:t>COD</w:t>
            </w:r>
          </w:p>
        </w:tc>
        <w:tc>
          <w:tcPr>
            <w:tcW w:w="851" w:type="dxa"/>
            <w:vAlign w:val="center"/>
          </w:tcPr>
          <w:p>
            <w:pPr>
              <w:adjustRightInd w:val="0"/>
              <w:snapToGrid w:val="0"/>
              <w:jc w:val="center"/>
              <w:rPr>
                <w:rFonts w:hint="default" w:ascii="Times New Roman" w:hAnsi="Times New Roman" w:cs="Times New Roman"/>
                <w:snapToGrid w:val="0"/>
                <w:color w:val="auto"/>
                <w:kern w:val="0"/>
                <w:sz w:val="21"/>
                <w:szCs w:val="21"/>
              </w:rPr>
            </w:pPr>
            <w:r>
              <w:rPr>
                <w:rFonts w:hint="default" w:ascii="Times New Roman" w:hAnsi="Times New Roman" w:cs="Times New Roman"/>
                <w:snapToGrid w:val="0"/>
                <w:color w:val="auto"/>
                <w:kern w:val="0"/>
                <w:sz w:val="21"/>
                <w:szCs w:val="21"/>
              </w:rPr>
              <w:t>BOD</w:t>
            </w:r>
            <w:r>
              <w:rPr>
                <w:rFonts w:hint="default" w:ascii="Times New Roman" w:hAnsi="Times New Roman" w:cs="Times New Roman"/>
                <w:snapToGrid w:val="0"/>
                <w:color w:val="auto"/>
                <w:kern w:val="0"/>
                <w:sz w:val="21"/>
                <w:szCs w:val="21"/>
                <w:vertAlign w:val="subscript"/>
              </w:rPr>
              <w:t>5</w:t>
            </w:r>
          </w:p>
        </w:tc>
        <w:tc>
          <w:tcPr>
            <w:tcW w:w="850" w:type="dxa"/>
            <w:vAlign w:val="center"/>
          </w:tcPr>
          <w:p>
            <w:pPr>
              <w:adjustRightInd w:val="0"/>
              <w:snapToGrid w:val="0"/>
              <w:jc w:val="center"/>
              <w:rPr>
                <w:rFonts w:hint="default" w:ascii="Times New Roman" w:hAnsi="Times New Roman" w:cs="Times New Roman"/>
                <w:snapToGrid w:val="0"/>
                <w:color w:val="auto"/>
                <w:kern w:val="0"/>
                <w:sz w:val="21"/>
                <w:szCs w:val="21"/>
              </w:rPr>
            </w:pPr>
            <w:r>
              <w:rPr>
                <w:rFonts w:hint="default" w:ascii="Times New Roman" w:hAnsi="Times New Roman" w:cs="Times New Roman"/>
                <w:snapToGrid w:val="0"/>
                <w:color w:val="auto"/>
                <w:kern w:val="0"/>
                <w:sz w:val="21"/>
                <w:szCs w:val="21"/>
              </w:rPr>
              <w:t>总磷</w:t>
            </w:r>
          </w:p>
        </w:tc>
        <w:tc>
          <w:tcPr>
            <w:tcW w:w="888" w:type="dxa"/>
            <w:vAlign w:val="center"/>
          </w:tcPr>
          <w:p>
            <w:pPr>
              <w:adjustRightInd w:val="0"/>
              <w:snapToGrid w:val="0"/>
              <w:jc w:val="center"/>
              <w:rPr>
                <w:rFonts w:hint="default" w:ascii="Times New Roman" w:hAnsi="Times New Roman" w:cs="Times New Roman"/>
                <w:snapToGrid w:val="0"/>
                <w:color w:val="auto"/>
                <w:kern w:val="0"/>
                <w:sz w:val="21"/>
                <w:szCs w:val="21"/>
              </w:rPr>
            </w:pPr>
            <w:r>
              <w:rPr>
                <w:rFonts w:hint="default" w:ascii="Times New Roman" w:hAnsi="Times New Roman" w:cs="Times New Roman"/>
                <w:snapToGrid w:val="0"/>
                <w:color w:val="auto"/>
                <w:kern w:val="0"/>
                <w:sz w:val="21"/>
                <w:szCs w:val="21"/>
              </w:rPr>
              <w:t>石油类</w:t>
            </w:r>
          </w:p>
        </w:tc>
        <w:tc>
          <w:tcPr>
            <w:tcW w:w="716" w:type="dxa"/>
            <w:vAlign w:val="center"/>
          </w:tcPr>
          <w:p>
            <w:pPr>
              <w:adjustRightInd w:val="0"/>
              <w:snapToGrid w:val="0"/>
              <w:jc w:val="center"/>
              <w:rPr>
                <w:rFonts w:hint="default" w:ascii="Times New Roman" w:hAnsi="Times New Roman" w:cs="Times New Roman"/>
                <w:snapToGrid w:val="0"/>
                <w:color w:val="auto"/>
                <w:kern w:val="0"/>
                <w:sz w:val="21"/>
                <w:szCs w:val="21"/>
              </w:rPr>
            </w:pPr>
            <w:r>
              <w:rPr>
                <w:rFonts w:hint="default" w:ascii="Times New Roman" w:hAnsi="Times New Roman" w:cs="Times New Roman"/>
                <w:snapToGrid w:val="0"/>
                <w:color w:val="auto"/>
                <w:kern w:val="0"/>
                <w:sz w:val="21"/>
                <w:szCs w:val="21"/>
              </w:rPr>
              <w:t>氨氮</w:t>
            </w:r>
          </w:p>
        </w:tc>
        <w:tc>
          <w:tcPr>
            <w:tcW w:w="851" w:type="dxa"/>
            <w:vAlign w:val="center"/>
          </w:tcPr>
          <w:p>
            <w:pPr>
              <w:adjustRightInd w:val="0"/>
              <w:snapToGrid w:val="0"/>
              <w:jc w:val="center"/>
              <w:rPr>
                <w:rFonts w:hint="default" w:ascii="Times New Roman" w:hAnsi="Times New Roman" w:cs="Times New Roman"/>
                <w:snapToGrid w:val="0"/>
                <w:color w:val="auto"/>
                <w:kern w:val="0"/>
                <w:sz w:val="21"/>
                <w:szCs w:val="21"/>
              </w:rPr>
            </w:pPr>
            <w:r>
              <w:rPr>
                <w:rFonts w:hint="default" w:ascii="Times New Roman" w:hAnsi="Times New Roman" w:cs="Times New Roman"/>
                <w:snapToGrid w:val="0"/>
                <w:color w:val="auto"/>
                <w:kern w:val="0"/>
                <w:sz w:val="21"/>
                <w:szCs w:val="21"/>
              </w:rPr>
              <w:t>硫化物</w:t>
            </w:r>
          </w:p>
        </w:tc>
        <w:tc>
          <w:tcPr>
            <w:tcW w:w="1417" w:type="dxa"/>
            <w:vAlign w:val="center"/>
          </w:tcPr>
          <w:p>
            <w:pPr>
              <w:adjustRightInd w:val="0"/>
              <w:snapToGrid w:val="0"/>
              <w:jc w:val="center"/>
              <w:rPr>
                <w:rFonts w:hint="default" w:ascii="Times New Roman" w:hAnsi="Times New Roman" w:eastAsia="宋体" w:cs="Times New Roman"/>
                <w:snapToGrid w:val="0"/>
                <w:color w:val="auto"/>
                <w:kern w:val="0"/>
                <w:sz w:val="21"/>
                <w:szCs w:val="21"/>
                <w:lang w:eastAsia="zh-CN"/>
              </w:rPr>
            </w:pPr>
            <w:r>
              <w:rPr>
                <w:rFonts w:hint="default" w:ascii="Times New Roman" w:hAnsi="Times New Roman" w:cs="Times New Roman"/>
                <w:snapToGrid w:val="0"/>
                <w:color w:val="auto"/>
                <w:kern w:val="0"/>
                <w:sz w:val="21"/>
                <w:szCs w:val="21"/>
                <w:lang w:eastAsia="zh-CN"/>
              </w:rPr>
              <w:t>阴离子表面活性剂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57" w:type="dxa"/>
            <w:vAlign w:val="center"/>
          </w:tcPr>
          <w:p>
            <w:pPr>
              <w:adjustRightInd w:val="0"/>
              <w:snapToGrid w:val="0"/>
              <w:jc w:val="center"/>
              <w:rPr>
                <w:rFonts w:hint="default" w:ascii="Times New Roman" w:hAnsi="Times New Roman" w:cs="Times New Roman"/>
                <w:snapToGrid w:val="0"/>
                <w:color w:val="auto"/>
                <w:kern w:val="0"/>
                <w:sz w:val="21"/>
                <w:szCs w:val="21"/>
              </w:rPr>
            </w:pPr>
            <w:r>
              <w:rPr>
                <w:rFonts w:hint="default" w:ascii="Times New Roman" w:hAnsi="Times New Roman" w:cs="Times New Roman"/>
                <w:snapToGrid w:val="0"/>
                <w:color w:val="auto"/>
                <w:kern w:val="0"/>
                <w:sz w:val="21"/>
                <w:szCs w:val="21"/>
                <w:lang w:eastAsia="zh-CN"/>
              </w:rPr>
              <w:t>Ⅲ</w:t>
            </w:r>
            <w:r>
              <w:rPr>
                <w:rFonts w:hint="default" w:ascii="Times New Roman" w:hAnsi="Times New Roman" w:cs="Times New Roman"/>
                <w:snapToGrid w:val="0"/>
                <w:color w:val="auto"/>
                <w:kern w:val="0"/>
                <w:sz w:val="21"/>
                <w:szCs w:val="21"/>
              </w:rPr>
              <w:t>类标准</w:t>
            </w:r>
          </w:p>
        </w:tc>
        <w:tc>
          <w:tcPr>
            <w:tcW w:w="708" w:type="dxa"/>
            <w:vAlign w:val="center"/>
          </w:tcPr>
          <w:p>
            <w:pPr>
              <w:adjustRightInd w:val="0"/>
              <w:snapToGrid w:val="0"/>
              <w:jc w:val="center"/>
              <w:rPr>
                <w:rFonts w:hint="default" w:ascii="Times New Roman" w:hAnsi="Times New Roman" w:cs="Times New Roman"/>
                <w:snapToGrid w:val="0"/>
                <w:color w:val="auto"/>
                <w:kern w:val="0"/>
                <w:sz w:val="21"/>
                <w:szCs w:val="21"/>
              </w:rPr>
            </w:pPr>
            <w:r>
              <w:rPr>
                <w:rFonts w:hint="default" w:ascii="Times New Roman" w:hAnsi="Times New Roman" w:cs="Times New Roman"/>
                <w:snapToGrid w:val="0"/>
                <w:color w:val="auto"/>
                <w:kern w:val="0"/>
                <w:sz w:val="21"/>
                <w:szCs w:val="21"/>
              </w:rPr>
              <w:t>6~9</w:t>
            </w:r>
          </w:p>
        </w:tc>
        <w:tc>
          <w:tcPr>
            <w:tcW w:w="709" w:type="dxa"/>
            <w:vAlign w:val="center"/>
          </w:tcPr>
          <w:p>
            <w:pPr>
              <w:adjustRightInd w:val="0"/>
              <w:snapToGrid w:val="0"/>
              <w:jc w:val="center"/>
              <w:rPr>
                <w:rFonts w:hint="default" w:ascii="Times New Roman" w:hAnsi="Times New Roman" w:cs="Times New Roman"/>
                <w:snapToGrid w:val="0"/>
                <w:color w:val="auto"/>
                <w:kern w:val="0"/>
                <w:sz w:val="21"/>
                <w:szCs w:val="21"/>
              </w:rPr>
            </w:pPr>
            <w:r>
              <w:rPr>
                <w:rFonts w:hint="default" w:ascii="Times New Roman" w:hAnsi="Times New Roman" w:cs="Times New Roman"/>
                <w:bCs/>
                <w:color w:val="auto"/>
                <w:sz w:val="21"/>
                <w:szCs w:val="21"/>
              </w:rPr>
              <w:t>≤</w:t>
            </w: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0</w:t>
            </w:r>
          </w:p>
        </w:tc>
        <w:tc>
          <w:tcPr>
            <w:tcW w:w="851" w:type="dxa"/>
            <w:vAlign w:val="center"/>
          </w:tcPr>
          <w:p>
            <w:pPr>
              <w:adjustRightInd w:val="0"/>
              <w:snapToGrid w:val="0"/>
              <w:jc w:val="center"/>
              <w:rPr>
                <w:rFonts w:hint="default" w:ascii="Times New Roman" w:hAnsi="Times New Roman" w:eastAsia="宋体" w:cs="Times New Roman"/>
                <w:snapToGrid w:val="0"/>
                <w:color w:val="auto"/>
                <w:kern w:val="0"/>
                <w:sz w:val="21"/>
                <w:szCs w:val="21"/>
                <w:lang w:eastAsia="zh-CN"/>
              </w:rPr>
            </w:pPr>
            <w:r>
              <w:rPr>
                <w:rFonts w:hint="default" w:ascii="Times New Roman" w:hAnsi="Times New Roman" w:cs="Times New Roman"/>
                <w:snapToGrid w:val="0"/>
                <w:color w:val="auto"/>
                <w:kern w:val="0"/>
                <w:sz w:val="21"/>
                <w:szCs w:val="21"/>
              </w:rPr>
              <w:t>≤</w:t>
            </w:r>
            <w:r>
              <w:rPr>
                <w:rFonts w:hint="default" w:ascii="Times New Roman" w:hAnsi="Times New Roman" w:cs="Times New Roman"/>
                <w:snapToGrid w:val="0"/>
                <w:color w:val="auto"/>
                <w:kern w:val="0"/>
                <w:sz w:val="21"/>
                <w:szCs w:val="21"/>
                <w:lang w:val="en-US" w:eastAsia="zh-CN"/>
              </w:rPr>
              <w:t>4</w:t>
            </w:r>
          </w:p>
        </w:tc>
        <w:tc>
          <w:tcPr>
            <w:tcW w:w="850" w:type="dxa"/>
            <w:vAlign w:val="center"/>
          </w:tcPr>
          <w:p>
            <w:pPr>
              <w:adjustRightInd w:val="0"/>
              <w:snapToGrid w:val="0"/>
              <w:jc w:val="center"/>
              <w:rPr>
                <w:rFonts w:hint="default" w:ascii="Times New Roman" w:hAnsi="Times New Roman" w:eastAsia="宋体" w:cs="Times New Roman"/>
                <w:snapToGrid w:val="0"/>
                <w:color w:val="auto"/>
                <w:kern w:val="0"/>
                <w:sz w:val="21"/>
                <w:szCs w:val="21"/>
                <w:lang w:eastAsia="zh-CN"/>
              </w:rPr>
            </w:pPr>
            <w:r>
              <w:rPr>
                <w:rFonts w:hint="default" w:ascii="Times New Roman" w:hAnsi="Times New Roman" w:cs="Times New Roman"/>
                <w:snapToGrid w:val="0"/>
                <w:color w:val="auto"/>
                <w:kern w:val="0"/>
                <w:sz w:val="21"/>
                <w:szCs w:val="21"/>
              </w:rPr>
              <w:t>≤0.</w:t>
            </w:r>
            <w:r>
              <w:rPr>
                <w:rFonts w:hint="default" w:ascii="Times New Roman" w:hAnsi="Times New Roman" w:cs="Times New Roman"/>
                <w:snapToGrid w:val="0"/>
                <w:color w:val="auto"/>
                <w:kern w:val="0"/>
                <w:sz w:val="21"/>
                <w:szCs w:val="21"/>
                <w:lang w:val="en-US" w:eastAsia="zh-CN"/>
              </w:rPr>
              <w:t>2</w:t>
            </w:r>
          </w:p>
        </w:tc>
        <w:tc>
          <w:tcPr>
            <w:tcW w:w="888" w:type="dxa"/>
            <w:vAlign w:val="center"/>
          </w:tcPr>
          <w:p>
            <w:pPr>
              <w:adjustRightInd w:val="0"/>
              <w:snapToGrid w:val="0"/>
              <w:jc w:val="center"/>
              <w:rPr>
                <w:rFonts w:hint="default" w:ascii="Times New Roman" w:hAnsi="Times New Roman" w:cs="Times New Roman"/>
                <w:snapToGrid w:val="0"/>
                <w:color w:val="auto"/>
                <w:kern w:val="0"/>
                <w:sz w:val="21"/>
                <w:szCs w:val="21"/>
              </w:rPr>
            </w:pPr>
            <w:r>
              <w:rPr>
                <w:rFonts w:hint="default" w:ascii="Times New Roman" w:hAnsi="Times New Roman" w:cs="Times New Roman"/>
                <w:snapToGrid w:val="0"/>
                <w:color w:val="auto"/>
                <w:kern w:val="0"/>
                <w:sz w:val="21"/>
                <w:szCs w:val="21"/>
              </w:rPr>
              <w:t>≤0.</w:t>
            </w:r>
            <w:r>
              <w:rPr>
                <w:rFonts w:hint="default" w:ascii="Times New Roman" w:hAnsi="Times New Roman" w:cs="Times New Roman"/>
                <w:snapToGrid w:val="0"/>
                <w:color w:val="auto"/>
                <w:kern w:val="0"/>
                <w:sz w:val="21"/>
                <w:szCs w:val="21"/>
                <w:lang w:val="en-US" w:eastAsia="zh-CN"/>
              </w:rPr>
              <w:t>0</w:t>
            </w:r>
            <w:r>
              <w:rPr>
                <w:rFonts w:hint="default" w:ascii="Times New Roman" w:hAnsi="Times New Roman" w:cs="Times New Roman"/>
                <w:snapToGrid w:val="0"/>
                <w:color w:val="auto"/>
                <w:kern w:val="0"/>
                <w:sz w:val="21"/>
                <w:szCs w:val="21"/>
              </w:rPr>
              <w:t>5</w:t>
            </w:r>
          </w:p>
        </w:tc>
        <w:tc>
          <w:tcPr>
            <w:tcW w:w="716" w:type="dxa"/>
            <w:vAlign w:val="center"/>
          </w:tcPr>
          <w:p>
            <w:pPr>
              <w:adjustRightInd w:val="0"/>
              <w:snapToGrid w:val="0"/>
              <w:jc w:val="center"/>
              <w:rPr>
                <w:rFonts w:hint="default" w:ascii="Times New Roman" w:hAnsi="Times New Roman" w:eastAsia="宋体" w:cs="Times New Roman"/>
                <w:snapToGrid w:val="0"/>
                <w:color w:val="auto"/>
                <w:kern w:val="0"/>
                <w:sz w:val="21"/>
                <w:szCs w:val="21"/>
                <w:lang w:eastAsia="zh-CN"/>
              </w:rPr>
            </w:pPr>
            <w:r>
              <w:rPr>
                <w:rFonts w:hint="default" w:ascii="Times New Roman" w:hAnsi="Times New Roman" w:cs="Times New Roman"/>
                <w:snapToGrid w:val="0"/>
                <w:color w:val="auto"/>
                <w:kern w:val="0"/>
                <w:sz w:val="21"/>
                <w:szCs w:val="21"/>
              </w:rPr>
              <w:t>≤1.</w:t>
            </w:r>
            <w:r>
              <w:rPr>
                <w:rFonts w:hint="default" w:ascii="Times New Roman" w:hAnsi="Times New Roman" w:cs="Times New Roman"/>
                <w:snapToGrid w:val="0"/>
                <w:color w:val="auto"/>
                <w:kern w:val="0"/>
                <w:sz w:val="21"/>
                <w:szCs w:val="21"/>
                <w:lang w:val="en-US" w:eastAsia="zh-CN"/>
              </w:rPr>
              <w:t>0</w:t>
            </w:r>
          </w:p>
        </w:tc>
        <w:tc>
          <w:tcPr>
            <w:tcW w:w="851" w:type="dxa"/>
            <w:vAlign w:val="center"/>
          </w:tcPr>
          <w:p>
            <w:pPr>
              <w:adjustRightInd w:val="0"/>
              <w:snapToGrid w:val="0"/>
              <w:jc w:val="center"/>
              <w:rPr>
                <w:rFonts w:hint="default" w:ascii="Times New Roman" w:hAnsi="Times New Roman" w:eastAsia="宋体" w:cs="Times New Roman"/>
                <w:snapToGrid w:val="0"/>
                <w:color w:val="auto"/>
                <w:kern w:val="0"/>
                <w:sz w:val="21"/>
                <w:szCs w:val="21"/>
                <w:lang w:eastAsia="zh-CN"/>
              </w:rPr>
            </w:pPr>
            <w:r>
              <w:rPr>
                <w:rFonts w:hint="default" w:ascii="Times New Roman" w:hAnsi="Times New Roman" w:cs="Times New Roman"/>
                <w:snapToGrid w:val="0"/>
                <w:color w:val="auto"/>
                <w:kern w:val="0"/>
                <w:sz w:val="21"/>
                <w:szCs w:val="21"/>
              </w:rPr>
              <w:t>≤0.</w:t>
            </w:r>
            <w:r>
              <w:rPr>
                <w:rFonts w:hint="default" w:ascii="Times New Roman" w:hAnsi="Times New Roman" w:cs="Times New Roman"/>
                <w:snapToGrid w:val="0"/>
                <w:color w:val="auto"/>
                <w:kern w:val="0"/>
                <w:sz w:val="21"/>
                <w:szCs w:val="21"/>
                <w:lang w:val="en-US" w:eastAsia="zh-CN"/>
              </w:rPr>
              <w:t>2</w:t>
            </w:r>
          </w:p>
        </w:tc>
        <w:tc>
          <w:tcPr>
            <w:tcW w:w="1417" w:type="dxa"/>
            <w:vAlign w:val="center"/>
          </w:tcPr>
          <w:p>
            <w:pPr>
              <w:adjustRightInd w:val="0"/>
              <w:snapToGrid w:val="0"/>
              <w:jc w:val="center"/>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cs="Times New Roman"/>
                <w:snapToGrid w:val="0"/>
                <w:color w:val="auto"/>
                <w:kern w:val="0"/>
                <w:sz w:val="21"/>
                <w:szCs w:val="21"/>
              </w:rPr>
              <w:t>≤</w:t>
            </w:r>
            <w:r>
              <w:rPr>
                <w:rFonts w:hint="default" w:ascii="Times New Roman" w:hAnsi="Times New Roman" w:cs="Times New Roman"/>
                <w:snapToGrid w:val="0"/>
                <w:color w:val="auto"/>
                <w:kern w:val="0"/>
                <w:sz w:val="21"/>
                <w:szCs w:val="21"/>
                <w:lang w:val="en-US" w:eastAsia="zh-CN"/>
              </w:rPr>
              <w:t>0.2</w:t>
            </w:r>
          </w:p>
        </w:tc>
      </w:tr>
    </w:tbl>
    <w:p>
      <w:pPr>
        <w:adjustRightInd w:val="0"/>
        <w:spacing w:beforeLines="50" w:line="360" w:lineRule="auto"/>
        <w:ind w:firstLine="482" w:firstLineChars="200"/>
        <w:rPr>
          <w:rFonts w:hint="default" w:ascii="Times New Roman" w:hAnsi="Times New Roman" w:cs="Times New Roman"/>
          <w:b/>
          <w:bCs/>
          <w:color w:val="auto"/>
        </w:rPr>
      </w:pPr>
      <w:r>
        <w:rPr>
          <w:rFonts w:hint="default" w:ascii="Times New Roman" w:hAnsi="Times New Roman" w:cs="Times New Roman"/>
          <w:b/>
          <w:bCs/>
          <w:color w:val="auto"/>
        </w:rPr>
        <w:t>（3）地下水环境</w:t>
      </w:r>
    </w:p>
    <w:p>
      <w:pPr>
        <w:pStyle w:val="146"/>
        <w:spacing w:line="360" w:lineRule="auto"/>
        <w:rPr>
          <w:rFonts w:hint="default" w:ascii="Times New Roman" w:hAnsi="Times New Roman" w:cs="Times New Roman"/>
          <w:color w:val="auto"/>
        </w:rPr>
      </w:pPr>
      <w:r>
        <w:rPr>
          <w:rFonts w:hint="default" w:ascii="Times New Roman" w:hAnsi="Times New Roman" w:cs="Times New Roman"/>
          <w:color w:val="auto"/>
        </w:rPr>
        <w:t>项目位于楚雄工业园区富民庄甸工业区，拟建项目区域地下水补给主要依靠大气降水补给，区域内地下水执行《地下水质量标准》（GB/T 14848-2017）中Ⅲ类标准。</w:t>
      </w:r>
    </w:p>
    <w:p>
      <w:pPr>
        <w:pStyle w:val="133"/>
        <w:numPr>
          <w:ilvl w:val="1"/>
          <w:numId w:val="6"/>
        </w:numPr>
        <w:spacing w:line="360" w:lineRule="auto"/>
        <w:ind w:left="0" w:firstLine="0" w:firstLineChars="0"/>
        <w:jc w:val="center"/>
        <w:rPr>
          <w:rFonts w:hint="default" w:ascii="Times New Roman" w:hAnsi="Times New Roman" w:cs="Times New Roman"/>
          <w:b/>
          <w:bCs/>
          <w:color w:val="auto"/>
        </w:rPr>
      </w:pPr>
      <w:r>
        <w:rPr>
          <w:rFonts w:hint="default" w:ascii="Times New Roman" w:hAnsi="Times New Roman" w:cs="Times New Roman"/>
          <w:b/>
          <w:bCs/>
          <w:color w:val="auto"/>
        </w:rPr>
        <w:t>地下水质量标准单位：mg/L</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8"/>
        <w:gridCol w:w="4298"/>
        <w:gridCol w:w="30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8" w:type="dxa"/>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序号</w:t>
            </w:r>
          </w:p>
        </w:tc>
        <w:tc>
          <w:tcPr>
            <w:tcW w:w="4298" w:type="dxa"/>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项目</w:t>
            </w:r>
          </w:p>
        </w:tc>
        <w:tc>
          <w:tcPr>
            <w:tcW w:w="3004" w:type="dxa"/>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III类标准值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20" w:type="dxa"/>
            <w:gridSpan w:val="3"/>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感官性状及一般化学指标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8" w:type="dxa"/>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w:t>
            </w:r>
          </w:p>
        </w:tc>
        <w:tc>
          <w:tcPr>
            <w:tcW w:w="4298" w:type="dxa"/>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色度（铂钴色度单位）</w:t>
            </w:r>
          </w:p>
        </w:tc>
        <w:tc>
          <w:tcPr>
            <w:tcW w:w="3004" w:type="dxa"/>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8" w:type="dxa"/>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2</w:t>
            </w:r>
          </w:p>
        </w:tc>
        <w:tc>
          <w:tcPr>
            <w:tcW w:w="4298" w:type="dxa"/>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嗅和味</w:t>
            </w:r>
          </w:p>
        </w:tc>
        <w:tc>
          <w:tcPr>
            <w:tcW w:w="3004" w:type="dxa"/>
            <w:vAlign w:val="center"/>
          </w:tcPr>
          <w:p>
            <w:pPr>
              <w:widowControl/>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8" w:type="dxa"/>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3</w:t>
            </w:r>
          </w:p>
        </w:tc>
        <w:tc>
          <w:tcPr>
            <w:tcW w:w="4298" w:type="dxa"/>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浑浊度/NTU</w:t>
            </w:r>
          </w:p>
        </w:tc>
        <w:tc>
          <w:tcPr>
            <w:tcW w:w="3004" w:type="dxa"/>
            <w:vAlign w:val="center"/>
          </w:tcPr>
          <w:p>
            <w:pPr>
              <w:widowControl/>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8" w:type="dxa"/>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4</w:t>
            </w:r>
          </w:p>
        </w:tc>
        <w:tc>
          <w:tcPr>
            <w:tcW w:w="4298" w:type="dxa"/>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肉眼可见物</w:t>
            </w:r>
          </w:p>
        </w:tc>
        <w:tc>
          <w:tcPr>
            <w:tcW w:w="3004" w:type="dxa"/>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8" w:type="dxa"/>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5</w:t>
            </w:r>
          </w:p>
        </w:tc>
        <w:tc>
          <w:tcPr>
            <w:tcW w:w="4298" w:type="dxa"/>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pH</w:t>
            </w:r>
          </w:p>
        </w:tc>
        <w:tc>
          <w:tcPr>
            <w:tcW w:w="3004" w:type="dxa"/>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6.5≤pH≤8.5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8" w:type="dxa"/>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6</w:t>
            </w:r>
          </w:p>
        </w:tc>
        <w:tc>
          <w:tcPr>
            <w:tcW w:w="4298" w:type="dxa"/>
            <w:vAlign w:val="center"/>
          </w:tcPr>
          <w:p>
            <w:pPr>
              <w:jc w:val="center"/>
              <w:rPr>
                <w:rFonts w:hint="default" w:ascii="Times New Roman" w:hAnsi="Times New Roman" w:cs="Times New Roman"/>
                <w:color w:val="auto"/>
                <w:kern w:val="0"/>
                <w:sz w:val="21"/>
                <w:szCs w:val="21"/>
              </w:rPr>
            </w:pPr>
            <w:r>
              <w:rPr>
                <w:rFonts w:hint="default" w:ascii="Times New Roman" w:hAnsi="Times New Roman" w:cs="Times New Roman"/>
                <w:color w:val="auto"/>
                <w:sz w:val="21"/>
                <w:szCs w:val="21"/>
              </w:rPr>
              <w:t>总硬度/（以CaCO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计，mg/L）</w:t>
            </w:r>
          </w:p>
        </w:tc>
        <w:tc>
          <w:tcPr>
            <w:tcW w:w="3004" w:type="dxa"/>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8" w:type="dxa"/>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7</w:t>
            </w:r>
          </w:p>
        </w:tc>
        <w:tc>
          <w:tcPr>
            <w:tcW w:w="4298"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溶解性总固体/（mg/L）</w:t>
            </w:r>
          </w:p>
        </w:tc>
        <w:tc>
          <w:tcPr>
            <w:tcW w:w="3004" w:type="dxa"/>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8" w:type="dxa"/>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8</w:t>
            </w:r>
          </w:p>
        </w:tc>
        <w:tc>
          <w:tcPr>
            <w:tcW w:w="4298"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硫酸盐/（mg/L）</w:t>
            </w:r>
          </w:p>
        </w:tc>
        <w:tc>
          <w:tcPr>
            <w:tcW w:w="3004" w:type="dxa"/>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8" w:type="dxa"/>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9</w:t>
            </w:r>
          </w:p>
        </w:tc>
        <w:tc>
          <w:tcPr>
            <w:tcW w:w="4298"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氯化物/（mg/L）</w:t>
            </w:r>
          </w:p>
        </w:tc>
        <w:tc>
          <w:tcPr>
            <w:tcW w:w="3004" w:type="dxa"/>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8" w:type="dxa"/>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10</w:t>
            </w:r>
          </w:p>
        </w:tc>
        <w:tc>
          <w:tcPr>
            <w:tcW w:w="4298" w:type="dxa"/>
            <w:vAlign w:val="center"/>
          </w:tcPr>
          <w:p>
            <w:pPr>
              <w:widowControl/>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铁/</w:t>
            </w:r>
            <w:r>
              <w:rPr>
                <w:rFonts w:hint="default" w:ascii="Times New Roman" w:hAnsi="Times New Roman" w:cs="Times New Roman"/>
                <w:color w:val="auto"/>
                <w:sz w:val="21"/>
                <w:szCs w:val="21"/>
              </w:rPr>
              <w:t>（mg/L）</w:t>
            </w:r>
          </w:p>
        </w:tc>
        <w:tc>
          <w:tcPr>
            <w:tcW w:w="3004" w:type="dxa"/>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8" w:type="dxa"/>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11</w:t>
            </w:r>
          </w:p>
        </w:tc>
        <w:tc>
          <w:tcPr>
            <w:tcW w:w="4298" w:type="dxa"/>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锰/</w:t>
            </w:r>
            <w:r>
              <w:rPr>
                <w:rFonts w:hint="default" w:ascii="Times New Roman" w:hAnsi="Times New Roman" w:cs="Times New Roman"/>
                <w:color w:val="auto"/>
                <w:sz w:val="21"/>
                <w:szCs w:val="21"/>
              </w:rPr>
              <w:t>（mg/L）</w:t>
            </w:r>
          </w:p>
        </w:tc>
        <w:tc>
          <w:tcPr>
            <w:tcW w:w="3004" w:type="dxa"/>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8" w:type="dxa"/>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12</w:t>
            </w:r>
          </w:p>
        </w:tc>
        <w:tc>
          <w:tcPr>
            <w:tcW w:w="4298" w:type="dxa"/>
            <w:vAlign w:val="center"/>
          </w:tcPr>
          <w:p>
            <w:pPr>
              <w:widowControl/>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铜/</w:t>
            </w:r>
            <w:r>
              <w:rPr>
                <w:rFonts w:hint="default" w:ascii="Times New Roman" w:hAnsi="Times New Roman" w:cs="Times New Roman"/>
                <w:color w:val="auto"/>
                <w:sz w:val="21"/>
                <w:szCs w:val="21"/>
              </w:rPr>
              <w:t>（mg/L）</w:t>
            </w:r>
          </w:p>
        </w:tc>
        <w:tc>
          <w:tcPr>
            <w:tcW w:w="3004" w:type="dxa"/>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8" w:type="dxa"/>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13</w:t>
            </w:r>
          </w:p>
        </w:tc>
        <w:tc>
          <w:tcPr>
            <w:tcW w:w="4298" w:type="dxa"/>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锌/</w:t>
            </w:r>
            <w:r>
              <w:rPr>
                <w:rFonts w:hint="default" w:ascii="Times New Roman" w:hAnsi="Times New Roman" w:cs="Times New Roman"/>
                <w:color w:val="auto"/>
                <w:sz w:val="21"/>
                <w:szCs w:val="21"/>
              </w:rPr>
              <w:t>（mg/L）</w:t>
            </w:r>
          </w:p>
        </w:tc>
        <w:tc>
          <w:tcPr>
            <w:tcW w:w="3004" w:type="dxa"/>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8" w:type="dxa"/>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14</w:t>
            </w:r>
          </w:p>
        </w:tc>
        <w:tc>
          <w:tcPr>
            <w:tcW w:w="4298" w:type="dxa"/>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挥发性酚类（以苯酚计）/（mg/L）</w:t>
            </w:r>
          </w:p>
        </w:tc>
        <w:tc>
          <w:tcPr>
            <w:tcW w:w="3004" w:type="dxa"/>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8" w:type="dxa"/>
            <w:vAlign w:val="center"/>
          </w:tcPr>
          <w:p>
            <w:pPr>
              <w:jc w:val="center"/>
              <w:rPr>
                <w:rFonts w:hint="default" w:ascii="Times New Roman" w:hAnsi="Times New Roman" w:cs="Times New Roman"/>
                <w:color w:val="auto"/>
                <w:kern w:val="0"/>
                <w:sz w:val="21"/>
                <w:szCs w:val="21"/>
              </w:rPr>
            </w:pPr>
            <w:r>
              <w:rPr>
                <w:rFonts w:hint="default" w:ascii="Times New Roman" w:hAnsi="Times New Roman" w:cs="Times New Roman"/>
                <w:bCs/>
                <w:color w:val="auto"/>
                <w:sz w:val="21"/>
                <w:szCs w:val="21"/>
              </w:rPr>
              <w:t>15</w:t>
            </w:r>
          </w:p>
        </w:tc>
        <w:tc>
          <w:tcPr>
            <w:tcW w:w="4298" w:type="dxa"/>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阴离子表面活性剂/</w:t>
            </w:r>
            <w:r>
              <w:rPr>
                <w:rFonts w:hint="default" w:ascii="Times New Roman" w:hAnsi="Times New Roman" w:cs="Times New Roman"/>
                <w:color w:val="auto"/>
                <w:sz w:val="21"/>
                <w:szCs w:val="21"/>
              </w:rPr>
              <w:t>（mg/L）</w:t>
            </w:r>
          </w:p>
        </w:tc>
        <w:tc>
          <w:tcPr>
            <w:tcW w:w="3004" w:type="dxa"/>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8" w:type="dxa"/>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16</w:t>
            </w:r>
          </w:p>
        </w:tc>
        <w:tc>
          <w:tcPr>
            <w:tcW w:w="4298" w:type="dxa"/>
            <w:vAlign w:val="center"/>
          </w:tcPr>
          <w:p>
            <w:pPr>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耗氧量（COD</w:t>
            </w:r>
            <w:r>
              <w:rPr>
                <w:rFonts w:hint="default" w:ascii="Times New Roman" w:hAnsi="Times New Roman" w:cs="Times New Roman"/>
                <w:color w:val="auto"/>
                <w:kern w:val="0"/>
                <w:sz w:val="21"/>
                <w:szCs w:val="21"/>
                <w:vertAlign w:val="subscript"/>
              </w:rPr>
              <w:t>Mn</w:t>
            </w:r>
            <w:r>
              <w:rPr>
                <w:rFonts w:hint="default" w:ascii="Times New Roman" w:hAnsi="Times New Roman" w:cs="Times New Roman"/>
                <w:color w:val="auto"/>
                <w:kern w:val="0"/>
                <w:sz w:val="21"/>
                <w:szCs w:val="21"/>
              </w:rPr>
              <w:t>法，以O</w:t>
            </w:r>
            <w:r>
              <w:rPr>
                <w:rFonts w:hint="default" w:ascii="Times New Roman" w:hAnsi="Times New Roman" w:cs="Times New Roman"/>
                <w:color w:val="auto"/>
                <w:kern w:val="0"/>
                <w:sz w:val="21"/>
                <w:szCs w:val="21"/>
                <w:vertAlign w:val="subscript"/>
              </w:rPr>
              <w:t>2</w:t>
            </w:r>
            <w:r>
              <w:rPr>
                <w:rFonts w:hint="default" w:ascii="Times New Roman" w:hAnsi="Times New Roman" w:cs="Times New Roman"/>
                <w:color w:val="auto"/>
                <w:kern w:val="0"/>
                <w:sz w:val="21"/>
                <w:szCs w:val="21"/>
              </w:rPr>
              <w:t>计）/</w:t>
            </w:r>
            <w:r>
              <w:rPr>
                <w:rFonts w:hint="default" w:ascii="Times New Roman" w:hAnsi="Times New Roman" w:cs="Times New Roman"/>
                <w:color w:val="auto"/>
                <w:sz w:val="21"/>
                <w:szCs w:val="21"/>
              </w:rPr>
              <w:t>（mg/L）</w:t>
            </w:r>
          </w:p>
        </w:tc>
        <w:tc>
          <w:tcPr>
            <w:tcW w:w="3004" w:type="dxa"/>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8" w:type="dxa"/>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17</w:t>
            </w:r>
          </w:p>
        </w:tc>
        <w:tc>
          <w:tcPr>
            <w:tcW w:w="4298" w:type="dxa"/>
            <w:vAlign w:val="center"/>
          </w:tcPr>
          <w:p>
            <w:pPr>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氨氮（以N计）/</w:t>
            </w:r>
            <w:r>
              <w:rPr>
                <w:rFonts w:hint="default" w:ascii="Times New Roman" w:hAnsi="Times New Roman" w:cs="Times New Roman"/>
                <w:color w:val="auto"/>
                <w:sz w:val="21"/>
                <w:szCs w:val="21"/>
              </w:rPr>
              <w:t>（mg/L）</w:t>
            </w:r>
          </w:p>
        </w:tc>
        <w:tc>
          <w:tcPr>
            <w:tcW w:w="3004" w:type="dxa"/>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8" w:type="dxa"/>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18</w:t>
            </w:r>
          </w:p>
        </w:tc>
        <w:tc>
          <w:tcPr>
            <w:tcW w:w="4298" w:type="dxa"/>
            <w:vAlign w:val="center"/>
          </w:tcPr>
          <w:p>
            <w:pPr>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硫化物/</w:t>
            </w:r>
            <w:r>
              <w:rPr>
                <w:rFonts w:hint="default" w:ascii="Times New Roman" w:hAnsi="Times New Roman" w:cs="Times New Roman"/>
                <w:color w:val="auto"/>
                <w:sz w:val="21"/>
                <w:szCs w:val="21"/>
              </w:rPr>
              <w:t>（mg/L）</w:t>
            </w:r>
          </w:p>
        </w:tc>
        <w:tc>
          <w:tcPr>
            <w:tcW w:w="3004" w:type="dxa"/>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8" w:type="dxa"/>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19</w:t>
            </w:r>
          </w:p>
        </w:tc>
        <w:tc>
          <w:tcPr>
            <w:tcW w:w="4298" w:type="dxa"/>
            <w:vAlign w:val="center"/>
          </w:tcPr>
          <w:p>
            <w:pPr>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钠/</w:t>
            </w:r>
            <w:r>
              <w:rPr>
                <w:rFonts w:hint="default" w:ascii="Times New Roman" w:hAnsi="Times New Roman" w:cs="Times New Roman"/>
                <w:color w:val="auto"/>
                <w:sz w:val="21"/>
                <w:szCs w:val="21"/>
              </w:rPr>
              <w:t>（mg/L）</w:t>
            </w:r>
          </w:p>
        </w:tc>
        <w:tc>
          <w:tcPr>
            <w:tcW w:w="3004" w:type="dxa"/>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20" w:type="dxa"/>
            <w:gridSpan w:val="3"/>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b/>
                <w:bCs/>
                <w:color w:val="auto"/>
                <w:kern w:val="0"/>
                <w:sz w:val="21"/>
                <w:szCs w:val="21"/>
              </w:rPr>
              <w:t>微生物指标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8" w:type="dxa"/>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20</w:t>
            </w:r>
          </w:p>
        </w:tc>
        <w:tc>
          <w:tcPr>
            <w:tcW w:w="4298"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总大肠菌群/（MPN/100mL或CFN/100mL）</w:t>
            </w:r>
          </w:p>
        </w:tc>
        <w:tc>
          <w:tcPr>
            <w:tcW w:w="3004" w:type="dxa"/>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8" w:type="dxa"/>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21</w:t>
            </w:r>
          </w:p>
        </w:tc>
        <w:tc>
          <w:tcPr>
            <w:tcW w:w="4298"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菌落总数/（CFN/mL）</w:t>
            </w:r>
          </w:p>
        </w:tc>
        <w:tc>
          <w:tcPr>
            <w:tcW w:w="3004" w:type="dxa"/>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20" w:type="dxa"/>
            <w:gridSpan w:val="3"/>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b/>
                <w:bCs/>
                <w:color w:val="auto"/>
                <w:kern w:val="0"/>
                <w:sz w:val="21"/>
                <w:szCs w:val="21"/>
              </w:rPr>
              <w:t>毒理学指标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8" w:type="dxa"/>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22</w:t>
            </w:r>
          </w:p>
        </w:tc>
        <w:tc>
          <w:tcPr>
            <w:tcW w:w="4298"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亚</w:t>
            </w:r>
            <w:r>
              <w:rPr>
                <w:rFonts w:hint="default" w:ascii="Times New Roman" w:hAnsi="Times New Roman" w:cs="Times New Roman"/>
                <w:color w:val="auto"/>
                <w:sz w:val="21"/>
                <w:szCs w:val="21"/>
                <w:lang w:eastAsia="zh-CN"/>
              </w:rPr>
              <w:t>盐酸</w:t>
            </w:r>
            <w:r>
              <w:rPr>
                <w:rFonts w:hint="default" w:ascii="Times New Roman" w:hAnsi="Times New Roman" w:cs="Times New Roman"/>
                <w:color w:val="auto"/>
                <w:sz w:val="21"/>
                <w:szCs w:val="21"/>
              </w:rPr>
              <w:t>盐（以N计，mg/L）</w:t>
            </w:r>
          </w:p>
        </w:tc>
        <w:tc>
          <w:tcPr>
            <w:tcW w:w="3004" w:type="dxa"/>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8" w:type="dxa"/>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23</w:t>
            </w:r>
          </w:p>
        </w:tc>
        <w:tc>
          <w:tcPr>
            <w:tcW w:w="4298"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盐酸</w:t>
            </w:r>
            <w:r>
              <w:rPr>
                <w:rFonts w:hint="default" w:ascii="Times New Roman" w:hAnsi="Times New Roman" w:cs="Times New Roman"/>
                <w:color w:val="auto"/>
                <w:sz w:val="21"/>
                <w:szCs w:val="21"/>
              </w:rPr>
              <w:t>盐（以N计，mg/L）</w:t>
            </w:r>
          </w:p>
        </w:tc>
        <w:tc>
          <w:tcPr>
            <w:tcW w:w="3004" w:type="dxa"/>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8" w:type="dxa"/>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24</w:t>
            </w:r>
          </w:p>
        </w:tc>
        <w:tc>
          <w:tcPr>
            <w:tcW w:w="4298"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氰化物（mg/L）</w:t>
            </w:r>
          </w:p>
        </w:tc>
        <w:tc>
          <w:tcPr>
            <w:tcW w:w="3004" w:type="dxa"/>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8" w:type="dxa"/>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25</w:t>
            </w:r>
          </w:p>
        </w:tc>
        <w:tc>
          <w:tcPr>
            <w:tcW w:w="4298"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氟化物（mg/L）</w:t>
            </w:r>
          </w:p>
        </w:tc>
        <w:tc>
          <w:tcPr>
            <w:tcW w:w="3004" w:type="dxa"/>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8" w:type="dxa"/>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26</w:t>
            </w:r>
          </w:p>
        </w:tc>
        <w:tc>
          <w:tcPr>
            <w:tcW w:w="4298"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汞/（mg/L）</w:t>
            </w:r>
          </w:p>
        </w:tc>
        <w:tc>
          <w:tcPr>
            <w:tcW w:w="3004" w:type="dxa"/>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8" w:type="dxa"/>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27</w:t>
            </w:r>
          </w:p>
        </w:tc>
        <w:tc>
          <w:tcPr>
            <w:tcW w:w="4298"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砷/（mg/L）</w:t>
            </w:r>
          </w:p>
        </w:tc>
        <w:tc>
          <w:tcPr>
            <w:tcW w:w="3004" w:type="dxa"/>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8" w:type="dxa"/>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28</w:t>
            </w:r>
          </w:p>
        </w:tc>
        <w:tc>
          <w:tcPr>
            <w:tcW w:w="4298"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硒/（mg/L）</w:t>
            </w:r>
          </w:p>
        </w:tc>
        <w:tc>
          <w:tcPr>
            <w:tcW w:w="3004" w:type="dxa"/>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8" w:type="dxa"/>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29</w:t>
            </w:r>
          </w:p>
        </w:tc>
        <w:tc>
          <w:tcPr>
            <w:tcW w:w="4298"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镉/（mg/L）</w:t>
            </w:r>
          </w:p>
        </w:tc>
        <w:tc>
          <w:tcPr>
            <w:tcW w:w="3004" w:type="dxa"/>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8" w:type="dxa"/>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30</w:t>
            </w:r>
          </w:p>
        </w:tc>
        <w:tc>
          <w:tcPr>
            <w:tcW w:w="4298"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铬（六价）/（mg/L）</w:t>
            </w:r>
          </w:p>
        </w:tc>
        <w:tc>
          <w:tcPr>
            <w:tcW w:w="3004" w:type="dxa"/>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8" w:type="dxa"/>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31</w:t>
            </w:r>
          </w:p>
        </w:tc>
        <w:tc>
          <w:tcPr>
            <w:tcW w:w="4298"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铅/（mg/L）</w:t>
            </w:r>
          </w:p>
        </w:tc>
        <w:tc>
          <w:tcPr>
            <w:tcW w:w="3004" w:type="dxa"/>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≤0.01</w:t>
            </w:r>
          </w:p>
        </w:tc>
      </w:tr>
    </w:tbl>
    <w:p>
      <w:pPr>
        <w:spacing w:beforeLines="50" w:line="360" w:lineRule="auto"/>
        <w:ind w:firstLine="482" w:firstLineChars="200"/>
        <w:rPr>
          <w:rFonts w:hint="default" w:ascii="Times New Roman" w:hAnsi="Times New Roman" w:cs="Times New Roman"/>
          <w:b/>
          <w:bCs/>
          <w:color w:val="auto"/>
        </w:rPr>
      </w:pPr>
      <w:r>
        <w:rPr>
          <w:rStyle w:val="127"/>
          <w:rFonts w:hint="default" w:ascii="Times New Roman" w:hAnsi="Times New Roman" w:cs="Times New Roman"/>
          <w:b/>
          <w:bCs/>
          <w:color w:val="auto"/>
          <w:sz w:val="24"/>
        </w:rPr>
        <w:t>（4）</w:t>
      </w:r>
      <w:r>
        <w:rPr>
          <w:rFonts w:hint="default" w:ascii="Times New Roman" w:hAnsi="Times New Roman" w:cs="Times New Roman"/>
          <w:b/>
          <w:bCs/>
          <w:color w:val="auto"/>
        </w:rPr>
        <w:t>声环境质量标准</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项目位于楚雄工业园区富民庄甸工业区</w:t>
      </w:r>
      <w:r>
        <w:rPr>
          <w:rFonts w:hint="default" w:ascii="Times New Roman" w:hAnsi="Times New Roman" w:cs="Times New Roman"/>
          <w:color w:val="auto"/>
          <w:szCs w:val="22"/>
        </w:rPr>
        <w:t>，</w:t>
      </w:r>
      <w:r>
        <w:rPr>
          <w:rFonts w:hint="default" w:ascii="Times New Roman" w:hAnsi="Times New Roman" w:cs="Times New Roman"/>
          <w:color w:val="auto"/>
        </w:rPr>
        <w:t>根据《声环境质量标准》（GB3096-2008），所在区域为3类声功能区，声环境质量标准执行《声环境质量标准》（GB3096-2008）3类标准。</w:t>
      </w:r>
    </w:p>
    <w:p>
      <w:pPr>
        <w:pStyle w:val="133"/>
        <w:numPr>
          <w:ilvl w:val="1"/>
          <w:numId w:val="6"/>
        </w:numPr>
        <w:spacing w:line="360" w:lineRule="auto"/>
        <w:ind w:left="0" w:firstLine="0" w:firstLineChars="0"/>
        <w:jc w:val="center"/>
        <w:rPr>
          <w:rFonts w:hint="default" w:ascii="Times New Roman" w:hAnsi="Times New Roman" w:cs="Times New Roman"/>
          <w:b/>
          <w:bCs/>
          <w:color w:val="auto"/>
        </w:rPr>
      </w:pPr>
      <w:r>
        <w:rPr>
          <w:rFonts w:hint="default" w:ascii="Times New Roman" w:hAnsi="Times New Roman" w:cs="Times New Roman"/>
          <w:b/>
          <w:bCs/>
          <w:color w:val="auto"/>
        </w:rPr>
        <w:t>声环境标准限值表单位：LeqdB(A)</w:t>
      </w:r>
    </w:p>
    <w:tbl>
      <w:tblPr>
        <w:tblStyle w:val="44"/>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37"/>
        <w:gridCol w:w="2360"/>
        <w:gridCol w:w="24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2193"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类别</w:t>
            </w:r>
          </w:p>
        </w:tc>
        <w:tc>
          <w:tcPr>
            <w:tcW w:w="1385"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昼间</w:t>
            </w:r>
          </w:p>
        </w:tc>
        <w:tc>
          <w:tcPr>
            <w:tcW w:w="1422"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2193"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3类标准</w:t>
            </w:r>
          </w:p>
        </w:tc>
        <w:tc>
          <w:tcPr>
            <w:tcW w:w="1385"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65</w:t>
            </w:r>
          </w:p>
        </w:tc>
        <w:tc>
          <w:tcPr>
            <w:tcW w:w="1422"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55</w:t>
            </w:r>
          </w:p>
        </w:tc>
      </w:tr>
    </w:tbl>
    <w:p>
      <w:pPr>
        <w:spacing w:beforeLines="50" w:line="360" w:lineRule="auto"/>
        <w:ind w:firstLine="482" w:firstLineChars="200"/>
        <w:rPr>
          <w:rStyle w:val="127"/>
          <w:rFonts w:hint="default" w:ascii="Times New Roman" w:hAnsi="Times New Roman" w:cs="Times New Roman"/>
          <w:b/>
          <w:color w:val="auto"/>
          <w:sz w:val="24"/>
        </w:rPr>
      </w:pPr>
      <w:r>
        <w:rPr>
          <w:rStyle w:val="127"/>
          <w:rFonts w:hint="default" w:ascii="Times New Roman" w:hAnsi="Times New Roman" w:cs="Times New Roman"/>
          <w:b/>
          <w:color w:val="auto"/>
          <w:sz w:val="24"/>
        </w:rPr>
        <w:t>（5）土壤环境质量标准</w:t>
      </w:r>
    </w:p>
    <w:p>
      <w:pPr>
        <w:pStyle w:val="146"/>
        <w:spacing w:line="360" w:lineRule="auto"/>
        <w:rPr>
          <w:rFonts w:hint="default" w:ascii="Times New Roman" w:hAnsi="Times New Roman" w:cs="Times New Roman"/>
          <w:color w:val="auto"/>
        </w:rPr>
      </w:pPr>
      <w:r>
        <w:rPr>
          <w:rFonts w:hint="default" w:ascii="Times New Roman" w:hAnsi="Times New Roman" w:cs="Times New Roman"/>
          <w:color w:val="auto"/>
        </w:rPr>
        <w:t>项目区域除工业用地外，周边用地土壤现状主要为</w:t>
      </w:r>
      <w:r>
        <w:rPr>
          <w:rFonts w:hint="default" w:ascii="Times New Roman" w:hAnsi="Times New Roman" w:cs="Times New Roman"/>
          <w:color w:val="auto"/>
          <w:lang w:eastAsia="zh-CN"/>
        </w:rPr>
        <w:t>林地</w:t>
      </w:r>
      <w:r>
        <w:rPr>
          <w:rFonts w:hint="default" w:ascii="Times New Roman" w:hAnsi="Times New Roman" w:cs="Times New Roman"/>
          <w:color w:val="auto"/>
        </w:rPr>
        <w:t>，要求土壤质量基本上对植物和环境不造成危害和污染；本项目场地内土壤环境执行《土壤环境质量建设用地土壤污染风险管控标准（试行）》(GB36600-2018)中第二类用地标准。</w:t>
      </w:r>
    </w:p>
    <w:p>
      <w:pPr>
        <w:pStyle w:val="133"/>
        <w:numPr>
          <w:ilvl w:val="1"/>
          <w:numId w:val="6"/>
        </w:numPr>
        <w:spacing w:line="360" w:lineRule="auto"/>
        <w:ind w:left="0" w:firstLine="0" w:firstLineChars="0"/>
        <w:jc w:val="center"/>
        <w:rPr>
          <w:rFonts w:hint="default" w:ascii="Times New Roman" w:hAnsi="Times New Roman" w:cs="Times New Roman"/>
          <w:b/>
          <w:bCs/>
          <w:color w:val="auto"/>
        </w:rPr>
      </w:pPr>
      <w:r>
        <w:rPr>
          <w:rFonts w:hint="default" w:ascii="Times New Roman" w:hAnsi="Times New Roman" w:cs="Times New Roman"/>
          <w:b/>
          <w:bCs/>
          <w:color w:val="auto"/>
        </w:rPr>
        <w:t>土壤环境质量建设用地土壤污染风险管控标准单位：mg/kg</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22"/>
        <w:gridCol w:w="1888"/>
        <w:gridCol w:w="2055"/>
        <w:gridCol w:w="2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 w:hRule="atLeast"/>
          <w:jc w:val="center"/>
        </w:trPr>
        <w:tc>
          <w:tcPr>
            <w:tcW w:w="2222" w:type="dxa"/>
            <w:vMerge w:val="restart"/>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污染项目</w:t>
            </w:r>
          </w:p>
        </w:tc>
        <w:tc>
          <w:tcPr>
            <w:tcW w:w="1888" w:type="dxa"/>
            <w:vMerge w:val="restart"/>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CAS编号</w:t>
            </w:r>
          </w:p>
        </w:tc>
        <w:tc>
          <w:tcPr>
            <w:tcW w:w="2055"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筛选值</w:t>
            </w:r>
          </w:p>
        </w:tc>
        <w:tc>
          <w:tcPr>
            <w:tcW w:w="2055"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管制值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2222" w:type="dxa"/>
            <w:vMerge w:val="continue"/>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p>
        </w:tc>
        <w:tc>
          <w:tcPr>
            <w:tcW w:w="1888" w:type="dxa"/>
            <w:vMerge w:val="continue"/>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p>
        </w:tc>
        <w:tc>
          <w:tcPr>
            <w:tcW w:w="4110" w:type="dxa"/>
            <w:gridSpan w:val="2"/>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第二类用地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8220" w:type="dxa"/>
            <w:gridSpan w:val="4"/>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基础项目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8220" w:type="dxa"/>
            <w:gridSpan w:val="4"/>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重金属和无机物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2"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砷</w:t>
            </w:r>
          </w:p>
        </w:tc>
        <w:tc>
          <w:tcPr>
            <w:tcW w:w="1888"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7440-38-2</w:t>
            </w:r>
          </w:p>
        </w:tc>
        <w:tc>
          <w:tcPr>
            <w:tcW w:w="2055"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60</w:t>
            </w:r>
          </w:p>
        </w:tc>
        <w:tc>
          <w:tcPr>
            <w:tcW w:w="2055"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2"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镉</w:t>
            </w:r>
          </w:p>
        </w:tc>
        <w:tc>
          <w:tcPr>
            <w:tcW w:w="1888"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7440-43-9</w:t>
            </w:r>
          </w:p>
        </w:tc>
        <w:tc>
          <w:tcPr>
            <w:tcW w:w="2055"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65</w:t>
            </w:r>
          </w:p>
        </w:tc>
        <w:tc>
          <w:tcPr>
            <w:tcW w:w="2055"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2"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铬（六价）</w:t>
            </w:r>
          </w:p>
        </w:tc>
        <w:tc>
          <w:tcPr>
            <w:tcW w:w="1888"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18540-29-9</w:t>
            </w:r>
          </w:p>
        </w:tc>
        <w:tc>
          <w:tcPr>
            <w:tcW w:w="2055"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5.7</w:t>
            </w:r>
          </w:p>
        </w:tc>
        <w:tc>
          <w:tcPr>
            <w:tcW w:w="2055"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2"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铜</w:t>
            </w:r>
          </w:p>
        </w:tc>
        <w:tc>
          <w:tcPr>
            <w:tcW w:w="1888"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7440-50-8</w:t>
            </w:r>
          </w:p>
        </w:tc>
        <w:tc>
          <w:tcPr>
            <w:tcW w:w="2055"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18000</w:t>
            </w:r>
          </w:p>
        </w:tc>
        <w:tc>
          <w:tcPr>
            <w:tcW w:w="2055"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36000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2"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铅</w:t>
            </w:r>
          </w:p>
        </w:tc>
        <w:tc>
          <w:tcPr>
            <w:tcW w:w="1888"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7439-92-1</w:t>
            </w:r>
          </w:p>
        </w:tc>
        <w:tc>
          <w:tcPr>
            <w:tcW w:w="2055"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800</w:t>
            </w:r>
          </w:p>
        </w:tc>
        <w:tc>
          <w:tcPr>
            <w:tcW w:w="2055"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2"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汞</w:t>
            </w:r>
          </w:p>
        </w:tc>
        <w:tc>
          <w:tcPr>
            <w:tcW w:w="1888"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7439-97-6</w:t>
            </w:r>
          </w:p>
        </w:tc>
        <w:tc>
          <w:tcPr>
            <w:tcW w:w="2055"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38</w:t>
            </w:r>
          </w:p>
        </w:tc>
        <w:tc>
          <w:tcPr>
            <w:tcW w:w="2055"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2"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镍</w:t>
            </w:r>
          </w:p>
        </w:tc>
        <w:tc>
          <w:tcPr>
            <w:tcW w:w="1888"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7440-02-0</w:t>
            </w:r>
          </w:p>
        </w:tc>
        <w:tc>
          <w:tcPr>
            <w:tcW w:w="2055"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900</w:t>
            </w:r>
          </w:p>
        </w:tc>
        <w:tc>
          <w:tcPr>
            <w:tcW w:w="2055"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8220" w:type="dxa"/>
            <w:gridSpan w:val="4"/>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挥发性有机物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2"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四氯化碳</w:t>
            </w:r>
          </w:p>
        </w:tc>
        <w:tc>
          <w:tcPr>
            <w:tcW w:w="1888"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56-23-5</w:t>
            </w:r>
          </w:p>
        </w:tc>
        <w:tc>
          <w:tcPr>
            <w:tcW w:w="2055"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2.8</w:t>
            </w:r>
          </w:p>
        </w:tc>
        <w:tc>
          <w:tcPr>
            <w:tcW w:w="2055"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2"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氯仿</w:t>
            </w:r>
          </w:p>
        </w:tc>
        <w:tc>
          <w:tcPr>
            <w:tcW w:w="1888"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67-66-3</w:t>
            </w:r>
          </w:p>
        </w:tc>
        <w:tc>
          <w:tcPr>
            <w:tcW w:w="2055"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0.9</w:t>
            </w:r>
          </w:p>
        </w:tc>
        <w:tc>
          <w:tcPr>
            <w:tcW w:w="2055"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2"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氯甲烷</w:t>
            </w:r>
          </w:p>
        </w:tc>
        <w:tc>
          <w:tcPr>
            <w:tcW w:w="1888"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74-87-3</w:t>
            </w:r>
          </w:p>
        </w:tc>
        <w:tc>
          <w:tcPr>
            <w:tcW w:w="2055"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37</w:t>
            </w:r>
          </w:p>
        </w:tc>
        <w:tc>
          <w:tcPr>
            <w:tcW w:w="2055"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2"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1，1-二氯乙烷</w:t>
            </w:r>
          </w:p>
        </w:tc>
        <w:tc>
          <w:tcPr>
            <w:tcW w:w="1888"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75-34-3</w:t>
            </w:r>
          </w:p>
        </w:tc>
        <w:tc>
          <w:tcPr>
            <w:tcW w:w="2055"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9</w:t>
            </w:r>
          </w:p>
        </w:tc>
        <w:tc>
          <w:tcPr>
            <w:tcW w:w="2055"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2"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1，2-二氯乙烷</w:t>
            </w:r>
          </w:p>
        </w:tc>
        <w:tc>
          <w:tcPr>
            <w:tcW w:w="1888"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107-06-2</w:t>
            </w:r>
          </w:p>
        </w:tc>
        <w:tc>
          <w:tcPr>
            <w:tcW w:w="2055"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5</w:t>
            </w:r>
          </w:p>
        </w:tc>
        <w:tc>
          <w:tcPr>
            <w:tcW w:w="2055"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2"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1，1-二氯乙烯</w:t>
            </w:r>
          </w:p>
        </w:tc>
        <w:tc>
          <w:tcPr>
            <w:tcW w:w="1888"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75-35-4</w:t>
            </w:r>
          </w:p>
        </w:tc>
        <w:tc>
          <w:tcPr>
            <w:tcW w:w="2055"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66</w:t>
            </w:r>
          </w:p>
        </w:tc>
        <w:tc>
          <w:tcPr>
            <w:tcW w:w="2055"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2"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顺-1，2-二氯乙烯</w:t>
            </w:r>
          </w:p>
        </w:tc>
        <w:tc>
          <w:tcPr>
            <w:tcW w:w="1888"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156-59-2</w:t>
            </w:r>
          </w:p>
        </w:tc>
        <w:tc>
          <w:tcPr>
            <w:tcW w:w="2055"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596</w:t>
            </w:r>
          </w:p>
        </w:tc>
        <w:tc>
          <w:tcPr>
            <w:tcW w:w="2055"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2"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反-1，2-二氯乙烯</w:t>
            </w:r>
          </w:p>
        </w:tc>
        <w:tc>
          <w:tcPr>
            <w:tcW w:w="1888"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156-60-5</w:t>
            </w:r>
          </w:p>
        </w:tc>
        <w:tc>
          <w:tcPr>
            <w:tcW w:w="2055"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54</w:t>
            </w:r>
          </w:p>
        </w:tc>
        <w:tc>
          <w:tcPr>
            <w:tcW w:w="2055"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2"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二氯甲烷</w:t>
            </w:r>
          </w:p>
        </w:tc>
        <w:tc>
          <w:tcPr>
            <w:tcW w:w="1888"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75-09-2</w:t>
            </w:r>
          </w:p>
        </w:tc>
        <w:tc>
          <w:tcPr>
            <w:tcW w:w="2055"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616</w:t>
            </w:r>
          </w:p>
        </w:tc>
        <w:tc>
          <w:tcPr>
            <w:tcW w:w="2055"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2"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1，2-二氯丙烷</w:t>
            </w:r>
          </w:p>
        </w:tc>
        <w:tc>
          <w:tcPr>
            <w:tcW w:w="1888"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78-87-5</w:t>
            </w:r>
          </w:p>
        </w:tc>
        <w:tc>
          <w:tcPr>
            <w:tcW w:w="2055"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5</w:t>
            </w:r>
          </w:p>
        </w:tc>
        <w:tc>
          <w:tcPr>
            <w:tcW w:w="2055"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2"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1，1，1，2-四氯乙烷</w:t>
            </w:r>
          </w:p>
        </w:tc>
        <w:tc>
          <w:tcPr>
            <w:tcW w:w="1888"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630-20-6</w:t>
            </w:r>
          </w:p>
        </w:tc>
        <w:tc>
          <w:tcPr>
            <w:tcW w:w="2055"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10</w:t>
            </w:r>
          </w:p>
        </w:tc>
        <w:tc>
          <w:tcPr>
            <w:tcW w:w="2055"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2"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1，1，2，2-四氯乙烷</w:t>
            </w:r>
          </w:p>
        </w:tc>
        <w:tc>
          <w:tcPr>
            <w:tcW w:w="1888"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79-34-5</w:t>
            </w:r>
          </w:p>
        </w:tc>
        <w:tc>
          <w:tcPr>
            <w:tcW w:w="2055"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6.8</w:t>
            </w:r>
          </w:p>
        </w:tc>
        <w:tc>
          <w:tcPr>
            <w:tcW w:w="2055"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2"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四氯乙烯</w:t>
            </w:r>
          </w:p>
        </w:tc>
        <w:tc>
          <w:tcPr>
            <w:tcW w:w="1888"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127-18-4</w:t>
            </w:r>
          </w:p>
        </w:tc>
        <w:tc>
          <w:tcPr>
            <w:tcW w:w="2055"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53</w:t>
            </w:r>
          </w:p>
        </w:tc>
        <w:tc>
          <w:tcPr>
            <w:tcW w:w="2055"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2"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1，1，1-三氯乙烷</w:t>
            </w:r>
          </w:p>
        </w:tc>
        <w:tc>
          <w:tcPr>
            <w:tcW w:w="1888"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71-55-6</w:t>
            </w:r>
          </w:p>
        </w:tc>
        <w:tc>
          <w:tcPr>
            <w:tcW w:w="2055"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840</w:t>
            </w:r>
          </w:p>
        </w:tc>
        <w:tc>
          <w:tcPr>
            <w:tcW w:w="2055"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2222"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1，1，2-三氯乙烷</w:t>
            </w:r>
          </w:p>
        </w:tc>
        <w:tc>
          <w:tcPr>
            <w:tcW w:w="1888"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79-00-5</w:t>
            </w:r>
          </w:p>
        </w:tc>
        <w:tc>
          <w:tcPr>
            <w:tcW w:w="2055"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2.8</w:t>
            </w:r>
          </w:p>
        </w:tc>
        <w:tc>
          <w:tcPr>
            <w:tcW w:w="2055"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2222"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三氯乙烯</w:t>
            </w:r>
          </w:p>
        </w:tc>
        <w:tc>
          <w:tcPr>
            <w:tcW w:w="1888"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79-01-6</w:t>
            </w:r>
          </w:p>
        </w:tc>
        <w:tc>
          <w:tcPr>
            <w:tcW w:w="2055"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2.8</w:t>
            </w:r>
          </w:p>
        </w:tc>
        <w:tc>
          <w:tcPr>
            <w:tcW w:w="2055"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2"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1，2，3-三氯丙烷</w:t>
            </w:r>
          </w:p>
        </w:tc>
        <w:tc>
          <w:tcPr>
            <w:tcW w:w="1888"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96-18-4</w:t>
            </w:r>
          </w:p>
        </w:tc>
        <w:tc>
          <w:tcPr>
            <w:tcW w:w="2055"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0.5</w:t>
            </w:r>
          </w:p>
        </w:tc>
        <w:tc>
          <w:tcPr>
            <w:tcW w:w="2055"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2"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氯乙烯</w:t>
            </w:r>
          </w:p>
        </w:tc>
        <w:tc>
          <w:tcPr>
            <w:tcW w:w="1888"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75-01-4</w:t>
            </w:r>
          </w:p>
        </w:tc>
        <w:tc>
          <w:tcPr>
            <w:tcW w:w="2055"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0.43</w:t>
            </w:r>
          </w:p>
        </w:tc>
        <w:tc>
          <w:tcPr>
            <w:tcW w:w="2055"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2"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苯</w:t>
            </w:r>
          </w:p>
        </w:tc>
        <w:tc>
          <w:tcPr>
            <w:tcW w:w="1888"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71-43-2</w:t>
            </w:r>
          </w:p>
        </w:tc>
        <w:tc>
          <w:tcPr>
            <w:tcW w:w="2055"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4</w:t>
            </w:r>
          </w:p>
        </w:tc>
        <w:tc>
          <w:tcPr>
            <w:tcW w:w="2055"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2"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氯苯</w:t>
            </w:r>
          </w:p>
        </w:tc>
        <w:tc>
          <w:tcPr>
            <w:tcW w:w="1888"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109-90-7</w:t>
            </w:r>
          </w:p>
        </w:tc>
        <w:tc>
          <w:tcPr>
            <w:tcW w:w="2055"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270</w:t>
            </w:r>
          </w:p>
        </w:tc>
        <w:tc>
          <w:tcPr>
            <w:tcW w:w="2055"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2"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1，2-二氯苯</w:t>
            </w:r>
          </w:p>
        </w:tc>
        <w:tc>
          <w:tcPr>
            <w:tcW w:w="1888"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95-50-1</w:t>
            </w:r>
          </w:p>
        </w:tc>
        <w:tc>
          <w:tcPr>
            <w:tcW w:w="2055"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560</w:t>
            </w:r>
          </w:p>
        </w:tc>
        <w:tc>
          <w:tcPr>
            <w:tcW w:w="2055"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2"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1，4-二氯苯</w:t>
            </w:r>
          </w:p>
        </w:tc>
        <w:tc>
          <w:tcPr>
            <w:tcW w:w="1888"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106-46-7</w:t>
            </w:r>
          </w:p>
        </w:tc>
        <w:tc>
          <w:tcPr>
            <w:tcW w:w="2055"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20</w:t>
            </w:r>
          </w:p>
        </w:tc>
        <w:tc>
          <w:tcPr>
            <w:tcW w:w="2055"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2"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乙苯</w:t>
            </w:r>
          </w:p>
        </w:tc>
        <w:tc>
          <w:tcPr>
            <w:tcW w:w="1888"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100-41-4</w:t>
            </w:r>
          </w:p>
        </w:tc>
        <w:tc>
          <w:tcPr>
            <w:tcW w:w="2055"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28</w:t>
            </w:r>
          </w:p>
        </w:tc>
        <w:tc>
          <w:tcPr>
            <w:tcW w:w="2055"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2"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苯乙烯</w:t>
            </w:r>
          </w:p>
        </w:tc>
        <w:tc>
          <w:tcPr>
            <w:tcW w:w="1888"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100-42-5</w:t>
            </w:r>
          </w:p>
        </w:tc>
        <w:tc>
          <w:tcPr>
            <w:tcW w:w="2055"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1290</w:t>
            </w:r>
          </w:p>
        </w:tc>
        <w:tc>
          <w:tcPr>
            <w:tcW w:w="2055"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2"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甲苯</w:t>
            </w:r>
          </w:p>
        </w:tc>
        <w:tc>
          <w:tcPr>
            <w:tcW w:w="1888"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108-38-3</w:t>
            </w:r>
          </w:p>
        </w:tc>
        <w:tc>
          <w:tcPr>
            <w:tcW w:w="2055"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1200</w:t>
            </w:r>
          </w:p>
        </w:tc>
        <w:tc>
          <w:tcPr>
            <w:tcW w:w="2055"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2"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间二甲苯+对二甲苯</w:t>
            </w:r>
          </w:p>
        </w:tc>
        <w:tc>
          <w:tcPr>
            <w:tcW w:w="1888"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108-38-3</w:t>
            </w:r>
          </w:p>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106-42-3</w:t>
            </w:r>
          </w:p>
        </w:tc>
        <w:tc>
          <w:tcPr>
            <w:tcW w:w="2055"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570</w:t>
            </w:r>
          </w:p>
        </w:tc>
        <w:tc>
          <w:tcPr>
            <w:tcW w:w="2055"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2"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邻二甲苯</w:t>
            </w:r>
          </w:p>
        </w:tc>
        <w:tc>
          <w:tcPr>
            <w:tcW w:w="1888"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85-47-6</w:t>
            </w:r>
          </w:p>
        </w:tc>
        <w:tc>
          <w:tcPr>
            <w:tcW w:w="2055"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640</w:t>
            </w:r>
          </w:p>
        </w:tc>
        <w:tc>
          <w:tcPr>
            <w:tcW w:w="2055"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20" w:type="dxa"/>
            <w:gridSpan w:val="4"/>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半挥发性有机物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2"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硝基苯</w:t>
            </w:r>
          </w:p>
        </w:tc>
        <w:tc>
          <w:tcPr>
            <w:tcW w:w="1888"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98-95-3</w:t>
            </w:r>
          </w:p>
        </w:tc>
        <w:tc>
          <w:tcPr>
            <w:tcW w:w="2055"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76</w:t>
            </w:r>
          </w:p>
        </w:tc>
        <w:tc>
          <w:tcPr>
            <w:tcW w:w="2055"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760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2"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苯胺</w:t>
            </w:r>
          </w:p>
        </w:tc>
        <w:tc>
          <w:tcPr>
            <w:tcW w:w="1888"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62-53-3</w:t>
            </w:r>
          </w:p>
        </w:tc>
        <w:tc>
          <w:tcPr>
            <w:tcW w:w="2055"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260</w:t>
            </w:r>
          </w:p>
        </w:tc>
        <w:tc>
          <w:tcPr>
            <w:tcW w:w="2055"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663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2"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2-氯酚</w:t>
            </w:r>
          </w:p>
        </w:tc>
        <w:tc>
          <w:tcPr>
            <w:tcW w:w="1888"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95-57-8</w:t>
            </w:r>
          </w:p>
        </w:tc>
        <w:tc>
          <w:tcPr>
            <w:tcW w:w="2055"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2256</w:t>
            </w:r>
          </w:p>
        </w:tc>
        <w:tc>
          <w:tcPr>
            <w:tcW w:w="2055"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45000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2"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苯并蒽</w:t>
            </w:r>
          </w:p>
        </w:tc>
        <w:tc>
          <w:tcPr>
            <w:tcW w:w="1888"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56-55-3</w:t>
            </w:r>
          </w:p>
        </w:tc>
        <w:tc>
          <w:tcPr>
            <w:tcW w:w="2055"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15</w:t>
            </w:r>
          </w:p>
        </w:tc>
        <w:tc>
          <w:tcPr>
            <w:tcW w:w="2055"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2"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苯并芘</w:t>
            </w:r>
          </w:p>
        </w:tc>
        <w:tc>
          <w:tcPr>
            <w:tcW w:w="1888"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50-32-8</w:t>
            </w:r>
          </w:p>
        </w:tc>
        <w:tc>
          <w:tcPr>
            <w:tcW w:w="2055"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1.5</w:t>
            </w:r>
          </w:p>
        </w:tc>
        <w:tc>
          <w:tcPr>
            <w:tcW w:w="2055"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2"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苯并【b】荧蒽</w:t>
            </w:r>
          </w:p>
        </w:tc>
        <w:tc>
          <w:tcPr>
            <w:tcW w:w="1888"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205-99-2</w:t>
            </w:r>
          </w:p>
        </w:tc>
        <w:tc>
          <w:tcPr>
            <w:tcW w:w="2055"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15</w:t>
            </w:r>
          </w:p>
        </w:tc>
        <w:tc>
          <w:tcPr>
            <w:tcW w:w="2055"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2"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苯并【k】荧蒽</w:t>
            </w:r>
          </w:p>
        </w:tc>
        <w:tc>
          <w:tcPr>
            <w:tcW w:w="1888"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207-08-9</w:t>
            </w:r>
          </w:p>
        </w:tc>
        <w:tc>
          <w:tcPr>
            <w:tcW w:w="2055"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151</w:t>
            </w:r>
          </w:p>
        </w:tc>
        <w:tc>
          <w:tcPr>
            <w:tcW w:w="2055"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2"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䓛</w:t>
            </w:r>
          </w:p>
        </w:tc>
        <w:tc>
          <w:tcPr>
            <w:tcW w:w="1888"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218-01-9</w:t>
            </w:r>
          </w:p>
        </w:tc>
        <w:tc>
          <w:tcPr>
            <w:tcW w:w="2055"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1293</w:t>
            </w:r>
          </w:p>
        </w:tc>
        <w:tc>
          <w:tcPr>
            <w:tcW w:w="2055"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12900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2"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二苯并蒽</w:t>
            </w:r>
          </w:p>
        </w:tc>
        <w:tc>
          <w:tcPr>
            <w:tcW w:w="1888"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53-70-3</w:t>
            </w:r>
          </w:p>
        </w:tc>
        <w:tc>
          <w:tcPr>
            <w:tcW w:w="2055"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1.5</w:t>
            </w:r>
          </w:p>
        </w:tc>
        <w:tc>
          <w:tcPr>
            <w:tcW w:w="2055"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2"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茚并芘</w:t>
            </w:r>
          </w:p>
        </w:tc>
        <w:tc>
          <w:tcPr>
            <w:tcW w:w="1888"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193-39-5</w:t>
            </w:r>
          </w:p>
        </w:tc>
        <w:tc>
          <w:tcPr>
            <w:tcW w:w="2055"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15</w:t>
            </w:r>
          </w:p>
        </w:tc>
        <w:tc>
          <w:tcPr>
            <w:tcW w:w="2055"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2"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萘</w:t>
            </w:r>
          </w:p>
        </w:tc>
        <w:tc>
          <w:tcPr>
            <w:tcW w:w="1888"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91-20-3</w:t>
            </w:r>
          </w:p>
        </w:tc>
        <w:tc>
          <w:tcPr>
            <w:tcW w:w="2055"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70</w:t>
            </w:r>
          </w:p>
        </w:tc>
        <w:tc>
          <w:tcPr>
            <w:tcW w:w="2055" w:type="dxa"/>
            <w:shd w:val="clear" w:color="auto" w:fill="auto"/>
            <w:vAlign w:val="center"/>
          </w:tcPr>
          <w:p>
            <w:pPr>
              <w:pStyle w:val="35"/>
              <w:adjustRightInd w:val="0"/>
              <w:spacing w:after="0"/>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20" w:type="dxa"/>
            <w:gridSpan w:val="4"/>
            <w:shd w:val="clear" w:color="auto" w:fill="auto"/>
            <w:vAlign w:val="center"/>
          </w:tcPr>
          <w:p>
            <w:pPr>
              <w:pStyle w:val="35"/>
              <w:adjustRightInd w:val="0"/>
              <w:spacing w:after="0"/>
              <w:ind w:left="0" w:leftChars="0"/>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注：①具体地块土壤中污染物检测含量超过筛选值，但等于或者低于土壤环境背景值（见3.6）水平的，不纳入污染地块管理。土壤环境背景值可参见附录A。</w:t>
            </w:r>
          </w:p>
          <w:p>
            <w:pPr>
              <w:pStyle w:val="35"/>
              <w:adjustRightInd w:val="0"/>
              <w:spacing w:after="0"/>
              <w:ind w:left="0" w:leftChars="0"/>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②氯丹为a-氯丹、r-氯丹两种物质含量总和。</w:t>
            </w:r>
          </w:p>
          <w:p>
            <w:pPr>
              <w:pStyle w:val="35"/>
              <w:adjustRightInd w:val="0"/>
              <w:spacing w:after="0"/>
              <w:ind w:left="0" w:leftChars="0"/>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③滴滴涕为o，p-滴滴涕、p，p-滴滴涕两种物质含量总和。</w:t>
            </w:r>
          </w:p>
          <w:p>
            <w:pPr>
              <w:pStyle w:val="35"/>
              <w:adjustRightInd w:val="0"/>
              <w:spacing w:after="0"/>
              <w:ind w:left="0" w:leftChars="0"/>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④硫丹为a-硫丹、ß-硫丹两种物质含量总和。</w:t>
            </w:r>
          </w:p>
        </w:tc>
      </w:tr>
    </w:tbl>
    <w:p>
      <w:pPr>
        <w:pStyle w:val="6"/>
        <w:keepNext/>
        <w:keepLines/>
        <w:pageBreakBefore w:val="0"/>
        <w:widowControl w:val="0"/>
        <w:kinsoku/>
        <w:wordWrap/>
        <w:overflowPunct/>
        <w:topLinePunct w:val="0"/>
        <w:autoSpaceDE/>
        <w:autoSpaceDN/>
        <w:bidi w:val="0"/>
        <w:adjustRightInd/>
        <w:snapToGrid/>
        <w:spacing w:before="157" w:beforeLines="50" w:after="0" w:line="360" w:lineRule="auto"/>
        <w:textAlignment w:val="auto"/>
        <w:rPr>
          <w:rFonts w:hint="default" w:ascii="Times New Roman" w:hAnsi="Times New Roman" w:cs="Times New Roman"/>
          <w:color w:val="auto"/>
          <w:szCs w:val="28"/>
        </w:rPr>
      </w:pPr>
      <w:bookmarkStart w:id="133" w:name="_Toc8235"/>
      <w:r>
        <w:rPr>
          <w:rFonts w:hint="default" w:ascii="Times New Roman" w:hAnsi="Times New Roman" w:cs="Times New Roman"/>
          <w:color w:val="auto"/>
          <w:szCs w:val="28"/>
        </w:rPr>
        <w:t>1.4.2污染物排放标准</w:t>
      </w:r>
      <w:bookmarkEnd w:id="133"/>
    </w:p>
    <w:p>
      <w:pPr>
        <w:pStyle w:val="136"/>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（1）废气</w:t>
      </w:r>
    </w:p>
    <w:p>
      <w:pPr>
        <w:pStyle w:val="136"/>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eastAsia="宋体" w:cs="Times New Roman"/>
          <w:color w:val="auto"/>
          <w:kern w:val="2"/>
        </w:rPr>
      </w:pPr>
      <w:r>
        <w:rPr>
          <w:rFonts w:hint="default" w:ascii="Times New Roman" w:hAnsi="Times New Roman" w:eastAsia="宋体" w:cs="Times New Roman"/>
          <w:color w:val="auto"/>
          <w:kern w:val="2"/>
        </w:rPr>
        <w:t>运行期项目外排废气污染物主要为</w:t>
      </w:r>
      <w:r>
        <w:rPr>
          <w:rFonts w:hint="default" w:ascii="Times New Roman" w:hAnsi="Times New Roman" w:eastAsia="宋体" w:cs="Times New Roman"/>
          <w:color w:val="auto"/>
          <w:kern w:val="2"/>
          <w:lang w:eastAsia="zh-CN"/>
        </w:rPr>
        <w:t>非甲烷总烃、粉尘、氟化物、氨、硫化氢，非甲烷总烃经活性炭吸附塔治理后通过</w:t>
      </w:r>
      <w:r>
        <w:rPr>
          <w:rFonts w:hint="default" w:ascii="Times New Roman" w:hAnsi="Times New Roman" w:eastAsia="宋体" w:cs="Times New Roman"/>
          <w:color w:val="auto"/>
          <w:kern w:val="2"/>
          <w:lang w:val="en-US" w:eastAsia="zh-CN"/>
        </w:rPr>
        <w:t>15m排气筒DA008排放；粉尘经文丘里洗涤塔治理后通过15m排气筒DA009排放；氟化物经四级氢氧化钠洗涤塔治理后通过15m排气筒DA011排放；氨、硫化氢经综合污水处理站除臭系统治理后通过15m排气筒DA010排放</w:t>
      </w:r>
      <w:r>
        <w:rPr>
          <w:rFonts w:hint="default" w:ascii="Times New Roman" w:hAnsi="Times New Roman" w:eastAsia="宋体" w:cs="Times New Roman"/>
          <w:color w:val="auto"/>
          <w:kern w:val="2"/>
        </w:rPr>
        <w:t>。</w:t>
      </w:r>
    </w:p>
    <w:p>
      <w:pPr>
        <w:pStyle w:val="136"/>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eastAsia="宋体" w:cs="Times New Roman"/>
          <w:color w:val="auto"/>
          <w:kern w:val="2"/>
          <w:lang w:val="en-US" w:eastAsia="zh-CN"/>
        </w:rPr>
      </w:pPr>
      <w:r>
        <w:rPr>
          <w:rFonts w:hint="default" w:ascii="Times New Roman" w:hAnsi="Times New Roman" w:eastAsia="宋体" w:cs="Times New Roman"/>
          <w:color w:val="auto"/>
          <w:kern w:val="2"/>
          <w:lang w:eastAsia="zh-CN"/>
        </w:rPr>
        <w:t>经查项目废气没有行业排放标准，因此有组织排放的非甲烷总烃、颗粒物、氟化物</w:t>
      </w:r>
      <w:r>
        <w:rPr>
          <w:rFonts w:hint="default" w:ascii="Times New Roman" w:hAnsi="Times New Roman" w:eastAsia="宋体" w:cs="Times New Roman"/>
          <w:color w:val="auto"/>
          <w:kern w:val="2"/>
        </w:rPr>
        <w:t>执行《大气污染物综合排放标准》（GB16297-1996）表2中</w:t>
      </w:r>
      <w:r>
        <w:rPr>
          <w:rFonts w:hint="default" w:ascii="Times New Roman" w:hAnsi="Times New Roman" w:eastAsia="宋体" w:cs="Times New Roman"/>
          <w:color w:val="auto"/>
          <w:kern w:val="2"/>
          <w:lang w:val="en-US" w:eastAsia="zh-CN"/>
        </w:rPr>
        <w:t>15m排气筒的</w:t>
      </w:r>
      <w:r>
        <w:rPr>
          <w:rFonts w:hint="default" w:ascii="Times New Roman" w:hAnsi="Times New Roman" w:eastAsia="宋体" w:cs="Times New Roman"/>
          <w:color w:val="auto"/>
          <w:kern w:val="2"/>
        </w:rPr>
        <w:t>允许排放浓度限值</w:t>
      </w:r>
      <w:r>
        <w:rPr>
          <w:rFonts w:hint="default" w:ascii="Times New Roman" w:hAnsi="Times New Roman" w:eastAsia="宋体" w:cs="Times New Roman"/>
          <w:color w:val="auto"/>
          <w:kern w:val="2"/>
          <w:lang w:eastAsia="zh-CN"/>
        </w:rPr>
        <w:t>，但由于</w:t>
      </w:r>
      <w:r>
        <w:rPr>
          <w:rFonts w:hint="default" w:ascii="Times New Roman" w:hAnsi="Times New Roman" w:eastAsia="宋体" w:cs="Times New Roman"/>
          <w:color w:val="auto"/>
          <w:kern w:val="2"/>
          <w:lang w:val="en-US" w:eastAsia="zh-CN"/>
        </w:rPr>
        <w:t>DA008、DA009、DA011三根排气筒200m范围内最高建筑物为一期单晶车间（23.4m），现状排气筒不进行加高，按照</w:t>
      </w:r>
      <w:r>
        <w:rPr>
          <w:rFonts w:hint="default" w:ascii="Times New Roman" w:hAnsi="Times New Roman" w:eastAsia="宋体" w:cs="Times New Roman"/>
          <w:color w:val="auto"/>
          <w:kern w:val="2"/>
        </w:rPr>
        <w:t>《大气污染物综合排放标准》（GB16297-1996）</w:t>
      </w:r>
      <w:r>
        <w:rPr>
          <w:rFonts w:hint="default" w:ascii="Times New Roman" w:hAnsi="Times New Roman" w:eastAsia="宋体" w:cs="Times New Roman"/>
          <w:color w:val="auto"/>
          <w:kern w:val="2"/>
          <w:lang w:val="en-US" w:eastAsia="zh-CN"/>
        </w:rPr>
        <w:t>7.1的规定，非甲烷总烃、粉尘、氟化物排放浓度要再严格50%执行</w:t>
      </w:r>
      <w:r>
        <w:rPr>
          <w:rFonts w:hint="default" w:ascii="Times New Roman" w:hAnsi="Times New Roman" w:eastAsia="宋体" w:cs="Times New Roman"/>
          <w:color w:val="auto"/>
          <w:kern w:val="2"/>
        </w:rPr>
        <w:t>；</w:t>
      </w:r>
      <w:r>
        <w:rPr>
          <w:rFonts w:hint="default" w:ascii="Times New Roman" w:hAnsi="Times New Roman" w:eastAsia="宋体" w:cs="Times New Roman"/>
          <w:color w:val="auto"/>
          <w:kern w:val="2"/>
          <w:lang w:eastAsia="zh-CN"/>
        </w:rPr>
        <w:t>有组织排放的氨、硫化氢、臭气浓度执行《恶臭污染物排放标准》（</w:t>
      </w:r>
      <w:r>
        <w:rPr>
          <w:rFonts w:hint="default" w:ascii="Times New Roman" w:hAnsi="Times New Roman" w:eastAsia="宋体" w:cs="Times New Roman"/>
          <w:color w:val="auto"/>
          <w:kern w:val="2"/>
          <w:lang w:val="en-US" w:eastAsia="zh-CN"/>
        </w:rPr>
        <w:t>GB14554-93</w:t>
      </w:r>
      <w:r>
        <w:rPr>
          <w:rFonts w:hint="default" w:ascii="Times New Roman" w:hAnsi="Times New Roman" w:eastAsia="宋体" w:cs="Times New Roman"/>
          <w:color w:val="auto"/>
          <w:kern w:val="2"/>
          <w:lang w:eastAsia="zh-CN"/>
        </w:rPr>
        <w:t>）表</w:t>
      </w:r>
      <w:r>
        <w:rPr>
          <w:rFonts w:hint="default" w:ascii="Times New Roman" w:hAnsi="Times New Roman" w:eastAsia="宋体" w:cs="Times New Roman"/>
          <w:color w:val="auto"/>
          <w:kern w:val="2"/>
          <w:lang w:val="en-US" w:eastAsia="zh-CN"/>
        </w:rPr>
        <w:t>2中15m排气筒的</w:t>
      </w:r>
      <w:r>
        <w:rPr>
          <w:rFonts w:hint="default" w:ascii="Times New Roman" w:hAnsi="Times New Roman" w:eastAsia="宋体" w:cs="Times New Roman"/>
          <w:color w:val="auto"/>
          <w:kern w:val="2"/>
        </w:rPr>
        <w:t>允许排放浓度限值</w:t>
      </w:r>
      <w:r>
        <w:rPr>
          <w:rFonts w:hint="default" w:ascii="Times New Roman" w:hAnsi="Times New Roman" w:eastAsia="宋体" w:cs="Times New Roman"/>
          <w:color w:val="auto"/>
          <w:kern w:val="2"/>
          <w:lang w:eastAsia="zh-CN"/>
        </w:rPr>
        <w:t>。</w:t>
      </w:r>
    </w:p>
    <w:p>
      <w:pPr>
        <w:pStyle w:val="136"/>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eastAsia="宋体" w:cs="Times New Roman"/>
          <w:color w:val="auto"/>
          <w:kern w:val="2"/>
        </w:rPr>
      </w:pPr>
      <w:r>
        <w:rPr>
          <w:rFonts w:hint="default" w:ascii="Times New Roman" w:hAnsi="Times New Roman" w:eastAsia="宋体" w:cs="Times New Roman"/>
          <w:color w:val="auto"/>
          <w:kern w:val="2"/>
          <w:lang w:eastAsia="zh-CN"/>
        </w:rPr>
        <w:t>无组织排放的非甲烷总烃</w:t>
      </w:r>
      <w:r>
        <w:rPr>
          <w:rFonts w:hint="default" w:ascii="Times New Roman" w:hAnsi="Times New Roman" w:eastAsia="宋体" w:cs="Times New Roman"/>
          <w:color w:val="auto"/>
          <w:kern w:val="2"/>
        </w:rPr>
        <w:t>执行《挥发性有机物无组织排放控制标准》（GB37822-2019）附录A中表A.1排放限值</w:t>
      </w:r>
      <w:r>
        <w:rPr>
          <w:rFonts w:hint="default" w:ascii="Times New Roman" w:hAnsi="Times New Roman" w:eastAsia="宋体" w:cs="Times New Roman"/>
          <w:color w:val="auto"/>
          <w:kern w:val="2"/>
          <w:lang w:eastAsia="zh-CN"/>
        </w:rPr>
        <w:t>；无组织排放的氨、硫化氢执行《恶臭污染物排放标准》（</w:t>
      </w:r>
      <w:r>
        <w:rPr>
          <w:rFonts w:hint="default" w:ascii="Times New Roman" w:hAnsi="Times New Roman" w:eastAsia="宋体" w:cs="Times New Roman"/>
          <w:color w:val="auto"/>
          <w:kern w:val="2"/>
          <w:lang w:val="en-US" w:eastAsia="zh-CN"/>
        </w:rPr>
        <w:t>GB14554-93</w:t>
      </w:r>
      <w:r>
        <w:rPr>
          <w:rFonts w:hint="default" w:ascii="Times New Roman" w:hAnsi="Times New Roman" w:eastAsia="宋体" w:cs="Times New Roman"/>
          <w:color w:val="auto"/>
          <w:kern w:val="2"/>
          <w:lang w:eastAsia="zh-CN"/>
        </w:rPr>
        <w:t>）表</w:t>
      </w:r>
      <w:r>
        <w:rPr>
          <w:rFonts w:hint="default" w:ascii="Times New Roman" w:hAnsi="Times New Roman" w:eastAsia="宋体" w:cs="Times New Roman"/>
          <w:color w:val="auto"/>
          <w:kern w:val="2"/>
          <w:lang w:val="en-US" w:eastAsia="zh-CN"/>
        </w:rPr>
        <w:t>1中标准值</w:t>
      </w:r>
      <w:r>
        <w:rPr>
          <w:rFonts w:hint="default" w:ascii="Times New Roman" w:hAnsi="Times New Roman" w:eastAsia="宋体" w:cs="Times New Roman"/>
          <w:color w:val="auto"/>
          <w:kern w:val="2"/>
        </w:rPr>
        <w:t>。</w:t>
      </w:r>
    </w:p>
    <w:p>
      <w:pPr>
        <w:pStyle w:val="136"/>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eastAsia="宋体" w:cs="Times New Roman"/>
          <w:color w:val="auto"/>
          <w:kern w:val="2"/>
        </w:rPr>
      </w:pPr>
    </w:p>
    <w:p>
      <w:pPr>
        <w:pStyle w:val="133"/>
        <w:numPr>
          <w:ilvl w:val="1"/>
          <w:numId w:val="6"/>
        </w:numPr>
        <w:spacing w:line="360" w:lineRule="auto"/>
        <w:ind w:left="0" w:firstLine="0" w:firstLineChars="0"/>
        <w:jc w:val="center"/>
        <w:rPr>
          <w:rFonts w:hint="default" w:ascii="Times New Roman" w:hAnsi="Times New Roman" w:cs="Times New Roman"/>
          <w:b/>
          <w:bCs/>
          <w:color w:val="auto"/>
        </w:rPr>
      </w:pPr>
      <w:r>
        <w:rPr>
          <w:rFonts w:hint="default" w:ascii="Times New Roman" w:hAnsi="Times New Roman" w:cs="Times New Roman"/>
          <w:b/>
          <w:bCs/>
          <w:color w:val="auto"/>
          <w:lang w:eastAsia="zh-CN"/>
        </w:rPr>
        <w:t>项目有组织</w:t>
      </w:r>
      <w:r>
        <w:rPr>
          <w:rFonts w:hint="default" w:ascii="Times New Roman" w:hAnsi="Times New Roman" w:cs="Times New Roman"/>
          <w:b/>
          <w:bCs/>
          <w:color w:val="auto"/>
        </w:rPr>
        <w:t>排放</w:t>
      </w:r>
      <w:r>
        <w:rPr>
          <w:rFonts w:hint="default" w:ascii="Times New Roman" w:hAnsi="Times New Roman" w:cs="Times New Roman"/>
          <w:b/>
          <w:bCs/>
          <w:color w:val="auto"/>
          <w:lang w:eastAsia="zh-CN"/>
        </w:rPr>
        <w:t>污染物</w:t>
      </w:r>
      <w:r>
        <w:rPr>
          <w:rFonts w:hint="default" w:ascii="Times New Roman" w:hAnsi="Times New Roman" w:cs="Times New Roman"/>
          <w:b/>
          <w:bCs/>
          <w:color w:val="auto"/>
        </w:rPr>
        <w:t>标准限值</w:t>
      </w:r>
    </w:p>
    <w:tbl>
      <w:tblPr>
        <w:tblStyle w:val="44"/>
        <w:tblW w:w="86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5"/>
        <w:gridCol w:w="975"/>
        <w:gridCol w:w="1118"/>
        <w:gridCol w:w="912"/>
        <w:gridCol w:w="1523"/>
        <w:gridCol w:w="1100"/>
        <w:gridCol w:w="1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vMerge w:val="restar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污染物项目</w:t>
            </w:r>
          </w:p>
        </w:tc>
        <w:tc>
          <w:tcPr>
            <w:tcW w:w="975" w:type="dxa"/>
            <w:vMerge w:val="restart"/>
            <w:vAlign w:val="center"/>
          </w:tcPr>
          <w:p>
            <w:pPr>
              <w:pStyle w:val="167"/>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排气筒名称</w:t>
            </w:r>
          </w:p>
        </w:tc>
        <w:tc>
          <w:tcPr>
            <w:tcW w:w="3553" w:type="dxa"/>
            <w:gridSpan w:val="3"/>
            <w:vAlign w:val="center"/>
          </w:tcPr>
          <w:p>
            <w:pPr>
              <w:pStyle w:val="167"/>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w:t>
            </w:r>
            <w:r>
              <w:rPr>
                <w:rFonts w:hint="default" w:ascii="Times New Roman" w:hAnsi="Times New Roman" w:eastAsia="宋体" w:cs="Times New Roman"/>
                <w:color w:val="auto"/>
                <w:kern w:val="2"/>
              </w:rPr>
              <w:t>大气污染物综合排放标准</w:t>
            </w:r>
            <w:r>
              <w:rPr>
                <w:rFonts w:hint="default" w:ascii="Times New Roman" w:hAnsi="Times New Roman" w:cs="Times New Roman"/>
                <w:color w:val="auto"/>
                <w:lang w:eastAsia="zh-CN"/>
              </w:rPr>
              <w:t>》</w:t>
            </w:r>
          </w:p>
        </w:tc>
        <w:tc>
          <w:tcPr>
            <w:tcW w:w="2712" w:type="dxa"/>
            <w:gridSpan w:val="2"/>
            <w:vMerge w:val="restart"/>
            <w:shd w:val="clear" w:color="auto" w:fill="auto"/>
            <w:vAlign w:val="center"/>
          </w:tcPr>
          <w:p>
            <w:pPr>
              <w:pStyle w:val="167"/>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本项目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vMerge w:val="continue"/>
            <w:vAlign w:val="center"/>
          </w:tcPr>
          <w:p>
            <w:pPr>
              <w:pStyle w:val="167"/>
              <w:rPr>
                <w:rFonts w:hint="default" w:ascii="Times New Roman" w:hAnsi="Times New Roman" w:cs="Times New Roman"/>
                <w:color w:val="auto"/>
              </w:rPr>
            </w:pPr>
          </w:p>
        </w:tc>
        <w:tc>
          <w:tcPr>
            <w:tcW w:w="975" w:type="dxa"/>
            <w:vMerge w:val="continue"/>
            <w:vAlign w:val="center"/>
          </w:tcPr>
          <w:p>
            <w:pPr>
              <w:pStyle w:val="167"/>
              <w:rPr>
                <w:rFonts w:hint="default" w:ascii="Times New Roman" w:hAnsi="Times New Roman" w:eastAsia="宋体" w:cs="Times New Roman"/>
                <w:color w:val="auto"/>
                <w:lang w:eastAsia="zh-CN"/>
              </w:rPr>
            </w:pPr>
          </w:p>
        </w:tc>
        <w:tc>
          <w:tcPr>
            <w:tcW w:w="1118" w:type="dxa"/>
            <w:vMerge w:val="restar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最高允许排放浓度</w:t>
            </w:r>
          </w:p>
        </w:tc>
        <w:tc>
          <w:tcPr>
            <w:tcW w:w="2435" w:type="dxa"/>
            <w:gridSpan w:val="2"/>
            <w:shd w:val="clear" w:color="auto" w:fill="auto"/>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最高允许排放速率</w:t>
            </w:r>
          </w:p>
        </w:tc>
        <w:tc>
          <w:tcPr>
            <w:tcW w:w="2712" w:type="dxa"/>
            <w:gridSpan w:val="2"/>
            <w:vMerge w:val="continue"/>
            <w:shd w:val="clear" w:color="auto" w:fill="auto"/>
            <w:vAlign w:val="center"/>
          </w:tcPr>
          <w:p>
            <w:pPr>
              <w:pStyle w:val="167"/>
              <w:rPr>
                <w:rFonts w:hint="default" w:ascii="Times New Roman" w:hAnsi="Times New Roman" w:eastAsia="宋体" w:cs="Times New Roman"/>
                <w:color w:val="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vMerge w:val="continue"/>
            <w:vAlign w:val="center"/>
          </w:tcPr>
          <w:p>
            <w:pPr>
              <w:pStyle w:val="167"/>
              <w:rPr>
                <w:rFonts w:hint="default" w:ascii="Times New Roman" w:hAnsi="Times New Roman" w:cs="Times New Roman"/>
                <w:color w:val="auto"/>
              </w:rPr>
            </w:pPr>
          </w:p>
        </w:tc>
        <w:tc>
          <w:tcPr>
            <w:tcW w:w="975" w:type="dxa"/>
            <w:vMerge w:val="continue"/>
            <w:vAlign w:val="center"/>
          </w:tcPr>
          <w:p>
            <w:pPr>
              <w:pStyle w:val="167"/>
              <w:rPr>
                <w:rFonts w:hint="default" w:ascii="Times New Roman" w:hAnsi="Times New Roman" w:cs="Times New Roman"/>
                <w:color w:val="auto"/>
              </w:rPr>
            </w:pPr>
          </w:p>
        </w:tc>
        <w:tc>
          <w:tcPr>
            <w:tcW w:w="1118" w:type="dxa"/>
            <w:vMerge w:val="continue"/>
            <w:vAlign w:val="center"/>
          </w:tcPr>
          <w:p>
            <w:pPr>
              <w:pStyle w:val="167"/>
              <w:rPr>
                <w:rFonts w:hint="default" w:ascii="Times New Roman" w:hAnsi="Times New Roman" w:cs="Times New Roman"/>
                <w:color w:val="auto"/>
              </w:rPr>
            </w:pPr>
          </w:p>
        </w:tc>
        <w:tc>
          <w:tcPr>
            <w:tcW w:w="912" w:type="dxa"/>
            <w:shd w:val="clear" w:color="auto" w:fill="auto"/>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排气筒高度</w:t>
            </w:r>
          </w:p>
        </w:tc>
        <w:tc>
          <w:tcPr>
            <w:tcW w:w="1523" w:type="dxa"/>
            <w:shd w:val="clear" w:color="auto" w:fill="auto"/>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二级</w:t>
            </w:r>
          </w:p>
        </w:tc>
        <w:tc>
          <w:tcPr>
            <w:tcW w:w="1100" w:type="dxa"/>
            <w:shd w:val="clear" w:color="auto" w:fill="auto"/>
            <w:vAlign w:val="center"/>
          </w:tcPr>
          <w:p>
            <w:pPr>
              <w:pStyle w:val="167"/>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最高允许排放浓度</w:t>
            </w:r>
          </w:p>
        </w:tc>
        <w:tc>
          <w:tcPr>
            <w:tcW w:w="1612" w:type="dxa"/>
            <w:shd w:val="clear" w:color="auto" w:fill="auto"/>
            <w:vAlign w:val="center"/>
          </w:tcPr>
          <w:p>
            <w:pPr>
              <w:pStyle w:val="167"/>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最高允许排放速率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65" w:type="dxa"/>
            <w:vAlign w:val="center"/>
          </w:tcPr>
          <w:p>
            <w:pPr>
              <w:pStyle w:val="167"/>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非甲烷总烃</w:t>
            </w:r>
          </w:p>
        </w:tc>
        <w:tc>
          <w:tcPr>
            <w:tcW w:w="975" w:type="dxa"/>
            <w:vAlign w:val="center"/>
          </w:tcPr>
          <w:p>
            <w:pPr>
              <w:pStyle w:val="167"/>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DA008</w:t>
            </w:r>
          </w:p>
        </w:tc>
        <w:tc>
          <w:tcPr>
            <w:tcW w:w="1118"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120mg/m</w:t>
            </w:r>
            <w:r>
              <w:rPr>
                <w:rFonts w:hint="default" w:ascii="Times New Roman" w:hAnsi="Times New Roman" w:cs="Times New Roman"/>
                <w:color w:val="auto"/>
                <w:vertAlign w:val="superscript"/>
              </w:rPr>
              <w:t>3</w:t>
            </w:r>
          </w:p>
        </w:tc>
        <w:tc>
          <w:tcPr>
            <w:tcW w:w="912"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lang w:val="en-US" w:eastAsia="zh-CN"/>
              </w:rPr>
              <w:t>15m</w:t>
            </w:r>
          </w:p>
        </w:tc>
        <w:tc>
          <w:tcPr>
            <w:tcW w:w="1523"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lang w:val="en-US" w:eastAsia="zh-CN"/>
              </w:rPr>
              <w:t>10</w:t>
            </w:r>
            <w:r>
              <w:rPr>
                <w:rFonts w:hint="default" w:ascii="Times New Roman" w:hAnsi="Times New Roman" w:cs="Times New Roman"/>
                <w:color w:val="auto"/>
              </w:rPr>
              <w:t>kg/h</w:t>
            </w:r>
          </w:p>
        </w:tc>
        <w:tc>
          <w:tcPr>
            <w:tcW w:w="1100" w:type="dxa"/>
            <w:vAlign w:val="center"/>
          </w:tcPr>
          <w:p>
            <w:pPr>
              <w:pStyle w:val="167"/>
              <w:rPr>
                <w:rFonts w:hint="default" w:ascii="Times New Roman" w:hAnsi="Times New Roman" w:cs="Times New Roman"/>
                <w:color w:val="auto"/>
                <w:lang w:val="en-US" w:eastAsia="zh-CN"/>
              </w:rPr>
            </w:pPr>
            <w:r>
              <w:rPr>
                <w:rFonts w:hint="default" w:ascii="Times New Roman" w:hAnsi="Times New Roman" w:cs="Times New Roman"/>
                <w:color w:val="auto"/>
              </w:rPr>
              <w:t>120mg/m</w:t>
            </w:r>
            <w:r>
              <w:rPr>
                <w:rFonts w:hint="default" w:ascii="Times New Roman" w:hAnsi="Times New Roman" w:cs="Times New Roman"/>
                <w:color w:val="auto"/>
                <w:vertAlign w:val="superscript"/>
              </w:rPr>
              <w:t>3</w:t>
            </w:r>
          </w:p>
        </w:tc>
        <w:tc>
          <w:tcPr>
            <w:tcW w:w="1612" w:type="dxa"/>
            <w:vAlign w:val="center"/>
          </w:tcPr>
          <w:p>
            <w:pPr>
              <w:pStyle w:val="16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5</w:t>
            </w:r>
            <w:r>
              <w:rPr>
                <w:rFonts w:hint="default" w:ascii="Times New Roman" w:hAnsi="Times New Roman" w:cs="Times New Roman"/>
                <w:color w:val="auto"/>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65" w:type="dxa"/>
            <w:vAlign w:val="center"/>
          </w:tcPr>
          <w:p>
            <w:pPr>
              <w:pStyle w:val="167"/>
              <w:rPr>
                <w:rFonts w:hint="default" w:ascii="Times New Roman" w:hAnsi="Times New Roman" w:cs="Times New Roman"/>
                <w:color w:val="auto"/>
                <w:lang w:eastAsia="zh-CN"/>
              </w:rPr>
            </w:pPr>
            <w:r>
              <w:rPr>
                <w:rFonts w:hint="default" w:ascii="Times New Roman" w:hAnsi="Times New Roman" w:cs="Times New Roman"/>
                <w:color w:val="auto"/>
                <w:lang w:eastAsia="zh-CN"/>
              </w:rPr>
              <w:t>颗粒物</w:t>
            </w:r>
          </w:p>
        </w:tc>
        <w:tc>
          <w:tcPr>
            <w:tcW w:w="975" w:type="dxa"/>
            <w:vAlign w:val="center"/>
          </w:tcPr>
          <w:p>
            <w:pPr>
              <w:pStyle w:val="16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DA009</w:t>
            </w:r>
          </w:p>
        </w:tc>
        <w:tc>
          <w:tcPr>
            <w:tcW w:w="1118"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120mg/m</w:t>
            </w:r>
            <w:r>
              <w:rPr>
                <w:rFonts w:hint="default" w:ascii="Times New Roman" w:hAnsi="Times New Roman" w:cs="Times New Roman"/>
                <w:color w:val="auto"/>
                <w:vertAlign w:val="superscript"/>
              </w:rPr>
              <w:t>3</w:t>
            </w:r>
          </w:p>
        </w:tc>
        <w:tc>
          <w:tcPr>
            <w:tcW w:w="912" w:type="dxa"/>
            <w:vAlign w:val="center"/>
          </w:tcPr>
          <w:p>
            <w:pPr>
              <w:pStyle w:val="16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15m</w:t>
            </w:r>
          </w:p>
        </w:tc>
        <w:tc>
          <w:tcPr>
            <w:tcW w:w="1523" w:type="dxa"/>
            <w:vAlign w:val="center"/>
          </w:tcPr>
          <w:p>
            <w:pPr>
              <w:pStyle w:val="16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3.5kg/h</w:t>
            </w:r>
          </w:p>
        </w:tc>
        <w:tc>
          <w:tcPr>
            <w:tcW w:w="1100" w:type="dxa"/>
            <w:vAlign w:val="center"/>
          </w:tcPr>
          <w:p>
            <w:pPr>
              <w:pStyle w:val="167"/>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cs="Times New Roman"/>
                <w:color w:val="auto"/>
              </w:rPr>
              <w:t>120mg/m</w:t>
            </w:r>
            <w:r>
              <w:rPr>
                <w:rFonts w:hint="default" w:ascii="Times New Roman" w:hAnsi="Times New Roman" w:cs="Times New Roman"/>
                <w:color w:val="auto"/>
                <w:vertAlign w:val="superscript"/>
              </w:rPr>
              <w:t>3</w:t>
            </w:r>
          </w:p>
        </w:tc>
        <w:tc>
          <w:tcPr>
            <w:tcW w:w="1612" w:type="dxa"/>
            <w:vAlign w:val="center"/>
          </w:tcPr>
          <w:p>
            <w:pPr>
              <w:pStyle w:val="167"/>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cs="Times New Roman"/>
                <w:color w:val="auto"/>
                <w:lang w:val="en-US" w:eastAsia="zh-CN"/>
              </w:rPr>
              <w:t>1.75</w:t>
            </w:r>
            <w:r>
              <w:rPr>
                <w:rFonts w:hint="default" w:ascii="Times New Roman" w:hAnsi="Times New Roman" w:cs="Times New Roman"/>
                <w:color w:val="auto"/>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65" w:type="dxa"/>
            <w:vAlign w:val="center"/>
          </w:tcPr>
          <w:p>
            <w:pPr>
              <w:pStyle w:val="167"/>
              <w:rPr>
                <w:rFonts w:hint="default" w:ascii="Times New Roman" w:hAnsi="Times New Roman" w:cs="Times New Roman"/>
                <w:color w:val="auto"/>
                <w:lang w:eastAsia="zh-CN"/>
              </w:rPr>
            </w:pPr>
            <w:r>
              <w:rPr>
                <w:rFonts w:hint="default" w:ascii="Times New Roman" w:hAnsi="Times New Roman" w:cs="Times New Roman"/>
                <w:color w:val="auto"/>
                <w:lang w:eastAsia="zh-CN"/>
              </w:rPr>
              <w:t>氟化物</w:t>
            </w:r>
          </w:p>
        </w:tc>
        <w:tc>
          <w:tcPr>
            <w:tcW w:w="975" w:type="dxa"/>
            <w:vAlign w:val="center"/>
          </w:tcPr>
          <w:p>
            <w:pPr>
              <w:pStyle w:val="16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DA011</w:t>
            </w:r>
          </w:p>
        </w:tc>
        <w:tc>
          <w:tcPr>
            <w:tcW w:w="1118" w:type="dxa"/>
            <w:vAlign w:val="center"/>
          </w:tcPr>
          <w:p>
            <w:pPr>
              <w:pStyle w:val="167"/>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9.0</w:t>
            </w:r>
            <w:r>
              <w:rPr>
                <w:rFonts w:hint="default" w:ascii="Times New Roman" w:hAnsi="Times New Roman" w:cs="Times New Roman"/>
                <w:color w:val="auto"/>
              </w:rPr>
              <w:t>mg/m</w:t>
            </w:r>
            <w:r>
              <w:rPr>
                <w:rFonts w:hint="default" w:ascii="Times New Roman" w:hAnsi="Times New Roman" w:cs="Times New Roman"/>
                <w:color w:val="auto"/>
                <w:vertAlign w:val="superscript"/>
              </w:rPr>
              <w:t>3</w:t>
            </w:r>
          </w:p>
        </w:tc>
        <w:tc>
          <w:tcPr>
            <w:tcW w:w="912" w:type="dxa"/>
            <w:vAlign w:val="center"/>
          </w:tcPr>
          <w:p>
            <w:pPr>
              <w:pStyle w:val="16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15m</w:t>
            </w:r>
          </w:p>
        </w:tc>
        <w:tc>
          <w:tcPr>
            <w:tcW w:w="1523" w:type="dxa"/>
            <w:vAlign w:val="center"/>
          </w:tcPr>
          <w:p>
            <w:pPr>
              <w:pStyle w:val="16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0.10kg/h</w:t>
            </w:r>
          </w:p>
        </w:tc>
        <w:tc>
          <w:tcPr>
            <w:tcW w:w="1100"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lang w:val="en-US" w:eastAsia="zh-CN"/>
              </w:rPr>
              <w:t>9.0</w:t>
            </w:r>
            <w:r>
              <w:rPr>
                <w:rFonts w:hint="default" w:ascii="Times New Roman" w:hAnsi="Times New Roman" w:cs="Times New Roman"/>
                <w:color w:val="auto"/>
              </w:rPr>
              <w:t>mg/m</w:t>
            </w:r>
            <w:r>
              <w:rPr>
                <w:rFonts w:hint="default" w:ascii="Times New Roman" w:hAnsi="Times New Roman" w:cs="Times New Roman"/>
                <w:color w:val="auto"/>
                <w:vertAlign w:val="superscript"/>
              </w:rPr>
              <w:t>3</w:t>
            </w:r>
          </w:p>
        </w:tc>
        <w:tc>
          <w:tcPr>
            <w:tcW w:w="1612" w:type="dxa"/>
            <w:vAlign w:val="center"/>
          </w:tcPr>
          <w:p>
            <w:pPr>
              <w:pStyle w:val="16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0.05kg/h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vMerge w:val="restar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污染物项目</w:t>
            </w:r>
          </w:p>
        </w:tc>
        <w:tc>
          <w:tcPr>
            <w:tcW w:w="975" w:type="dxa"/>
            <w:vMerge w:val="restart"/>
            <w:vAlign w:val="center"/>
          </w:tcPr>
          <w:p>
            <w:pPr>
              <w:pStyle w:val="167"/>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排气筒名称</w:t>
            </w:r>
          </w:p>
        </w:tc>
        <w:tc>
          <w:tcPr>
            <w:tcW w:w="3553" w:type="dxa"/>
            <w:gridSpan w:val="3"/>
            <w:vAlign w:val="center"/>
          </w:tcPr>
          <w:p>
            <w:pPr>
              <w:pStyle w:val="167"/>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w:t>
            </w:r>
            <w:r>
              <w:rPr>
                <w:rFonts w:hint="default" w:ascii="Times New Roman" w:hAnsi="Times New Roman" w:cs="Times New Roman"/>
                <w:color w:val="auto"/>
                <w:kern w:val="2"/>
                <w:lang w:eastAsia="zh-CN"/>
              </w:rPr>
              <w:t>恶臭污染物排放标准</w:t>
            </w:r>
            <w:r>
              <w:rPr>
                <w:rFonts w:hint="default" w:ascii="Times New Roman" w:hAnsi="Times New Roman" w:cs="Times New Roman"/>
                <w:color w:val="auto"/>
                <w:lang w:eastAsia="zh-CN"/>
              </w:rPr>
              <w:t>》</w:t>
            </w:r>
          </w:p>
        </w:tc>
        <w:tc>
          <w:tcPr>
            <w:tcW w:w="2712" w:type="dxa"/>
            <w:gridSpan w:val="2"/>
            <w:vMerge w:val="restart"/>
            <w:shd w:val="clear" w:color="auto" w:fill="auto"/>
            <w:vAlign w:val="center"/>
          </w:tcPr>
          <w:p>
            <w:pPr>
              <w:pStyle w:val="167"/>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本项目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vMerge w:val="continue"/>
            <w:vAlign w:val="center"/>
          </w:tcPr>
          <w:p>
            <w:pPr>
              <w:pStyle w:val="167"/>
              <w:rPr>
                <w:rFonts w:hint="default" w:ascii="Times New Roman" w:hAnsi="Times New Roman" w:cs="Times New Roman"/>
                <w:color w:val="auto"/>
              </w:rPr>
            </w:pPr>
          </w:p>
        </w:tc>
        <w:tc>
          <w:tcPr>
            <w:tcW w:w="975" w:type="dxa"/>
            <w:vMerge w:val="continue"/>
            <w:vAlign w:val="center"/>
          </w:tcPr>
          <w:p>
            <w:pPr>
              <w:pStyle w:val="167"/>
              <w:rPr>
                <w:rFonts w:hint="default" w:ascii="Times New Roman" w:hAnsi="Times New Roman" w:eastAsia="宋体" w:cs="Times New Roman"/>
                <w:color w:val="auto"/>
                <w:lang w:eastAsia="zh-CN"/>
              </w:rPr>
            </w:pPr>
          </w:p>
        </w:tc>
        <w:tc>
          <w:tcPr>
            <w:tcW w:w="1118" w:type="dxa"/>
            <w:vMerge w:val="restar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最高允许排放浓度</w:t>
            </w:r>
          </w:p>
        </w:tc>
        <w:tc>
          <w:tcPr>
            <w:tcW w:w="2435" w:type="dxa"/>
            <w:gridSpan w:val="2"/>
            <w:shd w:val="clear" w:color="auto" w:fill="auto"/>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最高允许排放速率</w:t>
            </w:r>
          </w:p>
        </w:tc>
        <w:tc>
          <w:tcPr>
            <w:tcW w:w="2712" w:type="dxa"/>
            <w:gridSpan w:val="2"/>
            <w:vMerge w:val="continue"/>
            <w:shd w:val="clear" w:color="auto" w:fill="auto"/>
            <w:vAlign w:val="center"/>
          </w:tcPr>
          <w:p>
            <w:pPr>
              <w:pStyle w:val="167"/>
              <w:rPr>
                <w:rFonts w:hint="default" w:ascii="Times New Roman" w:hAnsi="Times New Roman" w:eastAsia="宋体" w:cs="Times New Roman"/>
                <w:color w:val="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vMerge w:val="continue"/>
            <w:vAlign w:val="center"/>
          </w:tcPr>
          <w:p>
            <w:pPr>
              <w:pStyle w:val="167"/>
              <w:rPr>
                <w:rFonts w:hint="default" w:ascii="Times New Roman" w:hAnsi="Times New Roman" w:cs="Times New Roman"/>
                <w:color w:val="auto"/>
              </w:rPr>
            </w:pPr>
          </w:p>
        </w:tc>
        <w:tc>
          <w:tcPr>
            <w:tcW w:w="975" w:type="dxa"/>
            <w:vMerge w:val="continue"/>
            <w:vAlign w:val="center"/>
          </w:tcPr>
          <w:p>
            <w:pPr>
              <w:pStyle w:val="167"/>
              <w:rPr>
                <w:rFonts w:hint="default" w:ascii="Times New Roman" w:hAnsi="Times New Roman" w:cs="Times New Roman"/>
                <w:color w:val="auto"/>
              </w:rPr>
            </w:pPr>
          </w:p>
        </w:tc>
        <w:tc>
          <w:tcPr>
            <w:tcW w:w="1118" w:type="dxa"/>
            <w:vMerge w:val="continue"/>
            <w:vAlign w:val="center"/>
          </w:tcPr>
          <w:p>
            <w:pPr>
              <w:pStyle w:val="167"/>
              <w:rPr>
                <w:rFonts w:hint="default" w:ascii="Times New Roman" w:hAnsi="Times New Roman" w:cs="Times New Roman"/>
                <w:color w:val="auto"/>
              </w:rPr>
            </w:pPr>
          </w:p>
        </w:tc>
        <w:tc>
          <w:tcPr>
            <w:tcW w:w="912" w:type="dxa"/>
            <w:shd w:val="clear" w:color="auto" w:fill="auto"/>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排气筒高度</w:t>
            </w:r>
          </w:p>
        </w:tc>
        <w:tc>
          <w:tcPr>
            <w:tcW w:w="1523" w:type="dxa"/>
            <w:shd w:val="clear" w:color="auto" w:fill="auto"/>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二级</w:t>
            </w:r>
          </w:p>
        </w:tc>
        <w:tc>
          <w:tcPr>
            <w:tcW w:w="1100" w:type="dxa"/>
            <w:shd w:val="clear" w:color="auto" w:fill="auto"/>
            <w:vAlign w:val="center"/>
          </w:tcPr>
          <w:p>
            <w:pPr>
              <w:pStyle w:val="167"/>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最高允许排放浓度</w:t>
            </w:r>
          </w:p>
        </w:tc>
        <w:tc>
          <w:tcPr>
            <w:tcW w:w="1612" w:type="dxa"/>
            <w:shd w:val="clear" w:color="auto" w:fill="auto"/>
            <w:vAlign w:val="center"/>
          </w:tcPr>
          <w:p>
            <w:pPr>
              <w:pStyle w:val="167"/>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最高允许排放速率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1365" w:type="dxa"/>
            <w:vAlign w:val="center"/>
          </w:tcPr>
          <w:p>
            <w:pPr>
              <w:pStyle w:val="167"/>
              <w:rPr>
                <w:rFonts w:hint="default" w:ascii="Times New Roman" w:hAnsi="Times New Roman" w:cs="Times New Roman"/>
                <w:color w:val="auto"/>
                <w:lang w:eastAsia="zh-CN"/>
              </w:rPr>
            </w:pPr>
            <w:r>
              <w:rPr>
                <w:rFonts w:hint="default" w:ascii="Times New Roman" w:hAnsi="Times New Roman" w:cs="Times New Roman"/>
                <w:color w:val="auto"/>
                <w:lang w:eastAsia="zh-CN"/>
              </w:rPr>
              <w:t>氨</w:t>
            </w:r>
          </w:p>
        </w:tc>
        <w:tc>
          <w:tcPr>
            <w:tcW w:w="975" w:type="dxa"/>
            <w:vMerge w:val="restart"/>
            <w:vAlign w:val="center"/>
          </w:tcPr>
          <w:p>
            <w:pPr>
              <w:pStyle w:val="16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DA010</w:t>
            </w:r>
          </w:p>
        </w:tc>
        <w:tc>
          <w:tcPr>
            <w:tcW w:w="1118" w:type="dxa"/>
            <w:vAlign w:val="center"/>
          </w:tcPr>
          <w:p>
            <w:pPr>
              <w:pStyle w:val="167"/>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w:t>
            </w:r>
          </w:p>
        </w:tc>
        <w:tc>
          <w:tcPr>
            <w:tcW w:w="912" w:type="dxa"/>
            <w:vAlign w:val="center"/>
          </w:tcPr>
          <w:p>
            <w:pPr>
              <w:pStyle w:val="16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15m</w:t>
            </w:r>
          </w:p>
        </w:tc>
        <w:tc>
          <w:tcPr>
            <w:tcW w:w="1523" w:type="dxa"/>
            <w:vAlign w:val="center"/>
          </w:tcPr>
          <w:p>
            <w:pPr>
              <w:pStyle w:val="16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4.9kg/h</w:t>
            </w:r>
          </w:p>
        </w:tc>
        <w:tc>
          <w:tcPr>
            <w:tcW w:w="1100" w:type="dxa"/>
            <w:vAlign w:val="center"/>
          </w:tcPr>
          <w:p>
            <w:pPr>
              <w:pStyle w:val="167"/>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w:t>
            </w:r>
          </w:p>
        </w:tc>
        <w:tc>
          <w:tcPr>
            <w:tcW w:w="1612" w:type="dxa"/>
            <w:vAlign w:val="center"/>
          </w:tcPr>
          <w:p>
            <w:pPr>
              <w:pStyle w:val="16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4.9kg/h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1365" w:type="dxa"/>
            <w:vAlign w:val="center"/>
          </w:tcPr>
          <w:p>
            <w:pPr>
              <w:pStyle w:val="167"/>
              <w:rPr>
                <w:rFonts w:hint="default" w:ascii="Times New Roman" w:hAnsi="Times New Roman" w:cs="Times New Roman"/>
                <w:color w:val="auto"/>
                <w:lang w:eastAsia="zh-CN"/>
              </w:rPr>
            </w:pPr>
            <w:r>
              <w:rPr>
                <w:rFonts w:hint="default" w:ascii="Times New Roman" w:hAnsi="Times New Roman" w:cs="Times New Roman"/>
                <w:color w:val="auto"/>
                <w:lang w:eastAsia="zh-CN"/>
              </w:rPr>
              <w:t>硫化氢</w:t>
            </w:r>
          </w:p>
        </w:tc>
        <w:tc>
          <w:tcPr>
            <w:tcW w:w="975" w:type="dxa"/>
            <w:vMerge w:val="continue"/>
            <w:vAlign w:val="center"/>
          </w:tcPr>
          <w:p>
            <w:pPr>
              <w:pStyle w:val="167"/>
              <w:rPr>
                <w:rFonts w:hint="default" w:ascii="Times New Roman" w:hAnsi="Times New Roman" w:cs="Times New Roman"/>
                <w:color w:val="auto"/>
                <w:lang w:val="en-US" w:eastAsia="zh-CN"/>
              </w:rPr>
            </w:pPr>
          </w:p>
        </w:tc>
        <w:tc>
          <w:tcPr>
            <w:tcW w:w="1118" w:type="dxa"/>
            <w:vAlign w:val="center"/>
          </w:tcPr>
          <w:p>
            <w:pPr>
              <w:pStyle w:val="167"/>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w:t>
            </w:r>
          </w:p>
        </w:tc>
        <w:tc>
          <w:tcPr>
            <w:tcW w:w="912" w:type="dxa"/>
            <w:vAlign w:val="center"/>
          </w:tcPr>
          <w:p>
            <w:pPr>
              <w:pStyle w:val="16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15m</w:t>
            </w:r>
          </w:p>
        </w:tc>
        <w:tc>
          <w:tcPr>
            <w:tcW w:w="1523" w:type="dxa"/>
            <w:vAlign w:val="center"/>
          </w:tcPr>
          <w:p>
            <w:pPr>
              <w:pStyle w:val="16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0.33kg/h</w:t>
            </w:r>
          </w:p>
        </w:tc>
        <w:tc>
          <w:tcPr>
            <w:tcW w:w="1100" w:type="dxa"/>
            <w:vAlign w:val="center"/>
          </w:tcPr>
          <w:p>
            <w:pPr>
              <w:pStyle w:val="167"/>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w:t>
            </w:r>
          </w:p>
        </w:tc>
        <w:tc>
          <w:tcPr>
            <w:tcW w:w="1612" w:type="dxa"/>
            <w:vAlign w:val="center"/>
          </w:tcPr>
          <w:p>
            <w:pPr>
              <w:pStyle w:val="16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0.33kg/h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1365" w:type="dxa"/>
            <w:vAlign w:val="center"/>
          </w:tcPr>
          <w:p>
            <w:pPr>
              <w:pStyle w:val="167"/>
              <w:rPr>
                <w:rFonts w:hint="default" w:ascii="Times New Roman" w:hAnsi="Times New Roman" w:cs="Times New Roman"/>
                <w:color w:val="auto"/>
                <w:lang w:eastAsia="zh-CN"/>
              </w:rPr>
            </w:pPr>
            <w:r>
              <w:rPr>
                <w:rFonts w:hint="default" w:ascii="Times New Roman" w:hAnsi="Times New Roman" w:cs="Times New Roman"/>
                <w:color w:val="auto"/>
                <w:lang w:eastAsia="zh-CN"/>
              </w:rPr>
              <w:t>臭气浓度</w:t>
            </w:r>
          </w:p>
        </w:tc>
        <w:tc>
          <w:tcPr>
            <w:tcW w:w="975" w:type="dxa"/>
            <w:vMerge w:val="continue"/>
            <w:vAlign w:val="center"/>
          </w:tcPr>
          <w:p>
            <w:pPr>
              <w:pStyle w:val="167"/>
              <w:rPr>
                <w:rFonts w:hint="default" w:ascii="Times New Roman" w:hAnsi="Times New Roman" w:cs="Times New Roman"/>
                <w:color w:val="auto"/>
                <w:lang w:val="en-US" w:eastAsia="zh-CN"/>
              </w:rPr>
            </w:pPr>
          </w:p>
        </w:tc>
        <w:tc>
          <w:tcPr>
            <w:tcW w:w="1118" w:type="dxa"/>
            <w:vAlign w:val="center"/>
          </w:tcPr>
          <w:p>
            <w:pPr>
              <w:pStyle w:val="16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912" w:type="dxa"/>
            <w:vAlign w:val="center"/>
          </w:tcPr>
          <w:p>
            <w:pPr>
              <w:pStyle w:val="16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15m</w:t>
            </w:r>
          </w:p>
        </w:tc>
        <w:tc>
          <w:tcPr>
            <w:tcW w:w="1523" w:type="dxa"/>
            <w:vAlign w:val="center"/>
          </w:tcPr>
          <w:p>
            <w:pPr>
              <w:pStyle w:val="16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2000（无量纲）</w:t>
            </w:r>
          </w:p>
        </w:tc>
        <w:tc>
          <w:tcPr>
            <w:tcW w:w="1100" w:type="dxa"/>
            <w:vAlign w:val="center"/>
          </w:tcPr>
          <w:p>
            <w:pPr>
              <w:pStyle w:val="16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1612" w:type="dxa"/>
            <w:vAlign w:val="center"/>
          </w:tcPr>
          <w:p>
            <w:pPr>
              <w:pStyle w:val="16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2000（无量纲）</w:t>
            </w:r>
          </w:p>
        </w:tc>
      </w:tr>
    </w:tbl>
    <w:p>
      <w:pPr>
        <w:pStyle w:val="133"/>
        <w:numPr>
          <w:ilvl w:val="1"/>
          <w:numId w:val="6"/>
        </w:numPr>
        <w:spacing w:beforeLines="50" w:line="360" w:lineRule="auto"/>
        <w:ind w:left="0"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rPr>
        <w:t>厂区内无组织排放</w:t>
      </w:r>
      <w:r>
        <w:rPr>
          <w:rFonts w:hint="default" w:ascii="Times New Roman" w:hAnsi="Times New Roman" w:cs="Times New Roman"/>
          <w:b/>
          <w:bCs/>
          <w:color w:val="auto"/>
          <w:lang w:eastAsia="zh-CN"/>
        </w:rPr>
        <w:t>污染物标准</w:t>
      </w:r>
      <w:r>
        <w:rPr>
          <w:rFonts w:hint="default" w:ascii="Times New Roman" w:hAnsi="Times New Roman" w:cs="Times New Roman"/>
          <w:b/>
          <w:bCs/>
          <w:color w:val="auto"/>
        </w:rPr>
        <w:t>限值</w:t>
      </w:r>
    </w:p>
    <w:tbl>
      <w:tblPr>
        <w:tblStyle w:val="44"/>
        <w:tblW w:w="80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4"/>
        <w:gridCol w:w="1636"/>
        <w:gridCol w:w="3783"/>
        <w:gridCol w:w="15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8000" w:type="dxa"/>
            <w:gridSpan w:val="4"/>
            <w:vAlign w:val="center"/>
          </w:tcPr>
          <w:p>
            <w:pPr>
              <w:pStyle w:val="167"/>
              <w:rPr>
                <w:rFonts w:hint="default" w:ascii="Times New Roman" w:hAnsi="Times New Roman" w:cs="Times New Roman"/>
                <w:color w:val="auto"/>
              </w:rPr>
            </w:pPr>
            <w:r>
              <w:rPr>
                <w:rFonts w:hint="default" w:ascii="Times New Roman" w:hAnsi="Times New Roman" w:eastAsia="宋体" w:cs="Times New Roman"/>
                <w:color w:val="auto"/>
                <w:kern w:val="2"/>
              </w:rPr>
              <w:t>《挥发性有机物无组织排放控制标准》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1034"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污染物项目</w:t>
            </w:r>
          </w:p>
        </w:tc>
        <w:tc>
          <w:tcPr>
            <w:tcW w:w="1636"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排放限值</w:t>
            </w:r>
          </w:p>
        </w:tc>
        <w:tc>
          <w:tcPr>
            <w:tcW w:w="3783"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限值含义</w:t>
            </w:r>
          </w:p>
        </w:tc>
        <w:tc>
          <w:tcPr>
            <w:tcW w:w="1547"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无组织排放监控位置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1034" w:type="dxa"/>
            <w:vMerge w:val="restar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NMHC</w:t>
            </w:r>
          </w:p>
        </w:tc>
        <w:tc>
          <w:tcPr>
            <w:tcW w:w="1636"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10</w:t>
            </w:r>
            <w:r>
              <w:rPr>
                <w:rFonts w:hint="default" w:ascii="Times New Roman" w:hAnsi="Times New Roman" w:cs="Times New Roman"/>
                <w:bCs/>
                <w:color w:val="auto"/>
                <w:szCs w:val="21"/>
              </w:rPr>
              <w:t>mg/m</w:t>
            </w:r>
            <w:r>
              <w:rPr>
                <w:rFonts w:hint="default" w:ascii="Times New Roman" w:hAnsi="Times New Roman" w:cs="Times New Roman"/>
                <w:bCs/>
                <w:color w:val="auto"/>
                <w:szCs w:val="21"/>
                <w:vertAlign w:val="superscript"/>
              </w:rPr>
              <w:t>3</w:t>
            </w:r>
          </w:p>
        </w:tc>
        <w:tc>
          <w:tcPr>
            <w:tcW w:w="3783"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监控点处1h平均浓度值</w:t>
            </w:r>
          </w:p>
        </w:tc>
        <w:tc>
          <w:tcPr>
            <w:tcW w:w="1547" w:type="dxa"/>
            <w:vMerge w:val="restar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在厂房外设置监控点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1034" w:type="dxa"/>
            <w:vMerge w:val="continue"/>
            <w:vAlign w:val="center"/>
          </w:tcPr>
          <w:p>
            <w:pPr>
              <w:pStyle w:val="167"/>
              <w:rPr>
                <w:rFonts w:hint="default" w:ascii="Times New Roman" w:hAnsi="Times New Roman" w:cs="Times New Roman"/>
                <w:color w:val="auto"/>
              </w:rPr>
            </w:pPr>
          </w:p>
        </w:tc>
        <w:tc>
          <w:tcPr>
            <w:tcW w:w="1636"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30</w:t>
            </w:r>
            <w:r>
              <w:rPr>
                <w:rFonts w:hint="default" w:ascii="Times New Roman" w:hAnsi="Times New Roman" w:cs="Times New Roman"/>
                <w:bCs/>
                <w:color w:val="auto"/>
                <w:szCs w:val="21"/>
              </w:rPr>
              <w:t>mg/m</w:t>
            </w:r>
            <w:r>
              <w:rPr>
                <w:rFonts w:hint="default" w:ascii="Times New Roman" w:hAnsi="Times New Roman" w:cs="Times New Roman"/>
                <w:bCs/>
                <w:color w:val="auto"/>
                <w:szCs w:val="21"/>
                <w:vertAlign w:val="superscript"/>
              </w:rPr>
              <w:t>3</w:t>
            </w:r>
          </w:p>
        </w:tc>
        <w:tc>
          <w:tcPr>
            <w:tcW w:w="3783"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监控点处任意一次浓度值</w:t>
            </w:r>
          </w:p>
        </w:tc>
        <w:tc>
          <w:tcPr>
            <w:tcW w:w="1547" w:type="dxa"/>
            <w:vMerge w:val="continue"/>
            <w:vAlign w:val="center"/>
          </w:tcPr>
          <w:p>
            <w:pPr>
              <w:pStyle w:val="167"/>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8000" w:type="dxa"/>
            <w:gridSpan w:val="4"/>
            <w:vAlign w:val="center"/>
          </w:tcPr>
          <w:p>
            <w:pPr>
              <w:pStyle w:val="167"/>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kern w:val="2"/>
                <w:lang w:eastAsia="zh-CN"/>
              </w:rPr>
              <w:t>恶臭污染物排放标准</w:t>
            </w:r>
            <w:r>
              <w:rPr>
                <w:rFonts w:hint="default" w:ascii="Times New Roman" w:hAnsi="Times New Roman" w:cs="Times New Roman"/>
                <w:color w:val="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1034" w:type="dxa"/>
            <w:vAlign w:val="center"/>
          </w:tcPr>
          <w:p>
            <w:pPr>
              <w:pStyle w:val="167"/>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cs="Times New Roman"/>
                <w:color w:val="auto"/>
              </w:rPr>
              <w:t>污染物项目</w:t>
            </w:r>
          </w:p>
        </w:tc>
        <w:tc>
          <w:tcPr>
            <w:tcW w:w="1636" w:type="dxa"/>
            <w:vAlign w:val="center"/>
          </w:tcPr>
          <w:p>
            <w:pPr>
              <w:pStyle w:val="167"/>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cs="Times New Roman"/>
                <w:color w:val="auto"/>
              </w:rPr>
              <w:t>排放限值</w:t>
            </w:r>
          </w:p>
        </w:tc>
        <w:tc>
          <w:tcPr>
            <w:tcW w:w="3783" w:type="dxa"/>
            <w:vAlign w:val="center"/>
          </w:tcPr>
          <w:p>
            <w:pPr>
              <w:pStyle w:val="167"/>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cs="Times New Roman"/>
                <w:color w:val="auto"/>
              </w:rPr>
              <w:t>限值含义</w:t>
            </w:r>
          </w:p>
        </w:tc>
        <w:tc>
          <w:tcPr>
            <w:tcW w:w="1547" w:type="dxa"/>
            <w:vAlign w:val="center"/>
          </w:tcPr>
          <w:p>
            <w:pPr>
              <w:pStyle w:val="167"/>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cs="Times New Roman"/>
                <w:color w:val="auto"/>
              </w:rPr>
              <w:t>无组织排放监控位置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1034" w:type="dxa"/>
            <w:vAlign w:val="center"/>
          </w:tcPr>
          <w:p>
            <w:pPr>
              <w:pStyle w:val="167"/>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氨</w:t>
            </w:r>
          </w:p>
        </w:tc>
        <w:tc>
          <w:tcPr>
            <w:tcW w:w="1636" w:type="dxa"/>
            <w:vAlign w:val="center"/>
          </w:tcPr>
          <w:p>
            <w:pPr>
              <w:pStyle w:val="167"/>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1.5</w:t>
            </w:r>
            <w:r>
              <w:rPr>
                <w:rFonts w:hint="default" w:ascii="Times New Roman" w:hAnsi="Times New Roman" w:cs="Times New Roman"/>
                <w:bCs/>
                <w:color w:val="auto"/>
                <w:szCs w:val="21"/>
              </w:rPr>
              <w:t>mg/m</w:t>
            </w:r>
            <w:r>
              <w:rPr>
                <w:rFonts w:hint="default" w:ascii="Times New Roman" w:hAnsi="Times New Roman" w:cs="Times New Roman"/>
                <w:bCs/>
                <w:color w:val="auto"/>
                <w:szCs w:val="21"/>
                <w:vertAlign w:val="superscript"/>
              </w:rPr>
              <w:t>3</w:t>
            </w:r>
          </w:p>
        </w:tc>
        <w:tc>
          <w:tcPr>
            <w:tcW w:w="3783" w:type="dxa"/>
            <w:vAlign w:val="center"/>
          </w:tcPr>
          <w:p>
            <w:pPr>
              <w:pStyle w:val="167"/>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w:t>
            </w:r>
          </w:p>
        </w:tc>
        <w:tc>
          <w:tcPr>
            <w:tcW w:w="1547" w:type="dxa"/>
            <w:vAlign w:val="center"/>
          </w:tcPr>
          <w:p>
            <w:pPr>
              <w:pStyle w:val="167"/>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厂界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1034" w:type="dxa"/>
            <w:vAlign w:val="center"/>
          </w:tcPr>
          <w:p>
            <w:pPr>
              <w:pStyle w:val="167"/>
              <w:rPr>
                <w:rFonts w:hint="default" w:ascii="Times New Roman" w:hAnsi="Times New Roman" w:cs="Times New Roman"/>
                <w:color w:val="auto"/>
                <w:lang w:eastAsia="zh-CN"/>
              </w:rPr>
            </w:pPr>
            <w:r>
              <w:rPr>
                <w:rFonts w:hint="default" w:ascii="Times New Roman" w:hAnsi="Times New Roman" w:cs="Times New Roman"/>
                <w:color w:val="auto"/>
                <w:lang w:eastAsia="zh-CN"/>
              </w:rPr>
              <w:t>硫化氢</w:t>
            </w:r>
          </w:p>
        </w:tc>
        <w:tc>
          <w:tcPr>
            <w:tcW w:w="1636" w:type="dxa"/>
            <w:vAlign w:val="center"/>
          </w:tcPr>
          <w:p>
            <w:pPr>
              <w:pStyle w:val="167"/>
              <w:rPr>
                <w:rFonts w:hint="default" w:ascii="Times New Roman" w:hAnsi="Times New Roman" w:eastAsia="宋体" w:cs="Times New Roman"/>
                <w:color w:val="auto"/>
                <w:vertAlign w:val="subscript"/>
                <w:lang w:val="en-US" w:eastAsia="zh-CN"/>
              </w:rPr>
            </w:pPr>
            <w:r>
              <w:rPr>
                <w:rFonts w:hint="default" w:ascii="Times New Roman" w:hAnsi="Times New Roman" w:cs="Times New Roman"/>
                <w:color w:val="auto"/>
                <w:lang w:val="en-US" w:eastAsia="zh-CN"/>
              </w:rPr>
              <w:t>0.06mg/m</w:t>
            </w:r>
            <w:r>
              <w:rPr>
                <w:rFonts w:hint="default" w:ascii="Times New Roman" w:hAnsi="Times New Roman" w:cs="Times New Roman"/>
                <w:color w:val="auto"/>
                <w:vertAlign w:val="superscript"/>
                <w:lang w:val="en-US" w:eastAsia="zh-CN"/>
              </w:rPr>
              <w:t>3</w:t>
            </w:r>
          </w:p>
        </w:tc>
        <w:tc>
          <w:tcPr>
            <w:tcW w:w="3783" w:type="dxa"/>
            <w:vAlign w:val="center"/>
          </w:tcPr>
          <w:p>
            <w:pPr>
              <w:pStyle w:val="167"/>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w:t>
            </w:r>
          </w:p>
        </w:tc>
        <w:tc>
          <w:tcPr>
            <w:tcW w:w="1547" w:type="dxa"/>
            <w:vAlign w:val="center"/>
          </w:tcPr>
          <w:p>
            <w:pPr>
              <w:pStyle w:val="167"/>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厂界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1034" w:type="dxa"/>
            <w:vAlign w:val="center"/>
          </w:tcPr>
          <w:p>
            <w:pPr>
              <w:pStyle w:val="167"/>
              <w:rPr>
                <w:rFonts w:hint="default" w:ascii="Times New Roman" w:hAnsi="Times New Roman" w:cs="Times New Roman"/>
                <w:color w:val="auto"/>
                <w:lang w:eastAsia="zh-CN"/>
              </w:rPr>
            </w:pPr>
            <w:r>
              <w:rPr>
                <w:rFonts w:hint="default" w:ascii="Times New Roman" w:hAnsi="Times New Roman" w:cs="Times New Roman"/>
                <w:color w:val="auto"/>
                <w:lang w:eastAsia="zh-CN"/>
              </w:rPr>
              <w:t>臭气浓度</w:t>
            </w:r>
          </w:p>
        </w:tc>
        <w:tc>
          <w:tcPr>
            <w:tcW w:w="1636" w:type="dxa"/>
            <w:vAlign w:val="center"/>
          </w:tcPr>
          <w:p>
            <w:pPr>
              <w:pStyle w:val="167"/>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20（无量纲）</w:t>
            </w:r>
          </w:p>
        </w:tc>
        <w:tc>
          <w:tcPr>
            <w:tcW w:w="3783" w:type="dxa"/>
            <w:vAlign w:val="center"/>
          </w:tcPr>
          <w:p>
            <w:pPr>
              <w:pStyle w:val="167"/>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w:t>
            </w:r>
          </w:p>
        </w:tc>
        <w:tc>
          <w:tcPr>
            <w:tcW w:w="1547" w:type="dxa"/>
            <w:vAlign w:val="center"/>
          </w:tcPr>
          <w:p>
            <w:pPr>
              <w:pStyle w:val="167"/>
              <w:rPr>
                <w:rFonts w:hint="default" w:ascii="Times New Roman" w:hAnsi="Times New Roman" w:cs="Times New Roman"/>
                <w:color w:val="auto"/>
                <w:lang w:eastAsia="zh-CN"/>
              </w:rPr>
            </w:pPr>
            <w:r>
              <w:rPr>
                <w:rFonts w:hint="default" w:ascii="Times New Roman" w:hAnsi="Times New Roman" w:cs="Times New Roman"/>
                <w:color w:val="auto"/>
                <w:lang w:eastAsia="zh-CN"/>
              </w:rPr>
              <w:t>厂界</w:t>
            </w:r>
          </w:p>
        </w:tc>
      </w:tr>
    </w:tbl>
    <w:p>
      <w:pPr>
        <w:widowControl/>
        <w:spacing w:beforeLines="50" w:line="360" w:lineRule="auto"/>
        <w:ind w:firstLine="480" w:firstLineChars="200"/>
        <w:rPr>
          <w:rFonts w:hint="default" w:ascii="Times New Roman" w:hAnsi="Times New Roman" w:eastAsia="宋体" w:cs="Times New Roman"/>
          <w:color w:val="auto"/>
          <w:lang w:eastAsia="zh-CN"/>
        </w:rPr>
      </w:pPr>
      <w:r>
        <w:rPr>
          <w:rFonts w:hint="default" w:ascii="Times New Roman" w:hAnsi="Times New Roman" w:cs="Times New Roman"/>
          <w:color w:val="auto"/>
        </w:rPr>
        <w:t>（2）废水：项目运营期实行雨污分流，雨水通过排水沟进入市政雨水管网；生产废水、生活废水通过相应</w:t>
      </w:r>
      <w:r>
        <w:rPr>
          <w:rFonts w:hint="default" w:ascii="Times New Roman" w:hAnsi="Times New Roman" w:cs="Times New Roman"/>
          <w:color w:val="auto"/>
          <w:lang w:eastAsia="zh-CN"/>
        </w:rPr>
        <w:t>废水</w:t>
      </w:r>
      <w:r>
        <w:rPr>
          <w:rFonts w:hint="default" w:ascii="Times New Roman" w:hAnsi="Times New Roman" w:cs="Times New Roman"/>
          <w:color w:val="auto"/>
        </w:rPr>
        <w:t>处理设施处理达标后通过一个总排口排入市政污水管网，</w:t>
      </w:r>
      <w:r>
        <w:rPr>
          <w:rFonts w:hint="default" w:ascii="Times New Roman" w:hAnsi="Times New Roman" w:cs="Times New Roman"/>
          <w:color w:val="auto"/>
          <w:lang w:eastAsia="zh-CN"/>
        </w:rPr>
        <w:t>进入</w:t>
      </w:r>
      <w:r>
        <w:rPr>
          <w:rFonts w:hint="default" w:ascii="Times New Roman" w:hAnsi="Times New Roman" w:cs="Times New Roman"/>
          <w:color w:val="auto"/>
        </w:rPr>
        <w:t>楚雄市富民工业园区污水处理厂进行处理。</w:t>
      </w:r>
      <w:r>
        <w:rPr>
          <w:rFonts w:hint="default" w:ascii="Times New Roman" w:hAnsi="Times New Roman" w:cs="Times New Roman"/>
          <w:color w:val="auto"/>
          <w:lang w:eastAsia="zh-CN"/>
        </w:rPr>
        <w:t>由于本项目所在厂区存在多个项目，单晶硅拉棒和单晶硅切片分属不同行业，</w:t>
      </w:r>
      <w:r>
        <w:rPr>
          <w:rFonts w:hint="default" w:ascii="Times New Roman" w:hAnsi="Times New Roman" w:cs="Times New Roman"/>
          <w:color w:val="auto"/>
        </w:rPr>
        <w:t>单晶硅棒生产废水执行《污水综合排放标准》（GB8978</w:t>
      </w:r>
      <w:r>
        <w:rPr>
          <w:rFonts w:hint="default" w:ascii="Times New Roman" w:hAnsi="Times New Roman" w:cs="Times New Roman"/>
          <w:color w:val="auto"/>
          <w:lang w:val="en-US" w:eastAsia="zh-CN"/>
        </w:rPr>
        <w:t>-</w:t>
      </w:r>
      <w:r>
        <w:rPr>
          <w:rFonts w:hint="default" w:ascii="Times New Roman" w:hAnsi="Times New Roman" w:cs="Times New Roman"/>
          <w:color w:val="auto"/>
        </w:rPr>
        <w:t>1996）三级标准和</w:t>
      </w:r>
      <w:r>
        <w:rPr>
          <w:rFonts w:hint="default" w:ascii="Times New Roman" w:hAnsi="Times New Roman" w:cs="Times New Roman"/>
          <w:color w:val="auto"/>
          <w:kern w:val="0"/>
        </w:rPr>
        <w:t>《污水排入城镇下水道水质标准》（GB/T31962-2015）B级标准，单晶硅切片生产废水执行</w:t>
      </w:r>
      <w:r>
        <w:rPr>
          <w:rFonts w:hint="default" w:ascii="Times New Roman" w:hAnsi="Times New Roman" w:cs="Times New Roman"/>
          <w:color w:val="auto"/>
        </w:rPr>
        <w:t>《电子工业水污染物排放标准》</w:t>
      </w:r>
      <w:r>
        <w:rPr>
          <w:rFonts w:hint="default" w:ascii="Times New Roman" w:hAnsi="Times New Roman" w:cs="Times New Roman"/>
          <w:color w:val="auto"/>
          <w:kern w:val="0"/>
        </w:rPr>
        <w:t>（GB39731-2020）间接排放标准</w:t>
      </w:r>
      <w:r>
        <w:rPr>
          <w:rFonts w:hint="default" w:ascii="Times New Roman" w:hAnsi="Times New Roman" w:cs="Times New Roman"/>
          <w:color w:val="auto"/>
          <w:kern w:val="0"/>
          <w:lang w:eastAsia="zh-CN"/>
        </w:rPr>
        <w:t>，</w:t>
      </w:r>
      <w:r>
        <w:rPr>
          <w:rFonts w:hint="default" w:ascii="Times New Roman" w:hAnsi="Times New Roman" w:cs="Times New Roman"/>
          <w:color w:val="auto"/>
          <w:lang w:eastAsia="zh-CN"/>
        </w:rPr>
        <w:t>全厂废水进入综合污水处理站处理后</w:t>
      </w:r>
      <w:r>
        <w:rPr>
          <w:rFonts w:hint="default" w:ascii="Times New Roman" w:hAnsi="Times New Roman" w:cs="Times New Roman"/>
          <w:color w:val="auto"/>
          <w:kern w:val="0"/>
        </w:rPr>
        <w:t>通过一个总排口排放，</w:t>
      </w:r>
      <w:r>
        <w:rPr>
          <w:rFonts w:hint="default" w:ascii="Times New Roman" w:hAnsi="Times New Roman" w:cs="Times New Roman"/>
          <w:color w:val="auto"/>
          <w:kern w:val="0"/>
          <w:lang w:eastAsia="zh-CN"/>
        </w:rPr>
        <w:t>因此项目废水污染物</w:t>
      </w:r>
      <w:r>
        <w:rPr>
          <w:rFonts w:hint="default" w:ascii="Times New Roman" w:hAnsi="Times New Roman" w:cs="Times New Roman"/>
          <w:color w:val="auto"/>
          <w:kern w:val="0"/>
        </w:rPr>
        <w:t>排放标准限值三者取其严。</w:t>
      </w:r>
    </w:p>
    <w:p>
      <w:pPr>
        <w:widowControl/>
        <w:spacing w:line="360" w:lineRule="auto"/>
        <w:ind w:firstLine="48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eastAsia="zh-CN"/>
        </w:rPr>
        <w:t>由于本项目废水排入楚雄市富民工业园区污水处理厂处理后排入青龙河，为确保青龙河水质功能类比不降低，污水处理厂入河污染物中</w:t>
      </w:r>
      <w:r>
        <w:rPr>
          <w:rFonts w:hint="default" w:ascii="Times New Roman" w:hAnsi="Times New Roman" w:cs="Times New Roman"/>
          <w:color w:val="auto"/>
          <w:lang w:val="en-US" w:eastAsia="zh-CN"/>
        </w:rPr>
        <w:t>COD、BOD</w:t>
      </w:r>
      <w:r>
        <w:rPr>
          <w:rFonts w:hint="default" w:ascii="Times New Roman" w:hAnsi="Times New Roman" w:cs="Times New Roman"/>
          <w:color w:val="FF0000"/>
          <w:sz w:val="21"/>
          <w:szCs w:val="21"/>
          <w:vertAlign w:val="subscript"/>
        </w:rPr>
        <w:t>5</w:t>
      </w:r>
      <w:r>
        <w:rPr>
          <w:rFonts w:hint="default" w:ascii="Times New Roman" w:hAnsi="Times New Roman" w:cs="Times New Roman"/>
          <w:color w:val="auto"/>
          <w:lang w:val="en-US" w:eastAsia="zh-CN"/>
        </w:rPr>
        <w:t>、氨氮、总磷、氟化物执行特别排放限值。为保证污水处理厂废水达标排放，根据本次环评核算，本项目建成后全厂废水中COD、BOD</w:t>
      </w:r>
      <w:r>
        <w:rPr>
          <w:rFonts w:hint="default" w:ascii="Times New Roman" w:hAnsi="Times New Roman" w:cs="Times New Roman"/>
          <w:color w:val="FF0000"/>
          <w:sz w:val="21"/>
          <w:szCs w:val="21"/>
          <w:vertAlign w:val="subscript"/>
        </w:rPr>
        <w:t>5</w:t>
      </w:r>
      <w:r>
        <w:rPr>
          <w:rFonts w:hint="default" w:ascii="Times New Roman" w:hAnsi="Times New Roman" w:cs="Times New Roman"/>
          <w:color w:val="auto"/>
          <w:lang w:val="en-US" w:eastAsia="zh-CN"/>
        </w:rPr>
        <w:t>、总磷排放也需执行特别排放限值，COD排放浓度</w:t>
      </w:r>
      <w:r>
        <w:rPr>
          <w:rFonts w:hint="default" w:ascii="Times New Roman" w:hAnsi="Times New Roman" w:cs="Times New Roman"/>
          <w:lang w:val="en-US" w:eastAsia="zh-CN"/>
        </w:rPr>
        <w:t>不得高于271.95mg/L、BOD</w:t>
      </w:r>
      <w:r>
        <w:rPr>
          <w:rFonts w:hint="default" w:ascii="Times New Roman" w:hAnsi="Times New Roman" w:cs="Times New Roman"/>
          <w:color w:val="FF0000"/>
          <w:sz w:val="21"/>
          <w:szCs w:val="21"/>
          <w:vertAlign w:val="subscript"/>
        </w:rPr>
        <w:t>5</w:t>
      </w:r>
      <w:r>
        <w:rPr>
          <w:rFonts w:hint="default" w:ascii="Times New Roman" w:hAnsi="Times New Roman" w:cs="Times New Roman"/>
          <w:lang w:val="en-US" w:eastAsia="zh-CN"/>
        </w:rPr>
        <w:t>排放浓度</w:t>
      </w:r>
      <w:r>
        <w:rPr>
          <w:rFonts w:hint="default" w:ascii="Times New Roman" w:hAnsi="Times New Roman" w:cs="Times New Roman"/>
          <w:lang w:val="en-US" w:eastAsia="zh-CN"/>
        </w:rPr>
        <w:t>不得高于35.76mg/L、总磷</w:t>
      </w:r>
      <w:r>
        <w:rPr>
          <w:rFonts w:hint="default" w:ascii="Times New Roman" w:hAnsi="Times New Roman" w:cs="Times New Roman"/>
          <w:lang w:val="en-US" w:eastAsia="zh-CN"/>
        </w:rPr>
        <w:t>排放浓度</w:t>
      </w:r>
      <w:r>
        <w:rPr>
          <w:rFonts w:hint="default" w:ascii="Times New Roman" w:hAnsi="Times New Roman" w:cs="Times New Roman"/>
          <w:lang w:val="en-US" w:eastAsia="zh-CN"/>
        </w:rPr>
        <w:t>不得高于0.97mg/L</w:t>
      </w:r>
      <w:r>
        <w:rPr>
          <w:rFonts w:hint="default" w:ascii="Times New Roman" w:hAnsi="Times New Roman" w:cs="Times New Roman"/>
          <w:lang w:val="en-US" w:eastAsia="zh-CN"/>
        </w:rPr>
        <w:t>。</w:t>
      </w:r>
    </w:p>
    <w:p>
      <w:pPr>
        <w:pStyle w:val="133"/>
        <w:keepNext w:val="0"/>
        <w:keepLines w:val="0"/>
        <w:pageBreakBefore w:val="0"/>
        <w:widowControl w:val="0"/>
        <w:numPr>
          <w:ilvl w:val="1"/>
          <w:numId w:val="6"/>
        </w:numPr>
        <w:kinsoku/>
        <w:wordWrap/>
        <w:overflowPunct/>
        <w:topLinePunct w:val="0"/>
        <w:autoSpaceDE/>
        <w:autoSpaceDN/>
        <w:bidi w:val="0"/>
        <w:adjustRightInd/>
        <w:snapToGrid/>
        <w:spacing w:line="360" w:lineRule="auto"/>
        <w:ind w:left="0"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rPr>
        <w:t>项目废水</w:t>
      </w:r>
      <w:r>
        <w:rPr>
          <w:rFonts w:hint="default" w:ascii="Times New Roman" w:hAnsi="Times New Roman" w:cs="Times New Roman"/>
          <w:b/>
          <w:bCs/>
          <w:color w:val="auto"/>
          <w:lang w:eastAsia="zh-CN"/>
        </w:rPr>
        <w:t>外排</w:t>
      </w:r>
      <w:r>
        <w:rPr>
          <w:rFonts w:hint="default" w:ascii="Times New Roman" w:hAnsi="Times New Roman" w:cs="Times New Roman"/>
          <w:b/>
          <w:bCs/>
          <w:color w:val="auto"/>
        </w:rPr>
        <w:t>执行标准限值</w:t>
      </w:r>
      <w:r>
        <w:rPr>
          <w:rFonts w:hint="default" w:ascii="Times New Roman" w:hAnsi="Times New Roman" w:cs="Times New Roman"/>
          <w:b/>
          <w:bCs/>
          <w:color w:val="auto"/>
          <w:lang w:val="en-US" w:eastAsia="zh-CN"/>
        </w:rPr>
        <w:t xml:space="preserve">  </w:t>
      </w:r>
      <w:r>
        <w:rPr>
          <w:rFonts w:hint="default" w:ascii="Times New Roman" w:hAnsi="Times New Roman" w:cs="Times New Roman"/>
          <w:b/>
          <w:bCs/>
          <w:color w:val="auto"/>
          <w:lang w:val="en-US" w:eastAsia="zh-CN"/>
        </w:rPr>
        <w:t xml:space="preserve"> </w:t>
      </w:r>
      <w:r>
        <w:rPr>
          <w:rFonts w:hint="default" w:ascii="Times New Roman" w:hAnsi="Times New Roman" w:cs="Times New Roman"/>
          <w:b/>
          <w:bCs/>
          <w:color w:val="auto"/>
          <w:sz w:val="21"/>
          <w:szCs w:val="21"/>
        </w:rPr>
        <w:t>单位：mg/L</w:t>
      </w:r>
    </w:p>
    <w:tbl>
      <w:tblPr>
        <w:tblStyle w:val="44"/>
        <w:tblW w:w="556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02"/>
        <w:gridCol w:w="679"/>
        <w:gridCol w:w="840"/>
        <w:gridCol w:w="1020"/>
        <w:gridCol w:w="967"/>
        <w:gridCol w:w="848"/>
        <w:gridCol w:w="660"/>
        <w:gridCol w:w="787"/>
        <w:gridCol w:w="5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33" w:type="pct"/>
            <w:tcBorders>
              <w:top w:val="single" w:color="auto" w:sz="4" w:space="0"/>
              <w:left w:val="single" w:color="auto" w:sz="4" w:space="0"/>
              <w:bottom w:val="single" w:color="auto" w:sz="4" w:space="0"/>
              <w:right w:val="single" w:color="auto" w:sz="4" w:space="0"/>
            </w:tcBorders>
            <w:vAlign w:val="center"/>
          </w:tcPr>
          <w:p>
            <w:pPr>
              <w:pStyle w:val="167"/>
              <w:rPr>
                <w:rFonts w:hint="default" w:ascii="Times New Roman" w:hAnsi="Times New Roman" w:cs="Times New Roman"/>
                <w:color w:val="auto"/>
                <w:szCs w:val="21"/>
              </w:rPr>
            </w:pPr>
            <w:r>
              <w:rPr>
                <w:rFonts w:hint="default" w:ascii="Times New Roman" w:hAnsi="Times New Roman" w:cs="Times New Roman"/>
                <w:color w:val="auto"/>
                <w:szCs w:val="21"/>
              </w:rPr>
              <w:t>标准类别</w:t>
            </w:r>
          </w:p>
        </w:tc>
        <w:tc>
          <w:tcPr>
            <w:tcW w:w="357" w:type="pct"/>
            <w:tcBorders>
              <w:top w:val="single" w:color="auto" w:sz="4" w:space="0"/>
              <w:left w:val="single" w:color="auto" w:sz="4" w:space="0"/>
              <w:bottom w:val="single" w:color="auto" w:sz="4" w:space="0"/>
              <w:right w:val="single" w:color="auto" w:sz="4" w:space="0"/>
            </w:tcBorders>
            <w:vAlign w:val="center"/>
          </w:tcPr>
          <w:p>
            <w:pPr>
              <w:pStyle w:val="167"/>
              <w:rPr>
                <w:rFonts w:hint="default" w:ascii="Times New Roman" w:hAnsi="Times New Roman" w:cs="Times New Roman"/>
                <w:color w:val="auto"/>
                <w:szCs w:val="21"/>
              </w:rPr>
            </w:pPr>
            <w:r>
              <w:rPr>
                <w:rFonts w:hint="default" w:ascii="Times New Roman" w:hAnsi="Times New Roman" w:cs="Times New Roman"/>
                <w:color w:val="auto"/>
                <w:szCs w:val="21"/>
              </w:rPr>
              <w:t>pH值</w:t>
            </w:r>
          </w:p>
        </w:tc>
        <w:tc>
          <w:tcPr>
            <w:tcW w:w="442" w:type="pct"/>
            <w:tcBorders>
              <w:top w:val="single" w:color="auto" w:sz="4" w:space="0"/>
              <w:left w:val="single" w:color="auto" w:sz="4" w:space="0"/>
              <w:bottom w:val="single" w:color="auto" w:sz="4" w:space="0"/>
              <w:right w:val="single" w:color="auto" w:sz="4" w:space="0"/>
            </w:tcBorders>
            <w:vAlign w:val="center"/>
          </w:tcPr>
          <w:p>
            <w:pPr>
              <w:pStyle w:val="167"/>
              <w:rPr>
                <w:rFonts w:hint="default" w:ascii="Times New Roman" w:hAnsi="Times New Roman" w:cs="Times New Roman"/>
                <w:color w:val="auto"/>
                <w:szCs w:val="21"/>
              </w:rPr>
            </w:pPr>
            <w:r>
              <w:rPr>
                <w:rFonts w:hint="default" w:ascii="Times New Roman" w:hAnsi="Times New Roman" w:cs="Times New Roman"/>
                <w:color w:val="auto"/>
                <w:szCs w:val="21"/>
              </w:rPr>
              <w:t>COD</w:t>
            </w:r>
          </w:p>
        </w:tc>
        <w:tc>
          <w:tcPr>
            <w:tcW w:w="536" w:type="pct"/>
            <w:tcBorders>
              <w:top w:val="single" w:color="auto" w:sz="4" w:space="0"/>
              <w:left w:val="single" w:color="auto" w:sz="4" w:space="0"/>
              <w:bottom w:val="single" w:color="auto" w:sz="4" w:space="0"/>
              <w:right w:val="single" w:color="auto" w:sz="4" w:space="0"/>
            </w:tcBorders>
            <w:vAlign w:val="center"/>
          </w:tcPr>
          <w:p>
            <w:pPr>
              <w:pStyle w:val="167"/>
              <w:rPr>
                <w:rFonts w:hint="default" w:ascii="Times New Roman" w:hAnsi="Times New Roman" w:cs="Times New Roman"/>
                <w:color w:val="auto"/>
                <w:szCs w:val="21"/>
              </w:rPr>
            </w:pPr>
            <w:r>
              <w:rPr>
                <w:rFonts w:hint="default" w:ascii="Times New Roman" w:hAnsi="Times New Roman" w:cs="Times New Roman"/>
                <w:color w:val="auto"/>
                <w:szCs w:val="21"/>
              </w:rPr>
              <w:t>SS</w:t>
            </w:r>
          </w:p>
        </w:tc>
        <w:tc>
          <w:tcPr>
            <w:tcW w:w="508" w:type="pct"/>
            <w:tcBorders>
              <w:top w:val="single" w:color="auto" w:sz="4" w:space="0"/>
              <w:left w:val="single" w:color="auto" w:sz="4" w:space="0"/>
              <w:bottom w:val="single" w:color="auto" w:sz="4" w:space="0"/>
              <w:right w:val="single" w:color="auto" w:sz="4" w:space="0"/>
            </w:tcBorders>
            <w:vAlign w:val="center"/>
          </w:tcPr>
          <w:p>
            <w:pPr>
              <w:pStyle w:val="167"/>
              <w:rPr>
                <w:rFonts w:hint="default" w:ascii="Times New Roman" w:hAnsi="Times New Roman" w:cs="Times New Roman"/>
                <w:color w:val="auto"/>
                <w:szCs w:val="21"/>
              </w:rPr>
            </w:pPr>
            <w:r>
              <w:rPr>
                <w:rFonts w:hint="default" w:ascii="Times New Roman" w:hAnsi="Times New Roman" w:cs="Times New Roman"/>
                <w:color w:val="auto"/>
                <w:szCs w:val="21"/>
              </w:rPr>
              <w:t>BOD</w:t>
            </w:r>
            <w:r>
              <w:rPr>
                <w:rFonts w:hint="default" w:ascii="Times New Roman" w:hAnsi="Times New Roman" w:cs="Times New Roman"/>
                <w:color w:val="auto"/>
                <w:szCs w:val="21"/>
                <w:vertAlign w:val="subscript"/>
              </w:rPr>
              <w:t>5</w:t>
            </w:r>
          </w:p>
        </w:tc>
        <w:tc>
          <w:tcPr>
            <w:tcW w:w="446" w:type="pct"/>
            <w:tcBorders>
              <w:top w:val="single" w:color="auto" w:sz="4" w:space="0"/>
              <w:left w:val="single" w:color="auto" w:sz="4" w:space="0"/>
              <w:bottom w:val="single" w:color="auto" w:sz="4" w:space="0"/>
              <w:right w:val="single" w:color="auto" w:sz="4" w:space="0"/>
            </w:tcBorders>
            <w:vAlign w:val="center"/>
          </w:tcPr>
          <w:p>
            <w:pPr>
              <w:pStyle w:val="167"/>
              <w:rPr>
                <w:rFonts w:hint="default" w:ascii="Times New Roman" w:hAnsi="Times New Roman" w:cs="Times New Roman"/>
                <w:color w:val="auto"/>
                <w:szCs w:val="21"/>
              </w:rPr>
            </w:pPr>
            <w:r>
              <w:rPr>
                <w:rFonts w:hint="default" w:ascii="Times New Roman" w:hAnsi="Times New Roman" w:cs="Times New Roman"/>
                <w:color w:val="auto"/>
                <w:szCs w:val="21"/>
              </w:rPr>
              <w:t>石油类</w:t>
            </w:r>
          </w:p>
        </w:tc>
        <w:tc>
          <w:tcPr>
            <w:tcW w:w="347" w:type="pct"/>
            <w:tcBorders>
              <w:top w:val="single" w:color="auto" w:sz="4" w:space="0"/>
              <w:left w:val="single" w:color="auto" w:sz="4" w:space="0"/>
              <w:bottom w:val="single" w:color="auto" w:sz="4" w:space="0"/>
              <w:right w:val="single" w:color="auto" w:sz="4" w:space="0"/>
            </w:tcBorders>
            <w:vAlign w:val="center"/>
          </w:tcPr>
          <w:p>
            <w:pPr>
              <w:pStyle w:val="167"/>
              <w:rPr>
                <w:rFonts w:hint="default" w:ascii="Times New Roman" w:hAnsi="Times New Roman" w:cs="Times New Roman"/>
                <w:color w:val="auto"/>
                <w:szCs w:val="21"/>
              </w:rPr>
            </w:pPr>
            <w:r>
              <w:rPr>
                <w:rFonts w:hint="default" w:ascii="Times New Roman" w:hAnsi="Times New Roman" w:cs="Times New Roman"/>
                <w:color w:val="auto"/>
                <w:szCs w:val="21"/>
              </w:rPr>
              <w:t>氨氮</w:t>
            </w:r>
          </w:p>
        </w:tc>
        <w:tc>
          <w:tcPr>
            <w:tcW w:w="414" w:type="pct"/>
            <w:tcBorders>
              <w:top w:val="single" w:color="auto" w:sz="4" w:space="0"/>
              <w:left w:val="single" w:color="auto" w:sz="4" w:space="0"/>
              <w:bottom w:val="single" w:color="auto" w:sz="4" w:space="0"/>
              <w:right w:val="single" w:color="auto" w:sz="4" w:space="0"/>
            </w:tcBorders>
            <w:vAlign w:val="center"/>
          </w:tcPr>
          <w:p>
            <w:pPr>
              <w:pStyle w:val="167"/>
              <w:rPr>
                <w:rFonts w:hint="default" w:ascii="Times New Roman" w:hAnsi="Times New Roman" w:cs="Times New Roman"/>
                <w:color w:val="auto"/>
                <w:szCs w:val="21"/>
              </w:rPr>
            </w:pPr>
            <w:r>
              <w:rPr>
                <w:rFonts w:hint="default" w:ascii="Times New Roman" w:hAnsi="Times New Roman" w:cs="Times New Roman"/>
                <w:color w:val="auto"/>
                <w:szCs w:val="21"/>
              </w:rPr>
              <w:t>氟化物</w:t>
            </w:r>
          </w:p>
        </w:tc>
        <w:tc>
          <w:tcPr>
            <w:tcW w:w="313" w:type="pct"/>
            <w:tcBorders>
              <w:top w:val="single" w:color="auto" w:sz="4" w:space="0"/>
              <w:left w:val="single" w:color="auto" w:sz="4" w:space="0"/>
              <w:bottom w:val="single" w:color="auto" w:sz="4" w:space="0"/>
              <w:right w:val="single" w:color="auto" w:sz="4" w:space="0"/>
            </w:tcBorders>
            <w:vAlign w:val="center"/>
          </w:tcPr>
          <w:p>
            <w:pPr>
              <w:pStyle w:val="167"/>
              <w:rPr>
                <w:rFonts w:hint="default" w:ascii="Times New Roman" w:hAnsi="Times New Roman" w:cs="Times New Roman"/>
                <w:color w:val="auto"/>
                <w:szCs w:val="21"/>
              </w:rPr>
            </w:pPr>
            <w:r>
              <w:rPr>
                <w:rFonts w:hint="default" w:ascii="Times New Roman" w:hAnsi="Times New Roman" w:cs="Times New Roman"/>
                <w:color w:val="auto"/>
                <w:szCs w:val="21"/>
              </w:rPr>
              <w:t>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1633" w:type="pct"/>
            <w:vMerge w:val="restart"/>
            <w:tcBorders>
              <w:top w:val="single" w:color="auto" w:sz="4" w:space="0"/>
              <w:left w:val="single" w:color="auto" w:sz="4" w:space="0"/>
              <w:right w:val="single" w:color="auto" w:sz="4" w:space="0"/>
            </w:tcBorders>
            <w:vAlign w:val="center"/>
          </w:tcPr>
          <w:p>
            <w:pPr>
              <w:pStyle w:val="167"/>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rPr>
              <w:t>《污水综合排放标准》</w:t>
            </w:r>
            <w:r>
              <w:rPr>
                <w:rFonts w:hint="default" w:ascii="Times New Roman" w:hAnsi="Times New Roman" w:cs="Times New Roman"/>
                <w:color w:val="auto"/>
              </w:rPr>
              <w:t>（GB8978</w:t>
            </w:r>
            <w:r>
              <w:rPr>
                <w:rFonts w:hint="default" w:ascii="Times New Roman" w:hAnsi="Times New Roman" w:cs="Times New Roman"/>
                <w:color w:val="auto"/>
                <w:szCs w:val="21"/>
              </w:rPr>
              <w:t>-</w:t>
            </w:r>
            <w:r>
              <w:rPr>
                <w:rFonts w:hint="default" w:ascii="Times New Roman" w:hAnsi="Times New Roman" w:cs="Times New Roman"/>
                <w:color w:val="auto"/>
              </w:rPr>
              <w:t>1996）三级标准、</w:t>
            </w:r>
            <w:r>
              <w:rPr>
                <w:rFonts w:hint="default" w:ascii="Times New Roman" w:hAnsi="Times New Roman" w:cs="Times New Roman"/>
                <w:color w:val="auto"/>
                <w:szCs w:val="21"/>
              </w:rPr>
              <w:t>《污水排入城镇下水道水质标准》(GB/T31962-2015)B级标准值、《电子工业水污染物排放标准》(GB39731-2020)间接排放标准值三者取严执行标准值</w:t>
            </w:r>
            <w:r>
              <w:rPr>
                <w:rFonts w:hint="default" w:ascii="Times New Roman" w:hAnsi="Times New Roman" w:cs="Times New Roman"/>
                <w:color w:val="auto"/>
                <w:szCs w:val="21"/>
                <w:lang w:eastAsia="zh-CN"/>
              </w:rPr>
              <w:t>以及本次环评提出的特别排放限值</w:t>
            </w:r>
          </w:p>
        </w:tc>
        <w:tc>
          <w:tcPr>
            <w:tcW w:w="357" w:type="pct"/>
            <w:tcBorders>
              <w:top w:val="single" w:color="auto" w:sz="4" w:space="0"/>
              <w:left w:val="single" w:color="auto" w:sz="4" w:space="0"/>
              <w:bottom w:val="single" w:color="auto" w:sz="4" w:space="0"/>
              <w:right w:val="single" w:color="auto" w:sz="4" w:space="0"/>
            </w:tcBorders>
            <w:vAlign w:val="center"/>
          </w:tcPr>
          <w:p>
            <w:pPr>
              <w:pStyle w:val="167"/>
              <w:rPr>
                <w:rFonts w:hint="default" w:ascii="Times New Roman" w:hAnsi="Times New Roman" w:cs="Times New Roman"/>
                <w:color w:val="auto"/>
                <w:szCs w:val="21"/>
              </w:rPr>
            </w:pPr>
            <w:r>
              <w:rPr>
                <w:rFonts w:hint="default" w:ascii="Times New Roman" w:hAnsi="Times New Roman" w:cs="Times New Roman"/>
                <w:color w:val="auto"/>
                <w:szCs w:val="21"/>
              </w:rPr>
              <w:t>6~9</w:t>
            </w:r>
          </w:p>
        </w:tc>
        <w:tc>
          <w:tcPr>
            <w:tcW w:w="442" w:type="pct"/>
            <w:tcBorders>
              <w:top w:val="single" w:color="auto" w:sz="4" w:space="0"/>
              <w:left w:val="single" w:color="auto" w:sz="4" w:space="0"/>
              <w:bottom w:val="single" w:color="auto" w:sz="4" w:space="0"/>
              <w:right w:val="single" w:color="auto" w:sz="4" w:space="0"/>
            </w:tcBorders>
            <w:vAlign w:val="center"/>
          </w:tcPr>
          <w:p>
            <w:pPr>
              <w:pStyle w:val="167"/>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271.95</w:t>
            </w:r>
          </w:p>
        </w:tc>
        <w:tc>
          <w:tcPr>
            <w:tcW w:w="536" w:type="pct"/>
            <w:tcBorders>
              <w:top w:val="single" w:color="auto" w:sz="4" w:space="0"/>
              <w:left w:val="single" w:color="auto" w:sz="4" w:space="0"/>
              <w:bottom w:val="single" w:color="auto" w:sz="4" w:space="0"/>
              <w:right w:val="single" w:color="auto" w:sz="4" w:space="0"/>
            </w:tcBorders>
            <w:vAlign w:val="center"/>
          </w:tcPr>
          <w:p>
            <w:pPr>
              <w:pStyle w:val="167"/>
              <w:rPr>
                <w:rFonts w:hint="default" w:ascii="Times New Roman" w:hAnsi="Times New Roman" w:cs="Times New Roman"/>
                <w:color w:val="auto"/>
                <w:szCs w:val="21"/>
              </w:rPr>
            </w:pPr>
            <w:r>
              <w:rPr>
                <w:rFonts w:hint="default" w:ascii="Times New Roman" w:hAnsi="Times New Roman" w:cs="Times New Roman"/>
                <w:color w:val="auto"/>
                <w:szCs w:val="21"/>
              </w:rPr>
              <w:t>400</w:t>
            </w:r>
          </w:p>
        </w:tc>
        <w:tc>
          <w:tcPr>
            <w:tcW w:w="508" w:type="pct"/>
            <w:tcBorders>
              <w:top w:val="single" w:color="auto" w:sz="4" w:space="0"/>
              <w:left w:val="single" w:color="auto" w:sz="4" w:space="0"/>
              <w:bottom w:val="single" w:color="auto" w:sz="4" w:space="0"/>
              <w:right w:val="single" w:color="auto" w:sz="4" w:space="0"/>
            </w:tcBorders>
            <w:vAlign w:val="center"/>
          </w:tcPr>
          <w:p>
            <w:pPr>
              <w:pStyle w:val="167"/>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35.76</w:t>
            </w:r>
          </w:p>
        </w:tc>
        <w:tc>
          <w:tcPr>
            <w:tcW w:w="446" w:type="pct"/>
            <w:tcBorders>
              <w:top w:val="single" w:color="auto" w:sz="4" w:space="0"/>
              <w:left w:val="single" w:color="auto" w:sz="4" w:space="0"/>
              <w:bottom w:val="single" w:color="auto" w:sz="4" w:space="0"/>
              <w:right w:val="single" w:color="auto" w:sz="4" w:space="0"/>
            </w:tcBorders>
            <w:vAlign w:val="center"/>
          </w:tcPr>
          <w:p>
            <w:pPr>
              <w:pStyle w:val="167"/>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347" w:type="pct"/>
            <w:tcBorders>
              <w:top w:val="single" w:color="auto" w:sz="4" w:space="0"/>
              <w:left w:val="single" w:color="auto" w:sz="4" w:space="0"/>
              <w:bottom w:val="single" w:color="auto" w:sz="4" w:space="0"/>
              <w:right w:val="single" w:color="auto" w:sz="4" w:space="0"/>
            </w:tcBorders>
            <w:vAlign w:val="center"/>
          </w:tcPr>
          <w:p>
            <w:pPr>
              <w:pStyle w:val="167"/>
              <w:rPr>
                <w:rFonts w:hint="default" w:ascii="Times New Roman" w:hAnsi="Times New Roman" w:cs="Times New Roman"/>
                <w:color w:val="auto"/>
                <w:szCs w:val="21"/>
              </w:rPr>
            </w:pPr>
            <w:r>
              <w:rPr>
                <w:rFonts w:hint="default" w:ascii="Times New Roman" w:hAnsi="Times New Roman" w:cs="Times New Roman"/>
                <w:color w:val="auto"/>
                <w:szCs w:val="21"/>
              </w:rPr>
              <w:t>45</w:t>
            </w:r>
          </w:p>
        </w:tc>
        <w:tc>
          <w:tcPr>
            <w:tcW w:w="414" w:type="pct"/>
            <w:tcBorders>
              <w:top w:val="single" w:color="auto" w:sz="4" w:space="0"/>
              <w:left w:val="single" w:color="auto" w:sz="4" w:space="0"/>
              <w:bottom w:val="single" w:color="auto" w:sz="4" w:space="0"/>
              <w:right w:val="single" w:color="auto" w:sz="4" w:space="0"/>
            </w:tcBorders>
            <w:vAlign w:val="center"/>
          </w:tcPr>
          <w:p>
            <w:pPr>
              <w:pStyle w:val="167"/>
              <w:rPr>
                <w:rFonts w:hint="default" w:ascii="Times New Roman" w:hAnsi="Times New Roman" w:cs="Times New Roman"/>
                <w:color w:val="auto"/>
                <w:szCs w:val="21"/>
              </w:rPr>
            </w:pPr>
            <w:r>
              <w:rPr>
                <w:rFonts w:hint="default" w:ascii="Times New Roman" w:hAnsi="Times New Roman" w:cs="Times New Roman"/>
                <w:color w:val="auto"/>
                <w:szCs w:val="21"/>
              </w:rPr>
              <w:t>20</w:t>
            </w:r>
          </w:p>
        </w:tc>
        <w:tc>
          <w:tcPr>
            <w:tcW w:w="313" w:type="pct"/>
            <w:tcBorders>
              <w:top w:val="single" w:color="auto" w:sz="4" w:space="0"/>
              <w:left w:val="single" w:color="auto" w:sz="4" w:space="0"/>
              <w:bottom w:val="single" w:color="auto" w:sz="4" w:space="0"/>
              <w:right w:val="single" w:color="auto" w:sz="4" w:space="0"/>
            </w:tcBorders>
            <w:vAlign w:val="center"/>
          </w:tcPr>
          <w:p>
            <w:pPr>
              <w:pStyle w:val="167"/>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0.97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1633" w:type="pct"/>
            <w:vMerge w:val="continue"/>
            <w:tcBorders>
              <w:left w:val="single" w:color="auto" w:sz="4" w:space="0"/>
              <w:right w:val="single" w:color="auto" w:sz="4" w:space="0"/>
            </w:tcBorders>
            <w:vAlign w:val="center"/>
          </w:tcPr>
          <w:p>
            <w:pPr>
              <w:pStyle w:val="167"/>
              <w:rPr>
                <w:rFonts w:hint="default" w:ascii="Times New Roman" w:hAnsi="Times New Roman" w:cs="Times New Roman"/>
                <w:color w:val="auto"/>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pStyle w:val="167"/>
              <w:rPr>
                <w:rFonts w:hint="default" w:ascii="Times New Roman" w:hAnsi="Times New Roman" w:cs="Times New Roman"/>
                <w:color w:val="auto"/>
                <w:szCs w:val="21"/>
              </w:rPr>
            </w:pPr>
            <w:r>
              <w:rPr>
                <w:rFonts w:hint="default" w:ascii="Times New Roman" w:hAnsi="Times New Roman" w:cs="Times New Roman"/>
                <w:color w:val="auto"/>
                <w:szCs w:val="21"/>
              </w:rPr>
              <w:t>总氮</w:t>
            </w:r>
          </w:p>
        </w:tc>
        <w:tc>
          <w:tcPr>
            <w:tcW w:w="442" w:type="pct"/>
            <w:tcBorders>
              <w:top w:val="single" w:color="auto" w:sz="4" w:space="0"/>
              <w:left w:val="single" w:color="auto" w:sz="4" w:space="0"/>
              <w:bottom w:val="single" w:color="auto" w:sz="4" w:space="0"/>
              <w:right w:val="single" w:color="auto" w:sz="4" w:space="0"/>
            </w:tcBorders>
            <w:vAlign w:val="center"/>
          </w:tcPr>
          <w:p>
            <w:pPr>
              <w:pStyle w:val="167"/>
              <w:rPr>
                <w:rFonts w:hint="default" w:ascii="Times New Roman" w:hAnsi="Times New Roman" w:cs="Times New Roman"/>
                <w:color w:val="auto"/>
                <w:szCs w:val="21"/>
              </w:rPr>
            </w:pPr>
            <w:r>
              <w:rPr>
                <w:rFonts w:hint="default" w:ascii="Times New Roman" w:hAnsi="Times New Roman" w:cs="Times New Roman"/>
                <w:color w:val="auto"/>
                <w:szCs w:val="21"/>
              </w:rPr>
              <w:t>动植物油</w:t>
            </w:r>
          </w:p>
        </w:tc>
        <w:tc>
          <w:tcPr>
            <w:tcW w:w="536" w:type="pct"/>
            <w:tcBorders>
              <w:top w:val="single" w:color="auto" w:sz="4" w:space="0"/>
              <w:left w:val="single" w:color="auto" w:sz="4" w:space="0"/>
              <w:bottom w:val="single" w:color="auto" w:sz="4" w:space="0"/>
              <w:right w:val="single" w:color="auto" w:sz="4" w:space="0"/>
            </w:tcBorders>
            <w:vAlign w:val="center"/>
          </w:tcPr>
          <w:p>
            <w:pPr>
              <w:pStyle w:val="167"/>
              <w:rPr>
                <w:rFonts w:hint="default" w:ascii="Times New Roman" w:hAnsi="Times New Roman" w:cs="Times New Roman"/>
                <w:color w:val="auto"/>
                <w:szCs w:val="21"/>
              </w:rPr>
            </w:pPr>
            <w:r>
              <w:rPr>
                <w:rFonts w:hint="default" w:ascii="Times New Roman" w:hAnsi="Times New Roman" w:cs="Times New Roman"/>
                <w:color w:val="auto"/>
                <w:szCs w:val="21"/>
              </w:rPr>
              <w:t>总有机碳（TOC）</w:t>
            </w:r>
          </w:p>
        </w:tc>
        <w:tc>
          <w:tcPr>
            <w:tcW w:w="508" w:type="pct"/>
            <w:tcBorders>
              <w:top w:val="single" w:color="auto" w:sz="4" w:space="0"/>
              <w:left w:val="single" w:color="auto" w:sz="4" w:space="0"/>
              <w:bottom w:val="single" w:color="auto" w:sz="4" w:space="0"/>
              <w:right w:val="single" w:color="auto" w:sz="4" w:space="0"/>
            </w:tcBorders>
            <w:vAlign w:val="center"/>
          </w:tcPr>
          <w:p>
            <w:pPr>
              <w:pStyle w:val="167"/>
              <w:rPr>
                <w:rFonts w:hint="default" w:ascii="Times New Roman" w:hAnsi="Times New Roman" w:cs="Times New Roman"/>
                <w:color w:val="auto"/>
                <w:szCs w:val="21"/>
              </w:rPr>
            </w:pPr>
            <w:r>
              <w:rPr>
                <w:rFonts w:hint="default" w:ascii="Times New Roman" w:hAnsi="Times New Roman" w:cs="Times New Roman"/>
                <w:color w:val="auto"/>
                <w:szCs w:val="21"/>
              </w:rPr>
              <w:t>阴离子表面活性剂</w:t>
            </w:r>
          </w:p>
        </w:tc>
        <w:tc>
          <w:tcPr>
            <w:tcW w:w="446" w:type="pct"/>
            <w:tcBorders>
              <w:top w:val="single" w:color="auto" w:sz="4" w:space="0"/>
              <w:left w:val="single" w:color="auto" w:sz="4" w:space="0"/>
              <w:bottom w:val="single" w:color="auto" w:sz="4" w:space="0"/>
              <w:right w:val="single" w:color="auto" w:sz="4" w:space="0"/>
            </w:tcBorders>
            <w:vAlign w:val="center"/>
          </w:tcPr>
          <w:p>
            <w:pPr>
              <w:pStyle w:val="167"/>
              <w:rPr>
                <w:rFonts w:hint="default" w:ascii="Times New Roman" w:hAnsi="Times New Roman" w:cs="Times New Roman"/>
                <w:color w:val="auto"/>
                <w:szCs w:val="21"/>
              </w:rPr>
            </w:pPr>
            <w:r>
              <w:rPr>
                <w:rFonts w:hint="default" w:ascii="Times New Roman" w:hAnsi="Times New Roman" w:cs="Times New Roman"/>
                <w:color w:val="auto"/>
                <w:szCs w:val="21"/>
              </w:rPr>
              <w:t>总氰化物</w:t>
            </w:r>
          </w:p>
        </w:tc>
        <w:tc>
          <w:tcPr>
            <w:tcW w:w="347" w:type="pct"/>
            <w:tcBorders>
              <w:top w:val="single" w:color="auto" w:sz="4" w:space="0"/>
              <w:left w:val="single" w:color="auto" w:sz="4" w:space="0"/>
              <w:bottom w:val="single" w:color="auto" w:sz="4" w:space="0"/>
              <w:right w:val="single" w:color="auto" w:sz="4" w:space="0"/>
            </w:tcBorders>
            <w:vAlign w:val="center"/>
          </w:tcPr>
          <w:p>
            <w:pPr>
              <w:pStyle w:val="167"/>
              <w:rPr>
                <w:rFonts w:hint="default" w:ascii="Times New Roman" w:hAnsi="Times New Roman" w:cs="Times New Roman"/>
                <w:color w:val="auto"/>
                <w:szCs w:val="21"/>
              </w:rPr>
            </w:pPr>
            <w:r>
              <w:rPr>
                <w:rFonts w:hint="default" w:ascii="Times New Roman" w:hAnsi="Times New Roman" w:cs="Times New Roman"/>
                <w:color w:val="auto"/>
                <w:szCs w:val="21"/>
              </w:rPr>
              <w:t>总铜</w:t>
            </w:r>
          </w:p>
        </w:tc>
        <w:tc>
          <w:tcPr>
            <w:tcW w:w="414" w:type="pct"/>
            <w:tcBorders>
              <w:top w:val="single" w:color="auto" w:sz="4" w:space="0"/>
              <w:left w:val="single" w:color="auto" w:sz="4" w:space="0"/>
              <w:bottom w:val="single" w:color="auto" w:sz="4" w:space="0"/>
              <w:right w:val="single" w:color="auto" w:sz="4" w:space="0"/>
            </w:tcBorders>
            <w:vAlign w:val="center"/>
          </w:tcPr>
          <w:p>
            <w:pPr>
              <w:pStyle w:val="167"/>
              <w:rPr>
                <w:rFonts w:hint="default" w:ascii="Times New Roman" w:hAnsi="Times New Roman" w:cs="Times New Roman"/>
                <w:color w:val="auto"/>
                <w:szCs w:val="21"/>
              </w:rPr>
            </w:pPr>
            <w:r>
              <w:rPr>
                <w:rFonts w:hint="default" w:ascii="Times New Roman" w:hAnsi="Times New Roman" w:cs="Times New Roman"/>
                <w:color w:val="auto"/>
                <w:szCs w:val="21"/>
              </w:rPr>
              <w:t>总锌</w:t>
            </w:r>
          </w:p>
        </w:tc>
        <w:tc>
          <w:tcPr>
            <w:tcW w:w="313" w:type="pct"/>
            <w:tcBorders>
              <w:top w:val="single" w:color="auto" w:sz="4" w:space="0"/>
              <w:left w:val="single" w:color="auto" w:sz="4" w:space="0"/>
              <w:bottom w:val="single" w:color="auto" w:sz="4" w:space="0"/>
              <w:right w:val="single" w:color="auto" w:sz="4" w:space="0"/>
            </w:tcBorders>
            <w:vAlign w:val="center"/>
          </w:tcPr>
          <w:p>
            <w:pPr>
              <w:pStyle w:val="167"/>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33" w:type="pct"/>
            <w:vMerge w:val="continue"/>
            <w:tcBorders>
              <w:left w:val="single" w:color="auto" w:sz="4" w:space="0"/>
              <w:right w:val="single" w:color="auto" w:sz="4" w:space="0"/>
            </w:tcBorders>
            <w:vAlign w:val="center"/>
          </w:tcPr>
          <w:p>
            <w:pPr>
              <w:pStyle w:val="167"/>
              <w:rPr>
                <w:rFonts w:hint="default" w:ascii="Times New Roman" w:hAnsi="Times New Roman" w:cs="Times New Roman"/>
                <w:color w:val="auto"/>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pStyle w:val="167"/>
              <w:rPr>
                <w:rFonts w:hint="default" w:ascii="Times New Roman" w:hAnsi="Times New Roman" w:cs="Times New Roman"/>
                <w:color w:val="auto"/>
                <w:szCs w:val="21"/>
              </w:rPr>
            </w:pPr>
            <w:r>
              <w:rPr>
                <w:rFonts w:hint="default" w:ascii="Times New Roman" w:hAnsi="Times New Roman" w:cs="Times New Roman"/>
                <w:color w:val="auto"/>
                <w:szCs w:val="21"/>
              </w:rPr>
              <w:t>70</w:t>
            </w:r>
          </w:p>
        </w:tc>
        <w:tc>
          <w:tcPr>
            <w:tcW w:w="442" w:type="pct"/>
            <w:tcBorders>
              <w:top w:val="single" w:color="auto" w:sz="4" w:space="0"/>
              <w:left w:val="single" w:color="auto" w:sz="4" w:space="0"/>
              <w:bottom w:val="single" w:color="auto" w:sz="4" w:space="0"/>
              <w:right w:val="single" w:color="auto" w:sz="4" w:space="0"/>
            </w:tcBorders>
            <w:vAlign w:val="center"/>
          </w:tcPr>
          <w:p>
            <w:pPr>
              <w:pStyle w:val="167"/>
              <w:rPr>
                <w:rFonts w:hint="default" w:ascii="Times New Roman" w:hAnsi="Times New Roman" w:cs="Times New Roman"/>
                <w:color w:val="auto"/>
                <w:szCs w:val="21"/>
              </w:rPr>
            </w:pPr>
            <w:r>
              <w:rPr>
                <w:rFonts w:hint="default" w:ascii="Times New Roman" w:hAnsi="Times New Roman" w:cs="Times New Roman"/>
                <w:color w:val="auto"/>
                <w:szCs w:val="21"/>
              </w:rPr>
              <w:t>100</w:t>
            </w:r>
          </w:p>
        </w:tc>
        <w:tc>
          <w:tcPr>
            <w:tcW w:w="536" w:type="pct"/>
            <w:tcBorders>
              <w:top w:val="single" w:color="auto" w:sz="4" w:space="0"/>
              <w:left w:val="single" w:color="auto" w:sz="4" w:space="0"/>
              <w:bottom w:val="single" w:color="auto" w:sz="4" w:space="0"/>
              <w:right w:val="single" w:color="auto" w:sz="4" w:space="0"/>
            </w:tcBorders>
            <w:vAlign w:val="center"/>
          </w:tcPr>
          <w:p>
            <w:pPr>
              <w:pStyle w:val="167"/>
              <w:rPr>
                <w:rFonts w:hint="default" w:ascii="Times New Roman" w:hAnsi="Times New Roman" w:cs="Times New Roman"/>
                <w:color w:val="auto"/>
                <w:szCs w:val="21"/>
              </w:rPr>
            </w:pPr>
            <w:r>
              <w:rPr>
                <w:rFonts w:hint="default" w:ascii="Times New Roman" w:hAnsi="Times New Roman" w:cs="Times New Roman"/>
                <w:color w:val="auto"/>
                <w:szCs w:val="21"/>
              </w:rPr>
              <w:t>200</w:t>
            </w:r>
          </w:p>
        </w:tc>
        <w:tc>
          <w:tcPr>
            <w:tcW w:w="508" w:type="pct"/>
            <w:tcBorders>
              <w:top w:val="single" w:color="auto" w:sz="4" w:space="0"/>
              <w:left w:val="single" w:color="auto" w:sz="4" w:space="0"/>
              <w:bottom w:val="single" w:color="auto" w:sz="4" w:space="0"/>
              <w:right w:val="single" w:color="auto" w:sz="4" w:space="0"/>
            </w:tcBorders>
            <w:vAlign w:val="center"/>
          </w:tcPr>
          <w:p>
            <w:pPr>
              <w:pStyle w:val="167"/>
              <w:rPr>
                <w:rFonts w:hint="default" w:ascii="Times New Roman" w:hAnsi="Times New Roman" w:cs="Times New Roman"/>
                <w:color w:val="auto"/>
                <w:szCs w:val="21"/>
              </w:rPr>
            </w:pPr>
            <w:r>
              <w:rPr>
                <w:rFonts w:hint="default" w:ascii="Times New Roman" w:hAnsi="Times New Roman" w:cs="Times New Roman"/>
                <w:color w:val="auto"/>
                <w:szCs w:val="21"/>
              </w:rPr>
              <w:t>20</w:t>
            </w:r>
          </w:p>
        </w:tc>
        <w:tc>
          <w:tcPr>
            <w:tcW w:w="446" w:type="pct"/>
            <w:tcBorders>
              <w:top w:val="single" w:color="auto" w:sz="4" w:space="0"/>
              <w:left w:val="single" w:color="auto" w:sz="4" w:space="0"/>
              <w:bottom w:val="single" w:color="auto" w:sz="4" w:space="0"/>
              <w:right w:val="single" w:color="auto" w:sz="4" w:space="0"/>
            </w:tcBorders>
            <w:vAlign w:val="center"/>
          </w:tcPr>
          <w:p>
            <w:pPr>
              <w:pStyle w:val="167"/>
              <w:rPr>
                <w:rFonts w:hint="default" w:ascii="Times New Roman" w:hAnsi="Times New Roman" w:cs="Times New Roman"/>
                <w:color w:val="auto"/>
                <w:szCs w:val="21"/>
              </w:rPr>
            </w:pPr>
            <w:r>
              <w:rPr>
                <w:rFonts w:hint="default" w:ascii="Times New Roman" w:hAnsi="Times New Roman" w:cs="Times New Roman"/>
                <w:color w:val="auto"/>
                <w:szCs w:val="21"/>
              </w:rPr>
              <w:t>1.0</w:t>
            </w:r>
          </w:p>
        </w:tc>
        <w:tc>
          <w:tcPr>
            <w:tcW w:w="347" w:type="pct"/>
            <w:tcBorders>
              <w:top w:val="single" w:color="auto" w:sz="4" w:space="0"/>
              <w:left w:val="single" w:color="auto" w:sz="4" w:space="0"/>
              <w:bottom w:val="single" w:color="auto" w:sz="4" w:space="0"/>
              <w:right w:val="single" w:color="auto" w:sz="4" w:space="0"/>
            </w:tcBorders>
            <w:vAlign w:val="center"/>
          </w:tcPr>
          <w:p>
            <w:pPr>
              <w:pStyle w:val="167"/>
              <w:rPr>
                <w:rFonts w:hint="default" w:ascii="Times New Roman" w:hAnsi="Times New Roman" w:cs="Times New Roman"/>
                <w:color w:val="auto"/>
                <w:szCs w:val="21"/>
              </w:rPr>
            </w:pPr>
            <w:r>
              <w:rPr>
                <w:rFonts w:hint="default" w:ascii="Times New Roman" w:hAnsi="Times New Roman" w:cs="Times New Roman"/>
                <w:color w:val="auto"/>
                <w:szCs w:val="21"/>
              </w:rPr>
              <w:t>2.0</w:t>
            </w:r>
          </w:p>
        </w:tc>
        <w:tc>
          <w:tcPr>
            <w:tcW w:w="414" w:type="pct"/>
            <w:tcBorders>
              <w:top w:val="single" w:color="auto" w:sz="4" w:space="0"/>
              <w:left w:val="single" w:color="auto" w:sz="4" w:space="0"/>
              <w:bottom w:val="single" w:color="auto" w:sz="4" w:space="0"/>
              <w:right w:val="single" w:color="auto" w:sz="4" w:space="0"/>
            </w:tcBorders>
            <w:vAlign w:val="center"/>
          </w:tcPr>
          <w:p>
            <w:pPr>
              <w:pStyle w:val="167"/>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313" w:type="pct"/>
            <w:tcBorders>
              <w:top w:val="single" w:color="auto" w:sz="4" w:space="0"/>
              <w:left w:val="single" w:color="auto" w:sz="4" w:space="0"/>
              <w:bottom w:val="single" w:color="auto" w:sz="4" w:space="0"/>
              <w:right w:val="single" w:color="auto" w:sz="4" w:space="0"/>
            </w:tcBorders>
            <w:vAlign w:val="center"/>
          </w:tcPr>
          <w:p>
            <w:pPr>
              <w:pStyle w:val="167"/>
              <w:rPr>
                <w:rFonts w:hint="default" w:ascii="Times New Roman" w:hAnsi="Times New Roman" w:cs="Times New Roman"/>
                <w:color w:val="auto"/>
                <w:szCs w:val="21"/>
              </w:rPr>
            </w:pPr>
          </w:p>
        </w:tc>
      </w:tr>
    </w:tbl>
    <w:p>
      <w:pPr>
        <w:keepNext w:val="0"/>
        <w:keepLines w:val="0"/>
        <w:pageBreakBefore w:val="0"/>
        <w:widowControl/>
        <w:kinsoku/>
        <w:wordWrap/>
        <w:overflowPunct/>
        <w:topLinePunct w:val="0"/>
        <w:autoSpaceDE/>
        <w:autoSpaceDN/>
        <w:bidi w:val="0"/>
        <w:adjustRightInd/>
        <w:snapToGrid/>
        <w:spacing w:before="157" w:beforeLines="50" w:line="360" w:lineRule="auto"/>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lang w:eastAsia="zh-CN"/>
        </w:rPr>
        <w:t>根据</w:t>
      </w:r>
      <w:r>
        <w:rPr>
          <w:rFonts w:hint="default" w:ascii="Times New Roman" w:hAnsi="Times New Roman" w:cs="Times New Roman"/>
          <w:color w:val="auto"/>
        </w:rPr>
        <w:t>《电子工业水污染物排放标准》</w:t>
      </w:r>
      <w:r>
        <w:rPr>
          <w:rFonts w:hint="default" w:ascii="Times New Roman" w:hAnsi="Times New Roman" w:cs="Times New Roman"/>
          <w:color w:val="auto"/>
          <w:kern w:val="0"/>
        </w:rPr>
        <w:t>（GB39731-2020）规定切片产品基准排水量为2200m</w:t>
      </w:r>
      <w:r>
        <w:rPr>
          <w:rFonts w:hint="default" w:ascii="Times New Roman" w:hAnsi="Times New Roman" w:cs="Times New Roman"/>
          <w:color w:val="auto"/>
          <w:kern w:val="0"/>
          <w:vertAlign w:val="superscript"/>
        </w:rPr>
        <w:t>3</w:t>
      </w:r>
      <w:r>
        <w:rPr>
          <w:rFonts w:hint="default" w:ascii="Times New Roman" w:hAnsi="Times New Roman" w:cs="Times New Roman"/>
          <w:color w:val="auto"/>
          <w:kern w:val="0"/>
        </w:rPr>
        <w:t>/t，本项目切片产品量为</w:t>
      </w:r>
      <w:r>
        <w:rPr>
          <w:rFonts w:hint="default" w:ascii="Times New Roman" w:hAnsi="Times New Roman" w:cs="Times New Roman"/>
          <w:color w:val="auto"/>
          <w:kern w:val="0"/>
          <w:lang w:val="en-US" w:eastAsia="zh-CN"/>
        </w:rPr>
        <w:t>8881.91</w:t>
      </w:r>
      <w:r>
        <w:rPr>
          <w:rFonts w:hint="default" w:ascii="Times New Roman" w:hAnsi="Times New Roman" w:cs="Times New Roman"/>
          <w:color w:val="auto"/>
          <w:kern w:val="0"/>
        </w:rPr>
        <w:t>t/a，废水基准排放量为</w:t>
      </w:r>
      <w:r>
        <w:rPr>
          <w:rFonts w:hint="default" w:ascii="Times New Roman" w:hAnsi="Times New Roman" w:cs="Times New Roman"/>
          <w:color w:val="auto"/>
          <w:kern w:val="0"/>
          <w:lang w:val="en-US" w:eastAsia="zh-CN"/>
        </w:rPr>
        <w:t>1954.02</w:t>
      </w:r>
      <w:r>
        <w:rPr>
          <w:rFonts w:hint="default" w:ascii="Times New Roman" w:hAnsi="Times New Roman" w:cs="Times New Roman"/>
          <w:color w:val="auto"/>
          <w:kern w:val="0"/>
        </w:rPr>
        <w:t>万m</w:t>
      </w:r>
      <w:r>
        <w:rPr>
          <w:rFonts w:hint="default" w:ascii="Times New Roman" w:hAnsi="Times New Roman" w:cs="Times New Roman"/>
          <w:color w:val="auto"/>
          <w:kern w:val="0"/>
          <w:vertAlign w:val="superscript"/>
        </w:rPr>
        <w:t>3</w:t>
      </w:r>
      <w:r>
        <w:rPr>
          <w:rFonts w:hint="default" w:ascii="Times New Roman" w:hAnsi="Times New Roman" w:cs="Times New Roman"/>
          <w:color w:val="auto"/>
          <w:kern w:val="0"/>
        </w:rPr>
        <w:t>/a</w:t>
      </w:r>
      <w:r>
        <w:rPr>
          <w:rFonts w:hint="default" w:ascii="Times New Roman" w:hAnsi="Times New Roman" w:cs="Times New Roman"/>
          <w:color w:val="auto"/>
          <w:kern w:val="0"/>
          <w:lang w:eastAsia="zh-CN"/>
        </w:rPr>
        <w:t>，</w:t>
      </w:r>
      <w:r>
        <w:rPr>
          <w:rFonts w:hint="default" w:ascii="Times New Roman" w:hAnsi="Times New Roman" w:cs="Times New Roman"/>
          <w:color w:val="auto"/>
          <w:kern w:val="0"/>
        </w:rPr>
        <w:t>废水排放量若超过上述基准排放量，则应折算水污染物基准排水量的排放浓度</w:t>
      </w:r>
      <w:r>
        <w:rPr>
          <w:rFonts w:hint="default" w:ascii="Times New Roman" w:hAnsi="Times New Roman" w:cs="Times New Roman"/>
          <w:color w:val="auto"/>
          <w:kern w:val="0"/>
          <w:lang w:eastAsia="zh-CN"/>
        </w:rPr>
        <w:t>。根据项目核算，本项目废水排放量为</w:t>
      </w:r>
      <w:r>
        <w:rPr>
          <w:rFonts w:hint="default" w:ascii="Times New Roman" w:hAnsi="Times New Roman" w:cs="Times New Roman"/>
          <w:color w:val="auto"/>
          <w:kern w:val="0"/>
          <w:lang w:val="en-US" w:eastAsia="zh-CN"/>
        </w:rPr>
        <w:t>1482.41m</w:t>
      </w:r>
      <w:r>
        <w:rPr>
          <w:rFonts w:hint="default" w:ascii="Times New Roman" w:hAnsi="Times New Roman" w:cs="Times New Roman"/>
          <w:color w:val="auto"/>
          <w:kern w:val="0"/>
          <w:vertAlign w:val="superscript"/>
          <w:lang w:val="en-US" w:eastAsia="zh-CN"/>
        </w:rPr>
        <w:t>3</w:t>
      </w:r>
      <w:r>
        <w:rPr>
          <w:rFonts w:hint="default" w:ascii="Times New Roman" w:hAnsi="Times New Roman" w:cs="Times New Roman"/>
          <w:color w:val="auto"/>
          <w:kern w:val="0"/>
          <w:vertAlign w:val="baseline"/>
          <w:lang w:val="en-US" w:eastAsia="zh-CN"/>
        </w:rPr>
        <w:t>/d、54.11</w:t>
      </w:r>
      <w:r>
        <w:rPr>
          <w:rFonts w:hint="default" w:ascii="Times New Roman" w:hAnsi="Times New Roman" w:cs="Times New Roman"/>
          <w:color w:val="auto"/>
          <w:kern w:val="0"/>
        </w:rPr>
        <w:t>万m</w:t>
      </w:r>
      <w:r>
        <w:rPr>
          <w:rFonts w:hint="default" w:ascii="Times New Roman" w:hAnsi="Times New Roman" w:cs="Times New Roman"/>
          <w:color w:val="auto"/>
          <w:kern w:val="0"/>
          <w:vertAlign w:val="superscript"/>
        </w:rPr>
        <w:t>3</w:t>
      </w:r>
      <w:r>
        <w:rPr>
          <w:rFonts w:hint="default" w:ascii="Times New Roman" w:hAnsi="Times New Roman" w:cs="Times New Roman"/>
          <w:color w:val="auto"/>
          <w:kern w:val="0"/>
        </w:rPr>
        <w:t>/a</w:t>
      </w:r>
      <w:r>
        <w:rPr>
          <w:rFonts w:hint="default" w:ascii="Times New Roman" w:hAnsi="Times New Roman" w:cs="Times New Roman"/>
          <w:color w:val="auto"/>
          <w:kern w:val="0"/>
          <w:lang w:eastAsia="zh-CN"/>
        </w:rPr>
        <w:t>，远未达到标准规定的废水基准排放量</w:t>
      </w:r>
      <w:r>
        <w:rPr>
          <w:rFonts w:hint="default" w:ascii="Times New Roman" w:hAnsi="Times New Roman" w:cs="Times New Roman"/>
          <w:color w:val="auto"/>
        </w:rPr>
        <w:t>。</w:t>
      </w:r>
    </w:p>
    <w:p>
      <w:pPr>
        <w:pStyle w:val="136"/>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（3）厂界噪声：运行期噪声执行《工业企业厂界环境噪声排放标准》（GB12348－2008）3类标准。排放标准详见下表。</w:t>
      </w:r>
    </w:p>
    <w:p>
      <w:pPr>
        <w:pStyle w:val="133"/>
        <w:numPr>
          <w:ilvl w:val="1"/>
          <w:numId w:val="6"/>
        </w:numPr>
        <w:spacing w:line="360" w:lineRule="auto"/>
        <w:ind w:firstLineChars="0"/>
        <w:jc w:val="center"/>
        <w:rPr>
          <w:rFonts w:hint="default" w:ascii="Times New Roman" w:hAnsi="Times New Roman" w:cs="Times New Roman"/>
          <w:b/>
          <w:bCs/>
          <w:color w:val="auto"/>
        </w:rPr>
      </w:pPr>
      <w:r>
        <w:rPr>
          <w:rFonts w:hint="default" w:ascii="Times New Roman" w:hAnsi="Times New Roman" w:cs="Times New Roman"/>
          <w:b/>
          <w:bCs/>
          <w:color w:val="auto"/>
        </w:rPr>
        <w:t>环境噪声排放标准单位：dB（A）</w:t>
      </w:r>
    </w:p>
    <w:tbl>
      <w:tblPr>
        <w:tblStyle w:val="4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0"/>
        <w:gridCol w:w="3977"/>
        <w:gridCol w:w="947"/>
        <w:gridCol w:w="19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3"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时段</w:t>
            </w:r>
          </w:p>
        </w:tc>
        <w:tc>
          <w:tcPr>
            <w:tcW w:w="2331"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执行标准</w:t>
            </w:r>
          </w:p>
        </w:tc>
        <w:tc>
          <w:tcPr>
            <w:tcW w:w="555"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昼间</w:t>
            </w:r>
          </w:p>
        </w:tc>
        <w:tc>
          <w:tcPr>
            <w:tcW w:w="1139"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3"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运行期</w:t>
            </w:r>
          </w:p>
        </w:tc>
        <w:tc>
          <w:tcPr>
            <w:tcW w:w="2331"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szCs w:val="21"/>
              </w:rPr>
              <w:t>《工业企业厂界环境噪声排放标准》（GB12348-2008）中的3类标准</w:t>
            </w:r>
          </w:p>
        </w:tc>
        <w:tc>
          <w:tcPr>
            <w:tcW w:w="555" w:type="pct"/>
            <w:vAlign w:val="center"/>
          </w:tcPr>
          <w:p>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65</w:t>
            </w:r>
          </w:p>
        </w:tc>
        <w:tc>
          <w:tcPr>
            <w:tcW w:w="1139" w:type="pct"/>
            <w:vAlign w:val="center"/>
          </w:tcPr>
          <w:p>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55</w:t>
            </w:r>
          </w:p>
        </w:tc>
      </w:tr>
    </w:tbl>
    <w:p>
      <w:pPr>
        <w:pStyle w:val="136"/>
        <w:spacing w:beforeLines="50" w:line="360" w:lineRule="auto"/>
        <w:ind w:firstLine="480" w:firstLineChars="200"/>
        <w:jc w:val="both"/>
        <w:rPr>
          <w:rFonts w:hint="default" w:ascii="Times New Roman" w:hAnsi="Times New Roman" w:cs="Times New Roman"/>
          <w:color w:val="auto"/>
        </w:rPr>
      </w:pPr>
      <w:r>
        <w:rPr>
          <w:rFonts w:hint="default" w:ascii="Times New Roman" w:hAnsi="Times New Roman" w:eastAsia="宋体" w:cs="Times New Roman"/>
          <w:color w:val="auto"/>
        </w:rPr>
        <w:t>（4）固体废物：一般工业固体废弃物排放执行《一般工业固体废物贮存和填埋污染控制标准》（GB18599-2020）；危险废物排放执行《危险废物贮存污染物控制标准》（GB18597-2001）及修改单（环境保护部公告2013年第36号）和《危险废物收集、贮存、运输技术规范》（HJ2025-2012）中的有关规定。</w:t>
      </w:r>
      <w:bookmarkStart w:id="134" w:name="_Toc303426437"/>
      <w:bookmarkStart w:id="135" w:name="_Toc32592"/>
      <w:bookmarkStart w:id="136" w:name="_Toc237751291"/>
      <w:bookmarkStart w:id="137" w:name="_Toc24443"/>
      <w:bookmarkStart w:id="138" w:name="_Toc10880"/>
      <w:bookmarkStart w:id="139" w:name="_Toc19566"/>
      <w:bookmarkStart w:id="140" w:name="_Toc11700"/>
      <w:bookmarkStart w:id="141" w:name="_Toc32751"/>
    </w:p>
    <w:p>
      <w:pPr>
        <w:pStyle w:val="4"/>
        <w:spacing w:before="0" w:after="0" w:line="360" w:lineRule="auto"/>
        <w:rPr>
          <w:rFonts w:hint="default" w:ascii="Times New Roman" w:hAnsi="Times New Roman" w:eastAsia="宋体" w:cs="Times New Roman"/>
          <w:color w:val="auto"/>
          <w:sz w:val="28"/>
          <w:szCs w:val="28"/>
        </w:rPr>
      </w:pPr>
      <w:bookmarkStart w:id="142" w:name="_Toc20808"/>
      <w:r>
        <w:rPr>
          <w:rFonts w:hint="default" w:ascii="Times New Roman" w:hAnsi="Times New Roman" w:eastAsia="宋体" w:cs="Times New Roman"/>
          <w:color w:val="auto"/>
          <w:sz w:val="28"/>
          <w:szCs w:val="28"/>
        </w:rPr>
        <w:t>1.5评价工作等级及</w:t>
      </w:r>
      <w:bookmarkEnd w:id="134"/>
      <w:bookmarkEnd w:id="135"/>
      <w:bookmarkEnd w:id="136"/>
      <w:r>
        <w:rPr>
          <w:rFonts w:hint="default" w:ascii="Times New Roman" w:hAnsi="Times New Roman" w:eastAsia="宋体" w:cs="Times New Roman"/>
          <w:color w:val="auto"/>
          <w:sz w:val="28"/>
          <w:szCs w:val="28"/>
        </w:rPr>
        <w:t>评价范围</w:t>
      </w:r>
      <w:bookmarkEnd w:id="137"/>
      <w:bookmarkEnd w:id="138"/>
      <w:bookmarkEnd w:id="139"/>
      <w:bookmarkEnd w:id="140"/>
      <w:bookmarkEnd w:id="141"/>
      <w:bookmarkEnd w:id="142"/>
    </w:p>
    <w:p>
      <w:pPr>
        <w:pStyle w:val="6"/>
        <w:spacing w:before="0" w:after="0" w:line="360" w:lineRule="auto"/>
        <w:rPr>
          <w:rFonts w:hint="default" w:ascii="Times New Roman" w:hAnsi="Times New Roman" w:cs="Times New Roman"/>
          <w:color w:val="auto"/>
          <w:szCs w:val="28"/>
        </w:rPr>
      </w:pPr>
      <w:bookmarkStart w:id="143" w:name="_Toc237751292"/>
      <w:bookmarkStart w:id="144" w:name="_Toc303426438"/>
      <w:bookmarkStart w:id="145" w:name="_Toc222310483"/>
      <w:bookmarkStart w:id="146" w:name="_Toc20858"/>
      <w:bookmarkStart w:id="147" w:name="_Toc29494"/>
      <w:bookmarkStart w:id="148" w:name="_Toc28120"/>
      <w:bookmarkStart w:id="149" w:name="_Toc26156"/>
      <w:bookmarkStart w:id="150" w:name="_Toc32231"/>
      <w:bookmarkStart w:id="151" w:name="_Toc23627"/>
      <w:bookmarkStart w:id="152" w:name="_Toc10358"/>
      <w:r>
        <w:rPr>
          <w:rFonts w:hint="default" w:ascii="Times New Roman" w:hAnsi="Times New Roman" w:cs="Times New Roman"/>
          <w:color w:val="auto"/>
          <w:szCs w:val="28"/>
        </w:rPr>
        <w:t>1.5.1环境空气评价工作等级</w:t>
      </w:r>
      <w:bookmarkEnd w:id="143"/>
      <w:bookmarkEnd w:id="144"/>
      <w:bookmarkEnd w:id="145"/>
      <w:bookmarkEnd w:id="146"/>
      <w:bookmarkEnd w:id="147"/>
      <w:bookmarkEnd w:id="148"/>
      <w:bookmarkEnd w:id="149"/>
      <w:r>
        <w:rPr>
          <w:rFonts w:hint="default" w:ascii="Times New Roman" w:hAnsi="Times New Roman" w:cs="Times New Roman"/>
          <w:color w:val="auto"/>
          <w:szCs w:val="28"/>
        </w:rPr>
        <w:t>及评价范围</w:t>
      </w:r>
      <w:bookmarkEnd w:id="150"/>
      <w:bookmarkEnd w:id="151"/>
      <w:bookmarkEnd w:id="152"/>
    </w:p>
    <w:p>
      <w:pPr>
        <w:spacing w:line="360" w:lineRule="auto"/>
        <w:ind w:firstLine="480" w:firstLineChars="200"/>
        <w:rPr>
          <w:rFonts w:hint="default" w:ascii="Times New Roman" w:hAnsi="Times New Roman" w:cs="Times New Roman"/>
          <w:bCs/>
          <w:color w:val="auto"/>
          <w:szCs w:val="32"/>
        </w:rPr>
      </w:pPr>
      <w:bookmarkStart w:id="153" w:name="_Toc303426439"/>
      <w:bookmarkStart w:id="154" w:name="_Toc238705579"/>
      <w:bookmarkStart w:id="155" w:name="_Toc303698674"/>
      <w:bookmarkStart w:id="156" w:name="_Toc303409223"/>
      <w:r>
        <w:rPr>
          <w:rFonts w:hint="default" w:ascii="Times New Roman" w:hAnsi="Times New Roman" w:cs="Times New Roman"/>
          <w:bCs/>
          <w:color w:val="auto"/>
          <w:szCs w:val="32"/>
        </w:rPr>
        <w:t>1、评价工作等级</w:t>
      </w:r>
      <w:bookmarkEnd w:id="153"/>
      <w:bookmarkEnd w:id="154"/>
      <w:bookmarkEnd w:id="155"/>
      <w:bookmarkEnd w:id="156"/>
    </w:p>
    <w:p>
      <w:pPr>
        <w:spacing w:line="360" w:lineRule="auto"/>
        <w:ind w:firstLine="480" w:firstLineChars="200"/>
        <w:rPr>
          <w:rFonts w:hint="default" w:ascii="Times New Roman" w:hAnsi="Times New Roman" w:cs="Times New Roman"/>
          <w:color w:val="auto"/>
        </w:rPr>
      </w:pPr>
      <w:bookmarkStart w:id="157" w:name="_Toc32313112"/>
      <w:r>
        <w:rPr>
          <w:rFonts w:hint="default" w:ascii="Times New Roman" w:hAnsi="Times New Roman" w:cs="Times New Roman"/>
          <w:color w:val="auto"/>
        </w:rPr>
        <w:t>根据《环境影响评价技术导则</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rPr>
        <w:t>大气环境》（HJ2.2-2018），大气环境评价等级按照建设项目主要污染物的排放量、周围地形的复杂程度及当地大气环境质量功能区划等确定。该项目位于楚雄工业园区—富民庄甸工业区，大气污染物主要为</w:t>
      </w:r>
      <w:r>
        <w:rPr>
          <w:rFonts w:hint="default" w:ascii="Times New Roman" w:hAnsi="Times New Roman" w:cs="Times New Roman"/>
          <w:color w:val="auto"/>
          <w:lang w:eastAsia="zh-CN"/>
        </w:rPr>
        <w:t>非甲烷总烃</w:t>
      </w:r>
      <w:r>
        <w:rPr>
          <w:rFonts w:hint="default" w:ascii="Times New Roman" w:hAnsi="Times New Roman" w:cs="Times New Roman"/>
          <w:color w:val="auto"/>
        </w:rPr>
        <w:t>，根据《环境影响评价技术导则大气环境》（HJ2.2-2018）中规定评价等级计算方法，需要计算各污染物占标率，计算模式如下：</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kern w:val="0"/>
        </w:rPr>
        <w:pict>
          <v:shape id="对象 443" o:spid="_x0000_s1065" o:spt="75" type="#_x0000_t75" style="position:absolute;left:0pt;margin-left:137.45pt;margin-top:4.15pt;height:36.05pt;width:128.9pt;mso-wrap-distance-bottom:0pt;mso-wrap-distance-left:9pt;mso-wrap-distance-right:9pt;mso-wrap-distance-top:0pt;z-index:251660288;mso-width-relative:page;mso-height-relative:page;" o:ole="t" filled="f" o:preferrelative="t" stroked="f" coordsize="21600,21600">
            <v:path/>
            <v:fill on="f" focussize="0,0"/>
            <v:stroke on="f" joinstyle="miter"/>
            <v:imagedata r:id="rId12" o:title=""/>
            <o:lock v:ext="edit" aspectratio="t"/>
            <w10:wrap type="square"/>
          </v:shape>
          <o:OLEObject Type="Embed" ProgID="Equations" ShapeID="对象 443" DrawAspect="Content" ObjectID="_1468075725" r:id="rId11">
            <o:LockedField>false</o:LockedField>
          </o:OLEObject>
        </w:pict>
      </w:r>
    </w:p>
    <w:p>
      <w:pPr>
        <w:spacing w:line="360" w:lineRule="auto"/>
        <w:rPr>
          <w:rFonts w:hint="default" w:ascii="Times New Roman" w:hAnsi="Times New Roman" w:cs="Times New Roman"/>
          <w:color w:val="auto"/>
        </w:rPr>
      </w:pP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式中：Pi—第i个污染物的最大地面浓度占标率，%；</w:t>
      </w:r>
    </w:p>
    <w:p>
      <w:pPr>
        <w:spacing w:line="360" w:lineRule="auto"/>
        <w:ind w:firstLine="1200" w:firstLineChars="500"/>
        <w:rPr>
          <w:rFonts w:hint="default" w:ascii="Times New Roman" w:hAnsi="Times New Roman" w:cs="Times New Roman"/>
          <w:color w:val="auto"/>
        </w:rPr>
      </w:pPr>
      <w:r>
        <w:rPr>
          <w:rFonts w:hint="default" w:ascii="Times New Roman" w:hAnsi="Times New Roman" w:cs="Times New Roman"/>
          <w:color w:val="auto"/>
        </w:rPr>
        <w:t>Ci—采用估算模式计算出的第i个污染物的最大地面浓度，mg/m</w:t>
      </w:r>
      <w:r>
        <w:rPr>
          <w:rFonts w:hint="default" w:ascii="Times New Roman" w:hAnsi="Times New Roman" w:cs="Times New Roman"/>
          <w:color w:val="auto"/>
          <w:vertAlign w:val="superscript"/>
        </w:rPr>
        <w:t>3</w:t>
      </w:r>
      <w:r>
        <w:rPr>
          <w:rFonts w:hint="default" w:ascii="Times New Roman" w:hAnsi="Times New Roman" w:cs="Times New Roman"/>
          <w:color w:val="auto"/>
        </w:rPr>
        <w:t>；</w:t>
      </w:r>
    </w:p>
    <w:p>
      <w:pPr>
        <w:spacing w:line="360" w:lineRule="auto"/>
        <w:ind w:firstLine="1200" w:firstLineChars="500"/>
        <w:rPr>
          <w:rFonts w:hint="default" w:ascii="Times New Roman" w:hAnsi="Times New Roman" w:cs="Times New Roman"/>
          <w:color w:val="auto"/>
        </w:rPr>
      </w:pPr>
      <w:r>
        <w:rPr>
          <w:rFonts w:hint="default" w:ascii="Times New Roman" w:hAnsi="Times New Roman" w:cs="Times New Roman"/>
          <w:color w:val="auto"/>
        </w:rPr>
        <w:t>C</w:t>
      </w:r>
      <w:r>
        <w:rPr>
          <w:rFonts w:hint="default" w:ascii="Times New Roman" w:hAnsi="Times New Roman" w:cs="Times New Roman"/>
          <w:color w:val="auto"/>
          <w:vertAlign w:val="subscript"/>
        </w:rPr>
        <w:t>0i</w:t>
      </w:r>
      <w:r>
        <w:rPr>
          <w:rFonts w:hint="default" w:ascii="Times New Roman" w:hAnsi="Times New Roman" w:cs="Times New Roman"/>
          <w:color w:val="auto"/>
        </w:rPr>
        <w:t>——第i个污染物的环境空气质量标准，mg/m</w:t>
      </w:r>
      <w:r>
        <w:rPr>
          <w:rFonts w:hint="default" w:ascii="Times New Roman" w:hAnsi="Times New Roman" w:cs="Times New Roman"/>
          <w:color w:val="auto"/>
          <w:vertAlign w:val="superscript"/>
        </w:rPr>
        <w:t>3</w:t>
      </w:r>
      <w:r>
        <w:rPr>
          <w:rFonts w:hint="default" w:ascii="Times New Roman" w:hAnsi="Times New Roman" w:cs="Times New Roman"/>
          <w:color w:val="auto"/>
        </w:rPr>
        <w:t>。</w:t>
      </w:r>
    </w:p>
    <w:p>
      <w:pPr>
        <w:spacing w:line="360" w:lineRule="auto"/>
        <w:ind w:firstLine="1200" w:firstLineChars="500"/>
        <w:rPr>
          <w:rFonts w:hint="default" w:ascii="Times New Roman" w:hAnsi="Times New Roman" w:cs="Times New Roman"/>
          <w:color w:val="auto"/>
        </w:rPr>
      </w:pPr>
      <w:r>
        <w:rPr>
          <w:rFonts w:hint="default" w:ascii="Times New Roman" w:hAnsi="Times New Roman" w:cs="Times New Roman"/>
          <w:color w:val="auto"/>
        </w:rPr>
        <w:t>Coi一般选用GB3095中1小时平均取样时间的二级标准的浓度限值；</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对于没有小时浓度限值的污染物，可取8小时平均浓度限值的2倍值、日平均浓度限制的3倍值。</w:t>
      </w:r>
    </w:p>
    <w:p>
      <w:pPr>
        <w:pStyle w:val="133"/>
        <w:numPr>
          <w:ilvl w:val="1"/>
          <w:numId w:val="6"/>
        </w:numPr>
        <w:spacing w:line="360" w:lineRule="auto"/>
        <w:ind w:left="0" w:firstLine="0" w:firstLineChars="0"/>
        <w:jc w:val="center"/>
        <w:rPr>
          <w:rFonts w:hint="default" w:ascii="Times New Roman" w:hAnsi="Times New Roman" w:cs="Times New Roman"/>
          <w:b/>
          <w:bCs/>
          <w:color w:val="auto"/>
        </w:rPr>
      </w:pPr>
      <w:r>
        <w:rPr>
          <w:rFonts w:hint="default" w:ascii="Times New Roman" w:hAnsi="Times New Roman" w:cs="Times New Roman"/>
          <w:b/>
          <w:bCs/>
          <w:color w:val="auto"/>
        </w:rPr>
        <w:t>大气环境影响评价分级判据表</w:t>
      </w:r>
    </w:p>
    <w:tbl>
      <w:tblPr>
        <w:tblStyle w:val="44"/>
        <w:tblW w:w="799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829"/>
        <w:gridCol w:w="616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829" w:type="dxa"/>
            <w:vAlign w:val="center"/>
          </w:tcPr>
          <w:p>
            <w:pPr>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评价工作等级</w:t>
            </w:r>
          </w:p>
        </w:tc>
        <w:tc>
          <w:tcPr>
            <w:tcW w:w="6165" w:type="dxa"/>
            <w:vAlign w:val="center"/>
          </w:tcPr>
          <w:p>
            <w:pPr>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评价工作分级判据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829"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一级</w:t>
            </w:r>
          </w:p>
        </w:tc>
        <w:tc>
          <w:tcPr>
            <w:tcW w:w="6165"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Pmax≥10%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829"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二级</w:t>
            </w:r>
          </w:p>
        </w:tc>
        <w:tc>
          <w:tcPr>
            <w:tcW w:w="6165"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1%≤Pmax＜10%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829"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三级</w:t>
            </w:r>
          </w:p>
        </w:tc>
        <w:tc>
          <w:tcPr>
            <w:tcW w:w="6165"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Pmax＜1%</w:t>
            </w:r>
          </w:p>
        </w:tc>
      </w:tr>
    </w:tbl>
    <w:p>
      <w:pPr>
        <w:pStyle w:val="133"/>
        <w:numPr>
          <w:ilvl w:val="1"/>
          <w:numId w:val="6"/>
        </w:numPr>
        <w:spacing w:beforeLines="50" w:line="360" w:lineRule="auto"/>
        <w:ind w:left="0" w:firstLine="0" w:firstLineChars="0"/>
        <w:jc w:val="center"/>
        <w:rPr>
          <w:rFonts w:hint="default" w:ascii="Times New Roman" w:hAnsi="Times New Roman" w:cs="Times New Roman"/>
          <w:b/>
          <w:bCs/>
          <w:color w:val="auto"/>
        </w:rPr>
      </w:pPr>
      <w:r>
        <w:rPr>
          <w:rFonts w:hint="default" w:ascii="Times New Roman" w:hAnsi="Times New Roman" w:cs="Times New Roman"/>
          <w:b/>
          <w:bCs/>
          <w:color w:val="auto"/>
        </w:rPr>
        <w:t>本项目估算数值计算各污染物参数</w:t>
      </w:r>
    </w:p>
    <w:tbl>
      <w:tblPr>
        <w:tblStyle w:val="44"/>
        <w:tblW w:w="80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2"/>
        <w:gridCol w:w="1244"/>
        <w:gridCol w:w="1344"/>
        <w:gridCol w:w="1525"/>
        <w:gridCol w:w="1542"/>
        <w:gridCol w:w="10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3970" w:type="dxa"/>
            <w:gridSpan w:val="3"/>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项目</w:t>
            </w:r>
          </w:p>
        </w:tc>
        <w:tc>
          <w:tcPr>
            <w:tcW w:w="1525" w:type="dxa"/>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最大地面浓度ug/m</w:t>
            </w:r>
            <w:r>
              <w:rPr>
                <w:rFonts w:hint="default" w:ascii="Times New Roman" w:hAnsi="Times New Roman" w:cs="Times New Roman"/>
                <w:b/>
                <w:bCs/>
                <w:color w:val="auto"/>
                <w:sz w:val="21"/>
                <w:szCs w:val="21"/>
                <w:vertAlign w:val="superscript"/>
              </w:rPr>
              <w:t>3</w:t>
            </w:r>
          </w:p>
        </w:tc>
        <w:tc>
          <w:tcPr>
            <w:tcW w:w="1542" w:type="dxa"/>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浓度占标率P</w:t>
            </w:r>
            <w:r>
              <w:rPr>
                <w:rFonts w:hint="default" w:ascii="Times New Roman" w:hAnsi="Times New Roman" w:cs="Times New Roman"/>
                <w:b/>
                <w:bCs/>
                <w:color w:val="auto"/>
                <w:sz w:val="21"/>
                <w:szCs w:val="21"/>
                <w:vertAlign w:val="subscript"/>
              </w:rPr>
              <w:t>max</w:t>
            </w:r>
            <w:r>
              <w:rPr>
                <w:rFonts w:hint="default" w:ascii="Times New Roman" w:hAnsi="Times New Roman" w:cs="Times New Roman"/>
                <w:b/>
                <w:bCs/>
                <w:color w:val="auto"/>
                <w:sz w:val="21"/>
                <w:szCs w:val="21"/>
              </w:rPr>
              <w:t>（%）</w:t>
            </w:r>
          </w:p>
        </w:tc>
        <w:tc>
          <w:tcPr>
            <w:tcW w:w="1044" w:type="dxa"/>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评价等级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jc w:val="center"/>
        </w:trPr>
        <w:tc>
          <w:tcPr>
            <w:tcW w:w="1382" w:type="dxa"/>
            <w:vMerge w:val="restart"/>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有组织排放废气</w:t>
            </w:r>
          </w:p>
        </w:tc>
        <w:tc>
          <w:tcPr>
            <w:tcW w:w="1244" w:type="dxa"/>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有机废气</w:t>
            </w:r>
          </w:p>
        </w:tc>
        <w:tc>
          <w:tcPr>
            <w:tcW w:w="1344" w:type="dxa"/>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非甲烷总烃</w:t>
            </w:r>
          </w:p>
        </w:tc>
        <w:tc>
          <w:tcPr>
            <w:tcW w:w="1525" w:type="dxa"/>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44.726</w:t>
            </w:r>
          </w:p>
        </w:tc>
        <w:tc>
          <w:tcPr>
            <w:tcW w:w="1542"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2.2363</w:t>
            </w:r>
          </w:p>
        </w:tc>
        <w:tc>
          <w:tcPr>
            <w:tcW w:w="1044"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二</w:t>
            </w:r>
            <w:r>
              <w:rPr>
                <w:rFonts w:hint="default" w:ascii="Times New Roman" w:hAnsi="Times New Roman" w:cs="Times New Roman"/>
                <w:color w:val="auto"/>
                <w:sz w:val="21"/>
                <w:szCs w:val="21"/>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jc w:val="center"/>
        </w:trPr>
        <w:tc>
          <w:tcPr>
            <w:tcW w:w="1382" w:type="dxa"/>
            <w:vMerge w:val="continue"/>
            <w:vAlign w:val="center"/>
          </w:tcPr>
          <w:p>
            <w:pPr>
              <w:jc w:val="center"/>
              <w:rPr>
                <w:rFonts w:hint="default" w:ascii="Times New Roman" w:hAnsi="Times New Roman" w:cs="Times New Roman"/>
                <w:color w:val="auto"/>
                <w:sz w:val="21"/>
                <w:szCs w:val="21"/>
              </w:rPr>
            </w:pPr>
          </w:p>
        </w:tc>
        <w:tc>
          <w:tcPr>
            <w:tcW w:w="1244" w:type="dxa"/>
            <w:vAlign w:val="center"/>
          </w:tcPr>
          <w:p>
            <w:pPr>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切割粉尘</w:t>
            </w:r>
          </w:p>
        </w:tc>
        <w:tc>
          <w:tcPr>
            <w:tcW w:w="1344" w:type="dxa"/>
            <w:vAlign w:val="center"/>
          </w:tcPr>
          <w:p>
            <w:pPr>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颗粒物</w:t>
            </w:r>
          </w:p>
        </w:tc>
        <w:tc>
          <w:tcPr>
            <w:tcW w:w="1525"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12.45</w:t>
            </w:r>
          </w:p>
        </w:tc>
        <w:tc>
          <w:tcPr>
            <w:tcW w:w="1542"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1.3833</w:t>
            </w:r>
          </w:p>
        </w:tc>
        <w:tc>
          <w:tcPr>
            <w:tcW w:w="1044" w:type="dxa"/>
            <w:vAlign w:val="center"/>
          </w:tcPr>
          <w:p>
            <w:pPr>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二</w:t>
            </w:r>
            <w:r>
              <w:rPr>
                <w:rFonts w:hint="default" w:ascii="Times New Roman" w:hAnsi="Times New Roman" w:cs="Times New Roman"/>
                <w:color w:val="auto"/>
                <w:sz w:val="21"/>
                <w:szCs w:val="21"/>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82" w:type="dxa"/>
            <w:vMerge w:val="continue"/>
            <w:vAlign w:val="center"/>
          </w:tcPr>
          <w:p>
            <w:pPr>
              <w:jc w:val="center"/>
              <w:rPr>
                <w:rFonts w:hint="default" w:ascii="Times New Roman" w:hAnsi="Times New Roman" w:cs="Times New Roman"/>
                <w:color w:val="auto"/>
                <w:sz w:val="21"/>
                <w:szCs w:val="21"/>
              </w:rPr>
            </w:pPr>
          </w:p>
        </w:tc>
        <w:tc>
          <w:tcPr>
            <w:tcW w:w="1244" w:type="dxa"/>
            <w:vAlign w:val="center"/>
          </w:tcPr>
          <w:p>
            <w:pPr>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酸洗废气</w:t>
            </w:r>
          </w:p>
        </w:tc>
        <w:tc>
          <w:tcPr>
            <w:tcW w:w="1344" w:type="dxa"/>
            <w:vAlign w:val="center"/>
          </w:tcPr>
          <w:p>
            <w:pPr>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氟化物</w:t>
            </w:r>
          </w:p>
        </w:tc>
        <w:tc>
          <w:tcPr>
            <w:tcW w:w="1525"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0.1992</w:t>
            </w:r>
          </w:p>
        </w:tc>
        <w:tc>
          <w:tcPr>
            <w:tcW w:w="1542"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0.9958</w:t>
            </w:r>
          </w:p>
        </w:tc>
        <w:tc>
          <w:tcPr>
            <w:tcW w:w="1044" w:type="dxa"/>
            <w:vAlign w:val="center"/>
          </w:tcPr>
          <w:p>
            <w:pPr>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jc w:val="center"/>
        </w:trPr>
        <w:tc>
          <w:tcPr>
            <w:tcW w:w="1382" w:type="dxa"/>
            <w:vMerge w:val="continue"/>
            <w:vAlign w:val="center"/>
          </w:tcPr>
          <w:p>
            <w:pPr>
              <w:jc w:val="center"/>
              <w:rPr>
                <w:rFonts w:hint="default" w:ascii="Times New Roman" w:hAnsi="Times New Roman" w:cs="Times New Roman"/>
                <w:color w:val="auto"/>
                <w:sz w:val="21"/>
                <w:szCs w:val="21"/>
              </w:rPr>
            </w:pPr>
          </w:p>
        </w:tc>
        <w:tc>
          <w:tcPr>
            <w:tcW w:w="1244" w:type="dxa"/>
            <w:vMerge w:val="restart"/>
            <w:vAlign w:val="center"/>
          </w:tcPr>
          <w:p>
            <w:pPr>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恶臭</w:t>
            </w:r>
          </w:p>
        </w:tc>
        <w:tc>
          <w:tcPr>
            <w:tcW w:w="1344" w:type="dxa"/>
            <w:vAlign w:val="center"/>
          </w:tcPr>
          <w:p>
            <w:pPr>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氨</w:t>
            </w:r>
          </w:p>
        </w:tc>
        <w:tc>
          <w:tcPr>
            <w:tcW w:w="1525"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11.877</w:t>
            </w:r>
          </w:p>
        </w:tc>
        <w:tc>
          <w:tcPr>
            <w:tcW w:w="1542"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5.9385</w:t>
            </w:r>
          </w:p>
        </w:tc>
        <w:tc>
          <w:tcPr>
            <w:tcW w:w="1044" w:type="dxa"/>
            <w:vAlign w:val="center"/>
          </w:tcPr>
          <w:p>
            <w:pPr>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二</w:t>
            </w:r>
            <w:r>
              <w:rPr>
                <w:rFonts w:hint="default" w:ascii="Times New Roman" w:hAnsi="Times New Roman" w:cs="Times New Roman"/>
                <w:color w:val="auto"/>
                <w:sz w:val="21"/>
                <w:szCs w:val="21"/>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jc w:val="center"/>
        </w:trPr>
        <w:tc>
          <w:tcPr>
            <w:tcW w:w="1382" w:type="dxa"/>
            <w:vMerge w:val="continue"/>
            <w:vAlign w:val="center"/>
          </w:tcPr>
          <w:p>
            <w:pPr>
              <w:jc w:val="center"/>
              <w:rPr>
                <w:rFonts w:hint="default" w:ascii="Times New Roman" w:hAnsi="Times New Roman" w:cs="Times New Roman"/>
                <w:color w:val="auto"/>
                <w:sz w:val="21"/>
                <w:szCs w:val="21"/>
              </w:rPr>
            </w:pPr>
          </w:p>
        </w:tc>
        <w:tc>
          <w:tcPr>
            <w:tcW w:w="1244" w:type="dxa"/>
            <w:vMerge w:val="continue"/>
            <w:vAlign w:val="center"/>
          </w:tcPr>
          <w:p>
            <w:pPr>
              <w:jc w:val="center"/>
              <w:rPr>
                <w:rFonts w:hint="default" w:ascii="Times New Roman" w:hAnsi="Times New Roman" w:cs="Times New Roman"/>
                <w:color w:val="auto"/>
                <w:sz w:val="21"/>
                <w:szCs w:val="21"/>
                <w:lang w:eastAsia="zh-CN"/>
              </w:rPr>
            </w:pPr>
          </w:p>
        </w:tc>
        <w:tc>
          <w:tcPr>
            <w:tcW w:w="1344" w:type="dxa"/>
            <w:vAlign w:val="center"/>
          </w:tcPr>
          <w:p>
            <w:pPr>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硫化氢</w:t>
            </w:r>
          </w:p>
        </w:tc>
        <w:tc>
          <w:tcPr>
            <w:tcW w:w="1525"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0.1188</w:t>
            </w:r>
          </w:p>
        </w:tc>
        <w:tc>
          <w:tcPr>
            <w:tcW w:w="1542"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1.1877</w:t>
            </w:r>
          </w:p>
        </w:tc>
        <w:tc>
          <w:tcPr>
            <w:tcW w:w="1044" w:type="dxa"/>
            <w:vAlign w:val="center"/>
          </w:tcPr>
          <w:p>
            <w:pPr>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二</w:t>
            </w:r>
            <w:r>
              <w:rPr>
                <w:rFonts w:hint="default" w:ascii="Times New Roman" w:hAnsi="Times New Roman" w:cs="Times New Roman"/>
                <w:color w:val="auto"/>
                <w:sz w:val="21"/>
                <w:szCs w:val="21"/>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jc w:val="center"/>
        </w:trPr>
        <w:tc>
          <w:tcPr>
            <w:tcW w:w="1382"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无组织排放废气</w:t>
            </w:r>
          </w:p>
        </w:tc>
        <w:tc>
          <w:tcPr>
            <w:tcW w:w="1244"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切片车间</w:t>
            </w:r>
          </w:p>
        </w:tc>
        <w:tc>
          <w:tcPr>
            <w:tcW w:w="1344"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非甲烷总烃</w:t>
            </w:r>
          </w:p>
        </w:tc>
        <w:tc>
          <w:tcPr>
            <w:tcW w:w="1525" w:type="dxa"/>
            <w:vAlign w:val="center"/>
          </w:tcPr>
          <w:p>
            <w:pPr>
              <w:jc w:val="center"/>
              <w:rPr>
                <w:rFonts w:hint="default" w:ascii="Times New Roman" w:hAnsi="Times New Roman" w:eastAsia="宋体" w:cs="Times New Roman"/>
                <w:color w:val="auto"/>
                <w:sz w:val="22"/>
                <w:szCs w:val="22"/>
                <w:lang w:val="en-US" w:eastAsia="zh-CN"/>
              </w:rPr>
            </w:pPr>
            <w:r>
              <w:rPr>
                <w:rFonts w:hint="default" w:ascii="Times New Roman" w:hAnsi="Times New Roman" w:cs="Times New Roman"/>
                <w:color w:val="auto"/>
                <w:sz w:val="22"/>
                <w:szCs w:val="22"/>
                <w:lang w:val="en-US" w:eastAsia="zh-CN"/>
              </w:rPr>
              <w:t>22.155</w:t>
            </w:r>
          </w:p>
        </w:tc>
        <w:tc>
          <w:tcPr>
            <w:tcW w:w="1542" w:type="dxa"/>
            <w:vAlign w:val="center"/>
          </w:tcPr>
          <w:p>
            <w:pPr>
              <w:jc w:val="center"/>
              <w:rPr>
                <w:rFonts w:hint="default" w:ascii="Times New Roman" w:hAnsi="Times New Roman" w:eastAsia="宋体" w:cs="Times New Roman"/>
                <w:color w:val="auto"/>
                <w:sz w:val="22"/>
                <w:szCs w:val="22"/>
                <w:lang w:val="en-US" w:eastAsia="zh-CN"/>
              </w:rPr>
            </w:pPr>
            <w:r>
              <w:rPr>
                <w:rFonts w:hint="default" w:ascii="Times New Roman" w:hAnsi="Times New Roman" w:cs="Times New Roman"/>
                <w:color w:val="auto"/>
                <w:sz w:val="22"/>
                <w:szCs w:val="22"/>
                <w:lang w:val="en-US" w:eastAsia="zh-CN"/>
              </w:rPr>
              <w:t>1.1078</w:t>
            </w:r>
          </w:p>
        </w:tc>
        <w:tc>
          <w:tcPr>
            <w:tcW w:w="1044"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二</w:t>
            </w:r>
            <w:r>
              <w:rPr>
                <w:rFonts w:hint="default" w:ascii="Times New Roman" w:hAnsi="Times New Roman" w:cs="Times New Roman"/>
                <w:color w:val="auto"/>
                <w:sz w:val="21"/>
                <w:szCs w:val="21"/>
              </w:rPr>
              <w:t>级</w:t>
            </w:r>
          </w:p>
        </w:tc>
      </w:tr>
    </w:tbl>
    <w:p>
      <w:pPr>
        <w:spacing w:beforeLines="50"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通过A</w:t>
      </w:r>
      <w:r>
        <w:rPr>
          <w:rFonts w:hint="default" w:ascii="Times New Roman" w:hAnsi="Times New Roman" w:cs="Times New Roman"/>
          <w:color w:val="auto"/>
          <w:lang w:val="en-US" w:eastAsia="zh-CN"/>
        </w:rPr>
        <w:t>er</w:t>
      </w:r>
      <w:r>
        <w:rPr>
          <w:rFonts w:hint="default" w:ascii="Times New Roman" w:hAnsi="Times New Roman" w:cs="Times New Roman"/>
          <w:color w:val="auto"/>
        </w:rPr>
        <w:t>S</w:t>
      </w:r>
      <w:r>
        <w:rPr>
          <w:rFonts w:hint="default" w:ascii="Times New Roman" w:hAnsi="Times New Roman" w:cs="Times New Roman"/>
          <w:color w:val="auto"/>
          <w:lang w:val="en-US" w:eastAsia="zh-CN"/>
        </w:rPr>
        <w:t>creen</w:t>
      </w:r>
      <w:r>
        <w:rPr>
          <w:rFonts w:hint="default" w:ascii="Times New Roman" w:hAnsi="Times New Roman" w:cs="Times New Roman"/>
          <w:color w:val="auto"/>
        </w:rPr>
        <w:t>模型对各污染源及各污染物进行筛选后，本项目P</w:t>
      </w:r>
      <w:r>
        <w:rPr>
          <w:rFonts w:hint="default" w:ascii="Times New Roman" w:hAnsi="Times New Roman" w:cs="Times New Roman"/>
          <w:color w:val="auto"/>
          <w:vertAlign w:val="subscript"/>
        </w:rPr>
        <w:t>max</w:t>
      </w:r>
      <w:r>
        <w:rPr>
          <w:rFonts w:hint="default" w:ascii="Times New Roman" w:hAnsi="Times New Roman" w:cs="Times New Roman"/>
          <w:color w:val="auto"/>
        </w:rPr>
        <w:t>为</w:t>
      </w:r>
      <w:r>
        <w:rPr>
          <w:rFonts w:hint="default" w:ascii="Times New Roman" w:hAnsi="Times New Roman" w:cs="Times New Roman"/>
          <w:color w:val="auto"/>
          <w:lang w:val="en-US" w:eastAsia="zh-CN"/>
        </w:rPr>
        <w:t>5.9385</w:t>
      </w:r>
      <w:r>
        <w:rPr>
          <w:rFonts w:hint="default" w:ascii="Times New Roman" w:hAnsi="Times New Roman" w:cs="Times New Roman"/>
          <w:color w:val="auto"/>
        </w:rPr>
        <w:t>%，判定本项目大气环境影响评价等级为二级。</w:t>
      </w:r>
    </w:p>
    <w:p>
      <w:pPr>
        <w:spacing w:line="360" w:lineRule="auto"/>
        <w:ind w:firstLine="480" w:firstLineChars="200"/>
        <w:rPr>
          <w:rFonts w:hint="default" w:ascii="Times New Roman" w:hAnsi="Times New Roman" w:cs="Times New Roman"/>
          <w:bCs/>
          <w:color w:val="auto"/>
          <w:szCs w:val="32"/>
        </w:rPr>
      </w:pPr>
      <w:r>
        <w:rPr>
          <w:rFonts w:hint="default" w:ascii="Times New Roman" w:hAnsi="Times New Roman" w:cs="Times New Roman"/>
          <w:bCs/>
          <w:color w:val="auto"/>
          <w:szCs w:val="32"/>
        </w:rPr>
        <w:t>2、评价范围</w:t>
      </w:r>
    </w:p>
    <w:p>
      <w:pPr>
        <w:spacing w:line="360" w:lineRule="auto"/>
        <w:ind w:firstLine="480" w:firstLineChars="200"/>
        <w:rPr>
          <w:rFonts w:hint="default" w:ascii="Times New Roman" w:hAnsi="Times New Roman" w:cs="Times New Roman"/>
          <w:color w:val="auto"/>
        </w:rPr>
      </w:pPr>
      <w:bookmarkStart w:id="158" w:name="_Toc31673"/>
      <w:bookmarkStart w:id="159" w:name="_Toc3680"/>
      <w:r>
        <w:rPr>
          <w:rFonts w:hint="default" w:ascii="Times New Roman" w:hAnsi="Times New Roman" w:cs="Times New Roman"/>
          <w:color w:val="auto"/>
        </w:rPr>
        <w:t>本次评价范围为自场界外延2.5km，边长为5km的矩形范围。</w:t>
      </w:r>
    </w:p>
    <w:p>
      <w:pPr>
        <w:pStyle w:val="6"/>
        <w:spacing w:before="0" w:after="0" w:line="360" w:lineRule="auto"/>
        <w:rPr>
          <w:rFonts w:hint="default" w:ascii="Times New Roman" w:hAnsi="Times New Roman" w:cs="Times New Roman"/>
          <w:color w:val="auto"/>
          <w:szCs w:val="28"/>
        </w:rPr>
      </w:pPr>
      <w:bookmarkStart w:id="160" w:name="_Toc782"/>
      <w:r>
        <w:rPr>
          <w:rFonts w:hint="default" w:ascii="Times New Roman" w:hAnsi="Times New Roman" w:cs="Times New Roman"/>
          <w:color w:val="auto"/>
          <w:szCs w:val="28"/>
        </w:rPr>
        <w:t>1.5.2地表水环境评价工作等级及评价范围</w:t>
      </w:r>
      <w:bookmarkEnd w:id="158"/>
      <w:bookmarkEnd w:id="159"/>
      <w:bookmarkEnd w:id="160"/>
    </w:p>
    <w:p>
      <w:pPr>
        <w:spacing w:line="360" w:lineRule="auto"/>
        <w:ind w:firstLine="480" w:firstLineChars="200"/>
        <w:rPr>
          <w:rFonts w:hint="default" w:ascii="Times New Roman" w:hAnsi="Times New Roman" w:cs="Times New Roman"/>
          <w:bCs/>
          <w:color w:val="auto"/>
          <w:szCs w:val="32"/>
        </w:rPr>
      </w:pPr>
      <w:r>
        <w:rPr>
          <w:rFonts w:hint="default" w:ascii="Times New Roman" w:hAnsi="Times New Roman" w:cs="Times New Roman"/>
          <w:bCs/>
          <w:color w:val="auto"/>
          <w:szCs w:val="32"/>
        </w:rPr>
        <w:t>1、评价工作等级</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按《环境影响评价技术导则</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rPr>
        <w:t>地表水环境》（HJ2.3-2018）的规定，地表水评价等级根据项目废水排放量、水污染物当量数、排放方式确定。</w:t>
      </w:r>
    </w:p>
    <w:p>
      <w:pPr>
        <w:pStyle w:val="2"/>
        <w:rPr>
          <w:rFonts w:hint="default" w:ascii="Times New Roman" w:hAnsi="Times New Roman" w:cs="Times New Roman"/>
          <w:color w:val="auto"/>
        </w:rPr>
      </w:pPr>
    </w:p>
    <w:p>
      <w:pPr>
        <w:pStyle w:val="133"/>
        <w:numPr>
          <w:ilvl w:val="1"/>
          <w:numId w:val="6"/>
        </w:numPr>
        <w:spacing w:line="360" w:lineRule="auto"/>
        <w:ind w:left="0" w:firstLine="0" w:firstLineChars="0"/>
        <w:jc w:val="center"/>
        <w:rPr>
          <w:rFonts w:hint="default" w:ascii="Times New Roman" w:hAnsi="Times New Roman" w:cs="Times New Roman"/>
          <w:b/>
          <w:bCs/>
          <w:color w:val="auto"/>
        </w:rPr>
      </w:pPr>
      <w:r>
        <w:rPr>
          <w:rFonts w:hint="default" w:ascii="Times New Roman" w:hAnsi="Times New Roman" w:cs="Times New Roman"/>
          <w:b/>
          <w:bCs/>
          <w:color w:val="auto"/>
        </w:rPr>
        <w:t>水污染影响型建设项目评价等级判定</w:t>
      </w:r>
    </w:p>
    <w:tbl>
      <w:tblPr>
        <w:tblStyle w:val="44"/>
        <w:tblW w:w="75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4"/>
        <w:gridCol w:w="1534"/>
        <w:gridCol w:w="48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4" w:type="dxa"/>
            <w:vMerge w:val="restart"/>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评价等级</w:t>
            </w:r>
          </w:p>
        </w:tc>
        <w:tc>
          <w:tcPr>
            <w:tcW w:w="6398" w:type="dxa"/>
            <w:gridSpan w:val="2"/>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判定依据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4" w:type="dxa"/>
            <w:vMerge w:val="continue"/>
            <w:vAlign w:val="center"/>
          </w:tcPr>
          <w:p>
            <w:pPr>
              <w:jc w:val="center"/>
              <w:rPr>
                <w:rFonts w:hint="default" w:ascii="Times New Roman" w:hAnsi="Times New Roman" w:cs="Times New Roman"/>
                <w:color w:val="auto"/>
                <w:sz w:val="21"/>
                <w:szCs w:val="21"/>
              </w:rPr>
            </w:pPr>
          </w:p>
        </w:tc>
        <w:tc>
          <w:tcPr>
            <w:tcW w:w="1534"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排放方式</w:t>
            </w:r>
          </w:p>
        </w:tc>
        <w:tc>
          <w:tcPr>
            <w:tcW w:w="4864"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废水排放量Q（m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/d）或水污染物当量W（无量纲）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4"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一级</w:t>
            </w:r>
          </w:p>
        </w:tc>
        <w:tc>
          <w:tcPr>
            <w:tcW w:w="1534"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直接排放</w:t>
            </w:r>
          </w:p>
        </w:tc>
        <w:tc>
          <w:tcPr>
            <w:tcW w:w="4864"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Q≥20000或W≥600000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4"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二级</w:t>
            </w:r>
          </w:p>
        </w:tc>
        <w:tc>
          <w:tcPr>
            <w:tcW w:w="1534"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直接排放</w:t>
            </w:r>
          </w:p>
        </w:tc>
        <w:tc>
          <w:tcPr>
            <w:tcW w:w="4864"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4"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三级A</w:t>
            </w:r>
          </w:p>
        </w:tc>
        <w:tc>
          <w:tcPr>
            <w:tcW w:w="1534"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直接排放</w:t>
            </w:r>
          </w:p>
        </w:tc>
        <w:tc>
          <w:tcPr>
            <w:tcW w:w="4864"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Q＜200且W＜6000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4"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三级B</w:t>
            </w:r>
          </w:p>
        </w:tc>
        <w:tc>
          <w:tcPr>
            <w:tcW w:w="1534"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间接排放</w:t>
            </w:r>
          </w:p>
        </w:tc>
        <w:tc>
          <w:tcPr>
            <w:tcW w:w="4864"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bl>
    <w:p>
      <w:pPr>
        <w:spacing w:beforeLines="50"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本项目外排废水处理达到</w:t>
      </w:r>
      <w:r>
        <w:rPr>
          <w:rFonts w:hint="default" w:ascii="Times New Roman" w:hAnsi="Times New Roman" w:cs="Times New Roman" w:eastAsiaTheme="minorEastAsia"/>
          <w:color w:val="auto"/>
          <w:lang w:eastAsia="zh-CN"/>
        </w:rPr>
        <w:t>表</w:t>
      </w:r>
      <w:r>
        <w:rPr>
          <w:rFonts w:hint="default" w:ascii="Times New Roman" w:hAnsi="Times New Roman" w:cs="Times New Roman" w:eastAsiaTheme="minorEastAsia"/>
          <w:color w:val="auto"/>
          <w:lang w:val="en-US" w:eastAsia="zh-CN"/>
        </w:rPr>
        <w:t>1-12</w:t>
      </w:r>
      <w:r>
        <w:rPr>
          <w:rFonts w:hint="default" w:ascii="Times New Roman" w:hAnsi="Times New Roman" w:cs="Times New Roman" w:eastAsiaTheme="minorEastAsia"/>
          <w:color w:val="auto"/>
        </w:rPr>
        <w:t>排放标准值后排入市政污水管网</w:t>
      </w:r>
      <w:r>
        <w:rPr>
          <w:rFonts w:hint="default" w:ascii="Times New Roman" w:hAnsi="Times New Roman" w:cs="Times New Roman"/>
          <w:color w:val="auto"/>
          <w:kern w:val="0"/>
        </w:rPr>
        <w:t>，</w:t>
      </w:r>
      <w:r>
        <w:rPr>
          <w:rFonts w:hint="default" w:ascii="Times New Roman" w:hAnsi="Times New Roman" w:cs="Times New Roman"/>
          <w:color w:val="auto"/>
          <w:kern w:val="0"/>
          <w:lang w:eastAsia="zh-CN"/>
        </w:rPr>
        <w:t>最终进入楚雄市富民工业园区污水处理厂进行处理</w:t>
      </w:r>
      <w:r>
        <w:rPr>
          <w:rFonts w:hint="default" w:ascii="Times New Roman" w:hAnsi="Times New Roman" w:cs="Times New Roman"/>
          <w:color w:val="auto"/>
        </w:rPr>
        <w:t>，排放方式为间接排放，评价等级为三级B。</w:t>
      </w:r>
    </w:p>
    <w:p>
      <w:pPr>
        <w:spacing w:line="360" w:lineRule="auto"/>
        <w:ind w:firstLine="480" w:firstLineChars="200"/>
        <w:rPr>
          <w:rFonts w:hint="default" w:ascii="Times New Roman" w:hAnsi="Times New Roman" w:cs="Times New Roman"/>
          <w:bCs/>
          <w:color w:val="auto"/>
          <w:szCs w:val="32"/>
        </w:rPr>
      </w:pPr>
      <w:r>
        <w:rPr>
          <w:rFonts w:hint="default" w:ascii="Times New Roman" w:hAnsi="Times New Roman" w:cs="Times New Roman"/>
          <w:bCs/>
          <w:color w:val="auto"/>
          <w:szCs w:val="32"/>
        </w:rPr>
        <w:t>2、评价范围</w:t>
      </w:r>
    </w:p>
    <w:p>
      <w:pPr>
        <w:spacing w:line="360" w:lineRule="auto"/>
        <w:ind w:firstLine="520" w:firstLineChars="200"/>
        <w:jc w:val="left"/>
        <w:rPr>
          <w:rFonts w:hint="default" w:ascii="Times New Roman" w:hAnsi="Times New Roman" w:cs="Times New Roman"/>
          <w:color w:val="auto"/>
        </w:rPr>
      </w:pPr>
      <w:bookmarkStart w:id="161" w:name="_Toc861"/>
      <w:bookmarkStart w:id="162" w:name="_Toc22325"/>
      <w:r>
        <w:rPr>
          <w:rFonts w:hint="default" w:ascii="Times New Roman" w:hAnsi="Times New Roman" w:cs="Times New Roman"/>
          <w:bCs/>
          <w:caps/>
          <w:color w:val="auto"/>
          <w:spacing w:val="10"/>
          <w:szCs w:val="20"/>
        </w:rPr>
        <w:t>根据《环境影响评价技术导则</w:t>
      </w:r>
      <w:r>
        <w:rPr>
          <w:rFonts w:hint="default" w:ascii="Times New Roman" w:hAnsi="Times New Roman" w:cs="Times New Roman"/>
          <w:bCs/>
          <w:caps/>
          <w:color w:val="auto"/>
          <w:spacing w:val="10"/>
          <w:szCs w:val="20"/>
          <w:lang w:val="en-US" w:eastAsia="zh-CN"/>
        </w:rPr>
        <w:t xml:space="preserve"> </w:t>
      </w:r>
      <w:r>
        <w:rPr>
          <w:rFonts w:hint="default" w:ascii="Times New Roman" w:hAnsi="Times New Roman" w:cs="Times New Roman"/>
          <w:bCs/>
          <w:caps/>
          <w:color w:val="auto"/>
          <w:spacing w:val="10"/>
          <w:szCs w:val="20"/>
        </w:rPr>
        <w:t>地表水环境》（HJ2.3-2018）要求，地表水评价范围为青龙河下富线断面至青龙河鹿城东路断面约3.2</w:t>
      </w:r>
      <w:r>
        <w:rPr>
          <w:rFonts w:hint="default" w:ascii="Times New Roman" w:hAnsi="Times New Roman" w:cs="Times New Roman"/>
          <w:color w:val="auto"/>
        </w:rPr>
        <w:t>km</w:t>
      </w:r>
      <w:r>
        <w:rPr>
          <w:rFonts w:hint="default" w:ascii="Times New Roman" w:hAnsi="Times New Roman" w:cs="Times New Roman"/>
          <w:bCs/>
          <w:caps/>
          <w:color w:val="auto"/>
          <w:spacing w:val="10"/>
          <w:szCs w:val="20"/>
        </w:rPr>
        <w:t>的区域</w:t>
      </w:r>
      <w:r>
        <w:rPr>
          <w:rFonts w:hint="default" w:ascii="Times New Roman" w:hAnsi="Times New Roman" w:cs="Times New Roman"/>
          <w:color w:val="auto"/>
        </w:rPr>
        <w:t>。</w:t>
      </w:r>
    </w:p>
    <w:p>
      <w:pPr>
        <w:pStyle w:val="6"/>
        <w:spacing w:before="0" w:after="0" w:line="360" w:lineRule="auto"/>
        <w:rPr>
          <w:rFonts w:hint="default" w:ascii="Times New Roman" w:hAnsi="Times New Roman" w:cs="Times New Roman"/>
          <w:color w:val="auto"/>
          <w:szCs w:val="28"/>
        </w:rPr>
      </w:pPr>
      <w:bookmarkStart w:id="163" w:name="_Toc13259"/>
      <w:r>
        <w:rPr>
          <w:rFonts w:hint="default" w:ascii="Times New Roman" w:hAnsi="Times New Roman" w:cs="Times New Roman"/>
          <w:color w:val="auto"/>
          <w:szCs w:val="28"/>
        </w:rPr>
        <w:t>1.5.3地下水评价工作等级及评价范围</w:t>
      </w:r>
      <w:bookmarkEnd w:id="163"/>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1、评价</w:t>
      </w:r>
      <w:r>
        <w:rPr>
          <w:rFonts w:hint="default" w:ascii="Times New Roman" w:hAnsi="Times New Roman" w:cs="Times New Roman"/>
          <w:color w:val="auto"/>
          <w:lang w:eastAsia="zh-CN"/>
        </w:rPr>
        <w:t>工作</w:t>
      </w:r>
      <w:r>
        <w:rPr>
          <w:rFonts w:hint="default" w:ascii="Times New Roman" w:hAnsi="Times New Roman" w:cs="Times New Roman"/>
          <w:color w:val="auto"/>
        </w:rPr>
        <w:t>等级</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根据《环境影响评价技术导则地下水环境》（HJ610-2016）的规定，评价工作等级的划分按项目所属的地下水环境影响评价项目类别及地下水敏感程度确定。</w:t>
      </w:r>
    </w:p>
    <w:p>
      <w:pPr>
        <w:pStyle w:val="133"/>
        <w:numPr>
          <w:ilvl w:val="1"/>
          <w:numId w:val="6"/>
        </w:numPr>
        <w:spacing w:line="360" w:lineRule="auto"/>
        <w:ind w:left="0" w:firstLine="0" w:firstLineChars="0"/>
        <w:jc w:val="center"/>
        <w:rPr>
          <w:rFonts w:hint="default" w:ascii="Times New Roman" w:hAnsi="Times New Roman" w:cs="Times New Roman"/>
          <w:b/>
          <w:bCs/>
          <w:color w:val="auto"/>
        </w:rPr>
      </w:pPr>
      <w:r>
        <w:rPr>
          <w:rFonts w:hint="default" w:ascii="Times New Roman" w:hAnsi="Times New Roman" w:cs="Times New Roman"/>
          <w:b/>
          <w:bCs/>
          <w:color w:val="auto"/>
        </w:rPr>
        <w:t>地下水评价工作等级分级表</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2"/>
        <w:gridCol w:w="1804"/>
        <w:gridCol w:w="1984"/>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2132" w:type="dxa"/>
            <w:tcBorders>
              <w:tl2br w:val="single" w:color="auto" w:sz="4" w:space="0"/>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项目类别</w:t>
            </w:r>
          </w:p>
          <w:p>
            <w:pPr>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环境敏感程度</w:t>
            </w:r>
          </w:p>
        </w:tc>
        <w:tc>
          <w:tcPr>
            <w:tcW w:w="1804"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Ⅰ类项目</w:t>
            </w:r>
          </w:p>
        </w:tc>
        <w:tc>
          <w:tcPr>
            <w:tcW w:w="1984"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Ⅱ类项目</w:t>
            </w:r>
          </w:p>
        </w:tc>
        <w:tc>
          <w:tcPr>
            <w:tcW w:w="2126"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Ⅲ类项目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2"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敏感</w:t>
            </w:r>
          </w:p>
        </w:tc>
        <w:tc>
          <w:tcPr>
            <w:tcW w:w="1804"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w:t>
            </w:r>
          </w:p>
        </w:tc>
        <w:tc>
          <w:tcPr>
            <w:tcW w:w="1984"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w:t>
            </w:r>
          </w:p>
        </w:tc>
        <w:tc>
          <w:tcPr>
            <w:tcW w:w="2126"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2"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较敏感</w:t>
            </w:r>
          </w:p>
        </w:tc>
        <w:tc>
          <w:tcPr>
            <w:tcW w:w="1804"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w:t>
            </w:r>
          </w:p>
        </w:tc>
        <w:tc>
          <w:tcPr>
            <w:tcW w:w="1984"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w:t>
            </w:r>
          </w:p>
        </w:tc>
        <w:tc>
          <w:tcPr>
            <w:tcW w:w="2126"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2"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不敏感</w:t>
            </w:r>
          </w:p>
        </w:tc>
        <w:tc>
          <w:tcPr>
            <w:tcW w:w="1804"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w:t>
            </w:r>
          </w:p>
        </w:tc>
        <w:tc>
          <w:tcPr>
            <w:tcW w:w="1984"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三</w:t>
            </w:r>
          </w:p>
        </w:tc>
        <w:tc>
          <w:tcPr>
            <w:tcW w:w="2126"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三</w:t>
            </w:r>
          </w:p>
        </w:tc>
      </w:tr>
    </w:tbl>
    <w:p>
      <w:pPr>
        <w:spacing w:beforeLines="50"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根据《环境影响评价技术导则</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rPr>
        <w:t>地下水环境》（HJ610-2016）附录A相关规定，本项目属于“K、机械、电子82、半导体材料、电子陶瓷、有机薄膜、荧光粉、贵金属粉等电子专用材料”，属于IV类项目，可不开展地下水环境影响评价。</w:t>
      </w:r>
    </w:p>
    <w:bookmarkEnd w:id="161"/>
    <w:bookmarkEnd w:id="162"/>
    <w:p>
      <w:pPr>
        <w:spacing w:line="360" w:lineRule="auto"/>
        <w:ind w:firstLine="480" w:firstLineChars="200"/>
        <w:rPr>
          <w:rFonts w:hint="default" w:ascii="Times New Roman" w:hAnsi="Times New Roman" w:cs="Times New Roman"/>
          <w:color w:val="auto"/>
        </w:rPr>
      </w:pPr>
      <w:bookmarkStart w:id="164" w:name="_Toc303698676"/>
      <w:bookmarkStart w:id="165" w:name="_Toc303409225"/>
      <w:bookmarkStart w:id="166" w:name="_Toc238705581"/>
      <w:bookmarkStart w:id="167" w:name="_Toc303426441"/>
      <w:r>
        <w:rPr>
          <w:rFonts w:hint="default" w:ascii="Times New Roman" w:hAnsi="Times New Roman" w:cs="Times New Roman"/>
          <w:color w:val="auto"/>
        </w:rPr>
        <w:t>2、评价范围</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根据《环境影响评价技术导则地下水环境》（HJ610-2016），项目可不开展地下水评价，因此，不设置地下水评价范围。</w:t>
      </w:r>
    </w:p>
    <w:p>
      <w:pPr>
        <w:pStyle w:val="6"/>
        <w:spacing w:before="0" w:after="0" w:line="360" w:lineRule="auto"/>
        <w:rPr>
          <w:rFonts w:hint="default" w:ascii="Times New Roman" w:hAnsi="Times New Roman" w:cs="Times New Roman"/>
          <w:color w:val="auto"/>
          <w:szCs w:val="28"/>
        </w:rPr>
      </w:pPr>
      <w:bookmarkStart w:id="168" w:name="_Toc69114924"/>
      <w:bookmarkStart w:id="169" w:name="_Toc32053"/>
      <w:r>
        <w:rPr>
          <w:rFonts w:hint="default" w:ascii="Times New Roman" w:hAnsi="Times New Roman" w:cs="Times New Roman"/>
          <w:color w:val="auto"/>
          <w:szCs w:val="28"/>
        </w:rPr>
        <w:t>1.5.4环境噪声评价工作等级及评价范围</w:t>
      </w:r>
      <w:bookmarkEnd w:id="168"/>
      <w:bookmarkEnd w:id="169"/>
    </w:p>
    <w:p>
      <w:pPr>
        <w:spacing w:line="360" w:lineRule="auto"/>
        <w:ind w:firstLine="480" w:firstLineChars="200"/>
        <w:rPr>
          <w:rFonts w:hint="default" w:ascii="Times New Roman" w:hAnsi="Times New Roman" w:cs="Times New Roman"/>
          <w:bCs/>
          <w:color w:val="auto"/>
          <w:szCs w:val="32"/>
        </w:rPr>
      </w:pPr>
      <w:r>
        <w:rPr>
          <w:rFonts w:hint="default" w:ascii="Times New Roman" w:hAnsi="Times New Roman" w:cs="Times New Roman"/>
          <w:bCs/>
          <w:color w:val="auto"/>
          <w:szCs w:val="32"/>
        </w:rPr>
        <w:t>1、</w:t>
      </w:r>
      <w:bookmarkEnd w:id="157"/>
      <w:bookmarkEnd w:id="164"/>
      <w:bookmarkEnd w:id="165"/>
      <w:bookmarkEnd w:id="166"/>
      <w:bookmarkEnd w:id="167"/>
      <w:r>
        <w:rPr>
          <w:rFonts w:hint="default" w:ascii="Times New Roman" w:hAnsi="Times New Roman" w:cs="Times New Roman"/>
          <w:bCs/>
          <w:color w:val="auto"/>
          <w:szCs w:val="32"/>
        </w:rPr>
        <w:t>评价</w:t>
      </w:r>
      <w:r>
        <w:rPr>
          <w:rFonts w:hint="default" w:ascii="Times New Roman" w:hAnsi="Times New Roman" w:cs="Times New Roman"/>
          <w:bCs/>
          <w:color w:val="auto"/>
          <w:szCs w:val="32"/>
          <w:lang w:eastAsia="zh-CN"/>
        </w:rPr>
        <w:t>工作</w:t>
      </w:r>
      <w:r>
        <w:rPr>
          <w:rFonts w:hint="default" w:ascii="Times New Roman" w:hAnsi="Times New Roman" w:cs="Times New Roman"/>
          <w:bCs/>
          <w:color w:val="auto"/>
          <w:szCs w:val="32"/>
        </w:rPr>
        <w:t>等级</w:t>
      </w:r>
    </w:p>
    <w:p>
      <w:pPr>
        <w:pStyle w:val="2"/>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根据《环境影响评价技术导则</w:t>
      </w:r>
      <w:r>
        <w:rPr>
          <w:rFonts w:hint="default" w:ascii="Times New Roman" w:hAnsi="Times New Roman" w:eastAsia="宋体" w:cs="Times New Roman"/>
          <w:color w:val="auto"/>
          <w:sz w:val="24"/>
          <w:lang w:val="en-US" w:eastAsia="zh-CN"/>
        </w:rPr>
        <w:t xml:space="preserve"> </w:t>
      </w:r>
      <w:r>
        <w:rPr>
          <w:rFonts w:hint="default" w:ascii="Times New Roman" w:hAnsi="Times New Roman" w:eastAsia="宋体" w:cs="Times New Roman"/>
          <w:color w:val="auto"/>
          <w:sz w:val="24"/>
        </w:rPr>
        <w:t>声环境》（HJ2.4-20</w:t>
      </w:r>
      <w:r>
        <w:rPr>
          <w:rFonts w:hint="default" w:ascii="Times New Roman" w:hAnsi="Times New Roman" w:eastAsia="宋体" w:cs="Times New Roman"/>
          <w:color w:val="auto"/>
          <w:sz w:val="24"/>
          <w:lang w:val="en-US" w:eastAsia="zh-CN"/>
        </w:rPr>
        <w:t>21</w:t>
      </w:r>
      <w:r>
        <w:rPr>
          <w:rFonts w:hint="default" w:ascii="Times New Roman" w:hAnsi="Times New Roman" w:eastAsia="宋体" w:cs="Times New Roman"/>
          <w:color w:val="auto"/>
          <w:sz w:val="24"/>
        </w:rPr>
        <w:t>）的规定，声环境评价工作等级按声环境功能区级别、声环境特征和影响程度大小确定。</w:t>
      </w:r>
    </w:p>
    <w:p>
      <w:pPr>
        <w:pStyle w:val="133"/>
        <w:numPr>
          <w:ilvl w:val="1"/>
          <w:numId w:val="6"/>
        </w:numPr>
        <w:spacing w:line="360" w:lineRule="auto"/>
        <w:ind w:left="0" w:firstLine="0" w:firstLineChars="0"/>
        <w:jc w:val="center"/>
        <w:rPr>
          <w:rFonts w:hint="default" w:ascii="Times New Roman" w:hAnsi="Times New Roman" w:cs="Times New Roman"/>
          <w:b/>
          <w:bCs/>
          <w:color w:val="auto"/>
        </w:rPr>
      </w:pPr>
      <w:r>
        <w:rPr>
          <w:rFonts w:hint="default" w:ascii="Times New Roman" w:hAnsi="Times New Roman" w:cs="Times New Roman"/>
          <w:b/>
          <w:bCs/>
          <w:color w:val="auto"/>
        </w:rPr>
        <w:t>声环境评价工作等级划分</w:t>
      </w:r>
    </w:p>
    <w:tbl>
      <w:tblPr>
        <w:tblStyle w:val="44"/>
        <w:tblW w:w="82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4"/>
        <w:gridCol w:w="66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74"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评价工作等级</w:t>
            </w:r>
          </w:p>
        </w:tc>
        <w:tc>
          <w:tcPr>
            <w:tcW w:w="6616"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划分判据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74"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一级评价</w:t>
            </w:r>
          </w:p>
        </w:tc>
        <w:tc>
          <w:tcPr>
            <w:tcW w:w="6616" w:type="dxa"/>
            <w:vAlign w:val="center"/>
          </w:tcPr>
          <w:p>
            <w:pPr>
              <w:pStyle w:val="167"/>
              <w:jc w:val="left"/>
              <w:rPr>
                <w:rFonts w:hint="default" w:ascii="Times New Roman" w:hAnsi="Times New Roman" w:cs="Times New Roman"/>
                <w:color w:val="auto"/>
              </w:rPr>
            </w:pPr>
            <w:r>
              <w:rPr>
                <w:rFonts w:hint="default" w:ascii="Times New Roman" w:hAnsi="Times New Roman" w:cs="Times New Roman"/>
                <w:color w:val="auto"/>
              </w:rPr>
              <w:t>评价范围内有适用于GB3096-2008规定的0类声环境功能区域，以及对噪声有特别限制要求的保护区等敏感目标，或建设项目建设前后评价范围内敏感目标噪声级增高量达5dB(A)以上（不含5dB(A)），或受影响人口数量显著增多的评价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74"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二级评价</w:t>
            </w:r>
          </w:p>
        </w:tc>
        <w:tc>
          <w:tcPr>
            <w:tcW w:w="6616" w:type="dxa"/>
            <w:vAlign w:val="center"/>
          </w:tcPr>
          <w:p>
            <w:pPr>
              <w:pStyle w:val="167"/>
              <w:jc w:val="left"/>
              <w:rPr>
                <w:rFonts w:hint="default" w:ascii="Times New Roman" w:hAnsi="Times New Roman" w:cs="Times New Roman"/>
                <w:color w:val="auto"/>
              </w:rPr>
            </w:pPr>
            <w:r>
              <w:rPr>
                <w:rFonts w:hint="default" w:ascii="Times New Roman" w:hAnsi="Times New Roman" w:cs="Times New Roman"/>
                <w:color w:val="auto"/>
              </w:rPr>
              <w:t>建设项目所处的声环境功能区为GB3096-2008规定的1类、2类地区，或建设项目建设前后评价范围内敏感目标噪声级增高量达3dB(A)～5dB(A)（含5dB(A)），或受噪声影响人口数量增加较多的评价区域。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74"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三级评价</w:t>
            </w:r>
          </w:p>
        </w:tc>
        <w:tc>
          <w:tcPr>
            <w:tcW w:w="6616" w:type="dxa"/>
            <w:vAlign w:val="center"/>
          </w:tcPr>
          <w:p>
            <w:pPr>
              <w:pStyle w:val="167"/>
              <w:jc w:val="left"/>
              <w:rPr>
                <w:rFonts w:hint="default" w:ascii="Times New Roman" w:hAnsi="Times New Roman" w:cs="Times New Roman"/>
                <w:color w:val="auto"/>
              </w:rPr>
            </w:pPr>
            <w:r>
              <w:rPr>
                <w:rFonts w:hint="default" w:ascii="Times New Roman" w:hAnsi="Times New Roman" w:cs="Times New Roman"/>
                <w:color w:val="auto"/>
              </w:rPr>
              <w:t>建设项目所处的声环境功能区为GB3096-2008规定的3类、4类地区，或建设项目建设前后评价范围内敏感目标噪声级增高量在3dB(A)以下（不含3dB(A)），且受影响人口数量变化不大的评价区域。</w:t>
            </w:r>
          </w:p>
        </w:tc>
      </w:tr>
    </w:tbl>
    <w:p>
      <w:pPr>
        <w:pStyle w:val="2"/>
        <w:spacing w:beforeLines="50"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本建设项目位于楚雄工业园区—富民庄甸工业区，所处的声环境功能区为GB3096规定的3类地区，项目建成投产后，周边没有声环境保护目标，故判定本项目声环境评价工作等级为三级。</w:t>
      </w:r>
    </w:p>
    <w:p>
      <w:pPr>
        <w:spacing w:line="360" w:lineRule="auto"/>
        <w:ind w:firstLine="480" w:firstLineChars="200"/>
        <w:rPr>
          <w:rFonts w:hint="default" w:ascii="Times New Roman" w:hAnsi="Times New Roman" w:cs="Times New Roman"/>
          <w:bCs/>
          <w:color w:val="auto"/>
          <w:szCs w:val="32"/>
        </w:rPr>
      </w:pPr>
      <w:r>
        <w:rPr>
          <w:rFonts w:hint="default" w:ascii="Times New Roman" w:hAnsi="Times New Roman" w:cs="Times New Roman"/>
          <w:bCs/>
          <w:color w:val="auto"/>
          <w:szCs w:val="32"/>
        </w:rPr>
        <w:t>2、评价范围</w:t>
      </w:r>
    </w:p>
    <w:p>
      <w:pPr>
        <w:spacing w:line="360" w:lineRule="auto"/>
        <w:ind w:firstLine="482"/>
        <w:rPr>
          <w:rFonts w:hint="default" w:ascii="Times New Roman" w:hAnsi="Times New Roman" w:cs="Times New Roman"/>
          <w:color w:val="auto"/>
        </w:rPr>
      </w:pPr>
      <w:r>
        <w:rPr>
          <w:rFonts w:hint="default" w:ascii="Times New Roman" w:hAnsi="Times New Roman" w:cs="Times New Roman"/>
          <w:color w:val="auto"/>
        </w:rPr>
        <w:t>厂界往外延伸200m范围的区域。</w:t>
      </w:r>
    </w:p>
    <w:p>
      <w:pPr>
        <w:pStyle w:val="6"/>
        <w:spacing w:before="0" w:after="0" w:line="360" w:lineRule="auto"/>
        <w:rPr>
          <w:rFonts w:hint="default" w:ascii="Times New Roman" w:hAnsi="Times New Roman" w:cs="Times New Roman"/>
          <w:color w:val="auto"/>
          <w:szCs w:val="28"/>
        </w:rPr>
      </w:pPr>
      <w:bookmarkStart w:id="170" w:name="_Toc9286"/>
      <w:bookmarkStart w:id="171" w:name="_Toc20043"/>
      <w:bookmarkStart w:id="172" w:name="_Toc30344"/>
      <w:r>
        <w:rPr>
          <w:rFonts w:hint="default" w:ascii="Times New Roman" w:hAnsi="Times New Roman" w:cs="Times New Roman"/>
          <w:color w:val="auto"/>
          <w:szCs w:val="28"/>
        </w:rPr>
        <w:t>1.5.5生态环境评价工作等级及评价范围</w:t>
      </w:r>
      <w:bookmarkEnd w:id="170"/>
      <w:bookmarkEnd w:id="171"/>
      <w:bookmarkEnd w:id="172"/>
    </w:p>
    <w:p>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1、评价工作等级</w:t>
      </w:r>
    </w:p>
    <w:p>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rPr>
        <w:t>根据《环境影响评价技术导则</w:t>
      </w:r>
      <w:r>
        <w:rPr>
          <w:rFonts w:hint="default" w:ascii="Times New Roman" w:hAnsi="Times New Roman" w:eastAsia="宋体" w:cs="Times New Roman"/>
          <w:color w:val="auto"/>
          <w:sz w:val="24"/>
          <w:lang w:val="en-US" w:eastAsia="zh-CN"/>
        </w:rPr>
        <w:t xml:space="preserve"> </w:t>
      </w:r>
      <w:r>
        <w:rPr>
          <w:rFonts w:hint="default" w:ascii="Times New Roman" w:hAnsi="Times New Roman" w:eastAsia="宋体" w:cs="Times New Roman"/>
          <w:color w:val="auto"/>
          <w:sz w:val="24"/>
        </w:rPr>
        <w:t>生态影响》（HJ19-2022）中</w:t>
      </w:r>
      <w:r>
        <w:rPr>
          <w:rFonts w:hint="default" w:ascii="Times New Roman" w:hAnsi="Times New Roman" w:eastAsia="宋体" w:cs="Times New Roman"/>
          <w:color w:val="auto"/>
          <w:sz w:val="24"/>
          <w:lang w:val="en-US" w:eastAsia="zh-CN"/>
        </w:rPr>
        <w:t>6.1.8的要求：“符合生态环境分区管控要求且位于原厂界（或永久用地）范围内的污染影响类改扩建项目，位于已批准规划环评的产业园区内且符合规划环评要求、不涉及生态敏感区的污染影响类建设项目，可不确定评价等级，直接进行生态影响简单分析。”</w:t>
      </w:r>
    </w:p>
    <w:p>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本项目为污染影响类建设项目，位于已批准规划环评的工业园区，不涉及生态敏感区，</w:t>
      </w:r>
      <w:r>
        <w:rPr>
          <w:rFonts w:hint="default" w:ascii="Times New Roman" w:hAnsi="Times New Roman" w:cs="Times New Roman"/>
          <w:color w:val="auto"/>
          <w:sz w:val="24"/>
          <w:lang w:eastAsia="zh-CN"/>
        </w:rPr>
        <w:t>项目在已有厂界范围内进行扩建，</w:t>
      </w:r>
      <w:r>
        <w:rPr>
          <w:rFonts w:hint="default" w:ascii="Times New Roman" w:hAnsi="Times New Roman" w:eastAsia="宋体" w:cs="Times New Roman"/>
          <w:color w:val="auto"/>
          <w:sz w:val="24"/>
          <w:lang w:eastAsia="zh-CN"/>
        </w:rPr>
        <w:t>无需确定生态影响评价等级，仅进行生态影响简单分析。</w:t>
      </w:r>
    </w:p>
    <w:p>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2、评价范围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1"/>
          <w:lang w:eastAsia="zh-CN"/>
        </w:rPr>
      </w:pPr>
      <w:r>
        <w:rPr>
          <w:rFonts w:hint="default" w:ascii="Times New Roman" w:hAnsi="Times New Roman" w:cs="Times New Roman"/>
          <w:color w:val="auto"/>
          <w:kern w:val="21"/>
          <w:lang w:val="en-US" w:eastAsia="zh-CN"/>
        </w:rPr>
        <w:t>污染影响类建设项目评价范围应涵盖直接占用区域以及污染物排放产生的间接生态影响区域</w:t>
      </w:r>
      <w:r>
        <w:rPr>
          <w:rFonts w:hint="default" w:ascii="Times New Roman" w:hAnsi="Times New Roman" w:cs="Times New Roman"/>
          <w:color w:val="auto"/>
          <w:kern w:val="21"/>
        </w:rPr>
        <w:t>。</w:t>
      </w:r>
      <w:r>
        <w:rPr>
          <w:rFonts w:hint="default" w:ascii="Times New Roman" w:hAnsi="Times New Roman" w:cs="Times New Roman"/>
          <w:color w:val="auto"/>
          <w:kern w:val="21"/>
          <w:lang w:eastAsia="zh-CN"/>
        </w:rPr>
        <w:t>项目建成运营过程中排放的废水进入楚雄市富民工业园区污水处理厂，不涉及水生生态环境影响，本项目</w:t>
      </w:r>
      <w:r>
        <w:rPr>
          <w:rFonts w:hint="default" w:ascii="Times New Roman" w:hAnsi="Times New Roman" w:cs="Times New Roman"/>
          <w:color w:val="auto"/>
          <w:kern w:val="21"/>
          <w:lang w:eastAsia="zh-CN"/>
        </w:rPr>
        <w:t>没有新增额外用地，占用区域地表均已硬化，因此项目不设置</w:t>
      </w:r>
      <w:r>
        <w:rPr>
          <w:rFonts w:hint="default" w:ascii="Times New Roman" w:hAnsi="Times New Roman" w:cs="Times New Roman"/>
          <w:color w:val="auto"/>
          <w:kern w:val="21"/>
          <w:lang w:eastAsia="zh-CN"/>
        </w:rPr>
        <w:t>生态环境评价范围。</w:t>
      </w:r>
    </w:p>
    <w:p>
      <w:pPr>
        <w:pStyle w:val="6"/>
        <w:spacing w:before="0" w:after="0" w:line="360" w:lineRule="auto"/>
        <w:rPr>
          <w:rFonts w:hint="default" w:ascii="Times New Roman" w:hAnsi="Times New Roman" w:cs="Times New Roman"/>
          <w:color w:val="auto"/>
          <w:szCs w:val="28"/>
        </w:rPr>
      </w:pPr>
      <w:bookmarkStart w:id="173" w:name="_Toc4235"/>
      <w:r>
        <w:rPr>
          <w:rFonts w:hint="default" w:ascii="Times New Roman" w:hAnsi="Times New Roman" w:cs="Times New Roman"/>
          <w:color w:val="auto"/>
          <w:szCs w:val="28"/>
        </w:rPr>
        <w:t>1.5.6土壤环境评价工作等级及评价范围</w:t>
      </w:r>
      <w:bookmarkEnd w:id="173"/>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1、评价</w:t>
      </w:r>
      <w:r>
        <w:rPr>
          <w:rFonts w:hint="default" w:ascii="Times New Roman" w:hAnsi="Times New Roman" w:cs="Times New Roman"/>
          <w:color w:val="auto"/>
          <w:lang w:eastAsia="zh-CN"/>
        </w:rPr>
        <w:t>工作</w:t>
      </w:r>
      <w:r>
        <w:rPr>
          <w:rFonts w:hint="default" w:ascii="Times New Roman" w:hAnsi="Times New Roman" w:cs="Times New Roman"/>
          <w:color w:val="auto"/>
        </w:rPr>
        <w:t>等级</w:t>
      </w:r>
    </w:p>
    <w:p>
      <w:pPr>
        <w:spacing w:line="360" w:lineRule="auto"/>
        <w:ind w:firstLine="482"/>
        <w:rPr>
          <w:rFonts w:hint="default" w:ascii="Times New Roman" w:hAnsi="Times New Roman" w:cs="Times New Roman"/>
          <w:color w:val="auto"/>
        </w:rPr>
      </w:pPr>
      <w:r>
        <w:rPr>
          <w:rFonts w:hint="default" w:ascii="Times New Roman" w:hAnsi="Times New Roman" w:cs="Times New Roman"/>
          <w:color w:val="auto"/>
        </w:rPr>
        <w:t>建设项目场地的土壤环境敏感程度可分为敏感、较敏感、不敏感三级，分级原则详见下表。</w:t>
      </w:r>
    </w:p>
    <w:p>
      <w:pPr>
        <w:pStyle w:val="133"/>
        <w:numPr>
          <w:ilvl w:val="1"/>
          <w:numId w:val="6"/>
        </w:numPr>
        <w:spacing w:line="360" w:lineRule="auto"/>
        <w:ind w:left="0" w:firstLine="0" w:firstLineChars="0"/>
        <w:jc w:val="center"/>
        <w:rPr>
          <w:rFonts w:hint="default" w:ascii="Times New Roman" w:hAnsi="Times New Roman" w:cs="Times New Roman"/>
          <w:b/>
          <w:bCs/>
          <w:color w:val="auto"/>
        </w:rPr>
      </w:pPr>
      <w:r>
        <w:rPr>
          <w:rFonts w:hint="default" w:ascii="Times New Roman" w:hAnsi="Times New Roman" w:cs="Times New Roman"/>
          <w:b/>
          <w:bCs/>
          <w:color w:val="auto"/>
        </w:rPr>
        <w:t>污染影响型敏感程度分级表</w:t>
      </w:r>
    </w:p>
    <w:tbl>
      <w:tblPr>
        <w:tblStyle w:val="4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7"/>
        <w:gridCol w:w="6183"/>
        <w:gridCol w:w="12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敏感程度</w:t>
            </w:r>
          </w:p>
        </w:tc>
        <w:tc>
          <w:tcPr>
            <w:tcW w:w="3625"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判别依据</w:t>
            </w:r>
          </w:p>
        </w:tc>
        <w:tc>
          <w:tcPr>
            <w:tcW w:w="708"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本工程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敏感</w:t>
            </w:r>
          </w:p>
        </w:tc>
        <w:tc>
          <w:tcPr>
            <w:tcW w:w="3625" w:type="pct"/>
            <w:vAlign w:val="center"/>
          </w:tcPr>
          <w:p>
            <w:pPr>
              <w:pStyle w:val="167"/>
              <w:jc w:val="left"/>
              <w:rPr>
                <w:rFonts w:hint="default" w:ascii="Times New Roman" w:hAnsi="Times New Roman" w:cs="Times New Roman"/>
                <w:color w:val="auto"/>
              </w:rPr>
            </w:pPr>
            <w:r>
              <w:rPr>
                <w:rFonts w:hint="default" w:ascii="Times New Roman" w:hAnsi="Times New Roman" w:cs="Times New Roman"/>
                <w:color w:val="auto"/>
              </w:rPr>
              <w:t>建设项目周边存在耕地、园地、牧草地、饮用水水源地或居民区、学校、医院、疗养院、养老院等土壤环境敏感目标的</w:t>
            </w:r>
          </w:p>
        </w:tc>
        <w:tc>
          <w:tcPr>
            <w:tcW w:w="708" w:type="pct"/>
            <w:vMerge w:val="restart"/>
            <w:vAlign w:val="center"/>
          </w:tcPr>
          <w:p>
            <w:pPr>
              <w:pStyle w:val="167"/>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周边均为建设用地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较敏感</w:t>
            </w:r>
          </w:p>
        </w:tc>
        <w:tc>
          <w:tcPr>
            <w:tcW w:w="3625" w:type="pct"/>
            <w:vAlign w:val="center"/>
          </w:tcPr>
          <w:p>
            <w:pPr>
              <w:pStyle w:val="167"/>
              <w:jc w:val="left"/>
              <w:rPr>
                <w:rFonts w:hint="default" w:ascii="Times New Roman" w:hAnsi="Times New Roman" w:cs="Times New Roman"/>
                <w:color w:val="auto"/>
              </w:rPr>
            </w:pPr>
            <w:r>
              <w:rPr>
                <w:rFonts w:hint="default" w:ascii="Times New Roman" w:hAnsi="Times New Roman" w:cs="Times New Roman"/>
                <w:color w:val="auto"/>
              </w:rPr>
              <w:t>建设项目周边存在其他土壤环境敏感目标</w:t>
            </w:r>
          </w:p>
        </w:tc>
        <w:tc>
          <w:tcPr>
            <w:tcW w:w="708" w:type="pct"/>
            <w:vMerge w:val="continue"/>
            <w:vAlign w:val="center"/>
          </w:tcPr>
          <w:p>
            <w:pPr>
              <w:pStyle w:val="167"/>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不敏感</w:t>
            </w:r>
          </w:p>
        </w:tc>
        <w:tc>
          <w:tcPr>
            <w:tcW w:w="3625" w:type="pct"/>
            <w:vAlign w:val="center"/>
          </w:tcPr>
          <w:p>
            <w:pPr>
              <w:pStyle w:val="167"/>
              <w:jc w:val="left"/>
              <w:rPr>
                <w:rFonts w:hint="default" w:ascii="Times New Roman" w:hAnsi="Times New Roman" w:cs="Times New Roman"/>
                <w:color w:val="auto"/>
              </w:rPr>
            </w:pPr>
            <w:r>
              <w:rPr>
                <w:rFonts w:hint="default" w:ascii="Times New Roman" w:hAnsi="Times New Roman" w:cs="Times New Roman"/>
                <w:color w:val="auto"/>
              </w:rPr>
              <w:t>其他情况</w:t>
            </w:r>
          </w:p>
        </w:tc>
        <w:tc>
          <w:tcPr>
            <w:tcW w:w="708" w:type="pct"/>
            <w:vMerge w:val="continue"/>
            <w:vAlign w:val="center"/>
          </w:tcPr>
          <w:p>
            <w:pPr>
              <w:pStyle w:val="167"/>
              <w:rPr>
                <w:rFonts w:hint="default" w:ascii="Times New Roman" w:hAnsi="Times New Roman" w:cs="Times New Roman"/>
                <w:color w:val="auto"/>
              </w:rPr>
            </w:pPr>
          </w:p>
        </w:tc>
      </w:tr>
    </w:tbl>
    <w:p>
      <w:pPr>
        <w:spacing w:beforeLines="50"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根据《环境影响评价技术导则土壤环境（试行）》（HJ964-2018）的规定，土壤环境评价工作等级应按项目所属的土壤环境影响评价项目类别、占地规模及土壤敏感程度综合确定。</w:t>
      </w:r>
    </w:p>
    <w:p>
      <w:pPr>
        <w:pStyle w:val="133"/>
        <w:numPr>
          <w:ilvl w:val="1"/>
          <w:numId w:val="6"/>
        </w:numPr>
        <w:spacing w:line="360" w:lineRule="auto"/>
        <w:ind w:left="0" w:firstLine="0" w:firstLineChars="0"/>
        <w:jc w:val="center"/>
        <w:rPr>
          <w:rFonts w:hint="default" w:ascii="Times New Roman" w:hAnsi="Times New Roman" w:cs="Times New Roman"/>
          <w:b/>
          <w:bCs/>
          <w:color w:val="auto"/>
        </w:rPr>
      </w:pPr>
      <w:r>
        <w:rPr>
          <w:rFonts w:hint="default" w:ascii="Times New Roman" w:hAnsi="Times New Roman" w:cs="Times New Roman"/>
          <w:b/>
          <w:bCs/>
          <w:color w:val="auto"/>
        </w:rPr>
        <w:t>污染影响型评价工作等级划分表</w:t>
      </w:r>
    </w:p>
    <w:p>
      <w:pPr>
        <w:widowControl/>
        <w:jc w:val="center"/>
        <w:rPr>
          <w:rFonts w:hint="default" w:ascii="Times New Roman" w:hAnsi="Times New Roman" w:cs="Times New Roman"/>
          <w:color w:val="auto"/>
          <w:kern w:val="0"/>
        </w:rPr>
      </w:pPr>
      <w:bookmarkStart w:id="174" w:name="_Toc30308"/>
      <w:bookmarkStart w:id="175" w:name="_Toc18558"/>
      <w:bookmarkStart w:id="176" w:name="_Toc14968"/>
      <w:bookmarkStart w:id="177" w:name="_Toc4442"/>
      <w:r>
        <w:rPr>
          <w:rFonts w:hint="default" w:ascii="Times New Roman" w:hAnsi="Times New Roman" w:cs="Times New Roman"/>
          <w:color w:val="auto"/>
          <w:kern w:val="0"/>
        </w:rPr>
        <w:drawing>
          <wp:inline distT="0" distB="0" distL="0" distR="0">
            <wp:extent cx="5233670" cy="1364615"/>
            <wp:effectExtent l="19050" t="0" r="5080" b="0"/>
            <wp:docPr id="1" name="图片 28" descr="C:\Users\Administrator\AppData\Roaming\Tencent\Users\289923043\QQ\WinTemp\RichOle\MES){QT}IK)GTFRF2HF}AH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8" descr="C:\Users\Administrator\AppData\Roaming\Tencent\Users\289923043\QQ\WinTemp\RichOle\MES){QT}IK)GTFRF2HF}AHK.png"/>
                    <pic:cNvPicPr>
                      <a:picLocks noChangeAspect="1" noChangeArrowheads="1"/>
                    </pic:cNvPicPr>
                  </pic:nvPicPr>
                  <pic:blipFill>
                    <a:blip r:embed="rId13" cstate="print"/>
                    <a:srcRect/>
                    <a:stretch>
                      <a:fillRect/>
                    </a:stretch>
                  </pic:blipFill>
                  <pic:spPr>
                    <a:xfrm>
                      <a:off x="0" y="0"/>
                      <a:ext cx="5233670" cy="1364615"/>
                    </a:xfrm>
                    <a:prstGeom prst="rect">
                      <a:avLst/>
                    </a:prstGeom>
                    <a:noFill/>
                    <a:ln w="9525">
                      <a:noFill/>
                      <a:miter lim="800000"/>
                      <a:headEnd/>
                      <a:tailEnd/>
                    </a:ln>
                  </pic:spPr>
                </pic:pic>
              </a:graphicData>
            </a:graphic>
          </wp:inline>
        </w:drawing>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本项目属于污染影响型项目，项目类别属于《环境影响评价技术导则</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rPr>
        <w:t>土壤环境（试行）》附录A规定的Ⅱ类；项目占地面积</w:t>
      </w:r>
      <w:r>
        <w:rPr>
          <w:rFonts w:hint="default" w:ascii="Times New Roman" w:hAnsi="Times New Roman" w:cs="Times New Roman"/>
          <w:color w:val="auto"/>
          <w:lang w:val="en-US" w:eastAsia="zh-CN"/>
        </w:rPr>
        <w:t>为小</w:t>
      </w:r>
      <w:r>
        <w:rPr>
          <w:rFonts w:hint="default" w:ascii="Times New Roman" w:hAnsi="Times New Roman" w:cs="Times New Roman"/>
          <w:color w:val="auto"/>
        </w:rPr>
        <w:t>型建设项目；本项目位于楚雄工业园区富民庄甸工业区，周边用地主要为工业用地，敏感程度为</w:t>
      </w:r>
      <w:r>
        <w:rPr>
          <w:rFonts w:hint="default" w:ascii="Times New Roman" w:hAnsi="Times New Roman" w:cs="Times New Roman"/>
          <w:color w:val="auto"/>
          <w:lang w:eastAsia="zh-CN"/>
        </w:rPr>
        <w:t>不敏感</w:t>
      </w:r>
      <w:r>
        <w:rPr>
          <w:rFonts w:hint="default" w:ascii="Times New Roman" w:hAnsi="Times New Roman" w:cs="Times New Roman"/>
          <w:color w:val="auto"/>
        </w:rPr>
        <w:t>。综合判定本项目土壤环境评价工作等级为</w:t>
      </w:r>
      <w:r>
        <w:rPr>
          <w:rFonts w:hint="default" w:ascii="Times New Roman" w:hAnsi="Times New Roman" w:cs="Times New Roman"/>
          <w:color w:val="auto"/>
          <w:lang w:eastAsia="zh-CN"/>
        </w:rPr>
        <w:t>三</w:t>
      </w:r>
      <w:r>
        <w:rPr>
          <w:rFonts w:hint="default" w:ascii="Times New Roman" w:hAnsi="Times New Roman" w:cs="Times New Roman"/>
          <w:color w:val="auto"/>
        </w:rPr>
        <w:t>级。</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2、评价范围</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kern w:val="21"/>
          <w:lang w:bidi="ar"/>
        </w:rPr>
        <w:t>根据《环境影响评价技术导则土壤环境（试行）》（HJ964-2018），土壤环境评价范围为项目占地范围及四周厂界外扩50m的区域</w:t>
      </w:r>
      <w:r>
        <w:rPr>
          <w:rFonts w:hint="default" w:ascii="Times New Roman" w:hAnsi="Times New Roman" w:cs="Times New Roman"/>
          <w:color w:val="auto"/>
        </w:rPr>
        <w:t>。</w:t>
      </w:r>
    </w:p>
    <w:p>
      <w:pPr>
        <w:adjustRightInd w:val="0"/>
        <w:snapToGrid w:val="0"/>
        <w:spacing w:line="360" w:lineRule="auto"/>
        <w:outlineLvl w:val="2"/>
        <w:rPr>
          <w:rFonts w:hint="default" w:ascii="Times New Roman" w:hAnsi="Times New Roman" w:cs="Times New Roman"/>
          <w:b/>
          <w:bCs/>
          <w:color w:val="auto"/>
          <w:sz w:val="28"/>
          <w:szCs w:val="28"/>
        </w:rPr>
      </w:pPr>
      <w:bookmarkStart w:id="178" w:name="_Toc23683"/>
      <w:r>
        <w:rPr>
          <w:rFonts w:hint="default" w:ascii="Times New Roman" w:hAnsi="Times New Roman" w:cs="Times New Roman"/>
          <w:b/>
          <w:bCs/>
          <w:color w:val="auto"/>
          <w:sz w:val="28"/>
          <w:szCs w:val="28"/>
        </w:rPr>
        <w:t>1.5.7环境风险</w:t>
      </w:r>
      <w:bookmarkEnd w:id="174"/>
      <w:bookmarkEnd w:id="175"/>
      <w:bookmarkEnd w:id="176"/>
      <w:bookmarkEnd w:id="177"/>
      <w:r>
        <w:rPr>
          <w:rFonts w:hint="default" w:ascii="Times New Roman" w:hAnsi="Times New Roman" w:cs="Times New Roman"/>
          <w:b/>
          <w:bCs/>
          <w:color w:val="auto"/>
          <w:sz w:val="28"/>
          <w:szCs w:val="28"/>
        </w:rPr>
        <w:t>评价工作等级及评价范围</w:t>
      </w:r>
      <w:bookmarkEnd w:id="178"/>
    </w:p>
    <w:p>
      <w:pPr>
        <w:adjustRightInd w:val="0"/>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1、评价等级</w:t>
      </w:r>
    </w:p>
    <w:p>
      <w:pPr>
        <w:adjustRightInd w:val="0"/>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根据《建设项目环境风险评价技术导则》（HJ 169-2018）的规定，环境风险评价工作等级应按环境风险潜势进行划分。</w:t>
      </w:r>
    </w:p>
    <w:p>
      <w:pPr>
        <w:pStyle w:val="2"/>
        <w:rPr>
          <w:rFonts w:hint="default" w:ascii="Times New Roman" w:hAnsi="Times New Roman" w:eastAsia="宋体" w:cs="Times New Roman"/>
          <w:color w:val="auto"/>
          <w:lang w:val="en-US" w:eastAsia="zh-CN"/>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1</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P的分级</w:t>
      </w:r>
    </w:p>
    <w:p>
      <w:pPr>
        <w:pStyle w:val="133"/>
        <w:numPr>
          <w:ilvl w:val="1"/>
          <w:numId w:val="6"/>
        </w:numPr>
        <w:spacing w:line="360" w:lineRule="auto"/>
        <w:ind w:left="0" w:firstLine="0" w:firstLineChars="0"/>
        <w:jc w:val="center"/>
        <w:rPr>
          <w:rFonts w:hint="default" w:ascii="Times New Roman" w:hAnsi="Times New Roman" w:cs="Times New Roman"/>
          <w:b/>
          <w:bCs/>
          <w:color w:val="auto"/>
        </w:rPr>
      </w:pPr>
      <w:r>
        <w:rPr>
          <w:rFonts w:hint="default" w:ascii="Times New Roman" w:hAnsi="Times New Roman" w:cs="Times New Roman"/>
          <w:b/>
          <w:bCs/>
          <w:color w:val="auto"/>
        </w:rPr>
        <w:t>危险物质数量与临界量的比值Q</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7"/>
        <w:gridCol w:w="2380"/>
        <w:gridCol w:w="1372"/>
        <w:gridCol w:w="1427"/>
        <w:gridCol w:w="1008"/>
        <w:gridCol w:w="1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47"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2380"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物质名称</w:t>
            </w:r>
          </w:p>
        </w:tc>
        <w:tc>
          <w:tcPr>
            <w:tcW w:w="1372"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最大贮存量t</w:t>
            </w:r>
          </w:p>
        </w:tc>
        <w:tc>
          <w:tcPr>
            <w:tcW w:w="1427"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最大在线量t</w:t>
            </w:r>
          </w:p>
        </w:tc>
        <w:tc>
          <w:tcPr>
            <w:tcW w:w="1008"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临界量t</w:t>
            </w:r>
          </w:p>
        </w:tc>
        <w:tc>
          <w:tcPr>
            <w:tcW w:w="1237"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Q值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47" w:type="dxa"/>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1</w:t>
            </w:r>
          </w:p>
        </w:tc>
        <w:tc>
          <w:tcPr>
            <w:tcW w:w="2380" w:type="dxa"/>
            <w:vAlign w:val="center"/>
          </w:tcPr>
          <w:p>
            <w:pPr>
              <w:pStyle w:val="167"/>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lang w:eastAsia="zh-CN"/>
              </w:rPr>
              <w:t>工业酒精（乙醇）</w:t>
            </w:r>
          </w:p>
        </w:tc>
        <w:tc>
          <w:tcPr>
            <w:tcW w:w="1372" w:type="dxa"/>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w:t>
            </w:r>
          </w:p>
        </w:tc>
        <w:tc>
          <w:tcPr>
            <w:tcW w:w="1427" w:type="dxa"/>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0.0004</w:t>
            </w:r>
          </w:p>
        </w:tc>
        <w:tc>
          <w:tcPr>
            <w:tcW w:w="1008" w:type="dxa"/>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5</w:t>
            </w:r>
            <w:r>
              <w:rPr>
                <w:rFonts w:hint="default" w:ascii="Times New Roman" w:hAnsi="Times New Roman" w:cs="Times New Roman"/>
                <w:color w:val="auto"/>
                <w:sz w:val="21"/>
                <w:szCs w:val="21"/>
                <w:lang w:val="en-US" w:eastAsia="zh-CN"/>
              </w:rPr>
              <w:t>00</w:t>
            </w:r>
          </w:p>
        </w:tc>
        <w:tc>
          <w:tcPr>
            <w:tcW w:w="1237" w:type="dxa"/>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47" w:type="dxa"/>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2380" w:type="dxa"/>
            <w:vAlign w:val="center"/>
          </w:tcPr>
          <w:p>
            <w:pPr>
              <w:pStyle w:val="167"/>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氢氟酸</w:t>
            </w:r>
          </w:p>
        </w:tc>
        <w:tc>
          <w:tcPr>
            <w:tcW w:w="1372"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23</w:t>
            </w:r>
          </w:p>
        </w:tc>
        <w:tc>
          <w:tcPr>
            <w:tcW w:w="1427"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0.031</w:t>
            </w:r>
          </w:p>
        </w:tc>
        <w:tc>
          <w:tcPr>
            <w:tcW w:w="1008" w:type="dxa"/>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1237"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23.031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47" w:type="dxa"/>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w:t>
            </w:r>
          </w:p>
        </w:tc>
        <w:tc>
          <w:tcPr>
            <w:tcW w:w="2380" w:type="dxa"/>
            <w:vAlign w:val="center"/>
          </w:tcPr>
          <w:p>
            <w:pPr>
              <w:pStyle w:val="167"/>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eastAsia="zh-CN"/>
              </w:rPr>
              <w:t>盐酸（</w:t>
            </w:r>
            <w:r>
              <w:rPr>
                <w:rFonts w:hint="default" w:ascii="Times New Roman" w:hAnsi="Times New Roman" w:cs="Times New Roman"/>
                <w:color w:val="auto"/>
                <w:sz w:val="21"/>
                <w:szCs w:val="21"/>
                <w:lang w:val="en-US" w:eastAsia="zh-CN"/>
              </w:rPr>
              <w:t>31%</w:t>
            </w:r>
            <w:r>
              <w:rPr>
                <w:rFonts w:hint="default" w:ascii="Times New Roman" w:hAnsi="Times New Roman" w:cs="Times New Roman"/>
                <w:color w:val="auto"/>
                <w:sz w:val="21"/>
                <w:szCs w:val="21"/>
                <w:lang w:eastAsia="zh-CN"/>
              </w:rPr>
              <w:t>）折纯至</w:t>
            </w:r>
            <w:r>
              <w:rPr>
                <w:rFonts w:hint="default" w:ascii="Times New Roman" w:hAnsi="Times New Roman" w:cs="Times New Roman"/>
                <w:color w:val="auto"/>
                <w:sz w:val="21"/>
                <w:szCs w:val="21"/>
                <w:lang w:val="en-US" w:eastAsia="zh-CN"/>
              </w:rPr>
              <w:t>37%</w:t>
            </w:r>
          </w:p>
        </w:tc>
        <w:tc>
          <w:tcPr>
            <w:tcW w:w="1372" w:type="dxa"/>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0.42</w:t>
            </w:r>
          </w:p>
        </w:tc>
        <w:tc>
          <w:tcPr>
            <w:tcW w:w="1427" w:type="dxa"/>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0.0003</w:t>
            </w:r>
          </w:p>
        </w:tc>
        <w:tc>
          <w:tcPr>
            <w:tcW w:w="1008" w:type="dxa"/>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7.5</w:t>
            </w:r>
          </w:p>
        </w:tc>
        <w:tc>
          <w:tcPr>
            <w:tcW w:w="1237" w:type="dxa"/>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227" w:type="dxa"/>
            <w:gridSpan w:val="2"/>
            <w:vAlign w:val="center"/>
          </w:tcPr>
          <w:p>
            <w:pPr>
              <w:pStyle w:val="167"/>
              <w:rPr>
                <w:rFonts w:hint="default" w:ascii="Times New Roman" w:hAnsi="Times New Roman" w:cs="Times New Roman"/>
                <w:color w:val="auto"/>
                <w:sz w:val="21"/>
                <w:szCs w:val="21"/>
              </w:rPr>
            </w:pPr>
            <w:r>
              <w:rPr>
                <w:rFonts w:hint="default" w:ascii="Times New Roman" w:hAnsi="Times New Roman" w:cs="Times New Roman"/>
                <w:color w:val="auto"/>
                <w:sz w:val="21"/>
                <w:szCs w:val="21"/>
              </w:rPr>
              <w:t>Q值</w:t>
            </w:r>
          </w:p>
        </w:tc>
        <w:tc>
          <w:tcPr>
            <w:tcW w:w="1372"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p>
        </w:tc>
        <w:tc>
          <w:tcPr>
            <w:tcW w:w="1427"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p>
        </w:tc>
        <w:tc>
          <w:tcPr>
            <w:tcW w:w="1008"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p>
        </w:tc>
        <w:tc>
          <w:tcPr>
            <w:tcW w:w="1237" w:type="dxa"/>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23.089</w:t>
            </w:r>
          </w:p>
        </w:tc>
      </w:tr>
    </w:tbl>
    <w:p>
      <w:pPr>
        <w:adjustRightInd w:val="0"/>
        <w:snapToGrid w:val="0"/>
        <w:spacing w:beforeLines="50" w:line="360" w:lineRule="auto"/>
        <w:ind w:firstLine="480" w:firstLineChars="200"/>
        <w:rPr>
          <w:rFonts w:hint="default" w:ascii="Times New Roman" w:hAnsi="Times New Roman" w:cs="Times New Roman"/>
        </w:rPr>
      </w:pPr>
      <w:r>
        <w:rPr>
          <w:rFonts w:hint="default" w:ascii="Times New Roman" w:hAnsi="Times New Roman" w:cs="Times New Roman"/>
        </w:rPr>
        <w:t>根据上表可知本项目Q值介于10~100之间。</w:t>
      </w:r>
    </w:p>
    <w:p>
      <w:pPr>
        <w:pStyle w:val="133"/>
        <w:numPr>
          <w:ilvl w:val="1"/>
          <w:numId w:val="6"/>
        </w:numPr>
        <w:spacing w:line="360" w:lineRule="auto"/>
        <w:ind w:left="0" w:firstLine="0" w:firstLineChars="0"/>
        <w:jc w:val="center"/>
        <w:rPr>
          <w:rFonts w:hint="default" w:ascii="Times New Roman" w:hAnsi="Times New Roman" w:cs="Times New Roman"/>
          <w:b/>
        </w:rPr>
      </w:pPr>
      <w:r>
        <w:rPr>
          <w:rFonts w:hint="default" w:ascii="Times New Roman" w:hAnsi="Times New Roman" w:cs="Times New Roman"/>
          <w:b/>
        </w:rPr>
        <w:t>行业及生产工艺（M值）打分表</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5"/>
        <w:gridCol w:w="5245"/>
        <w:gridCol w:w="12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5"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行业</w:t>
            </w:r>
          </w:p>
        </w:tc>
        <w:tc>
          <w:tcPr>
            <w:tcW w:w="5245"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评估依据</w:t>
            </w:r>
          </w:p>
        </w:tc>
        <w:tc>
          <w:tcPr>
            <w:tcW w:w="1299"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5" w:type="dxa"/>
            <w:vMerge w:val="restar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石化、化工、医药、 轻工、化纤、有色 冶炼等</w:t>
            </w:r>
          </w:p>
        </w:tc>
        <w:tc>
          <w:tcPr>
            <w:tcW w:w="5245"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涉及光气及光气化工艺、电解工艺（氯碱）、氯化工艺、硝化工艺、合成氨工艺、裂解（裂化）工艺、氟化工艺、加氢工艺、重氮化工艺、氧化工艺、过氧化工艺、胺基化工艺、磺化工艺、聚合工艺、烷基化工艺、新型煤化工工艺、电石生产工艺、偶氮化工艺</w:t>
            </w:r>
          </w:p>
        </w:tc>
        <w:tc>
          <w:tcPr>
            <w:tcW w:w="1299"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10/套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5" w:type="dxa"/>
            <w:vMerge w:val="continue"/>
            <w:vAlign w:val="center"/>
          </w:tcPr>
          <w:p>
            <w:pPr>
              <w:pStyle w:val="167"/>
              <w:rPr>
                <w:rFonts w:hint="default" w:ascii="Times New Roman" w:hAnsi="Times New Roman" w:cs="Times New Roman"/>
                <w:color w:val="auto"/>
              </w:rPr>
            </w:pPr>
          </w:p>
        </w:tc>
        <w:tc>
          <w:tcPr>
            <w:tcW w:w="5245"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无机酸制酸工艺、焦化工艺</w:t>
            </w:r>
          </w:p>
        </w:tc>
        <w:tc>
          <w:tcPr>
            <w:tcW w:w="1299"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5/套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5" w:type="dxa"/>
            <w:vMerge w:val="continue"/>
            <w:vAlign w:val="center"/>
          </w:tcPr>
          <w:p>
            <w:pPr>
              <w:pStyle w:val="167"/>
              <w:rPr>
                <w:rFonts w:hint="default" w:ascii="Times New Roman" w:hAnsi="Times New Roman" w:cs="Times New Roman"/>
                <w:color w:val="auto"/>
              </w:rPr>
            </w:pPr>
          </w:p>
        </w:tc>
        <w:tc>
          <w:tcPr>
            <w:tcW w:w="5245"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其他高温或高压，且涉及危险物质的工艺过程a 、危险物质贮存罐区</w:t>
            </w:r>
          </w:p>
        </w:tc>
        <w:tc>
          <w:tcPr>
            <w:tcW w:w="1299"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5/套（罐区）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5"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管道、港口/码头等</w:t>
            </w:r>
          </w:p>
        </w:tc>
        <w:tc>
          <w:tcPr>
            <w:tcW w:w="5245"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涉及危险物质管道运输项目、港口/码头等</w:t>
            </w:r>
          </w:p>
        </w:tc>
        <w:tc>
          <w:tcPr>
            <w:tcW w:w="1299"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5"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石油天然气</w:t>
            </w:r>
          </w:p>
        </w:tc>
        <w:tc>
          <w:tcPr>
            <w:tcW w:w="5245"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石油、天然气、页岩气开采（含净化），气库（不含加气站的气库），油 库（不含加气站的油库）、油气管线b（不含城镇燃气管线）</w:t>
            </w:r>
          </w:p>
        </w:tc>
        <w:tc>
          <w:tcPr>
            <w:tcW w:w="1299"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5"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其他</w:t>
            </w:r>
          </w:p>
        </w:tc>
        <w:tc>
          <w:tcPr>
            <w:tcW w:w="5245"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涉及危险物质使用、贮存的项目</w:t>
            </w:r>
          </w:p>
        </w:tc>
        <w:tc>
          <w:tcPr>
            <w:tcW w:w="1299"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9" w:type="dxa"/>
            <w:gridSpan w:val="3"/>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a 高温指工艺温度≥300 ℃，高压指压力容器的设计压力（P）≥10.0 MPa；</w:t>
            </w:r>
          </w:p>
          <w:p>
            <w:pPr>
              <w:pStyle w:val="167"/>
              <w:rPr>
                <w:rFonts w:hint="default" w:ascii="Times New Roman" w:hAnsi="Times New Roman" w:cs="Times New Roman"/>
                <w:color w:val="auto"/>
              </w:rPr>
            </w:pPr>
            <w:r>
              <w:rPr>
                <w:rFonts w:hint="default" w:ascii="Times New Roman" w:hAnsi="Times New Roman" w:cs="Times New Roman"/>
                <w:color w:val="auto"/>
              </w:rPr>
              <w:t>b 长输管道运输项目应按站场、管线分段进行评价。</w:t>
            </w:r>
          </w:p>
        </w:tc>
      </w:tr>
    </w:tbl>
    <w:p>
      <w:pPr>
        <w:pStyle w:val="2"/>
        <w:keepNext w:val="0"/>
        <w:keepLines w:val="0"/>
        <w:pageBreakBefore w:val="0"/>
        <w:widowControl w:val="0"/>
        <w:kinsoku/>
        <w:wordWrap/>
        <w:overflowPunct/>
        <w:topLinePunct w:val="0"/>
        <w:autoSpaceDE/>
        <w:autoSpaceDN/>
        <w:bidi w:val="0"/>
        <w:adjustRightInd/>
        <w:snapToGrid/>
        <w:spacing w:before="157" w:beforeLines="5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结合本项目生产工艺情况，对照上表，本项目仅涉及危险物质（氢氟酸、</w:t>
      </w:r>
      <w:r>
        <w:rPr>
          <w:rFonts w:hint="default" w:ascii="Times New Roman" w:hAnsi="Times New Roman" w:eastAsia="宋体" w:cs="Times New Roman"/>
          <w:color w:val="auto"/>
          <w:lang w:eastAsia="zh-CN"/>
        </w:rPr>
        <w:t>盐酸</w:t>
      </w:r>
      <w:r>
        <w:rPr>
          <w:rFonts w:hint="default" w:ascii="Times New Roman" w:hAnsi="Times New Roman" w:eastAsia="宋体" w:cs="Times New Roman"/>
          <w:color w:val="auto"/>
        </w:rPr>
        <w:t>）的使用、贮存，因此本项目M=5。根据划分依据，属于划分的M4。</w:t>
      </w:r>
    </w:p>
    <w:p>
      <w:pPr>
        <w:pStyle w:val="133"/>
        <w:numPr>
          <w:ilvl w:val="1"/>
          <w:numId w:val="6"/>
        </w:numPr>
        <w:spacing w:line="360" w:lineRule="auto"/>
        <w:ind w:left="0" w:firstLine="0" w:firstLineChars="0"/>
        <w:jc w:val="center"/>
        <w:rPr>
          <w:rFonts w:hint="default" w:ascii="Times New Roman" w:hAnsi="Times New Roman" w:cs="Times New Roman"/>
          <w:b/>
          <w:color w:val="auto"/>
        </w:rPr>
      </w:pPr>
      <w:r>
        <w:rPr>
          <w:rFonts w:hint="default" w:ascii="Times New Roman" w:hAnsi="Times New Roman" w:cs="Times New Roman"/>
          <w:b/>
          <w:color w:val="auto"/>
        </w:rPr>
        <w:t>危险物质及工艺系统危害性等级判断</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20"/>
        <w:gridCol w:w="1096"/>
        <w:gridCol w:w="1180"/>
        <w:gridCol w:w="1219"/>
        <w:gridCol w:w="10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3920" w:type="dxa"/>
            <w:vMerge w:val="restar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危险物质数量 与临界量比值（Q）</w:t>
            </w:r>
          </w:p>
        </w:tc>
        <w:tc>
          <w:tcPr>
            <w:tcW w:w="4560" w:type="dxa"/>
            <w:gridSpan w:val="4"/>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行业及生产工艺（M）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3920" w:type="dxa"/>
            <w:vMerge w:val="continue"/>
            <w:vAlign w:val="center"/>
          </w:tcPr>
          <w:p>
            <w:pPr>
              <w:pStyle w:val="167"/>
              <w:rPr>
                <w:rFonts w:hint="default" w:ascii="Times New Roman" w:hAnsi="Times New Roman" w:cs="Times New Roman"/>
                <w:color w:val="auto"/>
              </w:rPr>
            </w:pPr>
          </w:p>
        </w:tc>
        <w:tc>
          <w:tcPr>
            <w:tcW w:w="1096"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M1</w:t>
            </w:r>
          </w:p>
        </w:tc>
        <w:tc>
          <w:tcPr>
            <w:tcW w:w="1180"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M2</w:t>
            </w:r>
          </w:p>
        </w:tc>
        <w:tc>
          <w:tcPr>
            <w:tcW w:w="1219"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M3</w:t>
            </w:r>
          </w:p>
        </w:tc>
        <w:tc>
          <w:tcPr>
            <w:tcW w:w="1065"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M4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920"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Q≥100</w:t>
            </w:r>
          </w:p>
        </w:tc>
        <w:tc>
          <w:tcPr>
            <w:tcW w:w="1096"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P1</w:t>
            </w:r>
          </w:p>
        </w:tc>
        <w:tc>
          <w:tcPr>
            <w:tcW w:w="1180"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P1</w:t>
            </w:r>
          </w:p>
        </w:tc>
        <w:tc>
          <w:tcPr>
            <w:tcW w:w="1219"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P2</w:t>
            </w:r>
          </w:p>
        </w:tc>
        <w:tc>
          <w:tcPr>
            <w:tcW w:w="1065"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P3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920"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10≤Q＜100</w:t>
            </w:r>
          </w:p>
        </w:tc>
        <w:tc>
          <w:tcPr>
            <w:tcW w:w="1096"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P1</w:t>
            </w:r>
          </w:p>
        </w:tc>
        <w:tc>
          <w:tcPr>
            <w:tcW w:w="1180"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P2</w:t>
            </w:r>
          </w:p>
        </w:tc>
        <w:tc>
          <w:tcPr>
            <w:tcW w:w="1219"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P3</w:t>
            </w:r>
          </w:p>
        </w:tc>
        <w:tc>
          <w:tcPr>
            <w:tcW w:w="1065" w:type="dxa"/>
            <w:shd w:val="clear" w:color="auto" w:fill="808080"/>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P4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920" w:type="dxa"/>
            <w:shd w:val="clear" w:color="auto" w:fill="FFFFFF"/>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1≤Q＜10</w:t>
            </w:r>
          </w:p>
        </w:tc>
        <w:tc>
          <w:tcPr>
            <w:tcW w:w="1096" w:type="dxa"/>
            <w:shd w:val="clear" w:color="auto" w:fill="FFFFFF"/>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P2</w:t>
            </w:r>
          </w:p>
        </w:tc>
        <w:tc>
          <w:tcPr>
            <w:tcW w:w="1180" w:type="dxa"/>
            <w:shd w:val="clear" w:color="auto" w:fill="auto"/>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P3</w:t>
            </w:r>
          </w:p>
        </w:tc>
        <w:tc>
          <w:tcPr>
            <w:tcW w:w="1219"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P4</w:t>
            </w:r>
          </w:p>
        </w:tc>
        <w:tc>
          <w:tcPr>
            <w:tcW w:w="1065"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P4</w:t>
            </w:r>
          </w:p>
        </w:tc>
      </w:tr>
    </w:tbl>
    <w:p>
      <w:pPr>
        <w:pStyle w:val="136"/>
        <w:keepNext w:val="0"/>
        <w:keepLines w:val="0"/>
        <w:pageBreakBefore w:val="0"/>
        <w:widowControl w:val="0"/>
        <w:kinsoku/>
        <w:wordWrap/>
        <w:overflowPunct/>
        <w:topLinePunct w:val="0"/>
        <w:autoSpaceDE w:val="0"/>
        <w:autoSpaceDN w:val="0"/>
        <w:bidi w:val="0"/>
        <w:adjustRightInd w:val="0"/>
        <w:snapToGrid/>
        <w:spacing w:before="157" w:beforeLines="50" w:line="360" w:lineRule="auto"/>
        <w:ind w:firstLine="480" w:firstLineChars="200"/>
        <w:jc w:val="both"/>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根据上述对项目Q值及M值的确定，本项目危险物质及工艺系统危害性判定为P4。</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lang w:eastAsia="zh-CN"/>
        </w:rPr>
        <w:t>（</w:t>
      </w:r>
      <w:r>
        <w:rPr>
          <w:rFonts w:hint="default" w:ascii="Times New Roman" w:hAnsi="Times New Roman" w:cs="Times New Roman"/>
          <w:b w:val="0"/>
          <w:bCs/>
          <w:color w:val="auto"/>
          <w:lang w:val="en-US" w:eastAsia="zh-CN"/>
        </w:rPr>
        <w:t>2</w:t>
      </w:r>
      <w:r>
        <w:rPr>
          <w:rFonts w:hint="default" w:ascii="Times New Roman" w:hAnsi="Times New Roman" w:cs="Times New Roman"/>
          <w:b w:val="0"/>
          <w:bCs/>
          <w:color w:val="auto"/>
          <w:lang w:eastAsia="zh-CN"/>
        </w:rPr>
        <w:t>）</w:t>
      </w:r>
      <w:r>
        <w:rPr>
          <w:rFonts w:hint="default" w:ascii="Times New Roman" w:hAnsi="Times New Roman" w:cs="Times New Roman"/>
          <w:b w:val="0"/>
          <w:bCs/>
          <w:color w:val="auto"/>
          <w:lang w:val="en-US" w:eastAsia="zh-CN"/>
        </w:rPr>
        <w:t>E的分级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color w:val="auto"/>
        </w:rPr>
      </w:pPr>
      <w:r>
        <w:rPr>
          <w:rFonts w:hint="default" w:ascii="Times New Roman" w:hAnsi="Times New Roman" w:cs="Times New Roman"/>
          <w:b w:val="0"/>
          <w:bCs/>
          <w:color w:val="auto"/>
          <w:lang w:eastAsia="zh-CN"/>
        </w:rPr>
        <w:t>①</w:t>
      </w:r>
      <w:r>
        <w:rPr>
          <w:rFonts w:hint="default" w:ascii="Times New Roman" w:hAnsi="Times New Roman" w:cs="Times New Roman"/>
          <w:b w:val="0"/>
          <w:bCs/>
          <w:color w:val="auto"/>
        </w:rPr>
        <w:t>环境空气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本项目位于楚雄工业园区富民庄甸工业区，经调查核实，项目占地范围内居民点（外干村、迤干村）、项目占地范围外500m范围内居民点（倪家咀、王家小屯、迤周村）均已完成搬迁，企业周边500m范围内主要涉及阳光花园小区（800人）、黄土坡村（190人）、楚雄市思源实验学校（750人），总人口数约为1740人，大于1000人，根据《建设项目环境风险评价技术导则》（HJ169－2018）附录 D，项目大气环境敏感程度为中度敏感区E1。</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b w:val="0"/>
          <w:bCs/>
          <w:color w:val="auto"/>
        </w:rPr>
      </w:pPr>
      <w:r>
        <w:rPr>
          <w:rFonts w:hint="default" w:ascii="Times New Roman" w:hAnsi="Times New Roman" w:cs="Times New Roman"/>
          <w:b w:val="0"/>
          <w:bCs/>
          <w:color w:val="auto"/>
          <w:lang w:eastAsia="zh-CN"/>
        </w:rPr>
        <w:t>②</w:t>
      </w:r>
      <w:r>
        <w:rPr>
          <w:rFonts w:hint="default" w:ascii="Times New Roman" w:hAnsi="Times New Roman" w:cs="Times New Roman"/>
          <w:b w:val="0"/>
          <w:bCs/>
          <w:color w:val="auto"/>
        </w:rPr>
        <w:t>地表水</w:t>
      </w:r>
    </w:p>
    <w:p>
      <w:pPr>
        <w:spacing w:line="360" w:lineRule="auto"/>
        <w:ind w:firstLine="482"/>
        <w:rPr>
          <w:rFonts w:hint="default" w:ascii="Times New Roman" w:hAnsi="Times New Roman" w:cs="Times New Roman"/>
          <w:color w:val="auto"/>
        </w:rPr>
      </w:pPr>
      <w:r>
        <w:rPr>
          <w:rFonts w:hint="default" w:ascii="Times New Roman" w:hAnsi="Times New Roman" w:cs="Times New Roman"/>
          <w:color w:val="auto"/>
        </w:rPr>
        <w:t>本项目事故排放时，排入受纳河流（青龙河和龙川江）为</w:t>
      </w:r>
      <w:r>
        <w:rPr>
          <w:rFonts w:hint="default" w:ascii="Times New Roman" w:hAnsi="Times New Roman" w:cs="Times New Roman"/>
          <w:color w:val="auto"/>
          <w:lang w:eastAsia="zh-CN"/>
        </w:rPr>
        <w:t>Ⅲ</w:t>
      </w:r>
      <w:r>
        <w:rPr>
          <w:rFonts w:hint="default" w:ascii="Times New Roman" w:hAnsi="Times New Roman" w:cs="Times New Roman"/>
          <w:color w:val="auto"/>
        </w:rPr>
        <w:t>类水体，24h流经范围不涉及省界或国界；排放点下游（顺水流向）10 km范围可能达到的最大水平距离内不涉及饮用水源保护区、自然保护区等需要特殊保护区域。根据《建设项目环境风险评价技术导则》（HJ169－2018）附录 D，项目地表水功能敏感性为较敏感 F</w:t>
      </w:r>
      <w:r>
        <w:rPr>
          <w:rFonts w:hint="default" w:ascii="Times New Roman" w:hAnsi="Times New Roman" w:cs="Times New Roman"/>
          <w:color w:val="auto"/>
          <w:lang w:val="en-US" w:eastAsia="zh-CN"/>
        </w:rPr>
        <w:t>2</w:t>
      </w:r>
      <w:r>
        <w:rPr>
          <w:rFonts w:hint="default" w:ascii="Times New Roman" w:hAnsi="Times New Roman" w:cs="Times New Roman"/>
          <w:color w:val="auto"/>
        </w:rPr>
        <w:t>，环境敏感目标分级为S3，本项目地表水环境敏感程度最终判定为E</w:t>
      </w:r>
      <w:r>
        <w:rPr>
          <w:rFonts w:hint="default" w:ascii="Times New Roman" w:hAnsi="Times New Roman" w:cs="Times New Roman"/>
          <w:color w:val="auto"/>
          <w:lang w:val="en-US" w:eastAsia="zh-CN"/>
        </w:rPr>
        <w:t>2</w:t>
      </w:r>
      <w:r>
        <w:rPr>
          <w:rFonts w:hint="default" w:ascii="Times New Roman" w:hAnsi="Times New Roman" w:cs="Times New Roman"/>
          <w:color w:val="auto"/>
        </w:rPr>
        <w:t>。</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b w:val="0"/>
          <w:bCs/>
          <w:color w:val="auto"/>
        </w:rPr>
      </w:pPr>
      <w:r>
        <w:rPr>
          <w:rFonts w:hint="default" w:ascii="Times New Roman" w:hAnsi="Times New Roman" w:cs="Times New Roman"/>
          <w:b w:val="0"/>
          <w:bCs/>
          <w:color w:val="auto"/>
          <w:lang w:eastAsia="zh-CN"/>
        </w:rPr>
        <w:t>③</w:t>
      </w:r>
      <w:r>
        <w:rPr>
          <w:rFonts w:hint="default" w:ascii="Times New Roman" w:hAnsi="Times New Roman" w:cs="Times New Roman"/>
          <w:b w:val="0"/>
          <w:bCs/>
          <w:color w:val="auto"/>
        </w:rPr>
        <w:t>地</w:t>
      </w:r>
      <w:r>
        <w:rPr>
          <w:rFonts w:hint="default" w:ascii="Times New Roman" w:hAnsi="Times New Roman" w:cs="Times New Roman"/>
          <w:b w:val="0"/>
          <w:bCs/>
          <w:color w:val="auto"/>
          <w:lang w:eastAsia="zh-CN"/>
        </w:rPr>
        <w:t>下</w:t>
      </w:r>
      <w:r>
        <w:rPr>
          <w:rFonts w:hint="default" w:ascii="Times New Roman" w:hAnsi="Times New Roman" w:cs="Times New Roman"/>
          <w:b w:val="0"/>
          <w:bCs/>
          <w:color w:val="auto"/>
        </w:rPr>
        <w:t>水</w:t>
      </w:r>
    </w:p>
    <w:p>
      <w:pPr>
        <w:spacing w:line="360" w:lineRule="auto"/>
        <w:ind w:firstLine="482"/>
        <w:rPr>
          <w:rFonts w:hint="default" w:ascii="Times New Roman" w:hAnsi="Times New Roman" w:cs="Times New Roman"/>
          <w:color w:val="auto"/>
        </w:rPr>
      </w:pPr>
      <w:r>
        <w:rPr>
          <w:rFonts w:hint="default" w:ascii="Times New Roman" w:hAnsi="Times New Roman" w:cs="Times New Roman"/>
          <w:color w:val="auto"/>
        </w:rPr>
        <w:t>项目位于工业园区，不在饮用水源准保护区和以外的补给径流区、集中式饮用水水源以外的国家或地方政府设定的与地下水环境相关的其他保护区、为划定的准保护区的集中式饮用水水源，分散式饮用水水源地和特殊地下水资源保护区以外的分布区等其他未列入上述敏感分级的环境敏感区。本项目远离上述区域，经判定，地下水功能敏感性分区为不敏感G3；项目区域地下水含水层主要为松散第四系粉质黏土土层，水位埋深在现地面之下1.30m～8.20m之间，渗透系数在6.69×10</w:t>
      </w:r>
      <w:r>
        <w:rPr>
          <w:rFonts w:hint="default" w:ascii="Times New Roman" w:hAnsi="Times New Roman" w:cs="Times New Roman"/>
          <w:color w:val="auto"/>
          <w:vertAlign w:val="superscript"/>
        </w:rPr>
        <w:t>-7</w:t>
      </w:r>
      <w:r>
        <w:rPr>
          <w:rFonts w:hint="default" w:ascii="Times New Roman" w:hAnsi="Times New Roman" w:cs="Times New Roman"/>
          <w:color w:val="auto"/>
        </w:rPr>
        <w:t>～1.34×10</w:t>
      </w:r>
      <w:r>
        <w:rPr>
          <w:rFonts w:hint="default" w:ascii="Times New Roman" w:hAnsi="Times New Roman" w:cs="Times New Roman"/>
          <w:color w:val="auto"/>
          <w:vertAlign w:val="superscript"/>
        </w:rPr>
        <w:t>-7</w:t>
      </w:r>
      <w:r>
        <w:rPr>
          <w:rFonts w:hint="default" w:ascii="Times New Roman" w:hAnsi="Times New Roman" w:cs="Times New Roman"/>
          <w:color w:val="auto"/>
        </w:rPr>
        <w:t>cm/s之间，本项目包气带防污性能为D3。根据《建设项目环境风险评价技术导则》（HJ 169</w:t>
      </w:r>
      <w:r>
        <w:rPr>
          <w:rFonts w:hint="default" w:ascii="Times New Roman" w:hAnsi="Times New Roman" w:cs="Times New Roman"/>
          <w:color w:val="auto"/>
          <w:lang w:val="en-US" w:eastAsia="zh-CN"/>
        </w:rPr>
        <w:t>-</w:t>
      </w:r>
      <w:r>
        <w:rPr>
          <w:rFonts w:hint="default" w:ascii="Times New Roman" w:hAnsi="Times New Roman" w:cs="Times New Roman"/>
          <w:color w:val="auto"/>
        </w:rPr>
        <w:t>2018）附录 D 中地下水环境敏感程度分级，经判定地下水环境敏感程度分级为E3。</w:t>
      </w:r>
    </w:p>
    <w:p>
      <w:pPr>
        <w:pStyle w:val="133"/>
        <w:numPr>
          <w:ilvl w:val="1"/>
          <w:numId w:val="6"/>
        </w:numPr>
        <w:spacing w:line="360" w:lineRule="auto"/>
        <w:ind w:left="0" w:firstLine="0" w:firstLineChars="0"/>
        <w:jc w:val="center"/>
        <w:rPr>
          <w:rFonts w:hint="default" w:ascii="Times New Roman" w:hAnsi="Times New Roman" w:cs="Times New Roman"/>
          <w:b/>
          <w:color w:val="auto"/>
        </w:rPr>
      </w:pPr>
      <w:r>
        <w:rPr>
          <w:rFonts w:hint="default" w:ascii="Times New Roman" w:hAnsi="Times New Roman" w:cs="Times New Roman"/>
          <w:b/>
          <w:color w:val="auto"/>
        </w:rPr>
        <w:t>建设</w:t>
      </w:r>
      <w:r>
        <w:rPr>
          <w:rFonts w:hint="default" w:ascii="Times New Roman" w:hAnsi="Times New Roman" w:cs="Times New Roman"/>
          <w:b/>
          <w:bCs/>
          <w:color w:val="auto"/>
        </w:rPr>
        <w:t>项目</w:t>
      </w:r>
      <w:r>
        <w:rPr>
          <w:rFonts w:hint="default" w:ascii="Times New Roman" w:hAnsi="Times New Roman" w:cs="Times New Roman"/>
          <w:b/>
          <w:color w:val="auto"/>
        </w:rPr>
        <w:t>环境风险潜势划分表</w:t>
      </w:r>
    </w:p>
    <w:tbl>
      <w:tblPr>
        <w:tblStyle w:val="44"/>
        <w:tblW w:w="80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732"/>
        <w:gridCol w:w="1732"/>
        <w:gridCol w:w="1732"/>
        <w:gridCol w:w="1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vMerge w:val="restart"/>
            <w:vAlign w:val="center"/>
          </w:tcPr>
          <w:p>
            <w:pPr>
              <w:pStyle w:val="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环境敏感目标</w:t>
            </w:r>
          </w:p>
        </w:tc>
        <w:tc>
          <w:tcPr>
            <w:tcW w:w="6928" w:type="dxa"/>
            <w:gridSpan w:val="4"/>
            <w:vAlign w:val="center"/>
          </w:tcPr>
          <w:p>
            <w:pPr>
              <w:pStyle w:val="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危险物质及工艺系统危险性（P）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vMerge w:val="continue"/>
            <w:vAlign w:val="center"/>
          </w:tcPr>
          <w:p>
            <w:pPr>
              <w:pStyle w:val="136"/>
              <w:jc w:val="center"/>
              <w:rPr>
                <w:rFonts w:hint="default" w:ascii="Times New Roman" w:hAnsi="Times New Roman" w:eastAsia="宋体" w:cs="Times New Roman"/>
                <w:color w:val="auto"/>
                <w:sz w:val="21"/>
                <w:szCs w:val="21"/>
              </w:rPr>
            </w:pPr>
          </w:p>
        </w:tc>
        <w:tc>
          <w:tcPr>
            <w:tcW w:w="1732" w:type="dxa"/>
            <w:vAlign w:val="center"/>
          </w:tcPr>
          <w:p>
            <w:pPr>
              <w:pStyle w:val="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极高危害（P1）</w:t>
            </w:r>
          </w:p>
        </w:tc>
        <w:tc>
          <w:tcPr>
            <w:tcW w:w="1732" w:type="dxa"/>
            <w:vAlign w:val="center"/>
          </w:tcPr>
          <w:p>
            <w:pPr>
              <w:pStyle w:val="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高度危害（P2）</w:t>
            </w:r>
          </w:p>
        </w:tc>
        <w:tc>
          <w:tcPr>
            <w:tcW w:w="1732" w:type="dxa"/>
            <w:vAlign w:val="center"/>
          </w:tcPr>
          <w:p>
            <w:pPr>
              <w:pStyle w:val="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中度危害（P3）</w:t>
            </w:r>
          </w:p>
        </w:tc>
        <w:tc>
          <w:tcPr>
            <w:tcW w:w="1732" w:type="dxa"/>
            <w:tcBorders>
              <w:bottom w:val="single" w:color="auto" w:sz="4" w:space="0"/>
            </w:tcBorders>
            <w:vAlign w:val="center"/>
          </w:tcPr>
          <w:p>
            <w:pPr>
              <w:pStyle w:val="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轻度危害（P4）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vAlign w:val="center"/>
          </w:tcPr>
          <w:p>
            <w:pPr>
              <w:pStyle w:val="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E1</w:t>
            </w:r>
          </w:p>
        </w:tc>
        <w:tc>
          <w:tcPr>
            <w:tcW w:w="1732" w:type="dxa"/>
            <w:vAlign w:val="center"/>
          </w:tcPr>
          <w:p>
            <w:pPr>
              <w:pStyle w:val="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IV+</w:t>
            </w:r>
          </w:p>
        </w:tc>
        <w:tc>
          <w:tcPr>
            <w:tcW w:w="1732" w:type="dxa"/>
            <w:vAlign w:val="center"/>
          </w:tcPr>
          <w:p>
            <w:pPr>
              <w:pStyle w:val="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IV</w:t>
            </w:r>
          </w:p>
        </w:tc>
        <w:tc>
          <w:tcPr>
            <w:tcW w:w="1732" w:type="dxa"/>
            <w:vAlign w:val="center"/>
          </w:tcPr>
          <w:p>
            <w:pPr>
              <w:pStyle w:val="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III</w:t>
            </w:r>
          </w:p>
        </w:tc>
        <w:tc>
          <w:tcPr>
            <w:tcW w:w="1732" w:type="dxa"/>
            <w:shd w:val="clear" w:color="auto" w:fill="7F7F7F" w:themeFill="text1" w:themeFillTint="7F"/>
            <w:vAlign w:val="center"/>
          </w:tcPr>
          <w:p>
            <w:pPr>
              <w:pStyle w:val="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III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vAlign w:val="center"/>
          </w:tcPr>
          <w:p>
            <w:pPr>
              <w:pStyle w:val="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E2</w:t>
            </w:r>
          </w:p>
        </w:tc>
        <w:tc>
          <w:tcPr>
            <w:tcW w:w="1732" w:type="dxa"/>
            <w:vAlign w:val="center"/>
          </w:tcPr>
          <w:p>
            <w:pPr>
              <w:pStyle w:val="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IV</w:t>
            </w:r>
          </w:p>
        </w:tc>
        <w:tc>
          <w:tcPr>
            <w:tcW w:w="1732" w:type="dxa"/>
            <w:vAlign w:val="center"/>
          </w:tcPr>
          <w:p>
            <w:pPr>
              <w:pStyle w:val="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III</w:t>
            </w:r>
          </w:p>
        </w:tc>
        <w:tc>
          <w:tcPr>
            <w:tcW w:w="1732" w:type="dxa"/>
            <w:vAlign w:val="center"/>
          </w:tcPr>
          <w:p>
            <w:pPr>
              <w:pStyle w:val="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III</w:t>
            </w:r>
          </w:p>
        </w:tc>
        <w:tc>
          <w:tcPr>
            <w:tcW w:w="1732" w:type="dxa"/>
            <w:tcBorders>
              <w:bottom w:val="single" w:color="auto" w:sz="4" w:space="0"/>
            </w:tcBorders>
            <w:shd w:val="clear" w:color="auto" w:fill="7F7F7F" w:themeFill="text1" w:themeFillTint="7F"/>
            <w:vAlign w:val="center"/>
          </w:tcPr>
          <w:p>
            <w:pPr>
              <w:pStyle w:val="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vAlign w:val="center"/>
          </w:tcPr>
          <w:p>
            <w:pPr>
              <w:pStyle w:val="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E3</w:t>
            </w:r>
          </w:p>
        </w:tc>
        <w:tc>
          <w:tcPr>
            <w:tcW w:w="1732" w:type="dxa"/>
            <w:tcBorders>
              <w:bottom w:val="single" w:color="auto" w:sz="4" w:space="0"/>
            </w:tcBorders>
            <w:vAlign w:val="center"/>
          </w:tcPr>
          <w:p>
            <w:pPr>
              <w:pStyle w:val="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III</w:t>
            </w:r>
          </w:p>
        </w:tc>
        <w:tc>
          <w:tcPr>
            <w:tcW w:w="1732" w:type="dxa"/>
            <w:tcBorders>
              <w:bottom w:val="single" w:color="auto" w:sz="4" w:space="0"/>
            </w:tcBorders>
            <w:vAlign w:val="center"/>
          </w:tcPr>
          <w:p>
            <w:pPr>
              <w:pStyle w:val="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III</w:t>
            </w:r>
          </w:p>
        </w:tc>
        <w:tc>
          <w:tcPr>
            <w:tcW w:w="1732" w:type="dxa"/>
            <w:tcBorders>
              <w:bottom w:val="single" w:color="auto" w:sz="4" w:space="0"/>
            </w:tcBorders>
            <w:vAlign w:val="center"/>
          </w:tcPr>
          <w:p>
            <w:pPr>
              <w:pStyle w:val="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II</w:t>
            </w:r>
          </w:p>
        </w:tc>
        <w:tc>
          <w:tcPr>
            <w:tcW w:w="1732" w:type="dxa"/>
            <w:tcBorders>
              <w:bottom w:val="single" w:color="auto" w:sz="4" w:space="0"/>
            </w:tcBorders>
            <w:shd w:val="clear" w:color="auto" w:fill="7F7F7F" w:themeFill="text1" w:themeFillTint="7F"/>
            <w:vAlign w:val="center"/>
          </w:tcPr>
          <w:p>
            <w:pPr>
              <w:pStyle w:val="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62" w:type="dxa"/>
            <w:gridSpan w:val="5"/>
            <w:vAlign w:val="center"/>
          </w:tcPr>
          <w:p>
            <w:pPr>
              <w:pStyle w:val="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注：IV+为极高环境风险</w:t>
            </w:r>
          </w:p>
        </w:tc>
      </w:tr>
    </w:tbl>
    <w:p>
      <w:pPr>
        <w:pStyle w:val="2"/>
        <w:keepNext w:val="0"/>
        <w:keepLines w:val="0"/>
        <w:pageBreakBefore w:val="0"/>
        <w:widowControl w:val="0"/>
        <w:kinsoku/>
        <w:wordWrap/>
        <w:overflowPunct/>
        <w:topLinePunct w:val="0"/>
        <w:autoSpaceDE/>
        <w:autoSpaceDN/>
        <w:bidi w:val="0"/>
        <w:adjustRightInd/>
        <w:snapToGrid/>
        <w:spacing w:before="157" w:beforeLines="50"/>
        <w:textAlignment w:val="auto"/>
        <w:rPr>
          <w:rFonts w:hint="default" w:ascii="Times New Roman" w:hAnsi="Times New Roman" w:cs="Times New Roman"/>
          <w:color w:val="auto"/>
        </w:rPr>
      </w:pPr>
      <w:r>
        <w:rPr>
          <w:rFonts w:hint="default" w:ascii="Times New Roman" w:hAnsi="Times New Roman" w:cs="Times New Roman"/>
          <w:color w:val="auto"/>
        </w:rPr>
        <w:t>根据建设项目环境风险潜势划分，本项目危险物质及工艺系统危险性等级判断为P4，</w:t>
      </w:r>
      <w:r>
        <w:rPr>
          <w:rFonts w:hint="default" w:ascii="Times New Roman" w:hAnsi="Times New Roman" w:cs="Times New Roman"/>
          <w:color w:val="auto"/>
          <w:lang w:eastAsia="zh-CN"/>
        </w:rPr>
        <w:t>本项目</w:t>
      </w:r>
      <w:r>
        <w:rPr>
          <w:rFonts w:hint="default" w:ascii="Times New Roman" w:hAnsi="Times New Roman" w:eastAsia="宋体" w:cs="Times New Roman"/>
          <w:color w:val="auto"/>
        </w:rPr>
        <w:t>大气环境敏感程度为E1，地表水环境敏感程度为E</w:t>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rPr>
        <w:t>地下水环境敏感程度</w:t>
      </w:r>
      <w:r>
        <w:rPr>
          <w:rFonts w:hint="default" w:ascii="Times New Roman" w:hAnsi="Times New Roman" w:eastAsia="宋体" w:cs="Times New Roman"/>
          <w:color w:val="auto"/>
          <w:lang w:val="en-US" w:eastAsia="zh-CN"/>
        </w:rPr>
        <w:t>为E</w:t>
      </w:r>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lang w:val="en-US" w:eastAsia="zh-CN"/>
        </w:rPr>
        <w:t>，根据划分，本项目大气环境风险潜势为Ⅲ类，地表水</w:t>
      </w:r>
      <w:r>
        <w:rPr>
          <w:rFonts w:hint="default" w:ascii="Times New Roman" w:hAnsi="Times New Roman" w:eastAsia="宋体" w:cs="Times New Roman"/>
          <w:color w:val="auto"/>
          <w:lang w:val="en-US" w:eastAsia="zh-CN"/>
        </w:rPr>
        <w:t>环境风险潜势为</w:t>
      </w:r>
      <w:r>
        <w:rPr>
          <w:rFonts w:hint="default" w:ascii="Times New Roman" w:hAnsi="Times New Roman" w:eastAsia="宋体" w:cs="Times New Roman"/>
          <w:color w:val="auto"/>
          <w:lang w:val="en-US" w:eastAsia="zh-CN"/>
        </w:rPr>
        <w:t>Ⅱ</w:t>
      </w:r>
      <w:r>
        <w:rPr>
          <w:rFonts w:hint="default" w:ascii="Times New Roman" w:hAnsi="Times New Roman" w:eastAsia="宋体" w:cs="Times New Roman"/>
          <w:color w:val="auto"/>
          <w:lang w:val="en-US" w:eastAsia="zh-CN"/>
        </w:rPr>
        <w:t>类</w:t>
      </w:r>
      <w:r>
        <w:rPr>
          <w:rFonts w:hint="default" w:ascii="Times New Roman" w:hAnsi="Times New Roman" w:eastAsia="宋体" w:cs="Times New Roman"/>
          <w:color w:val="auto"/>
          <w:lang w:val="en-US" w:eastAsia="zh-CN"/>
        </w:rPr>
        <w:t>、地下水环境风险潜势为I类</w:t>
      </w:r>
      <w:r>
        <w:rPr>
          <w:rFonts w:hint="default" w:ascii="Times New Roman" w:hAnsi="Times New Roman" w:cs="Times New Roman"/>
          <w:color w:val="auto"/>
        </w:rPr>
        <w:t>。</w:t>
      </w:r>
    </w:p>
    <w:p>
      <w:pPr>
        <w:rPr>
          <w:rFonts w:hint="default" w:ascii="Times New Roman" w:hAnsi="Times New Roman" w:cs="Times New Roman"/>
          <w:color w:val="auto"/>
        </w:rPr>
      </w:pPr>
    </w:p>
    <w:p>
      <w:pPr>
        <w:pStyle w:val="2"/>
        <w:rPr>
          <w:rFonts w:hint="default" w:ascii="Times New Roman" w:hAnsi="Times New Roman" w:cs="Times New Roman"/>
        </w:rPr>
      </w:pPr>
    </w:p>
    <w:p>
      <w:pPr>
        <w:pStyle w:val="133"/>
        <w:numPr>
          <w:ilvl w:val="1"/>
          <w:numId w:val="6"/>
        </w:numPr>
        <w:spacing w:line="360" w:lineRule="auto"/>
        <w:ind w:left="0" w:firstLine="0" w:firstLineChars="0"/>
        <w:jc w:val="center"/>
        <w:rPr>
          <w:rFonts w:hint="default" w:ascii="Times New Roman" w:hAnsi="Times New Roman" w:cs="Times New Roman"/>
          <w:b/>
          <w:bCs/>
          <w:color w:val="auto"/>
        </w:rPr>
      </w:pPr>
      <w:r>
        <w:rPr>
          <w:rFonts w:hint="default" w:ascii="Times New Roman" w:hAnsi="Times New Roman" w:cs="Times New Roman"/>
          <w:b/>
          <w:bCs/>
          <w:color w:val="auto"/>
        </w:rPr>
        <w:t>环境风险评价工作等级划分</w:t>
      </w:r>
    </w:p>
    <w:tbl>
      <w:tblPr>
        <w:tblStyle w:val="44"/>
        <w:tblW w:w="78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8"/>
        <w:gridCol w:w="1759"/>
        <w:gridCol w:w="1626"/>
        <w:gridCol w:w="1284"/>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8" w:type="dxa"/>
            <w:vAlign w:val="center"/>
          </w:tcPr>
          <w:p>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环境风险潜势</w:t>
            </w:r>
          </w:p>
        </w:tc>
        <w:tc>
          <w:tcPr>
            <w:tcW w:w="1759" w:type="dxa"/>
            <w:vAlign w:val="center"/>
          </w:tcPr>
          <w:p>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Ⅳ、Ⅳ</w:t>
            </w:r>
            <w:r>
              <w:rPr>
                <w:rFonts w:hint="default" w:ascii="Times New Roman" w:hAnsi="Times New Roman" w:cs="Times New Roman"/>
                <w:bCs/>
                <w:color w:val="auto"/>
                <w:sz w:val="21"/>
                <w:szCs w:val="21"/>
                <w:vertAlign w:val="superscript"/>
              </w:rPr>
              <w:t>+</w:t>
            </w:r>
          </w:p>
        </w:tc>
        <w:tc>
          <w:tcPr>
            <w:tcW w:w="1626" w:type="dxa"/>
            <w:vAlign w:val="center"/>
          </w:tcPr>
          <w:p>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Ⅲ</w:t>
            </w:r>
          </w:p>
        </w:tc>
        <w:tc>
          <w:tcPr>
            <w:tcW w:w="1284" w:type="dxa"/>
            <w:vAlign w:val="center"/>
          </w:tcPr>
          <w:p>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Ⅱ</w:t>
            </w:r>
          </w:p>
        </w:tc>
        <w:tc>
          <w:tcPr>
            <w:tcW w:w="1559" w:type="dxa"/>
            <w:vAlign w:val="center"/>
          </w:tcPr>
          <w:p>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8" w:type="dxa"/>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评价工作等级</w:t>
            </w:r>
          </w:p>
        </w:tc>
        <w:tc>
          <w:tcPr>
            <w:tcW w:w="1759" w:type="dxa"/>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w:t>
            </w:r>
          </w:p>
        </w:tc>
        <w:tc>
          <w:tcPr>
            <w:tcW w:w="1626" w:type="dxa"/>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w:t>
            </w:r>
          </w:p>
        </w:tc>
        <w:tc>
          <w:tcPr>
            <w:tcW w:w="1284" w:type="dxa"/>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三</w:t>
            </w:r>
          </w:p>
        </w:tc>
        <w:tc>
          <w:tcPr>
            <w:tcW w:w="1559" w:type="dxa"/>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简单分析</w:t>
            </w:r>
            <w:r>
              <w:rPr>
                <w:rFonts w:hint="default" w:ascii="Times New Roman" w:hAnsi="Times New Roman" w:cs="Times New Roman"/>
                <w:color w:val="auto"/>
                <w:sz w:val="21"/>
                <w:szCs w:val="21"/>
                <w:vertAlign w:val="superscript"/>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76" w:type="dxa"/>
            <w:gridSpan w:val="5"/>
            <w:vAlign w:val="center"/>
          </w:tcPr>
          <w:p>
            <w:pPr>
              <w:adjustRightInd w:val="0"/>
              <w:snapToGrid w:val="0"/>
              <w:jc w:val="left"/>
              <w:rPr>
                <w:rFonts w:hint="default" w:ascii="Times New Roman" w:hAnsi="Times New Roman" w:cs="Times New Roman"/>
                <w:b/>
                <w:color w:val="auto"/>
                <w:sz w:val="21"/>
                <w:szCs w:val="21"/>
              </w:rPr>
            </w:pPr>
            <w:r>
              <w:rPr>
                <w:rFonts w:hint="default" w:ascii="Times New Roman" w:hAnsi="Times New Roman" w:cs="Times New Roman"/>
                <w:color w:val="auto"/>
                <w:sz w:val="21"/>
                <w:szCs w:val="21"/>
                <w:vertAlign w:val="superscript"/>
              </w:rPr>
              <w:t>a</w:t>
            </w:r>
            <w:r>
              <w:rPr>
                <w:rFonts w:hint="default" w:ascii="Times New Roman" w:hAnsi="Times New Roman" w:cs="Times New Roman"/>
                <w:color w:val="auto"/>
                <w:sz w:val="21"/>
                <w:szCs w:val="21"/>
              </w:rPr>
              <w:t>是相对于详细评价工作内容而言，在描述危险物质、环境影响途径、环境危害后果、风险防范措施等方面给出定性的说明。见附录A。</w:t>
            </w:r>
          </w:p>
        </w:tc>
      </w:tr>
    </w:tbl>
    <w:p>
      <w:pPr>
        <w:snapToGrid w:val="0"/>
        <w:spacing w:beforeLines="50" w:line="360" w:lineRule="auto"/>
        <w:ind w:firstLine="482"/>
        <w:jc w:val="left"/>
        <w:rPr>
          <w:rFonts w:hint="default" w:ascii="Times New Roman" w:hAnsi="Times New Roman" w:cs="Times New Roman"/>
          <w:color w:val="auto"/>
        </w:rPr>
      </w:pPr>
      <w:r>
        <w:rPr>
          <w:rFonts w:hint="default" w:ascii="Times New Roman" w:hAnsi="Times New Roman" w:eastAsia="宋体" w:cs="Times New Roman"/>
          <w:color w:val="auto"/>
        </w:rPr>
        <w:t>对照上表可知，本项目大气环境风险评价工作等级为二级；地表水</w:t>
      </w:r>
      <w:r>
        <w:rPr>
          <w:rFonts w:hint="default" w:ascii="Times New Roman" w:hAnsi="Times New Roman" w:eastAsia="宋体" w:cs="Times New Roman"/>
          <w:color w:val="auto"/>
          <w:lang w:eastAsia="zh-CN"/>
        </w:rPr>
        <w:t>环境风险评价工作等级为三级；</w:t>
      </w:r>
      <w:r>
        <w:rPr>
          <w:rFonts w:hint="default" w:ascii="Times New Roman" w:hAnsi="Times New Roman" w:eastAsia="宋体" w:cs="Times New Roman"/>
          <w:color w:val="auto"/>
        </w:rPr>
        <w:t>地下水环境风险评价工作等级为简单分析。</w:t>
      </w:r>
    </w:p>
    <w:bookmarkEnd w:id="104"/>
    <w:bookmarkEnd w:id="105"/>
    <w:bookmarkEnd w:id="106"/>
    <w:bookmarkEnd w:id="107"/>
    <w:bookmarkEnd w:id="108"/>
    <w:bookmarkEnd w:id="109"/>
    <w:bookmarkEnd w:id="110"/>
    <w:p>
      <w:pPr>
        <w:adjustRightInd w:val="0"/>
        <w:snapToGrid w:val="0"/>
        <w:spacing w:line="360" w:lineRule="auto"/>
        <w:ind w:firstLine="480" w:firstLineChars="200"/>
        <w:rPr>
          <w:rFonts w:hint="default" w:ascii="Times New Roman" w:hAnsi="Times New Roman" w:cs="Times New Roman"/>
          <w:color w:val="auto"/>
        </w:rPr>
      </w:pPr>
      <w:bookmarkStart w:id="179" w:name="_Toc13795"/>
      <w:bookmarkStart w:id="180" w:name="_Toc2257"/>
      <w:bookmarkStart w:id="181" w:name="_Toc7219"/>
      <w:bookmarkStart w:id="182" w:name="_Toc27244"/>
      <w:bookmarkStart w:id="183" w:name="_Toc4721"/>
      <w:bookmarkStart w:id="184" w:name="_Toc31244"/>
      <w:r>
        <w:rPr>
          <w:rFonts w:hint="default" w:ascii="Times New Roman" w:hAnsi="Times New Roman" w:cs="Times New Roman"/>
          <w:color w:val="auto"/>
        </w:rPr>
        <w:t>2、评价范围</w:t>
      </w:r>
    </w:p>
    <w:bookmarkEnd w:id="179"/>
    <w:bookmarkEnd w:id="180"/>
    <w:bookmarkEnd w:id="181"/>
    <w:bookmarkEnd w:id="182"/>
    <w:bookmarkEnd w:id="183"/>
    <w:bookmarkEnd w:id="184"/>
    <w:p>
      <w:pPr>
        <w:spacing w:line="360" w:lineRule="auto"/>
        <w:ind w:firstLine="482"/>
        <w:rPr>
          <w:rFonts w:hint="default" w:ascii="Times New Roman" w:hAnsi="Times New Roman" w:cs="Times New Roman"/>
          <w:color w:val="auto"/>
        </w:rPr>
      </w:pPr>
      <w:bookmarkStart w:id="185" w:name="_Toc19916"/>
      <w:bookmarkStart w:id="186" w:name="_Toc27187"/>
      <w:bookmarkStart w:id="187" w:name="_Toc29263"/>
      <w:bookmarkStart w:id="188" w:name="_Toc22316"/>
      <w:bookmarkStart w:id="189" w:name="_Toc26517"/>
      <w:r>
        <w:rPr>
          <w:rFonts w:hint="default" w:ascii="Times New Roman" w:hAnsi="Times New Roman" w:cs="Times New Roman"/>
          <w:color w:val="auto"/>
        </w:rPr>
        <w:t>大气环境风险评价范围为本项目厂界外5 km范围区域；</w:t>
      </w:r>
      <w:r>
        <w:rPr>
          <w:rFonts w:hint="default" w:ascii="Times New Roman" w:hAnsi="Times New Roman" w:cs="Times New Roman"/>
          <w:color w:val="auto"/>
          <w:lang w:eastAsia="zh-CN"/>
        </w:rPr>
        <w:t>地表水环境风险评价范围与地表水评价范围一致，为</w:t>
      </w:r>
      <w:r>
        <w:rPr>
          <w:rFonts w:hint="default" w:ascii="Times New Roman" w:hAnsi="Times New Roman" w:cs="Times New Roman"/>
          <w:bCs/>
          <w:caps/>
          <w:color w:val="auto"/>
          <w:spacing w:val="10"/>
          <w:szCs w:val="20"/>
        </w:rPr>
        <w:t>青龙河下富线断面至青龙河鹿城东路断面约3.2</w:t>
      </w:r>
      <w:r>
        <w:rPr>
          <w:rFonts w:hint="default" w:ascii="Times New Roman" w:hAnsi="Times New Roman" w:cs="Times New Roman"/>
          <w:color w:val="auto"/>
        </w:rPr>
        <w:t>km</w:t>
      </w:r>
      <w:r>
        <w:rPr>
          <w:rFonts w:hint="default" w:ascii="Times New Roman" w:hAnsi="Times New Roman" w:cs="Times New Roman"/>
          <w:bCs/>
          <w:caps/>
          <w:color w:val="auto"/>
          <w:spacing w:val="10"/>
          <w:szCs w:val="20"/>
        </w:rPr>
        <w:t>的区域</w:t>
      </w:r>
      <w:r>
        <w:rPr>
          <w:rFonts w:hint="default" w:ascii="Times New Roman" w:hAnsi="Times New Roman" w:cs="Times New Roman"/>
          <w:bCs/>
          <w:caps/>
          <w:color w:val="auto"/>
          <w:spacing w:val="10"/>
          <w:szCs w:val="20"/>
          <w:lang w:eastAsia="zh-CN"/>
        </w:rPr>
        <w:t>；</w:t>
      </w:r>
      <w:r>
        <w:rPr>
          <w:rFonts w:hint="default" w:ascii="Times New Roman" w:hAnsi="Times New Roman" w:cs="Times New Roman"/>
          <w:color w:val="auto"/>
        </w:rPr>
        <w:t>根据《建设项目环境风险评价技术导则》（HJ169－2018）附录A可知，地下水评价工作等级为简单分析，主要进行风险防范措施的可行性分析，不设置评价范围。</w:t>
      </w:r>
    </w:p>
    <w:p>
      <w:pPr>
        <w:pStyle w:val="4"/>
        <w:spacing w:before="0" w:after="0" w:line="360" w:lineRule="auto"/>
        <w:rPr>
          <w:rFonts w:hint="default" w:ascii="Times New Roman" w:hAnsi="Times New Roman" w:eastAsia="宋体" w:cs="Times New Roman"/>
          <w:color w:val="auto"/>
          <w:sz w:val="28"/>
          <w:szCs w:val="28"/>
        </w:rPr>
      </w:pPr>
      <w:bookmarkStart w:id="190" w:name="_Toc26311"/>
      <w:r>
        <w:rPr>
          <w:rFonts w:hint="default" w:ascii="Times New Roman" w:hAnsi="Times New Roman" w:eastAsia="宋体" w:cs="Times New Roman"/>
          <w:color w:val="auto"/>
          <w:sz w:val="28"/>
          <w:szCs w:val="28"/>
        </w:rPr>
        <w:t>1.6环境保护目标</w:t>
      </w:r>
      <w:bookmarkEnd w:id="190"/>
    </w:p>
    <w:bookmarkEnd w:id="185"/>
    <w:bookmarkEnd w:id="186"/>
    <w:bookmarkEnd w:id="187"/>
    <w:bookmarkEnd w:id="188"/>
    <w:bookmarkEnd w:id="189"/>
    <w:p>
      <w:pPr>
        <w:spacing w:line="360" w:lineRule="auto"/>
        <w:ind w:firstLine="482"/>
        <w:rPr>
          <w:rFonts w:hint="default" w:ascii="Times New Roman" w:hAnsi="Times New Roman" w:cs="Times New Roman"/>
          <w:color w:val="auto"/>
        </w:rPr>
      </w:pPr>
      <w:r>
        <w:rPr>
          <w:rFonts w:hint="default" w:ascii="Times New Roman" w:hAnsi="Times New Roman" w:cs="Times New Roman"/>
          <w:color w:val="auto"/>
        </w:rPr>
        <w:t>（1）大气环境保护目标</w:t>
      </w:r>
    </w:p>
    <w:p>
      <w:pPr>
        <w:spacing w:line="360" w:lineRule="auto"/>
        <w:ind w:firstLine="482"/>
        <w:rPr>
          <w:rFonts w:hint="default" w:ascii="Times New Roman" w:hAnsi="Times New Roman" w:cs="Times New Roman"/>
          <w:color w:val="auto"/>
        </w:rPr>
      </w:pPr>
      <w:r>
        <w:rPr>
          <w:rFonts w:hint="default" w:ascii="Times New Roman" w:hAnsi="Times New Roman" w:cs="Times New Roman"/>
          <w:color w:val="auto"/>
        </w:rPr>
        <w:t>项目评价范围内主要涉及环境空气二类功能区的</w:t>
      </w:r>
      <w:r>
        <w:rPr>
          <w:rFonts w:hint="default" w:ascii="Times New Roman" w:hAnsi="Times New Roman" w:cs="Times New Roman"/>
          <w:color w:val="auto"/>
          <w:lang w:val="en-US" w:eastAsia="zh-CN"/>
        </w:rPr>
        <w:t>20</w:t>
      </w:r>
      <w:r>
        <w:rPr>
          <w:rFonts w:hint="default" w:ascii="Times New Roman" w:hAnsi="Times New Roman" w:cs="Times New Roman"/>
          <w:color w:val="auto"/>
        </w:rPr>
        <w:t>个居民区，评价范围内的主要环境保护目标如下表。</w:t>
      </w:r>
    </w:p>
    <w:p>
      <w:pPr>
        <w:pStyle w:val="133"/>
        <w:numPr>
          <w:ilvl w:val="1"/>
          <w:numId w:val="6"/>
        </w:numPr>
        <w:spacing w:line="360" w:lineRule="auto"/>
        <w:ind w:left="0" w:firstLine="0" w:firstLineChars="0"/>
        <w:jc w:val="center"/>
        <w:rPr>
          <w:rFonts w:hint="default" w:ascii="Times New Roman" w:hAnsi="Times New Roman" w:cs="Times New Roman"/>
          <w:b/>
          <w:bCs/>
          <w:color w:val="auto"/>
        </w:rPr>
      </w:pPr>
      <w:r>
        <w:rPr>
          <w:rFonts w:hint="default" w:ascii="Times New Roman" w:hAnsi="Times New Roman" w:cs="Times New Roman"/>
          <w:b/>
          <w:bCs/>
          <w:color w:val="auto"/>
        </w:rPr>
        <w:t>环境空气保护目标一览表</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417"/>
        <w:gridCol w:w="1134"/>
        <w:gridCol w:w="1062"/>
        <w:gridCol w:w="735"/>
        <w:gridCol w:w="1098"/>
        <w:gridCol w:w="956"/>
        <w:gridCol w:w="14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2" w:hRule="atLeast"/>
          <w:jc w:val="center"/>
        </w:trPr>
        <w:tc>
          <w:tcPr>
            <w:tcW w:w="851" w:type="dxa"/>
            <w:vMerge w:val="restart"/>
            <w:vAlign w:val="center"/>
          </w:tcPr>
          <w:p>
            <w:pPr>
              <w:pStyle w:val="78"/>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环境要素</w:t>
            </w:r>
          </w:p>
        </w:tc>
        <w:tc>
          <w:tcPr>
            <w:tcW w:w="1417" w:type="dxa"/>
            <w:vMerge w:val="restart"/>
            <w:vAlign w:val="center"/>
          </w:tcPr>
          <w:p>
            <w:pPr>
              <w:pStyle w:val="78"/>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环境保护目标</w:t>
            </w:r>
          </w:p>
        </w:tc>
        <w:tc>
          <w:tcPr>
            <w:tcW w:w="2196" w:type="dxa"/>
            <w:gridSpan w:val="2"/>
            <w:vAlign w:val="center"/>
          </w:tcPr>
          <w:p>
            <w:pPr>
              <w:pStyle w:val="78"/>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坐标</w:t>
            </w:r>
          </w:p>
        </w:tc>
        <w:tc>
          <w:tcPr>
            <w:tcW w:w="735" w:type="dxa"/>
            <w:vMerge w:val="restart"/>
            <w:vAlign w:val="center"/>
          </w:tcPr>
          <w:p>
            <w:pPr>
              <w:pStyle w:val="78"/>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方位</w:t>
            </w:r>
          </w:p>
        </w:tc>
        <w:tc>
          <w:tcPr>
            <w:tcW w:w="1098" w:type="dxa"/>
            <w:vMerge w:val="restart"/>
            <w:vAlign w:val="center"/>
          </w:tcPr>
          <w:p>
            <w:pPr>
              <w:pStyle w:val="78"/>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最近距离（</w:t>
            </w:r>
            <w:r>
              <w:rPr>
                <w:rFonts w:hint="default" w:ascii="Times New Roman" w:hAnsi="Times New Roman" w:cs="Times New Roman" w:eastAsiaTheme="minorEastAsia"/>
                <w:sz w:val="21"/>
                <w:szCs w:val="21"/>
              </w:rPr>
              <w:t>m</w:t>
            </w:r>
            <w:r>
              <w:rPr>
                <w:rFonts w:hint="default" w:ascii="Times New Roman" w:hAnsi="Times New Roman" w:cs="Times New Roman" w:eastAsiaTheme="minorEastAsia"/>
                <w:sz w:val="21"/>
                <w:szCs w:val="21"/>
              </w:rPr>
              <w:t>）</w:t>
            </w:r>
          </w:p>
        </w:tc>
        <w:tc>
          <w:tcPr>
            <w:tcW w:w="956" w:type="dxa"/>
            <w:vMerge w:val="restart"/>
            <w:vAlign w:val="center"/>
          </w:tcPr>
          <w:p>
            <w:pPr>
              <w:pStyle w:val="78"/>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人数（人）</w:t>
            </w:r>
          </w:p>
        </w:tc>
        <w:tc>
          <w:tcPr>
            <w:tcW w:w="1454" w:type="dxa"/>
            <w:vMerge w:val="restart"/>
            <w:vAlign w:val="center"/>
          </w:tcPr>
          <w:p>
            <w:pPr>
              <w:pStyle w:val="78"/>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环境功能保护级别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7" w:hRule="atLeast"/>
          <w:jc w:val="center"/>
        </w:trPr>
        <w:tc>
          <w:tcPr>
            <w:tcW w:w="851" w:type="dxa"/>
            <w:vMerge w:val="continue"/>
            <w:vAlign w:val="center"/>
          </w:tcPr>
          <w:p>
            <w:pPr>
              <w:pStyle w:val="78"/>
              <w:rPr>
                <w:rFonts w:hint="default" w:ascii="Times New Roman" w:hAnsi="Times New Roman" w:cs="Times New Roman" w:eastAsiaTheme="minorEastAsia"/>
                <w:sz w:val="21"/>
                <w:szCs w:val="21"/>
              </w:rPr>
            </w:pPr>
          </w:p>
        </w:tc>
        <w:tc>
          <w:tcPr>
            <w:tcW w:w="1417" w:type="dxa"/>
            <w:vMerge w:val="continue"/>
            <w:vAlign w:val="center"/>
          </w:tcPr>
          <w:p>
            <w:pPr>
              <w:pStyle w:val="78"/>
              <w:rPr>
                <w:rFonts w:hint="default" w:ascii="Times New Roman" w:hAnsi="Times New Roman" w:cs="Times New Roman" w:eastAsiaTheme="minorEastAsia"/>
                <w:sz w:val="21"/>
                <w:szCs w:val="21"/>
              </w:rPr>
            </w:pPr>
          </w:p>
        </w:tc>
        <w:tc>
          <w:tcPr>
            <w:tcW w:w="1134" w:type="dxa"/>
            <w:vAlign w:val="center"/>
          </w:tcPr>
          <w:p>
            <w:pPr>
              <w:pStyle w:val="78"/>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经度</w:t>
            </w:r>
          </w:p>
        </w:tc>
        <w:tc>
          <w:tcPr>
            <w:tcW w:w="1062" w:type="dxa"/>
            <w:vAlign w:val="center"/>
          </w:tcPr>
          <w:p>
            <w:pPr>
              <w:pStyle w:val="78"/>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纬度</w:t>
            </w:r>
          </w:p>
        </w:tc>
        <w:tc>
          <w:tcPr>
            <w:tcW w:w="735" w:type="dxa"/>
            <w:vMerge w:val="continue"/>
            <w:vAlign w:val="center"/>
          </w:tcPr>
          <w:p>
            <w:pPr>
              <w:pStyle w:val="78"/>
              <w:rPr>
                <w:rFonts w:hint="default" w:ascii="Times New Roman" w:hAnsi="Times New Roman" w:cs="Times New Roman" w:eastAsiaTheme="minorEastAsia"/>
                <w:sz w:val="21"/>
                <w:szCs w:val="21"/>
              </w:rPr>
            </w:pPr>
          </w:p>
        </w:tc>
        <w:tc>
          <w:tcPr>
            <w:tcW w:w="1098" w:type="dxa"/>
            <w:vMerge w:val="continue"/>
            <w:vAlign w:val="center"/>
          </w:tcPr>
          <w:p>
            <w:pPr>
              <w:pStyle w:val="78"/>
              <w:rPr>
                <w:rFonts w:hint="default" w:ascii="Times New Roman" w:hAnsi="Times New Roman" w:cs="Times New Roman" w:eastAsiaTheme="minorEastAsia"/>
                <w:sz w:val="21"/>
                <w:szCs w:val="21"/>
              </w:rPr>
            </w:pPr>
          </w:p>
        </w:tc>
        <w:tc>
          <w:tcPr>
            <w:tcW w:w="956" w:type="dxa"/>
            <w:vMerge w:val="continue"/>
            <w:vAlign w:val="center"/>
          </w:tcPr>
          <w:p>
            <w:pPr>
              <w:pStyle w:val="78"/>
              <w:rPr>
                <w:rFonts w:hint="default" w:ascii="Times New Roman" w:hAnsi="Times New Roman" w:cs="Times New Roman" w:eastAsiaTheme="minorEastAsia"/>
                <w:sz w:val="21"/>
                <w:szCs w:val="21"/>
              </w:rPr>
            </w:pPr>
          </w:p>
        </w:tc>
        <w:tc>
          <w:tcPr>
            <w:tcW w:w="1454" w:type="dxa"/>
            <w:vMerge w:val="continue"/>
            <w:vAlign w:val="center"/>
          </w:tcPr>
          <w:p>
            <w:pPr>
              <w:pStyle w:val="78"/>
              <w:rPr>
                <w:rFonts w:hint="default" w:ascii="Times New Roman" w:hAnsi="Times New Roman"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2" w:hRule="atLeast"/>
          <w:jc w:val="center"/>
        </w:trPr>
        <w:tc>
          <w:tcPr>
            <w:tcW w:w="851" w:type="dxa"/>
            <w:vMerge w:val="restart"/>
            <w:vAlign w:val="center"/>
          </w:tcPr>
          <w:p>
            <w:pPr>
              <w:pStyle w:val="78"/>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大气环境</w:t>
            </w:r>
          </w:p>
        </w:tc>
        <w:tc>
          <w:tcPr>
            <w:tcW w:w="1417"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小东村</w:t>
            </w:r>
          </w:p>
        </w:tc>
        <w:tc>
          <w:tcPr>
            <w:tcW w:w="1134"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101.60483</w:t>
            </w:r>
          </w:p>
        </w:tc>
        <w:tc>
          <w:tcPr>
            <w:tcW w:w="1062"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25.00543</w:t>
            </w:r>
          </w:p>
        </w:tc>
        <w:tc>
          <w:tcPr>
            <w:tcW w:w="735"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S</w:t>
            </w:r>
          </w:p>
        </w:tc>
        <w:tc>
          <w:tcPr>
            <w:tcW w:w="1098"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1770</w:t>
            </w:r>
          </w:p>
        </w:tc>
        <w:tc>
          <w:tcPr>
            <w:tcW w:w="956"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120</w:t>
            </w:r>
          </w:p>
        </w:tc>
        <w:tc>
          <w:tcPr>
            <w:tcW w:w="1454" w:type="dxa"/>
            <w:vMerge w:val="restart"/>
            <w:vAlign w:val="center"/>
          </w:tcPr>
          <w:p>
            <w:pPr>
              <w:pStyle w:val="78"/>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《环境空气质量标准》（</w:t>
            </w:r>
            <w:r>
              <w:rPr>
                <w:rFonts w:hint="default" w:ascii="Times New Roman" w:hAnsi="Times New Roman" w:cs="Times New Roman" w:eastAsiaTheme="minorEastAsia"/>
                <w:sz w:val="21"/>
                <w:szCs w:val="21"/>
              </w:rPr>
              <w:t>GB3095-2012</w:t>
            </w:r>
            <w:r>
              <w:rPr>
                <w:rFonts w:hint="default" w:ascii="Times New Roman" w:hAnsi="Times New Roman" w:cs="Times New Roman" w:eastAsiaTheme="minorEastAsia"/>
                <w:sz w:val="21"/>
                <w:szCs w:val="21"/>
              </w:rPr>
              <w:t>）二级标准及修改单的要求，人类居住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 w:hRule="atLeast"/>
          <w:jc w:val="center"/>
        </w:trPr>
        <w:tc>
          <w:tcPr>
            <w:tcW w:w="851" w:type="dxa"/>
            <w:vMerge w:val="continue"/>
            <w:vAlign w:val="center"/>
          </w:tcPr>
          <w:p>
            <w:pPr>
              <w:pStyle w:val="78"/>
              <w:rPr>
                <w:rFonts w:hint="default" w:ascii="Times New Roman" w:hAnsi="Times New Roman" w:cs="Times New Roman" w:eastAsiaTheme="minorEastAsia"/>
                <w:sz w:val="21"/>
                <w:szCs w:val="21"/>
              </w:rPr>
            </w:pPr>
          </w:p>
        </w:tc>
        <w:tc>
          <w:tcPr>
            <w:tcW w:w="1417"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尹旗屯</w:t>
            </w:r>
          </w:p>
        </w:tc>
        <w:tc>
          <w:tcPr>
            <w:tcW w:w="1134"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101.59623</w:t>
            </w:r>
          </w:p>
        </w:tc>
        <w:tc>
          <w:tcPr>
            <w:tcW w:w="1062"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25.00626</w:t>
            </w:r>
          </w:p>
        </w:tc>
        <w:tc>
          <w:tcPr>
            <w:tcW w:w="735"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NW</w:t>
            </w:r>
          </w:p>
        </w:tc>
        <w:tc>
          <w:tcPr>
            <w:tcW w:w="1098"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1385</w:t>
            </w:r>
          </w:p>
        </w:tc>
        <w:tc>
          <w:tcPr>
            <w:tcW w:w="956"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200</w:t>
            </w:r>
          </w:p>
        </w:tc>
        <w:tc>
          <w:tcPr>
            <w:tcW w:w="1454" w:type="dxa"/>
            <w:vMerge w:val="continue"/>
            <w:vAlign w:val="center"/>
          </w:tcPr>
          <w:p>
            <w:pPr>
              <w:pStyle w:val="78"/>
              <w:rPr>
                <w:rFonts w:hint="default" w:ascii="Times New Roman" w:hAnsi="Times New Roman"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 w:hRule="atLeast"/>
          <w:jc w:val="center"/>
        </w:trPr>
        <w:tc>
          <w:tcPr>
            <w:tcW w:w="851" w:type="dxa"/>
            <w:vMerge w:val="continue"/>
            <w:vAlign w:val="center"/>
          </w:tcPr>
          <w:p>
            <w:pPr>
              <w:pStyle w:val="78"/>
              <w:rPr>
                <w:rFonts w:hint="default" w:ascii="Times New Roman" w:hAnsi="Times New Roman" w:cs="Times New Roman" w:eastAsiaTheme="minorEastAsia"/>
                <w:sz w:val="21"/>
                <w:szCs w:val="21"/>
              </w:rPr>
            </w:pPr>
          </w:p>
        </w:tc>
        <w:tc>
          <w:tcPr>
            <w:tcW w:w="1417"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楚雄市思源实验学校</w:t>
            </w:r>
          </w:p>
        </w:tc>
        <w:tc>
          <w:tcPr>
            <w:tcW w:w="1134"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101.59784</w:t>
            </w:r>
          </w:p>
        </w:tc>
        <w:tc>
          <w:tcPr>
            <w:tcW w:w="1062"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25.02407</w:t>
            </w:r>
          </w:p>
        </w:tc>
        <w:tc>
          <w:tcPr>
            <w:tcW w:w="735"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w:t>
            </w:r>
          </w:p>
        </w:tc>
        <w:tc>
          <w:tcPr>
            <w:tcW w:w="1098"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210</w:t>
            </w:r>
          </w:p>
        </w:tc>
        <w:tc>
          <w:tcPr>
            <w:tcW w:w="956"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750</w:t>
            </w:r>
          </w:p>
        </w:tc>
        <w:tc>
          <w:tcPr>
            <w:tcW w:w="1454" w:type="dxa"/>
            <w:vMerge w:val="continue"/>
            <w:vAlign w:val="center"/>
          </w:tcPr>
          <w:p>
            <w:pPr>
              <w:pStyle w:val="78"/>
              <w:rPr>
                <w:rFonts w:hint="default" w:ascii="Times New Roman" w:hAnsi="Times New Roman"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 w:hRule="atLeast"/>
          <w:jc w:val="center"/>
        </w:trPr>
        <w:tc>
          <w:tcPr>
            <w:tcW w:w="851" w:type="dxa"/>
            <w:vMerge w:val="continue"/>
            <w:vAlign w:val="center"/>
          </w:tcPr>
          <w:p>
            <w:pPr>
              <w:pStyle w:val="78"/>
              <w:rPr>
                <w:rFonts w:hint="default" w:ascii="Times New Roman" w:hAnsi="Times New Roman" w:cs="Times New Roman" w:eastAsiaTheme="minorEastAsia"/>
                <w:sz w:val="21"/>
                <w:szCs w:val="21"/>
              </w:rPr>
            </w:pPr>
          </w:p>
        </w:tc>
        <w:tc>
          <w:tcPr>
            <w:tcW w:w="1417"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黄土坡</w:t>
            </w:r>
          </w:p>
        </w:tc>
        <w:tc>
          <w:tcPr>
            <w:tcW w:w="1134"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101.59769</w:t>
            </w:r>
          </w:p>
        </w:tc>
        <w:tc>
          <w:tcPr>
            <w:tcW w:w="1062"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25.02551</w:t>
            </w:r>
          </w:p>
        </w:tc>
        <w:tc>
          <w:tcPr>
            <w:tcW w:w="735"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w:t>
            </w:r>
          </w:p>
        </w:tc>
        <w:tc>
          <w:tcPr>
            <w:tcW w:w="1098"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310</w:t>
            </w:r>
          </w:p>
        </w:tc>
        <w:tc>
          <w:tcPr>
            <w:tcW w:w="956"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190</w:t>
            </w:r>
          </w:p>
        </w:tc>
        <w:tc>
          <w:tcPr>
            <w:tcW w:w="1454" w:type="dxa"/>
            <w:vMerge w:val="continue"/>
            <w:vAlign w:val="center"/>
          </w:tcPr>
          <w:p>
            <w:pPr>
              <w:pStyle w:val="78"/>
              <w:rPr>
                <w:rFonts w:hint="default" w:ascii="Times New Roman" w:hAnsi="Times New Roman"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 w:hRule="atLeast"/>
          <w:jc w:val="center"/>
        </w:trPr>
        <w:tc>
          <w:tcPr>
            <w:tcW w:w="851" w:type="dxa"/>
            <w:vMerge w:val="continue"/>
            <w:vAlign w:val="center"/>
          </w:tcPr>
          <w:p>
            <w:pPr>
              <w:pStyle w:val="78"/>
              <w:rPr>
                <w:rFonts w:hint="default" w:ascii="Times New Roman" w:hAnsi="Times New Roman" w:cs="Times New Roman" w:eastAsiaTheme="minorEastAsia"/>
                <w:sz w:val="21"/>
                <w:szCs w:val="21"/>
              </w:rPr>
            </w:pPr>
          </w:p>
        </w:tc>
        <w:tc>
          <w:tcPr>
            <w:tcW w:w="1417"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阳光花园</w:t>
            </w:r>
          </w:p>
        </w:tc>
        <w:tc>
          <w:tcPr>
            <w:tcW w:w="1134"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101.59666</w:t>
            </w:r>
          </w:p>
        </w:tc>
        <w:tc>
          <w:tcPr>
            <w:tcW w:w="1062"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25.02665</w:t>
            </w:r>
          </w:p>
        </w:tc>
        <w:tc>
          <w:tcPr>
            <w:tcW w:w="735"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w:t>
            </w:r>
          </w:p>
        </w:tc>
        <w:tc>
          <w:tcPr>
            <w:tcW w:w="1098"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205</w:t>
            </w:r>
          </w:p>
        </w:tc>
        <w:tc>
          <w:tcPr>
            <w:tcW w:w="956"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800</w:t>
            </w:r>
          </w:p>
        </w:tc>
        <w:tc>
          <w:tcPr>
            <w:tcW w:w="1454" w:type="dxa"/>
            <w:vMerge w:val="continue"/>
            <w:vAlign w:val="center"/>
          </w:tcPr>
          <w:p>
            <w:pPr>
              <w:pStyle w:val="78"/>
              <w:rPr>
                <w:rFonts w:hint="default" w:ascii="Times New Roman" w:hAnsi="Times New Roman"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2" w:hRule="atLeast"/>
          <w:jc w:val="center"/>
        </w:trPr>
        <w:tc>
          <w:tcPr>
            <w:tcW w:w="851" w:type="dxa"/>
            <w:vMerge w:val="continue"/>
            <w:vAlign w:val="center"/>
          </w:tcPr>
          <w:p>
            <w:pPr>
              <w:pStyle w:val="78"/>
              <w:rPr>
                <w:rFonts w:hint="default" w:ascii="Times New Roman" w:hAnsi="Times New Roman" w:cs="Times New Roman" w:eastAsiaTheme="minorEastAsia"/>
                <w:sz w:val="21"/>
                <w:szCs w:val="21"/>
              </w:rPr>
            </w:pPr>
          </w:p>
        </w:tc>
        <w:tc>
          <w:tcPr>
            <w:tcW w:w="1417"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盛世舒苑</w:t>
            </w:r>
          </w:p>
        </w:tc>
        <w:tc>
          <w:tcPr>
            <w:tcW w:w="1134"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101.59319</w:t>
            </w:r>
          </w:p>
        </w:tc>
        <w:tc>
          <w:tcPr>
            <w:tcW w:w="1062"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25.02176</w:t>
            </w:r>
          </w:p>
        </w:tc>
        <w:tc>
          <w:tcPr>
            <w:tcW w:w="735"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w:t>
            </w:r>
          </w:p>
        </w:tc>
        <w:tc>
          <w:tcPr>
            <w:tcW w:w="1098"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640</w:t>
            </w:r>
          </w:p>
        </w:tc>
        <w:tc>
          <w:tcPr>
            <w:tcW w:w="956"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3000</w:t>
            </w:r>
          </w:p>
        </w:tc>
        <w:tc>
          <w:tcPr>
            <w:tcW w:w="1454" w:type="dxa"/>
            <w:vMerge w:val="continue"/>
            <w:vAlign w:val="center"/>
          </w:tcPr>
          <w:p>
            <w:pPr>
              <w:pStyle w:val="78"/>
              <w:rPr>
                <w:rFonts w:hint="default" w:ascii="Times New Roman" w:hAnsi="Times New Roman"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 w:hRule="atLeast"/>
          <w:jc w:val="center"/>
        </w:trPr>
        <w:tc>
          <w:tcPr>
            <w:tcW w:w="851" w:type="dxa"/>
            <w:vMerge w:val="continue"/>
            <w:vAlign w:val="center"/>
          </w:tcPr>
          <w:p>
            <w:pPr>
              <w:pStyle w:val="78"/>
              <w:rPr>
                <w:rFonts w:hint="default" w:ascii="Times New Roman" w:hAnsi="Times New Roman" w:cs="Times New Roman" w:eastAsiaTheme="minorEastAsia"/>
                <w:sz w:val="21"/>
                <w:szCs w:val="21"/>
              </w:rPr>
            </w:pPr>
          </w:p>
        </w:tc>
        <w:tc>
          <w:tcPr>
            <w:tcW w:w="1417"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吴家</w:t>
            </w:r>
          </w:p>
        </w:tc>
        <w:tc>
          <w:tcPr>
            <w:tcW w:w="1134"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101.58561</w:t>
            </w:r>
          </w:p>
        </w:tc>
        <w:tc>
          <w:tcPr>
            <w:tcW w:w="1062"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25.02124</w:t>
            </w:r>
          </w:p>
        </w:tc>
        <w:tc>
          <w:tcPr>
            <w:tcW w:w="735"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w:t>
            </w:r>
          </w:p>
        </w:tc>
        <w:tc>
          <w:tcPr>
            <w:tcW w:w="1098"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1760</w:t>
            </w:r>
          </w:p>
        </w:tc>
        <w:tc>
          <w:tcPr>
            <w:tcW w:w="956"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180</w:t>
            </w:r>
          </w:p>
        </w:tc>
        <w:tc>
          <w:tcPr>
            <w:tcW w:w="1454" w:type="dxa"/>
            <w:vMerge w:val="continue"/>
            <w:vAlign w:val="center"/>
          </w:tcPr>
          <w:p>
            <w:pPr>
              <w:pStyle w:val="78"/>
              <w:rPr>
                <w:rFonts w:hint="default" w:ascii="Times New Roman" w:hAnsi="Times New Roman"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 w:hRule="atLeast"/>
          <w:jc w:val="center"/>
        </w:trPr>
        <w:tc>
          <w:tcPr>
            <w:tcW w:w="851" w:type="dxa"/>
            <w:vMerge w:val="continue"/>
            <w:vAlign w:val="center"/>
          </w:tcPr>
          <w:p>
            <w:pPr>
              <w:pStyle w:val="78"/>
              <w:rPr>
                <w:rFonts w:hint="default" w:ascii="Times New Roman" w:hAnsi="Times New Roman" w:cs="Times New Roman" w:eastAsiaTheme="minorEastAsia"/>
                <w:sz w:val="21"/>
                <w:szCs w:val="21"/>
              </w:rPr>
            </w:pPr>
          </w:p>
        </w:tc>
        <w:tc>
          <w:tcPr>
            <w:tcW w:w="1417"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李家庵村</w:t>
            </w:r>
          </w:p>
        </w:tc>
        <w:tc>
          <w:tcPr>
            <w:tcW w:w="1134"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101.58791</w:t>
            </w:r>
          </w:p>
        </w:tc>
        <w:tc>
          <w:tcPr>
            <w:tcW w:w="1062"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25.01890</w:t>
            </w:r>
          </w:p>
        </w:tc>
        <w:tc>
          <w:tcPr>
            <w:tcW w:w="735"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w:t>
            </w:r>
          </w:p>
        </w:tc>
        <w:tc>
          <w:tcPr>
            <w:tcW w:w="1098"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1520</w:t>
            </w:r>
          </w:p>
        </w:tc>
        <w:tc>
          <w:tcPr>
            <w:tcW w:w="956"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900</w:t>
            </w:r>
          </w:p>
        </w:tc>
        <w:tc>
          <w:tcPr>
            <w:tcW w:w="1454" w:type="dxa"/>
            <w:vMerge w:val="continue"/>
            <w:vAlign w:val="center"/>
          </w:tcPr>
          <w:p>
            <w:pPr>
              <w:pStyle w:val="78"/>
              <w:rPr>
                <w:rFonts w:hint="default" w:ascii="Times New Roman" w:hAnsi="Times New Roman"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 w:hRule="atLeast"/>
          <w:jc w:val="center"/>
        </w:trPr>
        <w:tc>
          <w:tcPr>
            <w:tcW w:w="851" w:type="dxa"/>
            <w:vMerge w:val="continue"/>
            <w:vAlign w:val="center"/>
          </w:tcPr>
          <w:p>
            <w:pPr>
              <w:pStyle w:val="78"/>
              <w:rPr>
                <w:rFonts w:hint="default" w:ascii="Times New Roman" w:hAnsi="Times New Roman" w:cs="Times New Roman" w:eastAsiaTheme="minorEastAsia"/>
                <w:sz w:val="21"/>
                <w:szCs w:val="21"/>
              </w:rPr>
            </w:pPr>
          </w:p>
        </w:tc>
        <w:tc>
          <w:tcPr>
            <w:tcW w:w="1417"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翁家屯</w:t>
            </w:r>
          </w:p>
        </w:tc>
        <w:tc>
          <w:tcPr>
            <w:tcW w:w="1134"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101.59331</w:t>
            </w:r>
          </w:p>
        </w:tc>
        <w:tc>
          <w:tcPr>
            <w:tcW w:w="1062"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25.03175</w:t>
            </w:r>
          </w:p>
        </w:tc>
        <w:tc>
          <w:tcPr>
            <w:tcW w:w="735"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NW</w:t>
            </w:r>
          </w:p>
        </w:tc>
        <w:tc>
          <w:tcPr>
            <w:tcW w:w="1098"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690</w:t>
            </w:r>
          </w:p>
        </w:tc>
        <w:tc>
          <w:tcPr>
            <w:tcW w:w="956"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500</w:t>
            </w:r>
          </w:p>
        </w:tc>
        <w:tc>
          <w:tcPr>
            <w:tcW w:w="1454" w:type="dxa"/>
            <w:vMerge w:val="continue"/>
            <w:vAlign w:val="center"/>
          </w:tcPr>
          <w:p>
            <w:pPr>
              <w:pStyle w:val="78"/>
              <w:rPr>
                <w:rFonts w:hint="default" w:ascii="Times New Roman" w:hAnsi="Times New Roman"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 w:hRule="atLeast"/>
          <w:jc w:val="center"/>
        </w:trPr>
        <w:tc>
          <w:tcPr>
            <w:tcW w:w="851" w:type="dxa"/>
            <w:vMerge w:val="continue"/>
            <w:vAlign w:val="center"/>
          </w:tcPr>
          <w:p>
            <w:pPr>
              <w:pStyle w:val="78"/>
              <w:rPr>
                <w:rFonts w:hint="default" w:ascii="Times New Roman" w:hAnsi="Times New Roman" w:cs="Times New Roman" w:eastAsiaTheme="minorEastAsia"/>
                <w:sz w:val="21"/>
                <w:szCs w:val="21"/>
              </w:rPr>
            </w:pPr>
          </w:p>
        </w:tc>
        <w:tc>
          <w:tcPr>
            <w:tcW w:w="1417"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楚风苑小区</w:t>
            </w:r>
          </w:p>
        </w:tc>
        <w:tc>
          <w:tcPr>
            <w:tcW w:w="1134"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101.58593</w:t>
            </w:r>
          </w:p>
        </w:tc>
        <w:tc>
          <w:tcPr>
            <w:tcW w:w="1062"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25.03364</w:t>
            </w:r>
          </w:p>
        </w:tc>
        <w:tc>
          <w:tcPr>
            <w:tcW w:w="735"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NW</w:t>
            </w:r>
          </w:p>
        </w:tc>
        <w:tc>
          <w:tcPr>
            <w:tcW w:w="1098"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940</w:t>
            </w:r>
          </w:p>
        </w:tc>
        <w:tc>
          <w:tcPr>
            <w:tcW w:w="956"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5000</w:t>
            </w:r>
          </w:p>
        </w:tc>
        <w:tc>
          <w:tcPr>
            <w:tcW w:w="1454" w:type="dxa"/>
            <w:vMerge w:val="continue"/>
            <w:vAlign w:val="center"/>
          </w:tcPr>
          <w:p>
            <w:pPr>
              <w:pStyle w:val="78"/>
              <w:rPr>
                <w:rFonts w:hint="default" w:ascii="Times New Roman" w:hAnsi="Times New Roman"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2" w:hRule="atLeast"/>
          <w:jc w:val="center"/>
        </w:trPr>
        <w:tc>
          <w:tcPr>
            <w:tcW w:w="851" w:type="dxa"/>
            <w:vMerge w:val="continue"/>
            <w:vAlign w:val="center"/>
          </w:tcPr>
          <w:p>
            <w:pPr>
              <w:pStyle w:val="78"/>
              <w:rPr>
                <w:rFonts w:hint="default" w:ascii="Times New Roman" w:hAnsi="Times New Roman" w:cs="Times New Roman" w:eastAsiaTheme="minorEastAsia"/>
                <w:sz w:val="21"/>
                <w:szCs w:val="21"/>
              </w:rPr>
            </w:pPr>
          </w:p>
        </w:tc>
        <w:tc>
          <w:tcPr>
            <w:tcW w:w="1417"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玖龙国际</w:t>
            </w:r>
          </w:p>
        </w:tc>
        <w:tc>
          <w:tcPr>
            <w:tcW w:w="1134"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101.58207</w:t>
            </w:r>
          </w:p>
        </w:tc>
        <w:tc>
          <w:tcPr>
            <w:tcW w:w="1062"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25.02858</w:t>
            </w:r>
          </w:p>
        </w:tc>
        <w:tc>
          <w:tcPr>
            <w:tcW w:w="735"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NW</w:t>
            </w:r>
          </w:p>
        </w:tc>
        <w:tc>
          <w:tcPr>
            <w:tcW w:w="1098"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1540</w:t>
            </w:r>
          </w:p>
        </w:tc>
        <w:tc>
          <w:tcPr>
            <w:tcW w:w="956"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800</w:t>
            </w:r>
          </w:p>
        </w:tc>
        <w:tc>
          <w:tcPr>
            <w:tcW w:w="1454" w:type="dxa"/>
            <w:vMerge w:val="continue"/>
            <w:vAlign w:val="center"/>
          </w:tcPr>
          <w:p>
            <w:pPr>
              <w:pStyle w:val="78"/>
              <w:rPr>
                <w:rFonts w:hint="default" w:ascii="Times New Roman" w:hAnsi="Times New Roman"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 w:hRule="atLeast"/>
          <w:jc w:val="center"/>
        </w:trPr>
        <w:tc>
          <w:tcPr>
            <w:tcW w:w="851" w:type="dxa"/>
            <w:vMerge w:val="continue"/>
            <w:vAlign w:val="center"/>
          </w:tcPr>
          <w:p>
            <w:pPr>
              <w:pStyle w:val="78"/>
              <w:rPr>
                <w:rFonts w:hint="default" w:ascii="Times New Roman" w:hAnsi="Times New Roman" w:cs="Times New Roman" w:eastAsiaTheme="minorEastAsia"/>
                <w:sz w:val="21"/>
                <w:szCs w:val="21"/>
              </w:rPr>
            </w:pPr>
          </w:p>
        </w:tc>
        <w:tc>
          <w:tcPr>
            <w:tcW w:w="1417"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朱瓜冲</w:t>
            </w:r>
          </w:p>
        </w:tc>
        <w:tc>
          <w:tcPr>
            <w:tcW w:w="1134"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101.60539</w:t>
            </w:r>
          </w:p>
        </w:tc>
        <w:tc>
          <w:tcPr>
            <w:tcW w:w="1062"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25.04023</w:t>
            </w:r>
          </w:p>
        </w:tc>
        <w:tc>
          <w:tcPr>
            <w:tcW w:w="735"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N</w:t>
            </w:r>
          </w:p>
        </w:tc>
        <w:tc>
          <w:tcPr>
            <w:tcW w:w="1098"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1100</w:t>
            </w:r>
          </w:p>
        </w:tc>
        <w:tc>
          <w:tcPr>
            <w:tcW w:w="956"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160</w:t>
            </w:r>
          </w:p>
        </w:tc>
        <w:tc>
          <w:tcPr>
            <w:tcW w:w="1454" w:type="dxa"/>
            <w:vMerge w:val="continue"/>
            <w:vAlign w:val="center"/>
          </w:tcPr>
          <w:p>
            <w:pPr>
              <w:pStyle w:val="78"/>
              <w:rPr>
                <w:rFonts w:hint="default" w:ascii="Times New Roman" w:hAnsi="Times New Roman"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 w:hRule="atLeast"/>
          <w:jc w:val="center"/>
        </w:trPr>
        <w:tc>
          <w:tcPr>
            <w:tcW w:w="851" w:type="dxa"/>
            <w:vMerge w:val="continue"/>
            <w:vAlign w:val="center"/>
          </w:tcPr>
          <w:p>
            <w:pPr>
              <w:pStyle w:val="78"/>
              <w:rPr>
                <w:rFonts w:hint="default" w:ascii="Times New Roman" w:hAnsi="Times New Roman" w:cs="Times New Roman" w:eastAsiaTheme="minorEastAsia"/>
                <w:sz w:val="21"/>
                <w:szCs w:val="21"/>
              </w:rPr>
            </w:pPr>
          </w:p>
        </w:tc>
        <w:tc>
          <w:tcPr>
            <w:tcW w:w="1417"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沙溪冲</w:t>
            </w:r>
          </w:p>
        </w:tc>
        <w:tc>
          <w:tcPr>
            <w:tcW w:w="1134"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101.59869</w:t>
            </w:r>
          </w:p>
        </w:tc>
        <w:tc>
          <w:tcPr>
            <w:tcW w:w="1062"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25.04169</w:t>
            </w:r>
          </w:p>
        </w:tc>
        <w:tc>
          <w:tcPr>
            <w:tcW w:w="735"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N</w:t>
            </w:r>
          </w:p>
        </w:tc>
        <w:tc>
          <w:tcPr>
            <w:tcW w:w="1098"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1300</w:t>
            </w:r>
          </w:p>
        </w:tc>
        <w:tc>
          <w:tcPr>
            <w:tcW w:w="956"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140</w:t>
            </w:r>
          </w:p>
        </w:tc>
        <w:tc>
          <w:tcPr>
            <w:tcW w:w="1454" w:type="dxa"/>
            <w:vMerge w:val="continue"/>
            <w:vAlign w:val="center"/>
          </w:tcPr>
          <w:p>
            <w:pPr>
              <w:pStyle w:val="78"/>
              <w:rPr>
                <w:rFonts w:hint="default" w:ascii="Times New Roman" w:hAnsi="Times New Roman"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 w:hRule="atLeast"/>
          <w:jc w:val="center"/>
        </w:trPr>
        <w:tc>
          <w:tcPr>
            <w:tcW w:w="851" w:type="dxa"/>
            <w:vMerge w:val="continue"/>
            <w:vAlign w:val="center"/>
          </w:tcPr>
          <w:p>
            <w:pPr>
              <w:pStyle w:val="78"/>
              <w:rPr>
                <w:rFonts w:hint="default" w:ascii="Times New Roman" w:hAnsi="Times New Roman" w:cs="Times New Roman" w:eastAsiaTheme="minorEastAsia"/>
                <w:sz w:val="21"/>
                <w:szCs w:val="21"/>
              </w:rPr>
            </w:pPr>
          </w:p>
        </w:tc>
        <w:tc>
          <w:tcPr>
            <w:tcW w:w="1417"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庄甸村</w:t>
            </w:r>
          </w:p>
        </w:tc>
        <w:tc>
          <w:tcPr>
            <w:tcW w:w="1134"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101.59556</w:t>
            </w:r>
          </w:p>
        </w:tc>
        <w:tc>
          <w:tcPr>
            <w:tcW w:w="1062"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25.04413</w:t>
            </w:r>
          </w:p>
        </w:tc>
        <w:tc>
          <w:tcPr>
            <w:tcW w:w="735"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NW</w:t>
            </w:r>
          </w:p>
        </w:tc>
        <w:tc>
          <w:tcPr>
            <w:tcW w:w="1098"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1650</w:t>
            </w:r>
          </w:p>
        </w:tc>
        <w:tc>
          <w:tcPr>
            <w:tcW w:w="956"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500</w:t>
            </w:r>
          </w:p>
        </w:tc>
        <w:tc>
          <w:tcPr>
            <w:tcW w:w="1454" w:type="dxa"/>
            <w:vMerge w:val="continue"/>
            <w:vAlign w:val="center"/>
          </w:tcPr>
          <w:p>
            <w:pPr>
              <w:pStyle w:val="78"/>
              <w:rPr>
                <w:rFonts w:hint="default" w:ascii="Times New Roman" w:hAnsi="Times New Roman"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 w:hRule="atLeast"/>
          <w:jc w:val="center"/>
        </w:trPr>
        <w:tc>
          <w:tcPr>
            <w:tcW w:w="851" w:type="dxa"/>
            <w:vMerge w:val="continue"/>
            <w:vAlign w:val="center"/>
          </w:tcPr>
          <w:p>
            <w:pPr>
              <w:pStyle w:val="78"/>
              <w:rPr>
                <w:rFonts w:hint="default" w:ascii="Times New Roman" w:hAnsi="Times New Roman" w:cs="Times New Roman" w:eastAsiaTheme="minorEastAsia"/>
                <w:sz w:val="21"/>
                <w:szCs w:val="21"/>
              </w:rPr>
            </w:pPr>
          </w:p>
        </w:tc>
        <w:tc>
          <w:tcPr>
            <w:tcW w:w="1417"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蔡家湾</w:t>
            </w:r>
          </w:p>
        </w:tc>
        <w:tc>
          <w:tcPr>
            <w:tcW w:w="1134"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101.59410</w:t>
            </w:r>
          </w:p>
        </w:tc>
        <w:tc>
          <w:tcPr>
            <w:tcW w:w="1062"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25.04349</w:t>
            </w:r>
          </w:p>
        </w:tc>
        <w:tc>
          <w:tcPr>
            <w:tcW w:w="735"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NW</w:t>
            </w:r>
          </w:p>
        </w:tc>
        <w:tc>
          <w:tcPr>
            <w:tcW w:w="1098"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1700</w:t>
            </w:r>
          </w:p>
        </w:tc>
        <w:tc>
          <w:tcPr>
            <w:tcW w:w="956"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140</w:t>
            </w:r>
          </w:p>
        </w:tc>
        <w:tc>
          <w:tcPr>
            <w:tcW w:w="1454" w:type="dxa"/>
            <w:vMerge w:val="continue"/>
            <w:vAlign w:val="center"/>
          </w:tcPr>
          <w:p>
            <w:pPr>
              <w:pStyle w:val="78"/>
              <w:rPr>
                <w:rFonts w:hint="default" w:ascii="Times New Roman" w:hAnsi="Times New Roman"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2" w:hRule="atLeast"/>
          <w:jc w:val="center"/>
        </w:trPr>
        <w:tc>
          <w:tcPr>
            <w:tcW w:w="851" w:type="dxa"/>
            <w:vMerge w:val="continue"/>
            <w:vAlign w:val="center"/>
          </w:tcPr>
          <w:p>
            <w:pPr>
              <w:pStyle w:val="78"/>
              <w:rPr>
                <w:rFonts w:hint="default" w:ascii="Times New Roman" w:hAnsi="Times New Roman" w:cs="Times New Roman" w:eastAsiaTheme="minorEastAsia"/>
                <w:sz w:val="21"/>
                <w:szCs w:val="21"/>
              </w:rPr>
            </w:pPr>
          </w:p>
        </w:tc>
        <w:tc>
          <w:tcPr>
            <w:tcW w:w="1417"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罗刀凹</w:t>
            </w:r>
          </w:p>
        </w:tc>
        <w:tc>
          <w:tcPr>
            <w:tcW w:w="1134"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101.60492</w:t>
            </w:r>
          </w:p>
        </w:tc>
        <w:tc>
          <w:tcPr>
            <w:tcW w:w="1062"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25.04410</w:t>
            </w:r>
          </w:p>
        </w:tc>
        <w:tc>
          <w:tcPr>
            <w:tcW w:w="735"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N</w:t>
            </w:r>
          </w:p>
        </w:tc>
        <w:tc>
          <w:tcPr>
            <w:tcW w:w="1098"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1510</w:t>
            </w:r>
          </w:p>
        </w:tc>
        <w:tc>
          <w:tcPr>
            <w:tcW w:w="956"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60</w:t>
            </w:r>
          </w:p>
        </w:tc>
        <w:tc>
          <w:tcPr>
            <w:tcW w:w="1454" w:type="dxa"/>
            <w:vMerge w:val="continue"/>
            <w:vAlign w:val="center"/>
          </w:tcPr>
          <w:p>
            <w:pPr>
              <w:pStyle w:val="78"/>
              <w:rPr>
                <w:rFonts w:hint="default" w:ascii="Times New Roman" w:hAnsi="Times New Roman"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 w:hRule="atLeast"/>
          <w:jc w:val="center"/>
        </w:trPr>
        <w:tc>
          <w:tcPr>
            <w:tcW w:w="851" w:type="dxa"/>
            <w:vMerge w:val="continue"/>
            <w:vAlign w:val="center"/>
          </w:tcPr>
          <w:p>
            <w:pPr>
              <w:pStyle w:val="78"/>
              <w:rPr>
                <w:rFonts w:hint="default" w:ascii="Times New Roman" w:hAnsi="Times New Roman" w:cs="Times New Roman" w:eastAsiaTheme="minorEastAsia"/>
                <w:sz w:val="21"/>
                <w:szCs w:val="21"/>
              </w:rPr>
            </w:pPr>
          </w:p>
        </w:tc>
        <w:tc>
          <w:tcPr>
            <w:tcW w:w="1417"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围墙村</w:t>
            </w:r>
          </w:p>
        </w:tc>
        <w:tc>
          <w:tcPr>
            <w:tcW w:w="1134"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101.62138</w:t>
            </w:r>
          </w:p>
        </w:tc>
        <w:tc>
          <w:tcPr>
            <w:tcW w:w="1062"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25.04817</w:t>
            </w:r>
          </w:p>
        </w:tc>
        <w:tc>
          <w:tcPr>
            <w:tcW w:w="735"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NE</w:t>
            </w:r>
          </w:p>
        </w:tc>
        <w:tc>
          <w:tcPr>
            <w:tcW w:w="1098"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2420</w:t>
            </w:r>
          </w:p>
        </w:tc>
        <w:tc>
          <w:tcPr>
            <w:tcW w:w="956"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80</w:t>
            </w:r>
          </w:p>
        </w:tc>
        <w:tc>
          <w:tcPr>
            <w:tcW w:w="1454" w:type="dxa"/>
            <w:vMerge w:val="continue"/>
            <w:vAlign w:val="center"/>
          </w:tcPr>
          <w:p>
            <w:pPr>
              <w:pStyle w:val="78"/>
              <w:rPr>
                <w:rFonts w:hint="default" w:ascii="Times New Roman" w:hAnsi="Times New Roman"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 w:hRule="atLeast"/>
          <w:jc w:val="center"/>
        </w:trPr>
        <w:tc>
          <w:tcPr>
            <w:tcW w:w="851" w:type="dxa"/>
            <w:vMerge w:val="continue"/>
            <w:vAlign w:val="center"/>
          </w:tcPr>
          <w:p>
            <w:pPr>
              <w:pStyle w:val="78"/>
              <w:rPr>
                <w:rFonts w:hint="default" w:ascii="Times New Roman" w:hAnsi="Times New Roman" w:cs="Times New Roman" w:eastAsiaTheme="minorEastAsia"/>
                <w:sz w:val="21"/>
                <w:szCs w:val="21"/>
              </w:rPr>
            </w:pPr>
          </w:p>
        </w:tc>
        <w:tc>
          <w:tcPr>
            <w:tcW w:w="1417"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孙家</w:t>
            </w:r>
          </w:p>
        </w:tc>
        <w:tc>
          <w:tcPr>
            <w:tcW w:w="1134"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101.60650</w:t>
            </w:r>
          </w:p>
        </w:tc>
        <w:tc>
          <w:tcPr>
            <w:tcW w:w="1062"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25.00277</w:t>
            </w:r>
          </w:p>
        </w:tc>
        <w:tc>
          <w:tcPr>
            <w:tcW w:w="735"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S</w:t>
            </w:r>
          </w:p>
        </w:tc>
        <w:tc>
          <w:tcPr>
            <w:tcW w:w="1098"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2090</w:t>
            </w:r>
          </w:p>
        </w:tc>
        <w:tc>
          <w:tcPr>
            <w:tcW w:w="956"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80</w:t>
            </w:r>
          </w:p>
        </w:tc>
        <w:tc>
          <w:tcPr>
            <w:tcW w:w="1454" w:type="dxa"/>
            <w:vMerge w:val="continue"/>
            <w:vAlign w:val="center"/>
          </w:tcPr>
          <w:p>
            <w:pPr>
              <w:pStyle w:val="78"/>
              <w:rPr>
                <w:rFonts w:hint="default" w:ascii="Times New Roman" w:hAnsi="Times New Roman"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 w:hRule="atLeast"/>
          <w:jc w:val="center"/>
        </w:trPr>
        <w:tc>
          <w:tcPr>
            <w:tcW w:w="851" w:type="dxa"/>
            <w:vMerge w:val="continue"/>
            <w:vAlign w:val="center"/>
          </w:tcPr>
          <w:p>
            <w:pPr>
              <w:pStyle w:val="78"/>
              <w:rPr>
                <w:rFonts w:hint="default" w:ascii="Times New Roman" w:hAnsi="Times New Roman" w:cs="Times New Roman" w:eastAsiaTheme="minorEastAsia"/>
                <w:sz w:val="21"/>
                <w:szCs w:val="21"/>
              </w:rPr>
            </w:pPr>
          </w:p>
        </w:tc>
        <w:tc>
          <w:tcPr>
            <w:tcW w:w="1417"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张家</w:t>
            </w:r>
          </w:p>
        </w:tc>
        <w:tc>
          <w:tcPr>
            <w:tcW w:w="1134"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101.61859</w:t>
            </w:r>
          </w:p>
        </w:tc>
        <w:tc>
          <w:tcPr>
            <w:tcW w:w="1062"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25.04725</w:t>
            </w:r>
          </w:p>
        </w:tc>
        <w:tc>
          <w:tcPr>
            <w:tcW w:w="735"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NE</w:t>
            </w:r>
          </w:p>
        </w:tc>
        <w:tc>
          <w:tcPr>
            <w:tcW w:w="1098"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2315</w:t>
            </w:r>
          </w:p>
        </w:tc>
        <w:tc>
          <w:tcPr>
            <w:tcW w:w="956"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30</w:t>
            </w:r>
          </w:p>
        </w:tc>
        <w:tc>
          <w:tcPr>
            <w:tcW w:w="1454" w:type="dxa"/>
            <w:vMerge w:val="continue"/>
            <w:vAlign w:val="center"/>
          </w:tcPr>
          <w:p>
            <w:pPr>
              <w:pStyle w:val="78"/>
              <w:rPr>
                <w:rFonts w:hint="default" w:ascii="Times New Roman" w:hAnsi="Times New Roman"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2" w:hRule="atLeast"/>
          <w:jc w:val="center"/>
        </w:trPr>
        <w:tc>
          <w:tcPr>
            <w:tcW w:w="851" w:type="dxa"/>
            <w:vMerge w:val="continue"/>
            <w:vAlign w:val="center"/>
          </w:tcPr>
          <w:p>
            <w:pPr>
              <w:pStyle w:val="78"/>
              <w:rPr>
                <w:rFonts w:hint="default" w:ascii="Times New Roman" w:hAnsi="Times New Roman" w:cs="Times New Roman" w:eastAsiaTheme="minorEastAsia"/>
                <w:sz w:val="21"/>
                <w:szCs w:val="21"/>
              </w:rPr>
            </w:pPr>
          </w:p>
        </w:tc>
        <w:tc>
          <w:tcPr>
            <w:tcW w:w="1417"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上坪山</w:t>
            </w:r>
          </w:p>
        </w:tc>
        <w:tc>
          <w:tcPr>
            <w:tcW w:w="1134"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101.58063</w:t>
            </w:r>
          </w:p>
        </w:tc>
        <w:tc>
          <w:tcPr>
            <w:tcW w:w="1062"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25.03825</w:t>
            </w:r>
          </w:p>
        </w:tc>
        <w:tc>
          <w:tcPr>
            <w:tcW w:w="735"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NW</w:t>
            </w:r>
          </w:p>
        </w:tc>
        <w:tc>
          <w:tcPr>
            <w:tcW w:w="1098"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2220</w:t>
            </w:r>
          </w:p>
        </w:tc>
        <w:tc>
          <w:tcPr>
            <w:tcW w:w="956"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100</w:t>
            </w:r>
          </w:p>
        </w:tc>
        <w:tc>
          <w:tcPr>
            <w:tcW w:w="1454" w:type="dxa"/>
            <w:vMerge w:val="continue"/>
            <w:vAlign w:val="center"/>
          </w:tcPr>
          <w:p>
            <w:pPr>
              <w:pStyle w:val="78"/>
              <w:rPr>
                <w:rFonts w:hint="default" w:ascii="Times New Roman" w:hAnsi="Times New Roman" w:cs="Times New Roman" w:eastAsiaTheme="minorEastAsia"/>
                <w:sz w:val="21"/>
                <w:szCs w:val="21"/>
              </w:rPr>
            </w:pPr>
          </w:p>
        </w:tc>
      </w:tr>
    </w:tbl>
    <w:p>
      <w:pPr>
        <w:spacing w:beforeLines="50"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（2）声环境保护目标</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本项目200m评价范围内无声环境保护目标。</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（3）水环境保护目标</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根据现场勘查，本项目涉及的地表水主要为青龙河和龙川江，本项目不涉及地下水评价，不设置地下水评价范围，因此无地下水环境保护目标。地表水环境保护目标详见下表。</w:t>
      </w:r>
    </w:p>
    <w:p>
      <w:pPr>
        <w:pStyle w:val="133"/>
        <w:numPr>
          <w:ilvl w:val="1"/>
          <w:numId w:val="6"/>
        </w:numPr>
        <w:spacing w:line="360" w:lineRule="auto"/>
        <w:ind w:left="0" w:firstLine="0" w:firstLineChars="0"/>
        <w:jc w:val="center"/>
        <w:rPr>
          <w:rFonts w:hint="default" w:ascii="Times New Roman" w:hAnsi="Times New Roman" w:cs="Times New Roman"/>
          <w:b/>
          <w:bCs/>
          <w:color w:val="auto"/>
        </w:rPr>
      </w:pPr>
      <w:r>
        <w:rPr>
          <w:rFonts w:hint="default" w:ascii="Times New Roman" w:hAnsi="Times New Roman" w:cs="Times New Roman"/>
          <w:b/>
          <w:bCs/>
          <w:color w:val="auto"/>
        </w:rPr>
        <w:t>水环境保护目标一览表</w:t>
      </w:r>
    </w:p>
    <w:tbl>
      <w:tblPr>
        <w:tblStyle w:val="44"/>
        <w:tblW w:w="8909" w:type="dxa"/>
        <w:jc w:val="center"/>
        <w:tblLayout w:type="autofit"/>
        <w:tblCellMar>
          <w:top w:w="0" w:type="dxa"/>
          <w:left w:w="108" w:type="dxa"/>
          <w:bottom w:w="0" w:type="dxa"/>
          <w:right w:w="108" w:type="dxa"/>
        </w:tblCellMar>
      </w:tblPr>
      <w:tblGrid>
        <w:gridCol w:w="1179"/>
        <w:gridCol w:w="1134"/>
        <w:gridCol w:w="1978"/>
        <w:gridCol w:w="2190"/>
        <w:gridCol w:w="2428"/>
      </w:tblGrid>
      <w:tr>
        <w:tblPrEx>
          <w:tblCellMar>
            <w:top w:w="0" w:type="dxa"/>
            <w:left w:w="108" w:type="dxa"/>
            <w:bottom w:w="0" w:type="dxa"/>
            <w:right w:w="108" w:type="dxa"/>
          </w:tblCellMar>
        </w:tblPrEx>
        <w:trPr>
          <w:trHeight w:val="340" w:hRule="atLeast"/>
          <w:jc w:val="center"/>
        </w:trPr>
        <w:tc>
          <w:tcPr>
            <w:tcW w:w="117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环境要素</w:t>
            </w:r>
          </w:p>
        </w:tc>
        <w:tc>
          <w:tcPr>
            <w:tcW w:w="1134" w:type="dxa"/>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保护目标</w:t>
            </w:r>
          </w:p>
        </w:tc>
        <w:tc>
          <w:tcPr>
            <w:tcW w:w="1978" w:type="dxa"/>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相对厂界的方位及最近距离（m）</w:t>
            </w:r>
          </w:p>
        </w:tc>
        <w:tc>
          <w:tcPr>
            <w:tcW w:w="2190" w:type="dxa"/>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主要功能</w:t>
            </w:r>
          </w:p>
        </w:tc>
        <w:tc>
          <w:tcPr>
            <w:tcW w:w="2428" w:type="dxa"/>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环境功能</w:t>
            </w:r>
          </w:p>
        </w:tc>
      </w:tr>
      <w:tr>
        <w:tblPrEx>
          <w:tblCellMar>
            <w:top w:w="0" w:type="dxa"/>
            <w:left w:w="108" w:type="dxa"/>
            <w:bottom w:w="0" w:type="dxa"/>
            <w:right w:w="108" w:type="dxa"/>
          </w:tblCellMar>
        </w:tblPrEx>
        <w:trPr>
          <w:trHeight w:val="340" w:hRule="atLeast"/>
          <w:jc w:val="center"/>
        </w:trPr>
        <w:tc>
          <w:tcPr>
            <w:tcW w:w="1179"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地表</w:t>
            </w:r>
          </w:p>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水</w:t>
            </w:r>
          </w:p>
        </w:tc>
        <w:tc>
          <w:tcPr>
            <w:tcW w:w="1134" w:type="dxa"/>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青龙河</w:t>
            </w:r>
          </w:p>
        </w:tc>
        <w:tc>
          <w:tcPr>
            <w:tcW w:w="1978" w:type="dxa"/>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W，3350</w:t>
            </w:r>
          </w:p>
        </w:tc>
        <w:tc>
          <w:tcPr>
            <w:tcW w:w="2190" w:type="dxa"/>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工业用水、农业用水</w:t>
            </w:r>
          </w:p>
        </w:tc>
        <w:tc>
          <w:tcPr>
            <w:tcW w:w="2428"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（GB3838-2002）《地表水环境质量标准》</w:t>
            </w:r>
            <w:r>
              <w:rPr>
                <w:rFonts w:hint="default" w:ascii="Times New Roman" w:hAnsi="Times New Roman" w:cs="Times New Roman"/>
                <w:color w:val="auto"/>
                <w:sz w:val="21"/>
                <w:szCs w:val="21"/>
                <w:lang w:eastAsia="zh-CN"/>
              </w:rPr>
              <w:t>Ⅲ</w:t>
            </w:r>
            <w:r>
              <w:rPr>
                <w:rFonts w:hint="default" w:ascii="Times New Roman" w:hAnsi="Times New Roman" w:cs="Times New Roman"/>
                <w:color w:val="auto"/>
                <w:sz w:val="21"/>
                <w:szCs w:val="21"/>
              </w:rPr>
              <w:t>类</w:t>
            </w:r>
          </w:p>
        </w:tc>
      </w:tr>
      <w:tr>
        <w:tblPrEx>
          <w:tblCellMar>
            <w:top w:w="0" w:type="dxa"/>
            <w:left w:w="108" w:type="dxa"/>
            <w:bottom w:w="0" w:type="dxa"/>
            <w:right w:w="108" w:type="dxa"/>
          </w:tblCellMar>
        </w:tblPrEx>
        <w:trPr>
          <w:trHeight w:val="340" w:hRule="atLeast"/>
          <w:jc w:val="center"/>
        </w:trPr>
        <w:tc>
          <w:tcPr>
            <w:tcW w:w="1179" w:type="dxa"/>
            <w:vMerge w:val="continue"/>
            <w:tcBorders>
              <w:top w:val="nil"/>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1"/>
                <w:szCs w:val="21"/>
              </w:rPr>
            </w:pPr>
          </w:p>
        </w:tc>
        <w:tc>
          <w:tcPr>
            <w:tcW w:w="1134" w:type="dxa"/>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龙川江</w:t>
            </w:r>
          </w:p>
        </w:tc>
        <w:tc>
          <w:tcPr>
            <w:tcW w:w="1978" w:type="dxa"/>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NW，3600</w:t>
            </w:r>
          </w:p>
        </w:tc>
        <w:tc>
          <w:tcPr>
            <w:tcW w:w="2190" w:type="dxa"/>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工业用水、农业用水</w:t>
            </w:r>
          </w:p>
        </w:tc>
        <w:tc>
          <w:tcPr>
            <w:tcW w:w="2428" w:type="dxa"/>
            <w:vMerge w:val="continue"/>
            <w:tcBorders>
              <w:top w:val="nil"/>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1"/>
                <w:szCs w:val="21"/>
              </w:rPr>
            </w:pPr>
          </w:p>
        </w:tc>
      </w:tr>
    </w:tbl>
    <w:p>
      <w:pPr>
        <w:spacing w:beforeLines="50"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（4）土壤环境保护目标</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土壤环境保护目标主要包括企业用地的建设用地土壤，建设用地土壤按《土壤环境质量建设用地土壤污染风险管控标准（试行）》(GB36600-2018)中第二类用地标准进行保护。</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（5）环境风险保护目标</w:t>
      </w:r>
    </w:p>
    <w:p>
      <w:pPr>
        <w:pStyle w:val="178"/>
        <w:keepNext w:val="0"/>
        <w:keepLines w:val="0"/>
        <w:pageBreakBefore w:val="0"/>
        <w:widowControl/>
        <w:numPr>
          <w:ilvl w:val="0"/>
          <w:numId w:val="7"/>
        </w:numPr>
        <w:kinsoku/>
        <w:wordWrap/>
        <w:overflowPunct/>
        <w:topLinePunct w:val="0"/>
        <w:autoSpaceDE/>
        <w:autoSpaceDN/>
        <w:bidi w:val="0"/>
        <w:adjustRightInd/>
        <w:snapToGrid/>
        <w:spacing w:beforeLines="0" w:afterLines="0" w:line="360" w:lineRule="auto"/>
        <w:ind w:left="0" w:leftChars="0" w:firstLine="0" w:firstLineChars="0"/>
        <w:textAlignment w:val="auto"/>
        <w:rPr>
          <w:rFonts w:hint="default" w:ascii="Times New Roman" w:hAnsi="Times New Roman" w:cs="Times New Roman"/>
          <w:b/>
        </w:rPr>
      </w:pPr>
      <w:r>
        <w:rPr>
          <w:rFonts w:hint="default" w:ascii="Times New Roman" w:hAnsi="Times New Roman" w:cs="Times New Roman"/>
          <w:b/>
        </w:rPr>
        <w:t>建设项目环境敏感目标特征表</w:t>
      </w:r>
    </w:p>
    <w:tbl>
      <w:tblPr>
        <w:tblStyle w:val="44"/>
        <w:tblW w:w="5000" w:type="pct"/>
        <w:tblInd w:w="0" w:type="dxa"/>
        <w:tblLayout w:type="autofit"/>
        <w:tblCellMar>
          <w:top w:w="0" w:type="dxa"/>
          <w:left w:w="108" w:type="dxa"/>
          <w:bottom w:w="0" w:type="dxa"/>
          <w:right w:w="108" w:type="dxa"/>
        </w:tblCellMar>
      </w:tblPr>
      <w:tblGrid>
        <w:gridCol w:w="671"/>
        <w:gridCol w:w="708"/>
        <w:gridCol w:w="1283"/>
        <w:gridCol w:w="704"/>
        <w:gridCol w:w="288"/>
        <w:gridCol w:w="142"/>
        <w:gridCol w:w="993"/>
        <w:gridCol w:w="143"/>
        <w:gridCol w:w="283"/>
        <w:gridCol w:w="710"/>
        <w:gridCol w:w="575"/>
        <w:gridCol w:w="703"/>
        <w:gridCol w:w="501"/>
        <w:gridCol w:w="824"/>
      </w:tblGrid>
      <w:tr>
        <w:tblPrEx>
          <w:tblCellMar>
            <w:top w:w="0" w:type="dxa"/>
            <w:left w:w="108" w:type="dxa"/>
            <w:bottom w:w="0" w:type="dxa"/>
            <w:right w:w="108" w:type="dxa"/>
          </w:tblCellMar>
        </w:tblPrEx>
        <w:trPr>
          <w:trHeight w:val="284" w:hRule="atLeast"/>
        </w:trPr>
        <w:tc>
          <w:tcPr>
            <w:tcW w:w="39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类别</w:t>
            </w:r>
          </w:p>
        </w:tc>
        <w:tc>
          <w:tcPr>
            <w:tcW w:w="4606" w:type="pct"/>
            <w:gridSpan w:val="13"/>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环境敏感特征</w:t>
            </w:r>
          </w:p>
        </w:tc>
      </w:tr>
      <w:tr>
        <w:tblPrEx>
          <w:tblCellMar>
            <w:top w:w="0" w:type="dxa"/>
            <w:left w:w="108" w:type="dxa"/>
            <w:bottom w:w="0" w:type="dxa"/>
            <w:right w:w="108" w:type="dxa"/>
          </w:tblCellMar>
        </w:tblPrEx>
        <w:trPr>
          <w:trHeight w:val="284" w:hRule="atLeast"/>
        </w:trPr>
        <w:tc>
          <w:tcPr>
            <w:tcW w:w="394"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环境空气</w:t>
            </w:r>
          </w:p>
        </w:tc>
        <w:tc>
          <w:tcPr>
            <w:tcW w:w="4606" w:type="pct"/>
            <w:gridSpan w:val="13"/>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厂址周边5km范围内</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序号</w:t>
            </w:r>
          </w:p>
        </w:tc>
        <w:tc>
          <w:tcPr>
            <w:tcW w:w="1334" w:type="pct"/>
            <w:gridSpan w:val="3"/>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敏感目标名称</w:t>
            </w:r>
          </w:p>
        </w:tc>
        <w:tc>
          <w:tcPr>
            <w:tcW w:w="749" w:type="pct"/>
            <w:gridSpan w:val="3"/>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相对方位</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距离/m</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属性</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人口数</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小东村</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S</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1770</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居住区</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120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2</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尹旗屯</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NW</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1385</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居住区</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200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3</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楚雄市思源实验学校</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W</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210</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学校</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750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4</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黄土坡</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W</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310</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居住区</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190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5</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阳光花园</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W</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205</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居住区</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800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6</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盛世舒苑</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W</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640</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居住区</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3000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7</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吴家</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W</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1760</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居住区</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180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8</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李家庵村</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W</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1520</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居住区</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900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9</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翁家屯</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NW</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690</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居住区</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500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10</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楚风苑小区</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NW</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940</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居住区</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5000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11</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玖龙国际</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NW</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1540</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居住区</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800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12</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朱瓜冲</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N</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1100</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居住区</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160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13</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沙溪冲</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N</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1300</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居住区</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140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14</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庄甸村</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NW</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1650</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居住区</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500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15</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蔡家湾</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NW</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1700</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居住区</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140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16</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罗刀凹</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N</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1510</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居住区</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60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17</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围墙村</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NE</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2420</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居住区</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80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18</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马藏郎</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SE</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3420</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居住区</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150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19</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河头村</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SE</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4130</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居住区</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20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20</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上尖山</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SE</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4560</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居住区</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30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21</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田房头</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SE</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3810</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居住区</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20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22</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刘家</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SE</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4560</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居住区</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100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23</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耳东屯</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SE</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2780</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居住区</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220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24</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大东村</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S</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2600</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居住区</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230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25</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孙家</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S</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2090</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居住区</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80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26</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龙潭洼</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NW</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2680</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居住区</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130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27</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富民村</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SW</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3450</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居住区</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550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28</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塔普</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S</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4050</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居住区</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60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29</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枣子园</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S</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4300</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居住区</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250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30</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富民下村</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SW</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4030</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居住区</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180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31</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黑泥坝</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SW</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2900</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居住区</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170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32</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董家</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SW</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2910</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居住区</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300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33</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杨旗屯</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SW</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3990</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居住区</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140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34</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海子坝</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SW</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4900</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居住区</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90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35</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下白庙村</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SW</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4260</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居住区</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230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36</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上白庙村</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SW</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4950</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居住区</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160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37</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上野马</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SW</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6010</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居住区</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70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38</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下野马</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SW</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5950</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居住区</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60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39</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白土塘</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SW</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4390</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居住区</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150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40</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白龙箐</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SW</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4900</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居住区</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160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41</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栗子园</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SW</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4860</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居住区</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2500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42</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州文化活动中心</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SW</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2660</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行政办公</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100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43</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金瑞小区</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W</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2810</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居住区</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1400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44</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珑曦苑</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NW</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2900</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居住区</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1200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45</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丽景花园</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NW</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3300</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居住区</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1500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46</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格林天城</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NW</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2420</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居住区</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900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47</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金康花园</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NW</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2940</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居住区</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1500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48</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上坪山</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NW</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2220</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居住区</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100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49</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下坪山</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NW</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2670</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居住区</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120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50</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盛兴园</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NW</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3650</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居住区</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1100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51</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罗马庄园</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NW</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3670</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居住区</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1500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52</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小河口</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NW</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4440</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居住区</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260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53</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谢家河</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NW</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3260</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居住区</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200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54</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山咀子</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NW</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3730</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居住区</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220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55</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程家坝</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NW</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4770</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居住区</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100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56</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黄家屯</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NW</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4380</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居住区</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150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57</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张家湾</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NW</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5170</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居住区</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170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58</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裴家庄</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NW</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5740</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居住区</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110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59</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谢家咀</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NW</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5830</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居住区</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90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60</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朝阳寺</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NW</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3920</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居住区</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150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61</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哨塆</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NW</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3060</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居住区</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350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62</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郭家箐</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NW</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3740</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居住区</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140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63</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车水哨</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NW</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4080</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居住区</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20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64</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张家</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NE</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2640</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居住区</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20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65</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朱家冲</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NE</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2800</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居住区</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50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color w:val="FF0000"/>
                <w:kern w:val="0"/>
                <w:sz w:val="21"/>
                <w:szCs w:val="21"/>
              </w:rPr>
            </w:pPr>
          </w:p>
        </w:tc>
        <w:tc>
          <w:tcPr>
            <w:tcW w:w="4123" w:type="pct"/>
            <w:gridSpan w:val="12"/>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厂址周边500m范围内人口数小计</w:t>
            </w:r>
          </w:p>
        </w:tc>
        <w:tc>
          <w:tcPr>
            <w:tcW w:w="483"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1740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color w:val="FF0000"/>
                <w:kern w:val="0"/>
                <w:sz w:val="21"/>
                <w:szCs w:val="21"/>
              </w:rPr>
            </w:pPr>
          </w:p>
        </w:tc>
        <w:tc>
          <w:tcPr>
            <w:tcW w:w="4123" w:type="pct"/>
            <w:gridSpan w:val="12"/>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厂址周边5km范围内人口数小计</w:t>
            </w:r>
          </w:p>
        </w:tc>
        <w:tc>
          <w:tcPr>
            <w:tcW w:w="483"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30520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color w:val="FF0000"/>
                <w:kern w:val="0"/>
                <w:sz w:val="21"/>
                <w:szCs w:val="21"/>
              </w:rPr>
            </w:pPr>
          </w:p>
        </w:tc>
        <w:tc>
          <w:tcPr>
            <w:tcW w:w="4123" w:type="pct"/>
            <w:gridSpan w:val="12"/>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b/>
                <w:bCs/>
                <w:kern w:val="0"/>
                <w:sz w:val="21"/>
                <w:szCs w:val="21"/>
              </w:rPr>
            </w:pPr>
            <w:r>
              <w:rPr>
                <w:rFonts w:hint="default" w:ascii="Times New Roman" w:hAnsi="Times New Roman" w:cs="Times New Roman"/>
                <w:b/>
                <w:bCs/>
                <w:kern w:val="0"/>
                <w:sz w:val="21"/>
                <w:szCs w:val="21"/>
              </w:rPr>
              <w:t>大气环境敏感程度E值</w:t>
            </w:r>
          </w:p>
        </w:tc>
        <w:tc>
          <w:tcPr>
            <w:tcW w:w="483"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b/>
                <w:bCs/>
                <w:kern w:val="0"/>
                <w:sz w:val="21"/>
                <w:szCs w:val="21"/>
              </w:rPr>
            </w:pPr>
            <w:r>
              <w:rPr>
                <w:rFonts w:hint="default" w:ascii="Times New Roman" w:hAnsi="Times New Roman" w:cs="Times New Roman"/>
                <w:b/>
                <w:bCs/>
                <w:kern w:val="0"/>
                <w:sz w:val="21"/>
                <w:szCs w:val="21"/>
              </w:rPr>
              <w:t>E1</w:t>
            </w:r>
          </w:p>
        </w:tc>
      </w:tr>
      <w:tr>
        <w:tblPrEx>
          <w:tblCellMar>
            <w:top w:w="0" w:type="dxa"/>
            <w:left w:w="108" w:type="dxa"/>
            <w:bottom w:w="0" w:type="dxa"/>
            <w:right w:w="108" w:type="dxa"/>
          </w:tblCellMar>
        </w:tblPrEx>
        <w:trPr>
          <w:trHeight w:val="284" w:hRule="atLeast"/>
        </w:trPr>
        <w:tc>
          <w:tcPr>
            <w:tcW w:w="394"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地表水</w:t>
            </w:r>
          </w:p>
        </w:tc>
        <w:tc>
          <w:tcPr>
            <w:tcW w:w="4606" w:type="pct"/>
            <w:gridSpan w:val="13"/>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受纳水体</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序号</w:t>
            </w:r>
          </w:p>
        </w:tc>
        <w:tc>
          <w:tcPr>
            <w:tcW w:w="1165" w:type="pct"/>
            <w:gridSpan w:val="2"/>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受纳水体名称</w:t>
            </w:r>
          </w:p>
        </w:tc>
        <w:tc>
          <w:tcPr>
            <w:tcW w:w="1837" w:type="pct"/>
            <w:gridSpan w:val="7"/>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排放点水域环境功能</w:t>
            </w:r>
          </w:p>
        </w:tc>
        <w:tc>
          <w:tcPr>
            <w:tcW w:w="1189" w:type="pct"/>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24h内流经范围/km</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w:t>
            </w:r>
          </w:p>
        </w:tc>
        <w:tc>
          <w:tcPr>
            <w:tcW w:w="1165" w:type="pct"/>
            <w:gridSpan w:val="2"/>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青龙河</w:t>
            </w:r>
          </w:p>
        </w:tc>
        <w:tc>
          <w:tcPr>
            <w:tcW w:w="1837" w:type="pct"/>
            <w:gridSpan w:val="7"/>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lang w:eastAsia="zh-CN"/>
              </w:rPr>
              <w:t>Ⅲ</w:t>
            </w:r>
            <w:r>
              <w:rPr>
                <w:rFonts w:hint="default" w:ascii="Times New Roman" w:hAnsi="Times New Roman" w:cs="Times New Roman"/>
                <w:kern w:val="0"/>
                <w:sz w:val="21"/>
                <w:szCs w:val="21"/>
              </w:rPr>
              <w:t>类</w:t>
            </w:r>
          </w:p>
        </w:tc>
        <w:tc>
          <w:tcPr>
            <w:tcW w:w="1189" w:type="pct"/>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其他</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2</w:t>
            </w:r>
          </w:p>
        </w:tc>
        <w:tc>
          <w:tcPr>
            <w:tcW w:w="1165" w:type="pct"/>
            <w:gridSpan w:val="2"/>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龙川江</w:t>
            </w:r>
          </w:p>
        </w:tc>
        <w:tc>
          <w:tcPr>
            <w:tcW w:w="1837" w:type="pct"/>
            <w:gridSpan w:val="7"/>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lang w:eastAsia="zh-CN"/>
              </w:rPr>
              <w:t>Ⅲ</w:t>
            </w:r>
            <w:r>
              <w:rPr>
                <w:rFonts w:hint="default" w:ascii="Times New Roman" w:hAnsi="Times New Roman" w:cs="Times New Roman"/>
                <w:kern w:val="0"/>
                <w:sz w:val="21"/>
                <w:szCs w:val="21"/>
              </w:rPr>
              <w:t>类</w:t>
            </w:r>
          </w:p>
        </w:tc>
        <w:tc>
          <w:tcPr>
            <w:tcW w:w="1189" w:type="pct"/>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其他</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606" w:type="pct"/>
            <w:gridSpan w:val="13"/>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内陆水体排放点下游10km范围内敏感目标</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序号</w:t>
            </w:r>
          </w:p>
        </w:tc>
        <w:tc>
          <w:tcPr>
            <w:tcW w:w="1165" w:type="pct"/>
            <w:gridSpan w:val="2"/>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敏感目标名称</w:t>
            </w:r>
          </w:p>
        </w:tc>
        <w:tc>
          <w:tcPr>
            <w:tcW w:w="1084" w:type="pct"/>
            <w:gridSpan w:val="5"/>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环境敏感特征</w:t>
            </w:r>
          </w:p>
        </w:tc>
        <w:tc>
          <w:tcPr>
            <w:tcW w:w="753"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水质目标</w:t>
            </w:r>
          </w:p>
        </w:tc>
        <w:tc>
          <w:tcPr>
            <w:tcW w:w="1189" w:type="pct"/>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与排放点距离/m</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 w:val="22"/>
              </w:rPr>
            </w:pPr>
            <w:r>
              <w:rPr>
                <w:rFonts w:hint="default" w:ascii="Times New Roman" w:hAnsi="Times New Roman" w:cs="Times New Roman"/>
                <w:kern w:val="0"/>
                <w:sz w:val="22"/>
              </w:rPr>
              <w:t>1</w:t>
            </w:r>
          </w:p>
        </w:tc>
        <w:tc>
          <w:tcPr>
            <w:tcW w:w="1165" w:type="pct"/>
            <w:gridSpan w:val="2"/>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无</w:t>
            </w:r>
          </w:p>
        </w:tc>
        <w:tc>
          <w:tcPr>
            <w:tcW w:w="1084" w:type="pct"/>
            <w:gridSpan w:val="5"/>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w:t>
            </w:r>
          </w:p>
        </w:tc>
        <w:tc>
          <w:tcPr>
            <w:tcW w:w="753"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w:t>
            </w:r>
          </w:p>
        </w:tc>
        <w:tc>
          <w:tcPr>
            <w:tcW w:w="1189" w:type="pct"/>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3417" w:type="pct"/>
            <w:gridSpan w:val="10"/>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b/>
                <w:bCs/>
                <w:kern w:val="0"/>
                <w:sz w:val="21"/>
                <w:szCs w:val="21"/>
              </w:rPr>
            </w:pPr>
            <w:r>
              <w:rPr>
                <w:rFonts w:hint="default" w:ascii="Times New Roman" w:hAnsi="Times New Roman" w:cs="Times New Roman"/>
                <w:b/>
                <w:bCs/>
                <w:kern w:val="0"/>
                <w:sz w:val="21"/>
                <w:szCs w:val="21"/>
              </w:rPr>
              <w:t>地表水环境敏感程度E值</w:t>
            </w:r>
          </w:p>
        </w:tc>
        <w:tc>
          <w:tcPr>
            <w:tcW w:w="1189" w:type="pct"/>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b/>
                <w:bCs/>
                <w:kern w:val="0"/>
                <w:sz w:val="21"/>
                <w:szCs w:val="21"/>
                <w:lang w:eastAsia="zh-CN"/>
              </w:rPr>
            </w:pPr>
            <w:r>
              <w:rPr>
                <w:rFonts w:hint="default" w:ascii="Times New Roman" w:hAnsi="Times New Roman" w:cs="Times New Roman"/>
                <w:b/>
                <w:bCs/>
                <w:kern w:val="0"/>
                <w:sz w:val="21"/>
                <w:szCs w:val="21"/>
              </w:rPr>
              <w:t>E</w:t>
            </w:r>
            <w:r>
              <w:rPr>
                <w:rFonts w:hint="default" w:ascii="Times New Roman" w:hAnsi="Times New Roman" w:cs="Times New Roman"/>
                <w:b/>
                <w:bCs/>
                <w:kern w:val="0"/>
                <w:sz w:val="21"/>
                <w:szCs w:val="21"/>
                <w:lang w:val="en-US" w:eastAsia="zh-CN"/>
              </w:rPr>
              <w:t>2</w:t>
            </w:r>
          </w:p>
        </w:tc>
      </w:tr>
      <w:tr>
        <w:tblPrEx>
          <w:tblCellMar>
            <w:top w:w="0" w:type="dxa"/>
            <w:left w:w="108" w:type="dxa"/>
            <w:bottom w:w="0" w:type="dxa"/>
            <w:right w:w="108" w:type="dxa"/>
          </w:tblCellMar>
        </w:tblPrEx>
        <w:trPr>
          <w:trHeight w:val="284" w:hRule="atLeast"/>
        </w:trPr>
        <w:tc>
          <w:tcPr>
            <w:tcW w:w="394"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地下水</w:t>
            </w:r>
          </w:p>
        </w:tc>
        <w:tc>
          <w:tcPr>
            <w:tcW w:w="415"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序号</w:t>
            </w:r>
          </w:p>
        </w:tc>
        <w:tc>
          <w:tcPr>
            <w:tcW w:w="752"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环境</w:t>
            </w:r>
          </w:p>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敏感区名称</w:t>
            </w:r>
          </w:p>
        </w:tc>
        <w:tc>
          <w:tcPr>
            <w:tcW w:w="665" w:type="pct"/>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环境</w:t>
            </w:r>
          </w:p>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敏感特征</w:t>
            </w:r>
          </w:p>
        </w:tc>
        <w:tc>
          <w:tcPr>
            <w:tcW w:w="582"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水质</w:t>
            </w:r>
          </w:p>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目标</w:t>
            </w:r>
          </w:p>
        </w:tc>
        <w:tc>
          <w:tcPr>
            <w:tcW w:w="1003" w:type="pct"/>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包气带防污性能</w:t>
            </w:r>
          </w:p>
        </w:tc>
        <w:tc>
          <w:tcPr>
            <w:tcW w:w="1189" w:type="pct"/>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与下游厂界距离/m</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color w:val="FF0000"/>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w:t>
            </w:r>
          </w:p>
        </w:tc>
        <w:tc>
          <w:tcPr>
            <w:tcW w:w="752"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其他</w:t>
            </w:r>
          </w:p>
        </w:tc>
        <w:tc>
          <w:tcPr>
            <w:tcW w:w="665" w:type="pct"/>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其他</w:t>
            </w:r>
          </w:p>
        </w:tc>
        <w:tc>
          <w:tcPr>
            <w:tcW w:w="582"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III类</w:t>
            </w:r>
          </w:p>
        </w:tc>
        <w:tc>
          <w:tcPr>
            <w:tcW w:w="1003" w:type="pct"/>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K为1.34×10</w:t>
            </w:r>
            <w:r>
              <w:rPr>
                <w:rFonts w:hint="default" w:ascii="Times New Roman" w:hAnsi="Times New Roman" w:cs="Times New Roman"/>
                <w:kern w:val="0"/>
                <w:sz w:val="21"/>
                <w:szCs w:val="21"/>
                <w:vertAlign w:val="superscript"/>
              </w:rPr>
              <w:t>-6</w:t>
            </w:r>
          </w:p>
        </w:tc>
        <w:tc>
          <w:tcPr>
            <w:tcW w:w="1189" w:type="pct"/>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b/>
                <w:bCs/>
                <w:kern w:val="0"/>
                <w:sz w:val="13"/>
                <w:szCs w:val="13"/>
              </w:rPr>
            </w:pPr>
            <w:r>
              <w:rPr>
                <w:rFonts w:hint="default" w:ascii="Times New Roman" w:hAnsi="Times New Roman" w:cs="Times New Roman"/>
                <w:b/>
                <w:bCs/>
                <w:kern w:val="0"/>
                <w:sz w:val="13"/>
                <w:szCs w:val="13"/>
              </w:rPr>
              <w:t>-</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color w:val="FF0000"/>
                <w:kern w:val="0"/>
                <w:sz w:val="21"/>
                <w:szCs w:val="21"/>
              </w:rPr>
            </w:pPr>
          </w:p>
        </w:tc>
        <w:tc>
          <w:tcPr>
            <w:tcW w:w="3417" w:type="pct"/>
            <w:gridSpan w:val="10"/>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b/>
                <w:bCs/>
                <w:kern w:val="0"/>
                <w:sz w:val="21"/>
                <w:szCs w:val="21"/>
              </w:rPr>
            </w:pPr>
            <w:r>
              <w:rPr>
                <w:rFonts w:hint="default" w:ascii="Times New Roman" w:hAnsi="Times New Roman" w:cs="Times New Roman"/>
                <w:b/>
                <w:bCs/>
                <w:kern w:val="0"/>
                <w:sz w:val="21"/>
                <w:szCs w:val="21"/>
              </w:rPr>
              <w:t>地下水环境敏感程度E值</w:t>
            </w:r>
          </w:p>
        </w:tc>
        <w:tc>
          <w:tcPr>
            <w:tcW w:w="1189" w:type="pct"/>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b/>
                <w:bCs/>
                <w:kern w:val="0"/>
                <w:sz w:val="21"/>
                <w:szCs w:val="21"/>
              </w:rPr>
            </w:pPr>
            <w:r>
              <w:rPr>
                <w:rFonts w:hint="default" w:ascii="Times New Roman" w:hAnsi="Times New Roman" w:cs="Times New Roman"/>
                <w:b/>
                <w:bCs/>
                <w:kern w:val="0"/>
                <w:sz w:val="21"/>
                <w:szCs w:val="21"/>
              </w:rPr>
              <w:t>E3</w:t>
            </w:r>
          </w:p>
        </w:tc>
      </w:tr>
    </w:tbl>
    <w:p>
      <w:pPr>
        <w:pStyle w:val="4"/>
        <w:spacing w:beforeLines="50" w:after="0" w:line="360" w:lineRule="auto"/>
        <w:rPr>
          <w:rFonts w:hint="default" w:ascii="Times New Roman" w:hAnsi="Times New Roman" w:eastAsia="宋体" w:cs="Times New Roman"/>
          <w:color w:val="auto"/>
          <w:sz w:val="28"/>
          <w:szCs w:val="28"/>
        </w:rPr>
      </w:pPr>
      <w:bookmarkStart w:id="191" w:name="_Toc303426446"/>
      <w:bookmarkStart w:id="192" w:name="_Toc237751295"/>
      <w:bookmarkStart w:id="193" w:name="_Toc23857"/>
      <w:bookmarkStart w:id="194" w:name="_Toc23941"/>
      <w:bookmarkStart w:id="195" w:name="_Toc13888"/>
      <w:bookmarkStart w:id="196" w:name="_Toc23313"/>
      <w:bookmarkStart w:id="197" w:name="_Toc26505"/>
      <w:bookmarkStart w:id="198" w:name="_Toc20718"/>
      <w:bookmarkStart w:id="199" w:name="_Toc2278"/>
      <w:bookmarkStart w:id="200" w:name="_Toc222310485"/>
      <w:bookmarkStart w:id="201" w:name="_Toc237751279"/>
      <w:r>
        <w:rPr>
          <w:rFonts w:hint="default" w:ascii="Times New Roman" w:hAnsi="Times New Roman" w:eastAsia="宋体" w:cs="Times New Roman"/>
          <w:color w:val="auto"/>
          <w:sz w:val="28"/>
          <w:szCs w:val="28"/>
        </w:rPr>
        <w:t>1.7评价时段</w:t>
      </w:r>
      <w:bookmarkEnd w:id="191"/>
      <w:bookmarkEnd w:id="192"/>
      <w:bookmarkEnd w:id="193"/>
      <w:r>
        <w:rPr>
          <w:rFonts w:hint="default" w:ascii="Times New Roman" w:hAnsi="Times New Roman" w:eastAsia="宋体" w:cs="Times New Roman"/>
          <w:color w:val="auto"/>
          <w:sz w:val="28"/>
          <w:szCs w:val="28"/>
        </w:rPr>
        <w:t>、评价内容及评价重点</w:t>
      </w:r>
      <w:bookmarkEnd w:id="194"/>
      <w:bookmarkEnd w:id="195"/>
      <w:bookmarkEnd w:id="196"/>
      <w:bookmarkEnd w:id="197"/>
      <w:bookmarkEnd w:id="198"/>
      <w:bookmarkEnd w:id="199"/>
    </w:p>
    <w:p>
      <w:pPr>
        <w:pStyle w:val="6"/>
        <w:spacing w:before="0" w:after="0" w:line="360" w:lineRule="auto"/>
        <w:rPr>
          <w:rFonts w:hint="default" w:ascii="Times New Roman" w:hAnsi="Times New Roman" w:cs="Times New Roman"/>
          <w:color w:val="auto"/>
          <w:szCs w:val="28"/>
        </w:rPr>
      </w:pPr>
      <w:bookmarkStart w:id="202" w:name="_Toc23481"/>
      <w:bookmarkStart w:id="203" w:name="_Toc3338"/>
      <w:bookmarkStart w:id="204" w:name="_Toc3508"/>
      <w:bookmarkStart w:id="205" w:name="_Toc22142"/>
      <w:bookmarkStart w:id="206" w:name="_Toc20837"/>
      <w:bookmarkStart w:id="207" w:name="_Toc32117"/>
      <w:r>
        <w:rPr>
          <w:rFonts w:hint="default" w:ascii="Times New Roman" w:hAnsi="Times New Roman" w:cs="Times New Roman"/>
          <w:color w:val="auto"/>
          <w:szCs w:val="28"/>
        </w:rPr>
        <w:t>1.7.1评价时段</w:t>
      </w:r>
      <w:bookmarkEnd w:id="202"/>
      <w:bookmarkEnd w:id="203"/>
      <w:bookmarkEnd w:id="204"/>
      <w:bookmarkEnd w:id="205"/>
      <w:bookmarkEnd w:id="206"/>
      <w:bookmarkEnd w:id="207"/>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项目开发建设时段划分为两个时段，分别为施工期和运营期，本项目施工期对环境影响较小，因此，本次评价的重点为运营期。</w:t>
      </w:r>
    </w:p>
    <w:bookmarkEnd w:id="200"/>
    <w:bookmarkEnd w:id="201"/>
    <w:p>
      <w:pPr>
        <w:pStyle w:val="6"/>
        <w:spacing w:before="0" w:after="0" w:line="360" w:lineRule="auto"/>
        <w:rPr>
          <w:rFonts w:hint="default" w:ascii="Times New Roman" w:hAnsi="Times New Roman" w:cs="Times New Roman"/>
          <w:color w:val="auto"/>
          <w:szCs w:val="28"/>
        </w:rPr>
      </w:pPr>
      <w:bookmarkStart w:id="208" w:name="_Toc16602"/>
      <w:bookmarkStart w:id="209" w:name="_Toc7832"/>
      <w:bookmarkStart w:id="210" w:name="_Toc20746"/>
      <w:bookmarkStart w:id="211" w:name="_Toc17560"/>
      <w:bookmarkStart w:id="212" w:name="_Toc3538"/>
      <w:bookmarkStart w:id="213" w:name="_Toc27051"/>
      <w:bookmarkStart w:id="214" w:name="_Toc30194"/>
      <w:bookmarkStart w:id="215" w:name="_Toc237751297"/>
      <w:bookmarkStart w:id="216" w:name="_Toc26694"/>
      <w:bookmarkStart w:id="217" w:name="_Toc222310489"/>
      <w:bookmarkStart w:id="218" w:name="_Toc303426448"/>
      <w:r>
        <w:rPr>
          <w:rFonts w:hint="default" w:ascii="Times New Roman" w:hAnsi="Times New Roman" w:cs="Times New Roman"/>
          <w:color w:val="auto"/>
          <w:szCs w:val="28"/>
        </w:rPr>
        <w:t>1.7.2评价内容</w:t>
      </w:r>
      <w:bookmarkEnd w:id="208"/>
      <w:bookmarkEnd w:id="209"/>
      <w:bookmarkEnd w:id="210"/>
      <w:bookmarkEnd w:id="211"/>
      <w:bookmarkEnd w:id="212"/>
      <w:bookmarkEnd w:id="213"/>
      <w:bookmarkEnd w:id="214"/>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（1）对拟建项目所在区域内环境质量现状进行调查、监测，根据所得的资料、数据，对评价范围内环境质量现状进行分析评价，掌握新建项目所在区域的污染现状、环境质量现状；</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（2）对拟建项目进行工程分析，确定项目实施可能造成的环境影响、核算污染物排放总量；</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（3）根据项目工程分析，预测项目建设对环境的影响范围和程度，并提出相应的污染防治措施；</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（4）根据当地环保部门对环境的要求，结合项目的实际情况，给出项目建设污染物总量控制的建议；</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（5）对项目污染防治措施及对策进行分析评述，论证其经济技术可行性；</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（6）进行环境经济损益分析，论证项目建设在经济、社会和环境效益三方面的统一性；</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（7）根据项目建设的实际情况，提出项目环境管理与环境监测建议；</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（8）通过以上评价，给出项目建设是否可行的结论，并提出合理的建议。</w:t>
      </w:r>
    </w:p>
    <w:p>
      <w:pPr>
        <w:pStyle w:val="6"/>
        <w:spacing w:before="0" w:after="0" w:line="360" w:lineRule="auto"/>
        <w:rPr>
          <w:rFonts w:hint="default" w:ascii="Times New Roman" w:hAnsi="Times New Roman" w:cs="Times New Roman"/>
          <w:color w:val="auto"/>
          <w:szCs w:val="28"/>
        </w:rPr>
      </w:pPr>
      <w:bookmarkStart w:id="219" w:name="_Toc12657"/>
      <w:bookmarkStart w:id="220" w:name="_Toc24180"/>
      <w:bookmarkStart w:id="221" w:name="_Toc17972"/>
      <w:bookmarkStart w:id="222" w:name="_Toc18170"/>
      <w:bookmarkStart w:id="223" w:name="_Toc16014"/>
      <w:bookmarkStart w:id="224" w:name="_Toc5422"/>
      <w:r>
        <w:rPr>
          <w:rFonts w:hint="default" w:ascii="Times New Roman" w:hAnsi="Times New Roman" w:cs="Times New Roman"/>
          <w:color w:val="auto"/>
          <w:szCs w:val="28"/>
        </w:rPr>
        <w:t>1.7.3评价重点</w:t>
      </w:r>
      <w:bookmarkEnd w:id="219"/>
      <w:bookmarkEnd w:id="220"/>
      <w:bookmarkEnd w:id="221"/>
      <w:bookmarkEnd w:id="222"/>
      <w:bookmarkEnd w:id="223"/>
      <w:bookmarkEnd w:id="224"/>
    </w:p>
    <w:p>
      <w:pPr>
        <w:spacing w:line="360" w:lineRule="auto"/>
        <w:ind w:firstLine="480" w:firstLineChars="200"/>
        <w:rPr>
          <w:rFonts w:hint="default" w:ascii="Times New Roman" w:hAnsi="Times New Roman" w:cs="Times New Roman"/>
          <w:color w:val="auto"/>
        </w:rPr>
      </w:pPr>
      <w:bookmarkStart w:id="225" w:name="_Toc27016"/>
      <w:bookmarkStart w:id="226" w:name="_Toc634"/>
      <w:bookmarkStart w:id="227" w:name="_Toc19789"/>
      <w:bookmarkStart w:id="228" w:name="_Toc20888"/>
      <w:bookmarkStart w:id="229" w:name="_Toc9017"/>
      <w:r>
        <w:rPr>
          <w:rFonts w:hint="default" w:ascii="Times New Roman" w:hAnsi="Times New Roman" w:cs="Times New Roman"/>
          <w:color w:val="auto"/>
        </w:rPr>
        <w:t>根据项目的排污情况，结合区域周围的环境条件，本评价重点设定如下：</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（1）项目选址的环境合理性分析；</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（2）工程分析；</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（3）环境空气影响分析及污染防治对策；</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（4）地表水环境影响分析及污染防治对策；</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（5）固体废物的处置途径和流向，最终可能对环境的影响以及控制和减少影响的方案和措施等；</w:t>
      </w:r>
    </w:p>
    <w:p>
      <w:pPr>
        <w:adjustRightInd w:val="0"/>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（6）环境风险分析及风险防范措施。</w:t>
      </w:r>
    </w:p>
    <w:p>
      <w:pPr>
        <w:pStyle w:val="4"/>
        <w:spacing w:beforeLines="50" w:after="0" w:line="360" w:lineRule="auto"/>
        <w:rPr>
          <w:rFonts w:hint="default" w:ascii="Times New Roman" w:hAnsi="Times New Roman" w:eastAsia="宋体" w:cs="Times New Roman"/>
          <w:color w:val="auto"/>
          <w:sz w:val="28"/>
          <w:szCs w:val="28"/>
        </w:rPr>
      </w:pPr>
      <w:bookmarkStart w:id="230" w:name="_Toc15307"/>
      <w:r>
        <w:rPr>
          <w:rFonts w:hint="default" w:ascii="Times New Roman" w:hAnsi="Times New Roman" w:eastAsia="宋体" w:cs="Times New Roman"/>
          <w:color w:val="auto"/>
          <w:sz w:val="28"/>
          <w:szCs w:val="28"/>
        </w:rPr>
        <w:t>1.8评价方法和工作程序</w:t>
      </w:r>
      <w:bookmarkEnd w:id="215"/>
      <w:bookmarkEnd w:id="216"/>
      <w:bookmarkEnd w:id="225"/>
      <w:bookmarkEnd w:id="226"/>
      <w:bookmarkEnd w:id="227"/>
      <w:bookmarkEnd w:id="228"/>
      <w:bookmarkEnd w:id="229"/>
      <w:bookmarkEnd w:id="230"/>
    </w:p>
    <w:bookmarkEnd w:id="217"/>
    <w:p>
      <w:pPr>
        <w:pStyle w:val="6"/>
        <w:spacing w:before="0" w:after="0" w:line="360" w:lineRule="auto"/>
        <w:rPr>
          <w:rFonts w:hint="default" w:ascii="Times New Roman" w:hAnsi="Times New Roman" w:cs="Times New Roman"/>
          <w:color w:val="auto"/>
          <w:szCs w:val="28"/>
        </w:rPr>
      </w:pPr>
      <w:bookmarkStart w:id="231" w:name="_Toc18406"/>
      <w:bookmarkStart w:id="232" w:name="_Toc25322"/>
      <w:bookmarkStart w:id="233" w:name="_Toc11916"/>
      <w:bookmarkStart w:id="234" w:name="_Toc18038"/>
      <w:bookmarkStart w:id="235" w:name="_Toc15280"/>
      <w:bookmarkStart w:id="236" w:name="_Toc25429"/>
      <w:bookmarkStart w:id="237" w:name="_Toc8112"/>
      <w:r>
        <w:rPr>
          <w:rFonts w:hint="default" w:ascii="Times New Roman" w:hAnsi="Times New Roman" w:cs="Times New Roman"/>
          <w:color w:val="auto"/>
          <w:szCs w:val="28"/>
        </w:rPr>
        <w:t>1.8.1评价方法</w:t>
      </w:r>
      <w:bookmarkEnd w:id="231"/>
      <w:bookmarkEnd w:id="232"/>
      <w:bookmarkEnd w:id="233"/>
      <w:bookmarkEnd w:id="234"/>
      <w:bookmarkEnd w:id="235"/>
      <w:bookmarkEnd w:id="236"/>
      <w:bookmarkEnd w:id="237"/>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评价方法以《环境影响评价技术导则》作指导，用物料衡算法、分析类比法和模式预测法完成项目的环境影响评价工作，对项目进行定量、定性的分折，作出评价。</w:t>
      </w:r>
    </w:p>
    <w:p>
      <w:pPr>
        <w:pStyle w:val="6"/>
        <w:spacing w:before="0" w:after="0" w:line="360" w:lineRule="auto"/>
        <w:rPr>
          <w:rFonts w:hint="default" w:ascii="Times New Roman" w:hAnsi="Times New Roman" w:cs="Times New Roman"/>
          <w:color w:val="auto"/>
          <w:szCs w:val="28"/>
        </w:rPr>
      </w:pPr>
      <w:bookmarkStart w:id="238" w:name="_Toc12053"/>
      <w:bookmarkStart w:id="239" w:name="_Toc4287"/>
      <w:bookmarkStart w:id="240" w:name="_Toc30741"/>
      <w:bookmarkStart w:id="241" w:name="_Toc22668"/>
      <w:bookmarkStart w:id="242" w:name="_Toc22804"/>
      <w:bookmarkStart w:id="243" w:name="_Toc11217"/>
      <w:bookmarkStart w:id="244" w:name="_Toc32446"/>
      <w:r>
        <w:rPr>
          <w:rFonts w:hint="default" w:ascii="Times New Roman" w:hAnsi="Times New Roman" w:cs="Times New Roman"/>
          <w:color w:val="auto"/>
          <w:szCs w:val="28"/>
        </w:rPr>
        <w:t>1.8.2评价工作程序</w:t>
      </w:r>
      <w:bookmarkEnd w:id="238"/>
      <w:bookmarkEnd w:id="239"/>
      <w:bookmarkEnd w:id="240"/>
      <w:bookmarkEnd w:id="241"/>
      <w:bookmarkEnd w:id="242"/>
      <w:bookmarkEnd w:id="243"/>
      <w:bookmarkEnd w:id="244"/>
    </w:p>
    <w:bookmarkEnd w:id="218"/>
    <w:p>
      <w:pPr>
        <w:pStyle w:val="5"/>
        <w:spacing w:line="360" w:lineRule="auto"/>
        <w:ind w:left="-120" w:firstLine="480"/>
        <w:rPr>
          <w:rFonts w:hint="default" w:ascii="Times New Roman" w:hAnsi="Times New Roman" w:cs="Times New Roman"/>
          <w:color w:val="auto"/>
          <w:szCs w:val="24"/>
        </w:rPr>
      </w:pPr>
      <w:r>
        <w:rPr>
          <w:rFonts w:hint="default" w:ascii="Times New Roman" w:hAnsi="Times New Roman" w:cs="Times New Roman"/>
          <w:color w:val="auto"/>
          <w:szCs w:val="24"/>
        </w:rPr>
        <w:t>按照《建设项目环境影响评价技术导则总纲》（HJ2.1-2016），环境影响评价工作程序分为三个阶段，即调查分析和工作方案制定阶段、分析论证和预测评价阶段，环境影响评价文件编制阶段。评价工作程序见图1-1。</w:t>
      </w:r>
    </w:p>
    <w:p>
      <w:pPr>
        <w:pStyle w:val="5"/>
        <w:spacing w:line="360" w:lineRule="auto"/>
        <w:ind w:left="0" w:leftChars="0" w:firstLine="0"/>
        <w:jc w:val="center"/>
        <w:rPr>
          <w:rFonts w:hint="default" w:ascii="Times New Roman" w:hAnsi="Times New Roman" w:cs="Times New Roman"/>
          <w:color w:val="auto"/>
        </w:rPr>
        <w:sectPr>
          <w:pgSz w:w="11906" w:h="16838"/>
          <w:pgMar w:top="1440" w:right="1797" w:bottom="1440" w:left="1797" w:header="851" w:footer="992" w:gutter="0"/>
          <w:pgBorders>
            <w:top w:val="none" w:sz="0" w:space="0"/>
            <w:left w:val="none" w:sz="0" w:space="0"/>
            <w:bottom w:val="none" w:sz="0" w:space="0"/>
            <w:right w:val="none" w:sz="0" w:space="0"/>
          </w:pgBorders>
          <w:cols w:space="0" w:num="1"/>
          <w:docGrid w:linePitch="312" w:charSpace="0"/>
        </w:sectPr>
      </w:pPr>
      <w:bookmarkStart w:id="245" w:name="_Toc20393"/>
      <w:bookmarkStart w:id="246" w:name="_Toc9181"/>
      <w:bookmarkStart w:id="247" w:name="_Toc19438"/>
      <w:r>
        <w:rPr>
          <w:rFonts w:hint="default" w:ascii="Times New Roman" w:hAnsi="Times New Roman" w:cs="Times New Roman"/>
          <w:color w:val="auto"/>
          <w:szCs w:val="24"/>
        </w:rPr>
        <w:object>
          <v:shape id="_x0000_i1025" o:spt="75" type="#_x0000_t75" style="height:467.95pt;width:415.95pt;" o:ole="t" filled="f" o:preferrelative="t" stroked="f" coordsize="21600,21600">
            <v:path/>
            <v:fill on="f" focussize="0,0"/>
            <v:stroke on="f"/>
            <v:imagedata r:id="rId15" o:title=""/>
            <o:lock v:ext="edit" aspectratio="f"/>
            <w10:wrap type="none"/>
            <w10:anchorlock/>
          </v:shape>
          <o:OLEObject Type="Embed" ProgID="Visio.Drawing.11" ShapeID="_x0000_i1025" DrawAspect="Content" ObjectID="_1468075726" r:id="rId14">
            <o:LockedField>false</o:LockedField>
          </o:OLEObject>
        </w:object>
      </w:r>
      <w:bookmarkEnd w:id="245"/>
      <w:bookmarkEnd w:id="246"/>
      <w:bookmarkEnd w:id="247"/>
      <w:r>
        <w:rPr>
          <w:rFonts w:hint="default" w:ascii="Times New Roman" w:hAnsi="Times New Roman" w:cs="Times New Roman"/>
          <w:b/>
          <w:bCs/>
          <w:color w:val="auto"/>
          <w:szCs w:val="32"/>
        </w:rPr>
        <w:t>图1-1  环境影响评价工作程序图</w:t>
      </w:r>
    </w:p>
    <w:p>
      <w:pPr>
        <w:pStyle w:val="3"/>
        <w:spacing w:beforeLines="0" w:afterLines="100"/>
        <w:jc w:val="center"/>
        <w:rPr>
          <w:rFonts w:hint="default" w:ascii="Times New Roman" w:hAnsi="Times New Roman" w:eastAsia="宋体" w:cs="Times New Roman"/>
          <w:color w:val="auto"/>
          <w:lang w:eastAsia="zh-CN"/>
        </w:rPr>
      </w:pPr>
      <w:bookmarkStart w:id="248" w:name="_Toc19343"/>
      <w:bookmarkStart w:id="249" w:name="_Toc504"/>
      <w:bookmarkStart w:id="250" w:name="_Toc222310491"/>
      <w:bookmarkStart w:id="251" w:name="_Toc237751344"/>
      <w:bookmarkStart w:id="252" w:name="_Toc303426507"/>
      <w:bookmarkStart w:id="253" w:name="_Toc11378"/>
      <w:bookmarkStart w:id="254" w:name="_Toc13019"/>
      <w:bookmarkStart w:id="255" w:name="_Toc10113"/>
      <w:bookmarkStart w:id="256" w:name="_Toc5117"/>
      <w:bookmarkStart w:id="257" w:name="_Toc4508"/>
      <w:r>
        <w:rPr>
          <w:rFonts w:hint="default" w:ascii="Times New Roman" w:hAnsi="Times New Roman" w:cs="Times New Roman"/>
          <w:color w:val="auto"/>
          <w:lang w:val="en-US" w:eastAsia="zh-CN"/>
        </w:rPr>
        <w:t>2</w:t>
      </w:r>
      <w:r>
        <w:rPr>
          <w:rFonts w:hint="default" w:ascii="Times New Roman" w:hAnsi="Times New Roman" w:cs="Times New Roman"/>
          <w:color w:val="auto"/>
          <w:lang w:eastAsia="zh-CN"/>
        </w:rPr>
        <w:t>厂内项目概况</w:t>
      </w:r>
      <w:bookmarkEnd w:id="248"/>
    </w:p>
    <w:p>
      <w:pPr>
        <w:pStyle w:val="4"/>
        <w:spacing w:before="0" w:after="0" w:line="360" w:lineRule="auto"/>
        <w:rPr>
          <w:rFonts w:hint="default" w:ascii="Times New Roman" w:hAnsi="Times New Roman" w:eastAsia="宋体" w:cs="Times New Roman"/>
          <w:color w:val="auto"/>
          <w:sz w:val="28"/>
          <w:szCs w:val="28"/>
          <w:lang w:eastAsia="zh-CN"/>
        </w:rPr>
      </w:pPr>
      <w:bookmarkStart w:id="258" w:name="_Toc79144644"/>
      <w:bookmarkStart w:id="259" w:name="_Toc18592"/>
      <w:r>
        <w:rPr>
          <w:rFonts w:hint="default" w:ascii="Times New Roman" w:hAnsi="Times New Roman" w:eastAsia="宋体" w:cs="Times New Roman"/>
          <w:color w:val="auto"/>
          <w:sz w:val="28"/>
          <w:szCs w:val="28"/>
        </w:rPr>
        <w:t>2.1</w:t>
      </w:r>
      <w:bookmarkEnd w:id="258"/>
      <w:r>
        <w:rPr>
          <w:rFonts w:hint="default" w:ascii="Times New Roman" w:hAnsi="Times New Roman" w:eastAsia="宋体" w:cs="Times New Roman"/>
          <w:color w:val="auto"/>
          <w:sz w:val="28"/>
          <w:szCs w:val="28"/>
          <w:lang w:eastAsia="zh-CN"/>
        </w:rPr>
        <w:t>厂内项目基本情况</w:t>
      </w:r>
      <w:bookmarkEnd w:id="259"/>
    </w:p>
    <w:p>
      <w:pPr>
        <w:spacing w:line="360" w:lineRule="auto"/>
        <w:ind w:firstLine="480" w:firstLineChars="200"/>
        <w:rPr>
          <w:rFonts w:hint="default" w:ascii="Times New Roman" w:hAnsi="Times New Roman" w:cs="Times New Roman"/>
          <w:color w:val="auto"/>
          <w:lang w:eastAsia="zh-CN"/>
        </w:rPr>
      </w:pPr>
      <w:r>
        <w:rPr>
          <w:rFonts w:hint="default" w:ascii="Times New Roman" w:hAnsi="Times New Roman" w:cs="Times New Roman"/>
          <w:color w:val="auto"/>
        </w:rPr>
        <w:t>云南宇泽半导体有限公司厂区占地面积32.24hm</w:t>
      </w:r>
      <w:r>
        <w:rPr>
          <w:rFonts w:hint="default" w:ascii="Times New Roman" w:hAnsi="Times New Roman" w:cs="Times New Roman"/>
          <w:color w:val="auto"/>
          <w:vertAlign w:val="superscript"/>
        </w:rPr>
        <w:t>2</w:t>
      </w:r>
      <w:r>
        <w:rPr>
          <w:rFonts w:hint="default" w:ascii="Times New Roman" w:hAnsi="Times New Roman" w:cs="Times New Roman"/>
          <w:color w:val="auto"/>
        </w:rPr>
        <w:t>，</w:t>
      </w:r>
      <w:r>
        <w:rPr>
          <w:rFonts w:hint="default" w:ascii="Times New Roman" w:hAnsi="Times New Roman" w:cs="Times New Roman"/>
          <w:color w:val="auto"/>
          <w:lang w:eastAsia="zh-CN"/>
        </w:rPr>
        <w:t>厂区</w:t>
      </w:r>
      <w:r>
        <w:rPr>
          <w:rFonts w:hint="default" w:ascii="Times New Roman" w:hAnsi="Times New Roman" w:cs="Times New Roman"/>
          <w:color w:val="auto"/>
        </w:rPr>
        <w:t>范围内</w:t>
      </w:r>
      <w:r>
        <w:rPr>
          <w:rFonts w:hint="default" w:ascii="Times New Roman" w:hAnsi="Times New Roman" w:cs="Times New Roman"/>
          <w:color w:val="auto"/>
          <w:lang w:eastAsia="zh-CN"/>
        </w:rPr>
        <w:t>现有</w:t>
      </w:r>
      <w:r>
        <w:rPr>
          <w:rFonts w:hint="default" w:ascii="Times New Roman" w:hAnsi="Times New Roman" w:cs="Times New Roman"/>
          <w:color w:val="auto"/>
        </w:rPr>
        <w:t>项目为</w:t>
      </w:r>
      <w:r>
        <w:rPr>
          <w:rFonts w:hint="default" w:ascii="Times New Roman" w:hAnsi="Times New Roman" w:cs="Times New Roman"/>
          <w:color w:val="auto"/>
          <w:lang w:eastAsia="zh-CN"/>
        </w:rPr>
        <w:t>“楚雄市单晶硅加工园区标准厂房、路网及配套设施建设项目”、“</w:t>
      </w:r>
      <w:r>
        <w:rPr>
          <w:rFonts w:hint="default" w:ascii="Times New Roman" w:hAnsi="Times New Roman" w:cs="Times New Roman"/>
          <w:color w:val="auto"/>
        </w:rPr>
        <w:t>宇泽半导体（云南）有限公司年产5GW单晶硅拉棒及3GW切片生产线项目</w:t>
      </w:r>
      <w:r>
        <w:rPr>
          <w:rFonts w:hint="default" w:ascii="Times New Roman" w:hAnsi="Times New Roman" w:cs="Times New Roman"/>
          <w:color w:val="auto"/>
          <w:lang w:eastAsia="zh-CN"/>
        </w:rPr>
        <w:t>”、“</w:t>
      </w:r>
      <w:r>
        <w:rPr>
          <w:rFonts w:hint="default" w:ascii="Times New Roman" w:hAnsi="Times New Roman" w:cs="Times New Roman"/>
          <w:color w:val="auto"/>
        </w:rPr>
        <w:t>年产5GW单晶硅拉棒及2GW切片项目</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楚雄市富民工业园区110KV宇泽晶科输变电工程</w:t>
      </w:r>
      <w:r>
        <w:rPr>
          <w:rFonts w:hint="default" w:ascii="Times New Roman" w:hAnsi="Times New Roman" w:cs="Times New Roman"/>
          <w:color w:val="auto"/>
          <w:lang w:eastAsia="zh-CN"/>
        </w:rPr>
        <w:t>”四个项目，各项目情况分述如下：</w:t>
      </w:r>
    </w:p>
    <w:p>
      <w:pPr>
        <w:pStyle w:val="6"/>
        <w:spacing w:before="0" w:after="0" w:line="360" w:lineRule="auto"/>
        <w:rPr>
          <w:rFonts w:hint="default" w:ascii="Times New Roman" w:hAnsi="Times New Roman" w:eastAsia="宋体" w:cs="Times New Roman"/>
          <w:color w:val="auto"/>
          <w:szCs w:val="28"/>
          <w:lang w:eastAsia="zh-CN"/>
        </w:rPr>
      </w:pPr>
      <w:bookmarkStart w:id="260" w:name="_Toc660"/>
      <w:r>
        <w:rPr>
          <w:rFonts w:hint="default" w:ascii="Times New Roman" w:hAnsi="Times New Roman" w:cs="Times New Roman"/>
          <w:color w:val="auto"/>
          <w:szCs w:val="28"/>
        </w:rPr>
        <w:t>2.</w:t>
      </w:r>
      <w:r>
        <w:rPr>
          <w:rFonts w:hint="default" w:ascii="Times New Roman" w:hAnsi="Times New Roman" w:cs="Times New Roman"/>
          <w:color w:val="auto"/>
          <w:szCs w:val="28"/>
          <w:lang w:val="en-US" w:eastAsia="zh-CN"/>
        </w:rPr>
        <w:t>1</w:t>
      </w:r>
      <w:r>
        <w:rPr>
          <w:rFonts w:hint="default" w:ascii="Times New Roman" w:hAnsi="Times New Roman" w:cs="Times New Roman"/>
          <w:color w:val="auto"/>
          <w:szCs w:val="28"/>
        </w:rPr>
        <w:t>.1</w:t>
      </w:r>
      <w:r>
        <w:rPr>
          <w:rFonts w:hint="default" w:ascii="Times New Roman" w:hAnsi="Times New Roman" w:cs="Times New Roman"/>
          <w:color w:val="auto"/>
          <w:szCs w:val="28"/>
          <w:lang w:eastAsia="zh-CN"/>
        </w:rPr>
        <w:t>楚雄市单晶硅加工园区标准厂房、路网及配套设施建设项目</w:t>
      </w:r>
      <w:bookmarkEnd w:id="260"/>
    </w:p>
    <w:p>
      <w:pPr>
        <w:spacing w:line="360" w:lineRule="auto"/>
        <w:ind w:firstLine="480" w:firstLineChars="200"/>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该</w:t>
      </w:r>
      <w:r>
        <w:rPr>
          <w:rFonts w:hint="default" w:ascii="Times New Roman" w:hAnsi="Times New Roman" w:cs="Times New Roman"/>
          <w:color w:val="auto"/>
        </w:rPr>
        <w:t>项目于2019年8月16日完成环境影响登记表备案工作，备案编号为：201953230100000236</w:t>
      </w:r>
      <w:r>
        <w:rPr>
          <w:rFonts w:hint="default" w:ascii="Times New Roman" w:hAnsi="Times New Roman" w:cs="Times New Roman"/>
          <w:color w:val="auto"/>
          <w:lang w:eastAsia="zh-CN"/>
        </w:rPr>
        <w:t>，主要是建设厂区厂房及</w:t>
      </w:r>
      <w:r>
        <w:rPr>
          <w:rFonts w:hint="default" w:ascii="Times New Roman" w:hAnsi="Times New Roman" w:cs="Times New Roman"/>
          <w:color w:val="auto"/>
        </w:rPr>
        <w:t>基础设施</w:t>
      </w:r>
      <w:r>
        <w:rPr>
          <w:rFonts w:hint="default" w:ascii="Times New Roman" w:hAnsi="Times New Roman" w:cs="Times New Roman"/>
          <w:color w:val="auto"/>
          <w:lang w:eastAsia="zh-CN"/>
        </w:rPr>
        <w:t>，</w:t>
      </w:r>
      <w:r>
        <w:rPr>
          <w:rFonts w:hint="default" w:ascii="Times New Roman" w:hAnsi="Times New Roman" w:cs="Times New Roman"/>
          <w:color w:val="auto"/>
        </w:rPr>
        <w:t>由楚雄市城乡建设投资有限公司负责</w:t>
      </w:r>
      <w:r>
        <w:rPr>
          <w:rFonts w:hint="default" w:ascii="Times New Roman" w:hAnsi="Times New Roman" w:cs="Times New Roman"/>
          <w:color w:val="auto"/>
          <w:lang w:eastAsia="zh-CN"/>
        </w:rPr>
        <w:t>。</w:t>
      </w:r>
    </w:p>
    <w:p>
      <w:pPr>
        <w:pStyle w:val="6"/>
        <w:spacing w:before="0" w:after="0" w:line="360" w:lineRule="auto"/>
        <w:rPr>
          <w:rFonts w:hint="default" w:ascii="Times New Roman" w:hAnsi="Times New Roman" w:eastAsia="宋体" w:cs="Times New Roman"/>
          <w:color w:val="auto"/>
          <w:szCs w:val="28"/>
          <w:lang w:eastAsia="zh-CN"/>
        </w:rPr>
      </w:pPr>
      <w:bookmarkStart w:id="261" w:name="_Toc28212"/>
      <w:r>
        <w:rPr>
          <w:rFonts w:hint="default" w:ascii="Times New Roman" w:hAnsi="Times New Roman" w:cs="Times New Roman"/>
          <w:color w:val="auto"/>
          <w:szCs w:val="28"/>
        </w:rPr>
        <w:t>2.</w:t>
      </w:r>
      <w:r>
        <w:rPr>
          <w:rFonts w:hint="default" w:ascii="Times New Roman" w:hAnsi="Times New Roman" w:cs="Times New Roman"/>
          <w:color w:val="auto"/>
          <w:szCs w:val="28"/>
          <w:lang w:val="en-US" w:eastAsia="zh-CN"/>
        </w:rPr>
        <w:t>1</w:t>
      </w:r>
      <w:r>
        <w:rPr>
          <w:rFonts w:hint="default" w:ascii="Times New Roman" w:hAnsi="Times New Roman" w:cs="Times New Roman"/>
          <w:color w:val="auto"/>
          <w:szCs w:val="28"/>
        </w:rPr>
        <w:t>.</w:t>
      </w:r>
      <w:r>
        <w:rPr>
          <w:rFonts w:hint="default" w:ascii="Times New Roman" w:hAnsi="Times New Roman" w:cs="Times New Roman"/>
          <w:color w:val="auto"/>
          <w:szCs w:val="28"/>
          <w:lang w:val="en-US" w:eastAsia="zh-CN"/>
        </w:rPr>
        <w:t>2</w:t>
      </w:r>
      <w:r>
        <w:rPr>
          <w:rFonts w:hint="default" w:ascii="Times New Roman" w:hAnsi="Times New Roman" w:cs="Times New Roman"/>
          <w:color w:val="auto"/>
        </w:rPr>
        <w:t>宇泽半导体（云南）有限公司年产5GW单晶硅拉棒及3GW切片生产线项目</w:t>
      </w:r>
      <w:bookmarkEnd w:id="261"/>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“宇泽半导体（云南）有限公司年产5GW单晶硅拉棒及3GW切片生产线项目”于2019年10月完成环境影响报告书评价工作，2019年11月6日取得批复（楚市环许准[2019]33号）</w:t>
      </w:r>
      <w:r>
        <w:rPr>
          <w:rFonts w:hint="default" w:ascii="Times New Roman" w:hAnsi="Times New Roman" w:cs="Times New Roman"/>
          <w:color w:val="auto"/>
          <w:lang w:eastAsia="zh-CN"/>
        </w:rPr>
        <w:t>，项目分两期进行建设，一期建设</w:t>
      </w:r>
      <w:r>
        <w:rPr>
          <w:rFonts w:hint="default" w:ascii="Times New Roman" w:hAnsi="Times New Roman" w:cs="Times New Roman"/>
          <w:color w:val="auto"/>
          <w:lang w:val="en-US" w:eastAsia="zh-CN"/>
        </w:rPr>
        <w:t>3GW单晶硅拉棒生产线，二期建设2GW单晶硅切片和3GW切片车间</w:t>
      </w:r>
      <w:r>
        <w:rPr>
          <w:rFonts w:hint="default" w:ascii="Times New Roman" w:hAnsi="Times New Roman" w:cs="Times New Roman"/>
          <w:color w:val="auto"/>
        </w:rPr>
        <w:t>；</w:t>
      </w:r>
    </w:p>
    <w:p>
      <w:pPr>
        <w:spacing w:line="360" w:lineRule="auto"/>
        <w:ind w:firstLine="480" w:firstLineChars="20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1、一期</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2020年9月30日一期</w:t>
      </w:r>
      <w:r>
        <w:rPr>
          <w:rFonts w:hint="default" w:ascii="Times New Roman" w:hAnsi="Times New Roman" w:cs="Times New Roman"/>
          <w:color w:val="auto"/>
          <w:lang w:val="en-US" w:eastAsia="zh-CN"/>
        </w:rPr>
        <w:t>3GW单晶硅拉棒生产线</w:t>
      </w:r>
      <w:r>
        <w:rPr>
          <w:rFonts w:hint="default" w:ascii="Times New Roman" w:hAnsi="Times New Roman" w:cs="Times New Roman"/>
          <w:color w:val="auto"/>
        </w:rPr>
        <w:t>等基础设施建设完成，2021年1月完成一期全部352台单晶炉的安装工作并投入试生产；</w:t>
      </w:r>
    </w:p>
    <w:p>
      <w:pPr>
        <w:pStyle w:val="2"/>
        <w:spacing w:line="360" w:lineRule="auto"/>
        <w:ind w:firstLine="480" w:firstLineChars="200"/>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t>2021年1月~4月对一期项目配套的环保设施进行生产调试和整改；</w:t>
      </w:r>
    </w:p>
    <w:p>
      <w:pPr>
        <w:pStyle w:val="2"/>
        <w:spacing w:line="360" w:lineRule="auto"/>
        <w:ind w:firstLine="480" w:firstLineChars="200"/>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t>2021年4月23日一期取得楚雄州生态环境局核发的排污许可证，证书编号：91532300MA6NUK4U8G001W；</w:t>
      </w:r>
    </w:p>
    <w:p>
      <w:pPr>
        <w:pStyle w:val="2"/>
        <w:spacing w:line="360" w:lineRule="auto"/>
        <w:ind w:firstLine="480" w:firstLineChars="200"/>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t>2021年5月，一期已完成环保</w:t>
      </w:r>
      <w:r>
        <w:rPr>
          <w:rFonts w:hint="default" w:ascii="Times New Roman" w:hAnsi="Times New Roman" w:cs="Times New Roman"/>
          <w:color w:val="auto"/>
          <w:kern w:val="2"/>
          <w:sz w:val="24"/>
          <w:szCs w:val="24"/>
          <w:lang w:eastAsia="zh-CN"/>
        </w:rPr>
        <w:t>竣工</w:t>
      </w:r>
      <w:r>
        <w:rPr>
          <w:rFonts w:hint="default" w:ascii="Times New Roman" w:hAnsi="Times New Roman" w:cs="Times New Roman"/>
          <w:color w:val="auto"/>
          <w:kern w:val="2"/>
          <w:sz w:val="24"/>
          <w:szCs w:val="24"/>
        </w:rPr>
        <w:t>验收工作，备案号：楚市环企验备（2021）21号。</w:t>
      </w:r>
    </w:p>
    <w:p>
      <w:pPr>
        <w:pStyle w:val="2"/>
        <w:spacing w:line="360" w:lineRule="auto"/>
        <w:ind w:firstLine="480" w:firstLineChars="200"/>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t>2021年7月，由于一期含氟废水处理站需要进行技术改造，将处理规模从50m</w:t>
      </w:r>
      <w:r>
        <w:rPr>
          <w:rFonts w:hint="default" w:ascii="Times New Roman" w:hAnsi="Times New Roman" w:cs="Times New Roman"/>
          <w:color w:val="auto"/>
          <w:kern w:val="2"/>
          <w:sz w:val="24"/>
          <w:szCs w:val="24"/>
          <w:vertAlign w:val="superscript"/>
        </w:rPr>
        <w:t>3</w:t>
      </w:r>
      <w:r>
        <w:rPr>
          <w:rFonts w:hint="default" w:ascii="Times New Roman" w:hAnsi="Times New Roman" w:cs="Times New Roman"/>
          <w:color w:val="auto"/>
          <w:kern w:val="2"/>
          <w:sz w:val="24"/>
          <w:szCs w:val="24"/>
        </w:rPr>
        <w:t>/h扩大至100m</w:t>
      </w:r>
      <w:r>
        <w:rPr>
          <w:rFonts w:hint="default" w:ascii="Times New Roman" w:hAnsi="Times New Roman" w:cs="Times New Roman"/>
          <w:color w:val="auto"/>
          <w:kern w:val="2"/>
          <w:sz w:val="24"/>
          <w:szCs w:val="24"/>
          <w:vertAlign w:val="superscript"/>
        </w:rPr>
        <w:t>3</w:t>
      </w:r>
      <w:r>
        <w:rPr>
          <w:rFonts w:hint="default" w:ascii="Times New Roman" w:hAnsi="Times New Roman" w:cs="Times New Roman"/>
          <w:color w:val="auto"/>
          <w:kern w:val="2"/>
          <w:sz w:val="24"/>
          <w:szCs w:val="24"/>
        </w:rPr>
        <w:t>/h，以满足全厂含氟废水的处理要求，根据《建设项目环境影响评价分类管理目录（2021年版）》，建设单位已填写环境影响评价登记表并备案，备案号：202153230100000208。</w:t>
      </w:r>
    </w:p>
    <w:p>
      <w:pPr>
        <w:spacing w:line="360" w:lineRule="auto"/>
        <w:ind w:firstLine="480" w:firstLineChars="20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2、二期</w:t>
      </w:r>
    </w:p>
    <w:p>
      <w:pPr>
        <w:spacing w:line="360" w:lineRule="auto"/>
        <w:ind w:firstLine="48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2022年6月4日，二期2GW单晶硅拉棒生产线建设完成并投入试生产；</w:t>
      </w:r>
    </w:p>
    <w:p>
      <w:pPr>
        <w:spacing w:line="360" w:lineRule="auto"/>
        <w:ind w:firstLine="48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2023年3月28日取得楚雄州生态环境局变更的排污许可证，证书编号：91532300MA6NUK4U8G001W；</w:t>
      </w:r>
    </w:p>
    <w:p>
      <w:pPr>
        <w:spacing w:line="360" w:lineRule="auto"/>
        <w:ind w:firstLine="48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2023年4月18日，二期3GW单晶硅切片生产线建成并投入试生产；</w:t>
      </w:r>
    </w:p>
    <w:p>
      <w:pPr>
        <w:spacing w:line="360" w:lineRule="auto"/>
        <w:ind w:firstLine="48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2023年5月，二期2GW单晶硅拉棒生产线完成环保竣工验收工作。</w:t>
      </w:r>
    </w:p>
    <w:p>
      <w:pPr>
        <w:pStyle w:val="6"/>
        <w:spacing w:before="0" w:after="0" w:line="360" w:lineRule="auto"/>
        <w:rPr>
          <w:rFonts w:hint="default" w:ascii="Times New Roman" w:hAnsi="Times New Roman" w:eastAsia="宋体" w:cs="Times New Roman"/>
          <w:color w:val="auto"/>
          <w:szCs w:val="28"/>
          <w:lang w:eastAsia="zh-CN"/>
        </w:rPr>
      </w:pPr>
      <w:bookmarkStart w:id="262" w:name="_Toc6159"/>
      <w:r>
        <w:rPr>
          <w:rFonts w:hint="default" w:ascii="Times New Roman" w:hAnsi="Times New Roman" w:cs="Times New Roman"/>
          <w:color w:val="auto"/>
          <w:szCs w:val="28"/>
        </w:rPr>
        <w:t>2.</w:t>
      </w:r>
      <w:r>
        <w:rPr>
          <w:rFonts w:hint="default" w:ascii="Times New Roman" w:hAnsi="Times New Roman" w:cs="Times New Roman"/>
          <w:color w:val="auto"/>
          <w:szCs w:val="28"/>
          <w:lang w:val="en-US" w:eastAsia="zh-CN"/>
        </w:rPr>
        <w:t>1</w:t>
      </w:r>
      <w:r>
        <w:rPr>
          <w:rFonts w:hint="default" w:ascii="Times New Roman" w:hAnsi="Times New Roman" w:cs="Times New Roman"/>
          <w:color w:val="auto"/>
          <w:szCs w:val="28"/>
        </w:rPr>
        <w:t>.</w:t>
      </w:r>
      <w:r>
        <w:rPr>
          <w:rFonts w:hint="default" w:ascii="Times New Roman" w:hAnsi="Times New Roman" w:cs="Times New Roman"/>
          <w:color w:val="auto"/>
          <w:szCs w:val="28"/>
          <w:lang w:val="en-US" w:eastAsia="zh-CN"/>
        </w:rPr>
        <w:t>3</w:t>
      </w:r>
      <w:r>
        <w:rPr>
          <w:rFonts w:hint="default" w:ascii="Times New Roman" w:hAnsi="Times New Roman" w:cs="Times New Roman"/>
          <w:color w:val="auto"/>
        </w:rPr>
        <w:t>年产5GW单晶硅拉棒及2GW切片项目</w:t>
      </w:r>
      <w:bookmarkEnd w:id="262"/>
    </w:p>
    <w:p>
      <w:pPr>
        <w:spacing w:line="360" w:lineRule="auto"/>
        <w:ind w:firstLine="48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r>
        <w:rPr>
          <w:rFonts w:hint="default" w:ascii="Times New Roman" w:hAnsi="Times New Roman" w:eastAsia="宋体" w:cs="Times New Roman"/>
          <w:color w:val="auto"/>
          <w:kern w:val="0"/>
        </w:rPr>
        <w:t>年产5GW单晶硅</w:t>
      </w:r>
      <w:r>
        <w:rPr>
          <w:rFonts w:hint="default" w:ascii="Times New Roman" w:hAnsi="Times New Roman" w:eastAsia="宋体" w:cs="Times New Roman"/>
          <w:color w:val="auto"/>
          <w:kern w:val="0"/>
          <w:lang w:eastAsia="zh-CN"/>
        </w:rPr>
        <w:t>拉</w:t>
      </w:r>
      <w:r>
        <w:rPr>
          <w:rFonts w:hint="default" w:ascii="Times New Roman" w:hAnsi="Times New Roman" w:eastAsia="宋体" w:cs="Times New Roman"/>
          <w:color w:val="auto"/>
          <w:kern w:val="0"/>
        </w:rPr>
        <w:t>棒及</w:t>
      </w:r>
      <w:r>
        <w:rPr>
          <w:rFonts w:hint="default" w:ascii="Times New Roman" w:hAnsi="Times New Roman" w:eastAsia="宋体" w:cs="Times New Roman"/>
          <w:color w:val="auto"/>
          <w:kern w:val="0"/>
          <w:lang w:val="en-US" w:eastAsia="zh-CN"/>
        </w:rPr>
        <w:t>2</w:t>
      </w:r>
      <w:r>
        <w:rPr>
          <w:rFonts w:hint="default" w:ascii="Times New Roman" w:hAnsi="Times New Roman" w:eastAsia="宋体" w:cs="Times New Roman"/>
          <w:color w:val="auto"/>
          <w:kern w:val="0"/>
        </w:rPr>
        <w:t>GW切片项目</w:t>
      </w:r>
      <w:r>
        <w:rPr>
          <w:rFonts w:hint="default" w:ascii="Times New Roman" w:hAnsi="Times New Roman" w:cs="Times New Roman"/>
          <w:color w:val="auto"/>
          <w:lang w:val="en-US" w:eastAsia="zh-CN"/>
        </w:rPr>
        <w:t>”</w:t>
      </w:r>
      <w:r>
        <w:rPr>
          <w:rFonts w:hint="default" w:ascii="Times New Roman" w:hAnsi="Times New Roman" w:cs="Times New Roman"/>
          <w:color w:val="auto"/>
          <w:kern w:val="0"/>
          <w:lang w:eastAsia="zh-CN"/>
        </w:rPr>
        <w:t>于</w:t>
      </w:r>
      <w:r>
        <w:rPr>
          <w:rFonts w:hint="default" w:ascii="Times New Roman" w:hAnsi="Times New Roman" w:cs="Times New Roman"/>
          <w:color w:val="auto"/>
          <w:kern w:val="0"/>
          <w:lang w:val="en-US" w:eastAsia="zh-CN"/>
        </w:rPr>
        <w:t>2021年7月完成环境影响报告书评价工作，2021年9月</w:t>
      </w:r>
      <w:r>
        <w:rPr>
          <w:rFonts w:hint="default" w:ascii="Times New Roman" w:hAnsi="Times New Roman" w:eastAsia="宋体" w:cs="Times New Roman"/>
          <w:color w:val="auto"/>
          <w:kern w:val="0"/>
          <w:lang w:eastAsia="zh-CN"/>
        </w:rPr>
        <w:t>通过评审并取得批复（楚环许准</w:t>
      </w:r>
      <w:r>
        <w:rPr>
          <w:rFonts w:hint="default" w:ascii="Times New Roman" w:hAnsi="Times New Roman" w:eastAsia="宋体" w:cs="Times New Roman"/>
          <w:color w:val="auto"/>
          <w:lang w:eastAsia="zh-CN"/>
        </w:rPr>
        <w:t>〔2021〕79</w:t>
      </w:r>
      <w:r>
        <w:rPr>
          <w:rFonts w:hint="default" w:ascii="Times New Roman" w:hAnsi="Times New Roman" w:eastAsia="宋体" w:cs="Times New Roman"/>
          <w:color w:val="auto"/>
        </w:rPr>
        <w:t>号</w:t>
      </w:r>
      <w:r>
        <w:rPr>
          <w:rFonts w:hint="default" w:ascii="Times New Roman" w:hAnsi="Times New Roman" w:eastAsia="宋体" w:cs="Times New Roman"/>
          <w:color w:val="auto"/>
          <w:kern w:val="0"/>
          <w:lang w:eastAsia="zh-CN"/>
        </w:rPr>
        <w:t>）</w:t>
      </w:r>
      <w:r>
        <w:rPr>
          <w:rFonts w:hint="default" w:ascii="Times New Roman" w:hAnsi="Times New Roman" w:cs="Times New Roman"/>
          <w:color w:val="auto"/>
          <w:kern w:val="0"/>
          <w:lang w:eastAsia="zh-CN"/>
        </w:rPr>
        <w:t>，项目主要依托“</w:t>
      </w:r>
      <w:r>
        <w:rPr>
          <w:rFonts w:hint="default" w:ascii="Times New Roman" w:hAnsi="Times New Roman" w:cs="Times New Roman"/>
          <w:color w:val="auto"/>
        </w:rPr>
        <w:t>宇泽半导体（云南）有限公司年产5GW单晶硅拉棒及3GW切片生产线项目</w:t>
      </w:r>
      <w:r>
        <w:rPr>
          <w:rFonts w:hint="default" w:ascii="Times New Roman" w:hAnsi="Times New Roman" w:cs="Times New Roman"/>
          <w:color w:val="auto"/>
          <w:kern w:val="0"/>
          <w:lang w:eastAsia="zh-CN"/>
        </w:rPr>
        <w:t>”建设的厂房及基础设施，在二期单晶车间内扩充</w:t>
      </w:r>
      <w:r>
        <w:rPr>
          <w:rFonts w:hint="default" w:ascii="Times New Roman" w:hAnsi="Times New Roman" w:cs="Times New Roman"/>
          <w:color w:val="auto"/>
          <w:kern w:val="0"/>
          <w:lang w:val="en-US" w:eastAsia="zh-CN"/>
        </w:rPr>
        <w:t>5GW单晶硅拉棒生产线，在切片车间内扩充3GW单晶硅切片生产线</w:t>
      </w:r>
      <w:r>
        <w:rPr>
          <w:rFonts w:hint="default" w:ascii="Times New Roman" w:hAnsi="Times New Roman" w:cs="Times New Roman"/>
          <w:color w:val="auto"/>
          <w:lang w:val="en-US" w:eastAsia="zh-CN"/>
        </w:rPr>
        <w:t>；</w:t>
      </w:r>
    </w:p>
    <w:p>
      <w:pPr>
        <w:pStyle w:val="55"/>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2022年8月12日，项目5GW单晶硅拉棒生产线建设完成并投入试生产；</w:t>
      </w:r>
    </w:p>
    <w:p>
      <w:pPr>
        <w:pStyle w:val="55"/>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截止本次</w:t>
      </w:r>
      <w:r>
        <w:rPr>
          <w:rFonts w:hint="default" w:ascii="Times New Roman" w:hAnsi="Times New Roman" w:eastAsia="宋体" w:cs="Times New Roman"/>
          <w:color w:val="auto"/>
          <w:lang w:val="en-US" w:eastAsia="zh-CN"/>
        </w:rPr>
        <w:t>环评工作（年产3GW单晶硅片生产线项目，以下简称“本项目”</w:t>
      </w:r>
      <w:r>
        <w:rPr>
          <w:rFonts w:hint="default" w:ascii="Times New Roman" w:hAnsi="Times New Roman" w:cs="Times New Roman"/>
          <w:color w:val="auto"/>
          <w:lang w:val="en-US" w:eastAsia="zh-CN"/>
        </w:rPr>
        <w:t>）开始时，项目2GW单晶硅切片生产线尚未建成。</w:t>
      </w:r>
    </w:p>
    <w:p>
      <w:pPr>
        <w:pStyle w:val="6"/>
        <w:spacing w:before="0" w:after="0" w:line="360" w:lineRule="auto"/>
        <w:rPr>
          <w:rFonts w:hint="default" w:ascii="Times New Roman" w:hAnsi="Times New Roman" w:eastAsia="宋体" w:cs="Times New Roman"/>
          <w:color w:val="auto"/>
          <w:szCs w:val="28"/>
          <w:lang w:eastAsia="zh-CN"/>
        </w:rPr>
      </w:pPr>
      <w:bookmarkStart w:id="263" w:name="_Toc26815"/>
      <w:r>
        <w:rPr>
          <w:rFonts w:hint="default" w:ascii="Times New Roman" w:hAnsi="Times New Roman" w:cs="Times New Roman"/>
          <w:color w:val="auto"/>
          <w:szCs w:val="28"/>
        </w:rPr>
        <w:t>2.</w:t>
      </w:r>
      <w:r>
        <w:rPr>
          <w:rFonts w:hint="default" w:ascii="Times New Roman" w:hAnsi="Times New Roman" w:cs="Times New Roman"/>
          <w:color w:val="auto"/>
          <w:szCs w:val="28"/>
          <w:lang w:val="en-US" w:eastAsia="zh-CN"/>
        </w:rPr>
        <w:t>1</w:t>
      </w:r>
      <w:r>
        <w:rPr>
          <w:rFonts w:hint="default" w:ascii="Times New Roman" w:hAnsi="Times New Roman" w:cs="Times New Roman"/>
          <w:color w:val="auto"/>
          <w:szCs w:val="28"/>
        </w:rPr>
        <w:t>.</w:t>
      </w:r>
      <w:r>
        <w:rPr>
          <w:rFonts w:hint="default" w:ascii="Times New Roman" w:hAnsi="Times New Roman" w:cs="Times New Roman"/>
          <w:color w:val="auto"/>
          <w:szCs w:val="28"/>
          <w:lang w:val="en-US" w:eastAsia="zh-CN"/>
        </w:rPr>
        <w:t>4</w:t>
      </w:r>
      <w:r>
        <w:rPr>
          <w:rFonts w:hint="default" w:ascii="Times New Roman" w:hAnsi="Times New Roman" w:cs="Times New Roman"/>
          <w:color w:val="auto"/>
          <w:lang w:val="en-US" w:eastAsia="zh-CN"/>
        </w:rPr>
        <w:t>楚雄市富民工业园区110KV宇泽晶科输变电工程</w:t>
      </w:r>
      <w:bookmarkEnd w:id="263"/>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该项目位于云南宇泽半导体有限公司厂区内，主要建成110KV变电站供电，由于建设过程中忽略了环评工作，项目于2020年7月建成投入使用，现已按照“未批先建”进行处罚，并正在完善环保手续。</w:t>
      </w:r>
    </w:p>
    <w:p>
      <w:pPr>
        <w:pStyle w:val="4"/>
        <w:spacing w:before="0" w:after="0" w:line="360" w:lineRule="auto"/>
        <w:rPr>
          <w:rFonts w:hint="default" w:ascii="Times New Roman" w:hAnsi="Times New Roman" w:eastAsia="宋体" w:cs="Times New Roman"/>
          <w:color w:val="auto"/>
          <w:sz w:val="28"/>
          <w:szCs w:val="28"/>
          <w:lang w:eastAsia="zh-CN"/>
        </w:rPr>
      </w:pPr>
      <w:bookmarkStart w:id="264" w:name="_Toc79144645"/>
      <w:bookmarkStart w:id="265" w:name="_Toc3739"/>
      <w:r>
        <w:rPr>
          <w:rFonts w:hint="default" w:ascii="Times New Roman" w:hAnsi="Times New Roman" w:eastAsia="宋体" w:cs="Times New Roman"/>
          <w:color w:val="auto"/>
          <w:sz w:val="28"/>
          <w:szCs w:val="28"/>
        </w:rPr>
        <w:t>2.2</w:t>
      </w:r>
      <w:bookmarkEnd w:id="264"/>
      <w:r>
        <w:rPr>
          <w:rFonts w:hint="default" w:ascii="Times New Roman" w:hAnsi="Times New Roman" w:eastAsia="宋体" w:cs="Times New Roman"/>
          <w:color w:val="auto"/>
          <w:sz w:val="28"/>
          <w:szCs w:val="28"/>
          <w:lang w:eastAsia="zh-CN"/>
        </w:rPr>
        <w:t>厂内项目关系梳理</w:t>
      </w:r>
      <w:bookmarkEnd w:id="265"/>
    </w:p>
    <w:p>
      <w:pPr>
        <w:spacing w:line="360" w:lineRule="auto"/>
        <w:ind w:firstLine="480" w:firstLineChars="200"/>
        <w:jc w:val="left"/>
        <w:rPr>
          <w:rFonts w:hint="default" w:ascii="Times New Roman" w:hAnsi="Times New Roman" w:cs="Times New Roman"/>
          <w:color w:val="auto"/>
          <w:lang w:eastAsia="zh-CN"/>
        </w:rPr>
      </w:pPr>
      <w:r>
        <w:rPr>
          <w:rFonts w:hint="default" w:ascii="Times New Roman" w:hAnsi="Times New Roman" w:cs="Times New Roman"/>
          <w:color w:val="auto"/>
          <w:lang w:eastAsia="zh-CN"/>
        </w:rPr>
        <w:t>由于项目厂区内各项目间关系错综复杂，依托内容较多，较项目环评及批复变化情况也较多，本次厂内项目关系梳理的工作路线主要遵循以下步骤：</w:t>
      </w:r>
    </w:p>
    <w:p>
      <w:pPr>
        <w:pStyle w:val="55"/>
        <w:numPr>
          <w:ilvl w:val="0"/>
          <w:numId w:val="8"/>
        </w:num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将厂内已建成设施按照从属关系确定是哪一个项目的建设内容，并确定是否已进行环保竣工验收；</w:t>
      </w:r>
    </w:p>
    <w:p>
      <w:pPr>
        <w:pStyle w:val="55"/>
        <w:numPr>
          <w:ilvl w:val="0"/>
          <w:numId w:val="8"/>
        </w:num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确定已建成设施与本项目之间是否存在依托关系；</w:t>
      </w:r>
    </w:p>
    <w:p>
      <w:pPr>
        <w:pStyle w:val="55"/>
        <w:numPr>
          <w:ilvl w:val="0"/>
          <w:numId w:val="8"/>
        </w:numPr>
        <w:rPr>
          <w:rFonts w:hint="default" w:ascii="Times New Roman" w:hAnsi="Times New Roman" w:cs="Times New Roman"/>
          <w:color w:val="auto"/>
        </w:rPr>
      </w:pPr>
      <w:r>
        <w:rPr>
          <w:rFonts w:hint="default" w:ascii="Times New Roman" w:hAnsi="Times New Roman" w:cs="Times New Roman"/>
          <w:color w:val="auto"/>
          <w:lang w:val="en-US" w:eastAsia="zh-CN"/>
        </w:rPr>
        <w:t>对本项目存在依托关系的已建成设施对照原环评及批复进行变动情况分析，并判定是否属于重大变动；</w:t>
      </w:r>
    </w:p>
    <w:p>
      <w:pPr>
        <w:spacing w:beforeLines="50" w:line="360" w:lineRule="auto"/>
        <w:ind w:firstLine="480" w:firstLineChars="200"/>
        <w:jc w:val="left"/>
        <w:rPr>
          <w:rFonts w:hint="default" w:ascii="Times New Roman" w:hAnsi="Times New Roman" w:cs="Times New Roman"/>
          <w:color w:val="auto"/>
        </w:rPr>
      </w:pPr>
    </w:p>
    <w:p>
      <w:pPr>
        <w:pStyle w:val="133"/>
        <w:numPr>
          <w:ilvl w:val="0"/>
          <w:numId w:val="9"/>
        </w:numPr>
        <w:spacing w:line="360" w:lineRule="auto"/>
        <w:ind w:left="0" w:firstLine="0" w:firstLineChars="0"/>
        <w:jc w:val="center"/>
        <w:rPr>
          <w:rFonts w:hint="default" w:ascii="Times New Roman" w:hAnsi="Times New Roman" w:cs="Times New Roman"/>
          <w:b/>
          <w:color w:val="auto"/>
        </w:rPr>
        <w:sectPr>
          <w:headerReference r:id="rId6" w:type="default"/>
          <w:pgSz w:w="11906" w:h="16838"/>
          <w:pgMar w:top="1440" w:right="1797" w:bottom="1440" w:left="1797" w:header="851" w:footer="992" w:gutter="0"/>
          <w:pgBorders>
            <w:top w:val="none" w:sz="0" w:space="0"/>
            <w:left w:val="none" w:sz="0" w:space="0"/>
            <w:bottom w:val="none" w:sz="0" w:space="0"/>
            <w:right w:val="none" w:sz="0" w:space="0"/>
          </w:pgBorders>
          <w:cols w:space="720" w:num="1"/>
          <w:docGrid w:linePitch="312" w:charSpace="0"/>
        </w:sectPr>
      </w:pPr>
    </w:p>
    <w:p>
      <w:pPr>
        <w:pStyle w:val="133"/>
        <w:numPr>
          <w:ilvl w:val="0"/>
          <w:numId w:val="9"/>
        </w:numPr>
        <w:spacing w:line="360" w:lineRule="auto"/>
        <w:ind w:left="0" w:firstLine="0" w:firstLineChars="0"/>
        <w:jc w:val="center"/>
        <w:rPr>
          <w:rFonts w:hint="default" w:ascii="Times New Roman" w:hAnsi="Times New Roman" w:eastAsia="宋体" w:cs="Times New Roman"/>
          <w:b/>
          <w:color w:val="auto"/>
        </w:rPr>
      </w:pPr>
      <w:r>
        <w:rPr>
          <w:rFonts w:hint="default" w:ascii="Times New Roman" w:hAnsi="Times New Roman" w:eastAsia="宋体" w:cs="Times New Roman"/>
          <w:b/>
          <w:color w:val="auto"/>
          <w:lang w:eastAsia="zh-CN"/>
        </w:rPr>
        <w:t>厂区内</w:t>
      </w:r>
      <w:r>
        <w:rPr>
          <w:rFonts w:hint="default" w:ascii="Times New Roman" w:hAnsi="Times New Roman" w:cs="Times New Roman"/>
          <w:b/>
          <w:color w:val="auto"/>
          <w:lang w:eastAsia="zh-CN"/>
        </w:rPr>
        <w:t>现状</w:t>
      </w:r>
      <w:r>
        <w:rPr>
          <w:rFonts w:hint="default" w:ascii="Times New Roman" w:hAnsi="Times New Roman" w:eastAsia="宋体" w:cs="Times New Roman"/>
          <w:b/>
          <w:color w:val="auto"/>
          <w:lang w:eastAsia="zh-CN"/>
        </w:rPr>
        <w:t>已建成内容及</w:t>
      </w:r>
      <w:r>
        <w:rPr>
          <w:rFonts w:hint="default" w:ascii="Times New Roman" w:hAnsi="Times New Roman" w:cs="Times New Roman"/>
          <w:b/>
          <w:color w:val="auto"/>
          <w:lang w:eastAsia="zh-CN"/>
        </w:rPr>
        <w:t>与本项目之间</w:t>
      </w:r>
      <w:r>
        <w:rPr>
          <w:rFonts w:hint="default" w:ascii="Times New Roman" w:hAnsi="Times New Roman" w:eastAsia="宋体" w:cs="Times New Roman"/>
          <w:b/>
          <w:color w:val="auto"/>
          <w:lang w:eastAsia="zh-CN"/>
        </w:rPr>
        <w:t>关系梳理一览表</w:t>
      </w:r>
    </w:p>
    <w:tbl>
      <w:tblPr>
        <w:tblStyle w:val="44"/>
        <w:tblW w:w="147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1"/>
        <w:gridCol w:w="375"/>
        <w:gridCol w:w="782"/>
        <w:gridCol w:w="1425"/>
        <w:gridCol w:w="6300"/>
        <w:gridCol w:w="1414"/>
        <w:gridCol w:w="708"/>
        <w:gridCol w:w="33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83" w:type="dxa"/>
            <w:gridSpan w:val="4"/>
            <w:shd w:val="clear" w:color="auto" w:fill="auto"/>
            <w:vAlign w:val="center"/>
          </w:tcPr>
          <w:p>
            <w:pPr>
              <w:widowControl/>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工程名称</w:t>
            </w:r>
          </w:p>
        </w:tc>
        <w:tc>
          <w:tcPr>
            <w:tcW w:w="6300" w:type="dxa"/>
            <w:shd w:val="clear" w:color="auto" w:fill="auto"/>
            <w:vAlign w:val="center"/>
          </w:tcPr>
          <w:p>
            <w:pPr>
              <w:widowControl/>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lang w:eastAsia="zh-CN"/>
              </w:rPr>
              <w:t>厂区现状已建成内容</w:t>
            </w:r>
          </w:p>
        </w:tc>
        <w:tc>
          <w:tcPr>
            <w:tcW w:w="1414" w:type="dxa"/>
            <w:vAlign w:val="center"/>
          </w:tcPr>
          <w:p>
            <w:pPr>
              <w:widowControl/>
              <w:jc w:val="center"/>
              <w:rPr>
                <w:rFonts w:hint="default" w:ascii="Times New Roman" w:hAnsi="Times New Roman" w:eastAsia="宋体" w:cs="Times New Roman"/>
                <w:color w:val="auto"/>
                <w:kern w:val="0"/>
                <w:sz w:val="18"/>
                <w:szCs w:val="18"/>
                <w:lang w:eastAsia="zh-CN"/>
              </w:rPr>
            </w:pPr>
            <w:r>
              <w:rPr>
                <w:rFonts w:hint="default" w:ascii="Times New Roman" w:hAnsi="Times New Roman" w:cs="Times New Roman"/>
                <w:color w:val="auto"/>
                <w:kern w:val="0"/>
                <w:sz w:val="18"/>
                <w:szCs w:val="18"/>
                <w:lang w:eastAsia="zh-CN"/>
              </w:rPr>
              <w:t>从属关系</w:t>
            </w:r>
          </w:p>
        </w:tc>
        <w:tc>
          <w:tcPr>
            <w:tcW w:w="708" w:type="dxa"/>
            <w:vAlign w:val="center"/>
          </w:tcPr>
          <w:p>
            <w:pPr>
              <w:widowControl/>
              <w:jc w:val="center"/>
              <w:rPr>
                <w:rFonts w:hint="default" w:ascii="Times New Roman" w:hAnsi="Times New Roman" w:eastAsia="宋体" w:cs="Times New Roman"/>
                <w:color w:val="auto"/>
                <w:kern w:val="0"/>
                <w:sz w:val="18"/>
                <w:szCs w:val="18"/>
                <w:lang w:eastAsia="zh-CN"/>
              </w:rPr>
            </w:pPr>
            <w:r>
              <w:rPr>
                <w:rFonts w:hint="default" w:ascii="Times New Roman" w:hAnsi="Times New Roman" w:cs="Times New Roman"/>
                <w:color w:val="auto"/>
                <w:kern w:val="0"/>
                <w:sz w:val="18"/>
                <w:szCs w:val="18"/>
                <w:lang w:eastAsia="zh-CN"/>
              </w:rPr>
              <w:t>是否验收</w:t>
            </w:r>
          </w:p>
        </w:tc>
        <w:tc>
          <w:tcPr>
            <w:tcW w:w="3362" w:type="dxa"/>
            <w:vAlign w:val="center"/>
          </w:tcPr>
          <w:p>
            <w:pPr>
              <w:widowControl/>
              <w:jc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cs="Times New Roman"/>
                <w:color w:val="auto"/>
                <w:kern w:val="0"/>
                <w:sz w:val="18"/>
                <w:szCs w:val="18"/>
                <w:lang w:eastAsia="zh-CN"/>
              </w:rPr>
              <w:t>与本项目之间的关系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401" w:type="dxa"/>
            <w:vMerge w:val="restart"/>
            <w:shd w:val="clear" w:color="auto" w:fill="auto"/>
            <w:vAlign w:val="center"/>
          </w:tcPr>
          <w:p>
            <w:pPr>
              <w:widowControl/>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主体工程</w:t>
            </w:r>
          </w:p>
        </w:tc>
        <w:tc>
          <w:tcPr>
            <w:tcW w:w="2582" w:type="dxa"/>
            <w:gridSpan w:val="3"/>
            <w:shd w:val="clear" w:color="auto" w:fill="auto"/>
            <w:vAlign w:val="center"/>
          </w:tcPr>
          <w:p>
            <w:pPr>
              <w:widowControl/>
              <w:jc w:val="center"/>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color w:val="auto"/>
                <w:kern w:val="0"/>
                <w:sz w:val="18"/>
                <w:szCs w:val="18"/>
                <w:lang w:eastAsia="zh-CN"/>
              </w:rPr>
              <w:t>一期单晶车间</w:t>
            </w:r>
          </w:p>
        </w:tc>
        <w:tc>
          <w:tcPr>
            <w:tcW w:w="6300" w:type="dxa"/>
            <w:shd w:val="clear" w:color="auto" w:fill="auto"/>
            <w:vAlign w:val="center"/>
          </w:tcPr>
          <w:p>
            <w:pPr>
              <w:pStyle w:val="167"/>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1栋3层，框架及门式钢架结构，占地面积27404.32m</w:t>
            </w:r>
            <w:r>
              <w:rPr>
                <w:rFonts w:hint="default" w:ascii="Times New Roman" w:hAnsi="Times New Roman" w:eastAsia="宋体" w:cs="Times New Roman"/>
                <w:color w:val="auto"/>
                <w:sz w:val="18"/>
                <w:szCs w:val="18"/>
                <w:vertAlign w:val="superscript"/>
              </w:rPr>
              <w:t>2</w:t>
            </w:r>
            <w:r>
              <w:rPr>
                <w:rFonts w:hint="default" w:ascii="Times New Roman" w:hAnsi="Times New Roman" w:eastAsia="宋体" w:cs="Times New Roman"/>
                <w:color w:val="auto"/>
                <w:sz w:val="18"/>
                <w:szCs w:val="18"/>
              </w:rPr>
              <w:t>,建筑面积52037.90m</w:t>
            </w:r>
            <w:r>
              <w:rPr>
                <w:rFonts w:hint="default" w:ascii="Times New Roman" w:hAnsi="Times New Roman" w:eastAsia="宋体" w:cs="Times New Roman"/>
                <w:color w:val="auto"/>
                <w:sz w:val="18"/>
                <w:szCs w:val="18"/>
                <w:vertAlign w:val="superscript"/>
              </w:rPr>
              <w:t>2</w:t>
            </w:r>
            <w:r>
              <w:rPr>
                <w:rFonts w:hint="default" w:ascii="Times New Roman" w:hAnsi="Times New Roman" w:eastAsia="宋体" w:cs="Times New Roman"/>
                <w:color w:val="auto"/>
                <w:sz w:val="18"/>
                <w:szCs w:val="18"/>
              </w:rPr>
              <w:t>,位于用地北部。主要包括单晶拉制区、硅棒机加区、仓库。车间内共设置352套炉体及拉晶系统</w:t>
            </w:r>
          </w:p>
        </w:tc>
        <w:tc>
          <w:tcPr>
            <w:tcW w:w="1414" w:type="dxa"/>
            <w:vMerge w:val="restart"/>
            <w:vAlign w:val="center"/>
          </w:tcPr>
          <w:p>
            <w:pPr>
              <w:pStyle w:val="167"/>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宇泽半导体（云南）有限公司年产5GW单晶硅棒及3GW切片生产线项目</w:t>
            </w:r>
          </w:p>
        </w:tc>
        <w:tc>
          <w:tcPr>
            <w:tcW w:w="708" w:type="dxa"/>
            <w:vAlign w:val="center"/>
          </w:tcPr>
          <w:p>
            <w:pPr>
              <w:pStyle w:val="167"/>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是</w:t>
            </w:r>
          </w:p>
        </w:tc>
        <w:tc>
          <w:tcPr>
            <w:tcW w:w="3362" w:type="dxa"/>
            <w:vAlign w:val="center"/>
          </w:tcPr>
          <w:p>
            <w:pPr>
              <w:pStyle w:val="167"/>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无依托关系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401" w:type="dxa"/>
            <w:vMerge w:val="continue"/>
            <w:shd w:val="clear" w:color="auto" w:fill="auto"/>
            <w:vAlign w:val="center"/>
          </w:tcPr>
          <w:p>
            <w:pPr>
              <w:widowControl/>
              <w:jc w:val="center"/>
              <w:rPr>
                <w:rFonts w:hint="default" w:ascii="Times New Roman" w:hAnsi="Times New Roman" w:eastAsia="宋体" w:cs="Times New Roman"/>
                <w:color w:val="auto"/>
                <w:sz w:val="18"/>
                <w:szCs w:val="18"/>
              </w:rPr>
            </w:pPr>
          </w:p>
        </w:tc>
        <w:tc>
          <w:tcPr>
            <w:tcW w:w="2582" w:type="dxa"/>
            <w:gridSpan w:val="3"/>
            <w:shd w:val="clear" w:color="auto" w:fill="auto"/>
            <w:vAlign w:val="center"/>
          </w:tcPr>
          <w:p>
            <w:pPr>
              <w:widowControl/>
              <w:jc w:val="center"/>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color w:val="auto"/>
                <w:kern w:val="0"/>
                <w:sz w:val="18"/>
                <w:szCs w:val="18"/>
                <w:lang w:eastAsia="zh-CN"/>
              </w:rPr>
              <w:t>二期单晶车间</w:t>
            </w:r>
          </w:p>
        </w:tc>
        <w:tc>
          <w:tcPr>
            <w:tcW w:w="6300" w:type="dxa"/>
            <w:shd w:val="clear" w:color="auto" w:fill="auto"/>
            <w:vAlign w:val="center"/>
          </w:tcPr>
          <w:p>
            <w:pPr>
              <w:widowControl/>
              <w:jc w:val="left"/>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sz w:val="18"/>
                <w:szCs w:val="18"/>
              </w:rPr>
              <w:t>1栋3层，框架及门式钢架结构，占地面积48004m</w:t>
            </w:r>
            <w:r>
              <w:rPr>
                <w:rFonts w:hint="default" w:ascii="Times New Roman" w:hAnsi="Times New Roman" w:eastAsia="宋体" w:cs="Times New Roman"/>
                <w:color w:val="auto"/>
                <w:sz w:val="18"/>
                <w:szCs w:val="18"/>
                <w:vertAlign w:val="superscript"/>
              </w:rPr>
              <w:t>2</w:t>
            </w:r>
            <w:r>
              <w:rPr>
                <w:rFonts w:hint="default" w:ascii="Times New Roman" w:hAnsi="Times New Roman" w:eastAsia="宋体" w:cs="Times New Roman"/>
                <w:color w:val="auto"/>
                <w:sz w:val="18"/>
                <w:szCs w:val="18"/>
              </w:rPr>
              <w:t>，建筑面积139754m</w:t>
            </w:r>
            <w:r>
              <w:rPr>
                <w:rFonts w:hint="default" w:ascii="Times New Roman" w:hAnsi="Times New Roman" w:eastAsia="宋体" w:cs="Times New Roman"/>
                <w:color w:val="auto"/>
                <w:sz w:val="18"/>
                <w:szCs w:val="18"/>
                <w:vertAlign w:val="superscript"/>
              </w:rPr>
              <w:t>2</w:t>
            </w:r>
            <w:r>
              <w:rPr>
                <w:rFonts w:hint="default" w:ascii="Times New Roman" w:hAnsi="Times New Roman" w:eastAsia="宋体" w:cs="Times New Roman"/>
                <w:color w:val="auto"/>
                <w:sz w:val="18"/>
                <w:szCs w:val="18"/>
              </w:rPr>
              <w:t>，位于厂区南侧，主要功能为进行单晶硅棒拉制加工</w:t>
            </w:r>
            <w:r>
              <w:rPr>
                <w:rFonts w:hint="default" w:ascii="Times New Roman" w:hAnsi="Times New Roman" w:eastAsia="宋体" w:cs="Times New Roman"/>
                <w:color w:val="auto"/>
                <w:sz w:val="18"/>
                <w:szCs w:val="18"/>
                <w:lang w:eastAsia="zh-CN"/>
              </w:rPr>
              <w:t>。车间内共设置</w:t>
            </w:r>
            <w:r>
              <w:rPr>
                <w:rFonts w:hint="default" w:ascii="Times New Roman" w:hAnsi="Times New Roman" w:eastAsia="宋体" w:cs="Times New Roman"/>
                <w:color w:val="auto"/>
                <w:sz w:val="18"/>
                <w:szCs w:val="18"/>
                <w:lang w:val="en-US" w:eastAsia="zh-CN"/>
              </w:rPr>
              <w:t>720套</w:t>
            </w:r>
            <w:r>
              <w:rPr>
                <w:rFonts w:hint="default" w:ascii="Times New Roman" w:hAnsi="Times New Roman" w:eastAsia="宋体" w:cs="Times New Roman"/>
                <w:color w:val="auto"/>
                <w:sz w:val="18"/>
                <w:szCs w:val="18"/>
              </w:rPr>
              <w:t>炉体及拉晶系统</w:t>
            </w:r>
          </w:p>
        </w:tc>
        <w:tc>
          <w:tcPr>
            <w:tcW w:w="1414" w:type="dxa"/>
            <w:vMerge w:val="continue"/>
            <w:vAlign w:val="center"/>
          </w:tcPr>
          <w:p>
            <w:pPr>
              <w:widowControl/>
              <w:jc w:val="center"/>
              <w:rPr>
                <w:rFonts w:hint="default" w:ascii="Times New Roman" w:hAnsi="Times New Roman" w:eastAsia="宋体" w:cs="Times New Roman"/>
                <w:color w:val="auto"/>
                <w:kern w:val="0"/>
                <w:sz w:val="18"/>
                <w:szCs w:val="18"/>
                <w:lang w:val="en-US" w:eastAsia="zh-CN"/>
              </w:rPr>
            </w:pPr>
          </w:p>
        </w:tc>
        <w:tc>
          <w:tcPr>
            <w:tcW w:w="708" w:type="dxa"/>
            <w:vAlign w:val="center"/>
          </w:tcPr>
          <w:p>
            <w:pPr>
              <w:widowControl/>
              <w:jc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是</w:t>
            </w:r>
          </w:p>
        </w:tc>
        <w:tc>
          <w:tcPr>
            <w:tcW w:w="3362" w:type="dxa"/>
            <w:vAlign w:val="center"/>
          </w:tcPr>
          <w:p>
            <w:pPr>
              <w:widowControl/>
              <w:jc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cs="Times New Roman"/>
                <w:color w:val="auto"/>
                <w:sz w:val="18"/>
                <w:szCs w:val="18"/>
                <w:lang w:val="en-US" w:eastAsia="zh-CN"/>
              </w:rPr>
              <w:t>无依托关系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401" w:type="dxa"/>
            <w:vMerge w:val="continue"/>
            <w:shd w:val="clear" w:color="auto" w:fill="auto"/>
            <w:vAlign w:val="center"/>
          </w:tcPr>
          <w:p>
            <w:pPr>
              <w:widowControl/>
              <w:jc w:val="center"/>
              <w:rPr>
                <w:rFonts w:hint="default" w:ascii="Times New Roman" w:hAnsi="Times New Roman" w:eastAsia="宋体" w:cs="Times New Roman"/>
                <w:color w:val="auto"/>
                <w:sz w:val="18"/>
                <w:szCs w:val="18"/>
              </w:rPr>
            </w:pPr>
          </w:p>
        </w:tc>
        <w:tc>
          <w:tcPr>
            <w:tcW w:w="2582" w:type="dxa"/>
            <w:gridSpan w:val="3"/>
            <w:shd w:val="clear" w:color="auto" w:fill="auto"/>
            <w:vAlign w:val="center"/>
          </w:tcPr>
          <w:p>
            <w:pPr>
              <w:widowControl/>
              <w:jc w:val="center"/>
              <w:rPr>
                <w:rFonts w:hint="default" w:ascii="Times New Roman" w:hAnsi="Times New Roman" w:eastAsia="宋体" w:cs="Times New Roman"/>
                <w:color w:val="auto"/>
                <w:kern w:val="0"/>
                <w:sz w:val="18"/>
                <w:szCs w:val="18"/>
                <w:lang w:eastAsia="zh-CN"/>
              </w:rPr>
            </w:pPr>
            <w:r>
              <w:rPr>
                <w:rFonts w:hint="default" w:ascii="Times New Roman" w:hAnsi="Times New Roman" w:cs="Times New Roman"/>
                <w:color w:val="auto"/>
                <w:kern w:val="0"/>
                <w:sz w:val="18"/>
                <w:szCs w:val="18"/>
                <w:lang w:eastAsia="zh-CN"/>
              </w:rPr>
              <w:t>切片车间</w:t>
            </w:r>
          </w:p>
        </w:tc>
        <w:tc>
          <w:tcPr>
            <w:tcW w:w="6300" w:type="dxa"/>
            <w:shd w:val="clear" w:color="auto" w:fill="auto"/>
            <w:vAlign w:val="center"/>
          </w:tcPr>
          <w:p>
            <w:pPr>
              <w:widowControl/>
              <w:jc w:val="left"/>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1栋1层，框架及门式钢架结构，占地面积27938m</w:t>
            </w:r>
            <w:r>
              <w:rPr>
                <w:rFonts w:hint="default" w:ascii="Times New Roman" w:hAnsi="Times New Roman" w:cs="Times New Roman"/>
                <w:color w:val="auto"/>
                <w:sz w:val="18"/>
                <w:szCs w:val="18"/>
                <w:vertAlign w:val="superscript"/>
              </w:rPr>
              <w:t>2</w:t>
            </w:r>
            <w:r>
              <w:rPr>
                <w:rFonts w:hint="default" w:ascii="Times New Roman" w:hAnsi="Times New Roman" w:cs="Times New Roman"/>
                <w:color w:val="auto"/>
                <w:sz w:val="18"/>
                <w:szCs w:val="18"/>
              </w:rPr>
              <w:t>，建筑面积27938m</w:t>
            </w:r>
            <w:r>
              <w:rPr>
                <w:rFonts w:hint="default" w:ascii="Times New Roman" w:hAnsi="Times New Roman" w:cs="Times New Roman"/>
                <w:color w:val="auto"/>
                <w:sz w:val="18"/>
                <w:szCs w:val="18"/>
                <w:vertAlign w:val="superscript"/>
              </w:rPr>
              <w:t>2</w:t>
            </w:r>
            <w:r>
              <w:rPr>
                <w:rFonts w:hint="default" w:ascii="Times New Roman" w:hAnsi="Times New Roman" w:cs="Times New Roman"/>
                <w:color w:val="auto"/>
                <w:sz w:val="18"/>
                <w:szCs w:val="18"/>
              </w:rPr>
              <w:t>，位于厂区西侧，主要功能为对单晶硅棒进行切片</w:t>
            </w:r>
            <w:r>
              <w:rPr>
                <w:rFonts w:hint="default" w:ascii="Times New Roman" w:hAnsi="Times New Roman" w:cs="Times New Roman"/>
                <w:color w:val="auto"/>
                <w:sz w:val="18"/>
                <w:szCs w:val="18"/>
                <w:lang w:eastAsia="zh-CN"/>
              </w:rPr>
              <w:t>加工</w:t>
            </w:r>
          </w:p>
        </w:tc>
        <w:tc>
          <w:tcPr>
            <w:tcW w:w="1414" w:type="dxa"/>
            <w:vMerge w:val="continue"/>
            <w:vAlign w:val="center"/>
          </w:tcPr>
          <w:p>
            <w:pPr>
              <w:widowControl/>
              <w:jc w:val="center"/>
              <w:rPr>
                <w:rFonts w:hint="default" w:ascii="Times New Roman" w:hAnsi="Times New Roman" w:eastAsia="宋体" w:cs="Times New Roman"/>
                <w:color w:val="auto"/>
                <w:kern w:val="0"/>
                <w:sz w:val="18"/>
                <w:szCs w:val="18"/>
                <w:lang w:val="en-US" w:eastAsia="zh-CN"/>
              </w:rPr>
            </w:pPr>
          </w:p>
        </w:tc>
        <w:tc>
          <w:tcPr>
            <w:tcW w:w="708" w:type="dxa"/>
            <w:vAlign w:val="center"/>
          </w:tcPr>
          <w:p>
            <w:pPr>
              <w:widowControl/>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eastAsia="zh-CN"/>
              </w:rPr>
              <w:t>否</w:t>
            </w:r>
          </w:p>
        </w:tc>
        <w:tc>
          <w:tcPr>
            <w:tcW w:w="3362" w:type="dxa"/>
            <w:vAlign w:val="center"/>
          </w:tcPr>
          <w:p>
            <w:pPr>
              <w:widowControl/>
              <w:jc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cs="Times New Roman"/>
                <w:color w:val="auto"/>
                <w:kern w:val="0"/>
                <w:sz w:val="18"/>
                <w:szCs w:val="18"/>
                <w:lang w:eastAsia="zh-CN"/>
              </w:rPr>
              <w:t>本项目依托已建成切片车间基础设施，新增</w:t>
            </w:r>
            <w:r>
              <w:rPr>
                <w:rFonts w:hint="default" w:ascii="Times New Roman" w:hAnsi="Times New Roman" w:cs="Times New Roman"/>
                <w:color w:val="auto"/>
                <w:kern w:val="0"/>
                <w:sz w:val="18"/>
                <w:szCs w:val="18"/>
                <w:lang w:val="en-US" w:eastAsia="zh-CN"/>
              </w:rPr>
              <w:t>3GW切片生产线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401" w:type="dxa"/>
            <w:vMerge w:val="restart"/>
            <w:shd w:val="clear" w:color="auto" w:fill="auto"/>
            <w:vAlign w:val="center"/>
          </w:tcPr>
          <w:p>
            <w:pPr>
              <w:widowControl/>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辅助工程</w:t>
            </w:r>
          </w:p>
        </w:tc>
        <w:tc>
          <w:tcPr>
            <w:tcW w:w="2582" w:type="dxa"/>
            <w:gridSpan w:val="3"/>
            <w:shd w:val="clear" w:color="auto" w:fill="auto"/>
            <w:vAlign w:val="center"/>
          </w:tcPr>
          <w:p>
            <w:pPr>
              <w:widowControl/>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清洗车间</w:t>
            </w:r>
          </w:p>
        </w:tc>
        <w:tc>
          <w:tcPr>
            <w:tcW w:w="6300" w:type="dxa"/>
            <w:shd w:val="clear" w:color="auto" w:fill="auto"/>
            <w:vAlign w:val="center"/>
          </w:tcPr>
          <w:p>
            <w:pPr>
              <w:widowControl/>
              <w:jc w:val="left"/>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sz w:val="18"/>
                <w:szCs w:val="18"/>
              </w:rPr>
              <w:t>1栋1层，占地面积约1500m</w:t>
            </w:r>
            <w:r>
              <w:rPr>
                <w:rFonts w:hint="default" w:ascii="Times New Roman" w:hAnsi="Times New Roman" w:eastAsia="宋体" w:cs="Times New Roman"/>
                <w:color w:val="auto"/>
                <w:sz w:val="18"/>
                <w:szCs w:val="18"/>
                <w:vertAlign w:val="superscript"/>
              </w:rPr>
              <w:t>2</w:t>
            </w:r>
            <w:r>
              <w:rPr>
                <w:rFonts w:hint="default" w:ascii="Times New Roman" w:hAnsi="Times New Roman" w:eastAsia="宋体" w:cs="Times New Roman"/>
                <w:color w:val="auto"/>
                <w:sz w:val="18"/>
                <w:szCs w:val="18"/>
              </w:rPr>
              <w:t>、建筑面积约1500m</w:t>
            </w:r>
            <w:r>
              <w:rPr>
                <w:rFonts w:hint="default" w:ascii="Times New Roman" w:hAnsi="Times New Roman" w:eastAsia="宋体" w:cs="Times New Roman"/>
                <w:color w:val="auto"/>
                <w:sz w:val="18"/>
                <w:szCs w:val="18"/>
                <w:vertAlign w:val="superscript"/>
              </w:rPr>
              <w:t>2</w:t>
            </w:r>
            <w:r>
              <w:rPr>
                <w:rFonts w:hint="default" w:ascii="Times New Roman" w:hAnsi="Times New Roman" w:eastAsia="宋体" w:cs="Times New Roman"/>
                <w:color w:val="auto"/>
                <w:sz w:val="18"/>
                <w:szCs w:val="18"/>
              </w:rPr>
              <w:t>,位于用地中部。主要用于存放硅料清洗所需的</w:t>
            </w:r>
            <w:r>
              <w:rPr>
                <w:rFonts w:hint="default" w:ascii="Times New Roman" w:hAnsi="Times New Roman" w:cs="Times New Roman"/>
                <w:color w:val="auto"/>
                <w:sz w:val="18"/>
                <w:szCs w:val="18"/>
                <w:lang w:eastAsia="zh-CN"/>
              </w:rPr>
              <w:t>盐酸</w:t>
            </w:r>
            <w:r>
              <w:rPr>
                <w:rFonts w:hint="default" w:ascii="Times New Roman" w:hAnsi="Times New Roman" w:eastAsia="宋体" w:cs="Times New Roman"/>
                <w:color w:val="auto"/>
                <w:sz w:val="18"/>
                <w:szCs w:val="18"/>
              </w:rPr>
              <w:t>、氢氟酸、试剂等。</w:t>
            </w:r>
            <w:r>
              <w:rPr>
                <w:rFonts w:hint="default" w:ascii="Times New Roman" w:hAnsi="Times New Roman" w:eastAsia="宋体" w:cs="Times New Roman"/>
                <w:color w:val="auto"/>
                <w:sz w:val="18"/>
                <w:szCs w:val="18"/>
                <w:lang w:eastAsia="zh-CN"/>
              </w:rPr>
              <w:t>车间内设置</w:t>
            </w:r>
            <w:r>
              <w:rPr>
                <w:rFonts w:hint="default" w:ascii="Times New Roman" w:hAnsi="Times New Roman" w:eastAsia="宋体" w:cs="Times New Roman"/>
                <w:color w:val="auto"/>
                <w:sz w:val="18"/>
                <w:szCs w:val="18"/>
                <w:lang w:val="en-US" w:eastAsia="zh-CN"/>
              </w:rPr>
              <w:t>3条清洗生产线</w:t>
            </w:r>
          </w:p>
        </w:tc>
        <w:tc>
          <w:tcPr>
            <w:tcW w:w="1414" w:type="dxa"/>
            <w:vMerge w:val="continue"/>
            <w:vAlign w:val="center"/>
          </w:tcPr>
          <w:p>
            <w:pPr>
              <w:widowControl/>
              <w:jc w:val="center"/>
              <w:rPr>
                <w:rFonts w:hint="default" w:ascii="Times New Roman" w:hAnsi="Times New Roman" w:eastAsia="宋体" w:cs="Times New Roman"/>
                <w:color w:val="auto"/>
                <w:sz w:val="18"/>
                <w:szCs w:val="18"/>
              </w:rPr>
            </w:pPr>
          </w:p>
        </w:tc>
        <w:tc>
          <w:tcPr>
            <w:tcW w:w="708" w:type="dxa"/>
            <w:vAlign w:val="center"/>
          </w:tcPr>
          <w:p>
            <w:pPr>
              <w:widowControl/>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kern w:val="0"/>
                <w:sz w:val="18"/>
                <w:szCs w:val="18"/>
                <w:lang w:val="en-US" w:eastAsia="zh-CN"/>
              </w:rPr>
              <w:t>是</w:t>
            </w:r>
          </w:p>
        </w:tc>
        <w:tc>
          <w:tcPr>
            <w:tcW w:w="3362" w:type="dxa"/>
            <w:vAlign w:val="center"/>
          </w:tcPr>
          <w:p>
            <w:pPr>
              <w:widowControl/>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val="en-US" w:eastAsia="zh-CN"/>
              </w:rPr>
              <w:t>无依托关系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401" w:type="dxa"/>
            <w:vMerge w:val="continue"/>
            <w:shd w:val="clear" w:color="auto" w:fill="auto"/>
            <w:vAlign w:val="center"/>
          </w:tcPr>
          <w:p>
            <w:pPr>
              <w:widowControl/>
              <w:jc w:val="center"/>
              <w:rPr>
                <w:rFonts w:hint="default" w:ascii="Times New Roman" w:hAnsi="Times New Roman" w:eastAsia="宋体" w:cs="Times New Roman"/>
                <w:color w:val="auto"/>
                <w:kern w:val="0"/>
                <w:sz w:val="18"/>
                <w:szCs w:val="18"/>
              </w:rPr>
            </w:pPr>
          </w:p>
        </w:tc>
        <w:tc>
          <w:tcPr>
            <w:tcW w:w="2582" w:type="dxa"/>
            <w:gridSpan w:val="3"/>
            <w:shd w:val="clear" w:color="auto" w:fill="auto"/>
            <w:vAlign w:val="center"/>
          </w:tcPr>
          <w:p>
            <w:pPr>
              <w:widowControl/>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水处理站</w:t>
            </w:r>
          </w:p>
        </w:tc>
        <w:tc>
          <w:tcPr>
            <w:tcW w:w="6300" w:type="dxa"/>
            <w:shd w:val="clear" w:color="auto" w:fill="auto"/>
            <w:vAlign w:val="center"/>
          </w:tcPr>
          <w:p>
            <w:pPr>
              <w:widowControl/>
              <w:jc w:val="left"/>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sz w:val="18"/>
                <w:szCs w:val="18"/>
                <w:lang w:eastAsia="zh-CN"/>
              </w:rPr>
              <w:t>已</w:t>
            </w:r>
            <w:r>
              <w:rPr>
                <w:rFonts w:hint="default" w:ascii="Times New Roman" w:hAnsi="Times New Roman" w:eastAsia="宋体" w:cs="Times New Roman"/>
                <w:color w:val="auto"/>
                <w:sz w:val="18"/>
                <w:szCs w:val="18"/>
              </w:rPr>
              <w:t>建设1座水处理站，设置1套纯水处理系统，制备能力为</w:t>
            </w:r>
            <w:r>
              <w:rPr>
                <w:rFonts w:hint="default" w:ascii="Times New Roman" w:hAnsi="Times New Roman" w:eastAsia="宋体" w:cs="Times New Roman"/>
                <w:color w:val="auto"/>
                <w:sz w:val="18"/>
                <w:szCs w:val="18"/>
                <w:lang w:val="en-US" w:eastAsia="zh-CN"/>
              </w:rPr>
              <w:t>208.5</w:t>
            </w:r>
            <w:r>
              <w:rPr>
                <w:rFonts w:hint="default" w:ascii="Times New Roman" w:hAnsi="Times New Roman" w:eastAsia="宋体" w:cs="Times New Roman"/>
                <w:color w:val="auto"/>
                <w:sz w:val="18"/>
                <w:szCs w:val="18"/>
              </w:rPr>
              <w:t>m³/h</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采用沉淀+反渗透+钠型阳离子树脂交换法工艺</w:t>
            </w:r>
          </w:p>
        </w:tc>
        <w:tc>
          <w:tcPr>
            <w:tcW w:w="1414" w:type="dxa"/>
            <w:vMerge w:val="continue"/>
            <w:vAlign w:val="center"/>
          </w:tcPr>
          <w:p>
            <w:pPr>
              <w:widowControl/>
              <w:jc w:val="center"/>
              <w:rPr>
                <w:rFonts w:hint="default" w:ascii="Times New Roman" w:hAnsi="Times New Roman" w:eastAsia="宋体" w:cs="Times New Roman"/>
                <w:color w:val="auto"/>
                <w:kern w:val="0"/>
                <w:sz w:val="18"/>
                <w:szCs w:val="18"/>
              </w:rPr>
            </w:pPr>
          </w:p>
        </w:tc>
        <w:tc>
          <w:tcPr>
            <w:tcW w:w="708" w:type="dxa"/>
            <w:vAlign w:val="center"/>
          </w:tcPr>
          <w:p>
            <w:pPr>
              <w:widowControl/>
              <w:jc w:val="center"/>
              <w:rPr>
                <w:rFonts w:hint="default" w:ascii="Times New Roman" w:hAnsi="Times New Roman" w:eastAsia="宋体" w:cs="Times New Roman"/>
                <w:color w:val="auto"/>
                <w:kern w:val="0"/>
                <w:sz w:val="18"/>
                <w:szCs w:val="18"/>
                <w:vertAlign w:val="baseline"/>
                <w:lang w:val="en-US" w:eastAsia="zh-CN"/>
              </w:rPr>
            </w:pPr>
            <w:r>
              <w:rPr>
                <w:rFonts w:hint="default" w:ascii="Times New Roman" w:hAnsi="Times New Roman" w:cs="Times New Roman"/>
                <w:color w:val="auto"/>
                <w:kern w:val="0"/>
                <w:sz w:val="18"/>
                <w:szCs w:val="18"/>
                <w:vertAlign w:val="baseline"/>
                <w:lang w:val="en-US" w:eastAsia="zh-CN"/>
              </w:rPr>
              <w:t>是</w:t>
            </w:r>
          </w:p>
        </w:tc>
        <w:tc>
          <w:tcPr>
            <w:tcW w:w="3362" w:type="dxa"/>
            <w:vAlign w:val="center"/>
          </w:tcPr>
          <w:p>
            <w:pPr>
              <w:widowControl/>
              <w:jc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cs="Times New Roman"/>
                <w:color w:val="auto"/>
                <w:sz w:val="18"/>
                <w:szCs w:val="18"/>
                <w:lang w:val="en-US" w:eastAsia="zh-CN"/>
              </w:rPr>
              <w:t>无依托关系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401" w:type="dxa"/>
            <w:vMerge w:val="continue"/>
            <w:shd w:val="clear" w:color="auto" w:fill="auto"/>
            <w:vAlign w:val="center"/>
          </w:tcPr>
          <w:p>
            <w:pPr>
              <w:widowControl/>
              <w:jc w:val="center"/>
              <w:rPr>
                <w:rFonts w:hint="default" w:ascii="Times New Roman" w:hAnsi="Times New Roman" w:eastAsia="宋体" w:cs="Times New Roman"/>
                <w:color w:val="auto"/>
                <w:kern w:val="0"/>
                <w:sz w:val="18"/>
                <w:szCs w:val="18"/>
              </w:rPr>
            </w:pPr>
          </w:p>
        </w:tc>
        <w:tc>
          <w:tcPr>
            <w:tcW w:w="2582" w:type="dxa"/>
            <w:gridSpan w:val="3"/>
            <w:shd w:val="clear" w:color="auto" w:fill="auto"/>
            <w:vAlign w:val="center"/>
          </w:tcPr>
          <w:p>
            <w:pPr>
              <w:widowControl/>
              <w:jc w:val="center"/>
              <w:rPr>
                <w:rFonts w:hint="default" w:ascii="Times New Roman" w:hAnsi="Times New Roman" w:eastAsia="宋体" w:cs="Times New Roman"/>
                <w:color w:val="auto"/>
                <w:kern w:val="0"/>
                <w:sz w:val="18"/>
                <w:szCs w:val="18"/>
                <w:lang w:eastAsia="zh-CN"/>
              </w:rPr>
            </w:pPr>
            <w:r>
              <w:rPr>
                <w:rFonts w:hint="default" w:ascii="Times New Roman" w:hAnsi="Times New Roman" w:cs="Times New Roman"/>
                <w:color w:val="auto"/>
                <w:kern w:val="0"/>
                <w:sz w:val="18"/>
                <w:szCs w:val="18"/>
                <w:lang w:eastAsia="zh-CN"/>
              </w:rPr>
              <w:t>切片车间纯水站</w:t>
            </w:r>
          </w:p>
        </w:tc>
        <w:tc>
          <w:tcPr>
            <w:tcW w:w="6300" w:type="dxa"/>
            <w:shd w:val="clear" w:color="auto" w:fill="auto"/>
            <w:vAlign w:val="center"/>
          </w:tcPr>
          <w:p>
            <w:pPr>
              <w:widowControl/>
              <w:jc w:val="left"/>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cs="Times New Roman"/>
                <w:color w:val="auto"/>
                <w:sz w:val="18"/>
                <w:szCs w:val="18"/>
                <w:lang w:eastAsia="zh-CN"/>
              </w:rPr>
              <w:t>切片车间单独建设</w:t>
            </w:r>
            <w:r>
              <w:rPr>
                <w:rFonts w:hint="default" w:ascii="Times New Roman" w:hAnsi="Times New Roman" w:cs="Times New Roman"/>
                <w:color w:val="auto"/>
                <w:sz w:val="18"/>
                <w:szCs w:val="18"/>
                <w:lang w:val="en-US" w:eastAsia="zh-CN"/>
              </w:rPr>
              <w:t>1套纯水站，供切片车间使用，纯水制备规模为120m</w:t>
            </w:r>
            <w:r>
              <w:rPr>
                <w:rFonts w:hint="default" w:ascii="Times New Roman" w:hAnsi="Times New Roman" w:cs="Times New Roman"/>
                <w:color w:val="auto"/>
                <w:sz w:val="18"/>
                <w:szCs w:val="18"/>
                <w:vertAlign w:val="superscript"/>
                <w:lang w:val="en-US" w:eastAsia="zh-CN"/>
              </w:rPr>
              <w:t>3</w:t>
            </w:r>
            <w:r>
              <w:rPr>
                <w:rFonts w:hint="default" w:ascii="Times New Roman" w:hAnsi="Times New Roman" w:cs="Times New Roman"/>
                <w:color w:val="auto"/>
                <w:sz w:val="18"/>
                <w:szCs w:val="18"/>
                <w:vertAlign w:val="baseline"/>
                <w:lang w:val="en-US" w:eastAsia="zh-CN"/>
              </w:rPr>
              <w:t>/h，</w:t>
            </w:r>
            <w:r>
              <w:rPr>
                <w:rFonts w:hint="default" w:ascii="Times New Roman" w:hAnsi="Times New Roman" w:eastAsia="宋体" w:cs="Times New Roman"/>
                <w:color w:val="auto"/>
                <w:sz w:val="18"/>
                <w:szCs w:val="18"/>
              </w:rPr>
              <w:t>采用沉淀+反渗透+钠型阳离子树脂交换法工艺</w:t>
            </w:r>
          </w:p>
        </w:tc>
        <w:tc>
          <w:tcPr>
            <w:tcW w:w="1414" w:type="dxa"/>
            <w:vMerge w:val="continue"/>
            <w:vAlign w:val="center"/>
          </w:tcPr>
          <w:p>
            <w:pPr>
              <w:widowControl/>
              <w:jc w:val="center"/>
              <w:rPr>
                <w:rFonts w:hint="default" w:ascii="Times New Roman" w:hAnsi="Times New Roman" w:eastAsia="宋体" w:cs="Times New Roman"/>
                <w:color w:val="auto"/>
                <w:kern w:val="0"/>
                <w:sz w:val="18"/>
                <w:szCs w:val="18"/>
              </w:rPr>
            </w:pPr>
          </w:p>
        </w:tc>
        <w:tc>
          <w:tcPr>
            <w:tcW w:w="708" w:type="dxa"/>
            <w:vAlign w:val="center"/>
          </w:tcPr>
          <w:p>
            <w:pPr>
              <w:widowControl/>
              <w:jc w:val="center"/>
              <w:rPr>
                <w:rFonts w:hint="default" w:ascii="Times New Roman" w:hAnsi="Times New Roman" w:cs="Times New Roman"/>
                <w:color w:val="auto"/>
                <w:kern w:val="0"/>
                <w:sz w:val="18"/>
                <w:szCs w:val="18"/>
                <w:vertAlign w:val="baseline"/>
                <w:lang w:val="en-US" w:eastAsia="zh-CN"/>
              </w:rPr>
            </w:pPr>
            <w:r>
              <w:rPr>
                <w:rFonts w:hint="default" w:ascii="Times New Roman" w:hAnsi="Times New Roman" w:cs="Times New Roman"/>
                <w:color w:val="auto"/>
                <w:kern w:val="0"/>
                <w:sz w:val="18"/>
                <w:szCs w:val="18"/>
                <w:vertAlign w:val="baseline"/>
                <w:lang w:val="en-US" w:eastAsia="zh-CN"/>
              </w:rPr>
              <w:t>否</w:t>
            </w:r>
          </w:p>
        </w:tc>
        <w:tc>
          <w:tcPr>
            <w:tcW w:w="3362" w:type="dxa"/>
            <w:vAlign w:val="center"/>
          </w:tcPr>
          <w:p>
            <w:pPr>
              <w:widowControl/>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kern w:val="0"/>
                <w:sz w:val="18"/>
                <w:szCs w:val="18"/>
                <w:lang w:eastAsia="zh-CN"/>
              </w:rPr>
              <w:t>本项目所需纯水依托该纯水站制备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401" w:type="dxa"/>
            <w:vMerge w:val="continue"/>
            <w:shd w:val="clear" w:color="auto" w:fill="auto"/>
            <w:vAlign w:val="center"/>
          </w:tcPr>
          <w:p>
            <w:pPr>
              <w:widowControl/>
              <w:jc w:val="center"/>
              <w:rPr>
                <w:rFonts w:hint="default" w:ascii="Times New Roman" w:hAnsi="Times New Roman" w:eastAsia="宋体" w:cs="Times New Roman"/>
                <w:color w:val="auto"/>
                <w:kern w:val="0"/>
                <w:sz w:val="18"/>
                <w:szCs w:val="18"/>
              </w:rPr>
            </w:pPr>
          </w:p>
        </w:tc>
        <w:tc>
          <w:tcPr>
            <w:tcW w:w="2582" w:type="dxa"/>
            <w:gridSpan w:val="3"/>
            <w:shd w:val="clear" w:color="auto" w:fill="auto"/>
            <w:vAlign w:val="center"/>
          </w:tcPr>
          <w:p>
            <w:pPr>
              <w:widowControl/>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lang w:eastAsia="zh-CN"/>
              </w:rPr>
              <w:t>一期</w:t>
            </w:r>
            <w:r>
              <w:rPr>
                <w:rFonts w:hint="default" w:ascii="Times New Roman" w:hAnsi="Times New Roman" w:eastAsia="宋体" w:cs="Times New Roman"/>
                <w:color w:val="auto"/>
                <w:kern w:val="0"/>
                <w:sz w:val="18"/>
                <w:szCs w:val="18"/>
              </w:rPr>
              <w:t>循环水池</w:t>
            </w:r>
          </w:p>
        </w:tc>
        <w:tc>
          <w:tcPr>
            <w:tcW w:w="6300" w:type="dxa"/>
            <w:shd w:val="clear" w:color="auto" w:fill="auto"/>
            <w:vAlign w:val="center"/>
          </w:tcPr>
          <w:p>
            <w:pPr>
              <w:widowControl/>
              <w:jc w:val="left"/>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sz w:val="18"/>
                <w:szCs w:val="18"/>
                <w:lang w:val="en-US" w:eastAsia="zh-CN"/>
              </w:rPr>
              <w:t>一期单晶车间北侧设置4</w:t>
            </w:r>
            <w:r>
              <w:rPr>
                <w:rFonts w:hint="default" w:ascii="Times New Roman" w:hAnsi="Times New Roman" w:eastAsia="宋体" w:cs="Times New Roman"/>
                <w:color w:val="auto"/>
                <w:sz w:val="18"/>
                <w:szCs w:val="18"/>
              </w:rPr>
              <w:t>座循环水池</w:t>
            </w:r>
            <w:r>
              <w:rPr>
                <w:rFonts w:hint="default" w:ascii="Times New Roman" w:hAnsi="Times New Roman" w:eastAsia="宋体" w:cs="Times New Roman"/>
                <w:color w:val="auto"/>
                <w:sz w:val="18"/>
                <w:szCs w:val="18"/>
                <w:lang w:eastAsia="zh-CN"/>
              </w:rPr>
              <w:t>和</w:t>
            </w:r>
            <w:r>
              <w:rPr>
                <w:rFonts w:hint="default" w:ascii="Times New Roman" w:hAnsi="Times New Roman" w:eastAsia="宋体" w:cs="Times New Roman"/>
                <w:color w:val="auto"/>
                <w:sz w:val="18"/>
                <w:szCs w:val="18"/>
                <w:lang w:val="en-US" w:eastAsia="zh-CN"/>
              </w:rPr>
              <w:t>4</w:t>
            </w:r>
            <w:r>
              <w:rPr>
                <w:rFonts w:hint="default" w:ascii="Times New Roman" w:hAnsi="Times New Roman" w:eastAsia="宋体" w:cs="Times New Roman"/>
                <w:color w:val="auto"/>
                <w:sz w:val="18"/>
                <w:szCs w:val="18"/>
              </w:rPr>
              <w:t>座冷却塔</w:t>
            </w:r>
          </w:p>
        </w:tc>
        <w:tc>
          <w:tcPr>
            <w:tcW w:w="1414" w:type="dxa"/>
            <w:vMerge w:val="continue"/>
            <w:vAlign w:val="center"/>
          </w:tcPr>
          <w:p>
            <w:pPr>
              <w:widowControl/>
              <w:jc w:val="center"/>
              <w:rPr>
                <w:rFonts w:hint="default" w:ascii="Times New Roman" w:hAnsi="Times New Roman" w:eastAsia="宋体" w:cs="Times New Roman"/>
                <w:color w:val="auto"/>
                <w:kern w:val="0"/>
                <w:sz w:val="18"/>
                <w:szCs w:val="18"/>
              </w:rPr>
            </w:pPr>
          </w:p>
        </w:tc>
        <w:tc>
          <w:tcPr>
            <w:tcW w:w="708" w:type="dxa"/>
            <w:vAlign w:val="center"/>
          </w:tcPr>
          <w:p>
            <w:pPr>
              <w:widowControl/>
              <w:jc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cs="Times New Roman"/>
                <w:color w:val="auto"/>
                <w:kern w:val="0"/>
                <w:sz w:val="18"/>
                <w:szCs w:val="18"/>
                <w:vertAlign w:val="baseline"/>
                <w:lang w:val="en-US" w:eastAsia="zh-CN"/>
              </w:rPr>
              <w:t>是</w:t>
            </w:r>
          </w:p>
        </w:tc>
        <w:tc>
          <w:tcPr>
            <w:tcW w:w="3362" w:type="dxa"/>
            <w:vAlign w:val="center"/>
          </w:tcPr>
          <w:p>
            <w:pPr>
              <w:widowControl/>
              <w:jc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cs="Times New Roman"/>
                <w:color w:val="auto"/>
                <w:sz w:val="18"/>
                <w:szCs w:val="18"/>
                <w:lang w:val="en-US" w:eastAsia="zh-CN"/>
              </w:rPr>
              <w:t>无依托关系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401" w:type="dxa"/>
            <w:vMerge w:val="continue"/>
            <w:shd w:val="clear" w:color="auto" w:fill="auto"/>
            <w:vAlign w:val="center"/>
          </w:tcPr>
          <w:p>
            <w:pPr>
              <w:widowControl/>
              <w:jc w:val="left"/>
              <w:rPr>
                <w:rFonts w:hint="default" w:ascii="Times New Roman" w:hAnsi="Times New Roman" w:eastAsia="宋体" w:cs="Times New Roman"/>
                <w:color w:val="auto"/>
                <w:sz w:val="18"/>
                <w:szCs w:val="18"/>
              </w:rPr>
            </w:pPr>
          </w:p>
        </w:tc>
        <w:tc>
          <w:tcPr>
            <w:tcW w:w="2582" w:type="dxa"/>
            <w:gridSpan w:val="3"/>
            <w:shd w:val="clear" w:color="auto" w:fill="auto"/>
            <w:vAlign w:val="center"/>
          </w:tcPr>
          <w:p>
            <w:pPr>
              <w:widowControl/>
              <w:jc w:val="center"/>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color w:val="auto"/>
                <w:kern w:val="0"/>
                <w:sz w:val="18"/>
                <w:szCs w:val="18"/>
                <w:lang w:eastAsia="zh-CN"/>
              </w:rPr>
              <w:t>二期循环水池</w:t>
            </w:r>
          </w:p>
        </w:tc>
        <w:tc>
          <w:tcPr>
            <w:tcW w:w="6300" w:type="dxa"/>
            <w:shd w:val="clear" w:color="auto" w:fill="auto"/>
            <w:vAlign w:val="center"/>
          </w:tcPr>
          <w:p>
            <w:pPr>
              <w:widowControl/>
              <w:jc w:val="left"/>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二期单晶车间南侧</w:t>
            </w:r>
            <w:r>
              <w:rPr>
                <w:rFonts w:hint="default" w:ascii="Times New Roman" w:hAnsi="Times New Roman" w:eastAsia="宋体" w:cs="Times New Roman"/>
                <w:color w:val="auto"/>
                <w:kern w:val="0"/>
                <w:sz w:val="18"/>
                <w:szCs w:val="18"/>
                <w:lang w:eastAsia="zh-CN"/>
              </w:rPr>
              <w:t>设置</w:t>
            </w:r>
            <w:r>
              <w:rPr>
                <w:rFonts w:hint="default" w:ascii="Times New Roman" w:hAnsi="Times New Roman" w:eastAsia="宋体" w:cs="Times New Roman"/>
                <w:color w:val="auto"/>
                <w:kern w:val="0"/>
                <w:sz w:val="18"/>
                <w:szCs w:val="18"/>
              </w:rPr>
              <w:t>3座循环水池</w:t>
            </w:r>
            <w:r>
              <w:rPr>
                <w:rFonts w:hint="default" w:ascii="Times New Roman" w:hAnsi="Times New Roman" w:eastAsia="宋体" w:cs="Times New Roman"/>
                <w:color w:val="auto"/>
                <w:kern w:val="0"/>
                <w:sz w:val="18"/>
                <w:szCs w:val="18"/>
                <w:lang w:eastAsia="zh-CN"/>
              </w:rPr>
              <w:t>和</w:t>
            </w:r>
            <w:r>
              <w:rPr>
                <w:rFonts w:hint="default" w:ascii="Times New Roman" w:hAnsi="Times New Roman" w:eastAsia="宋体" w:cs="Times New Roman"/>
                <w:color w:val="auto"/>
                <w:kern w:val="0"/>
                <w:sz w:val="18"/>
                <w:szCs w:val="18"/>
                <w:lang w:val="en-US" w:eastAsia="zh-CN"/>
              </w:rPr>
              <w:t>3座</w:t>
            </w:r>
            <w:r>
              <w:rPr>
                <w:rFonts w:hint="default" w:ascii="Times New Roman" w:hAnsi="Times New Roman" w:eastAsia="宋体" w:cs="Times New Roman"/>
                <w:color w:val="auto"/>
                <w:kern w:val="0"/>
                <w:sz w:val="18"/>
                <w:szCs w:val="18"/>
              </w:rPr>
              <w:t>冷却塔</w:t>
            </w:r>
          </w:p>
        </w:tc>
        <w:tc>
          <w:tcPr>
            <w:tcW w:w="1414" w:type="dxa"/>
            <w:vMerge w:val="continue"/>
            <w:vAlign w:val="center"/>
          </w:tcPr>
          <w:p>
            <w:pPr>
              <w:widowControl/>
              <w:jc w:val="center"/>
              <w:rPr>
                <w:rFonts w:hint="default" w:ascii="Times New Roman" w:hAnsi="Times New Roman" w:eastAsia="宋体" w:cs="Times New Roman"/>
                <w:color w:val="auto"/>
                <w:kern w:val="0"/>
                <w:sz w:val="18"/>
                <w:szCs w:val="18"/>
                <w:lang w:val="en-US" w:eastAsia="zh-CN"/>
              </w:rPr>
            </w:pPr>
          </w:p>
        </w:tc>
        <w:tc>
          <w:tcPr>
            <w:tcW w:w="708" w:type="dxa"/>
            <w:vAlign w:val="center"/>
          </w:tcPr>
          <w:p>
            <w:pPr>
              <w:widowControl/>
              <w:jc w:val="center"/>
              <w:rPr>
                <w:rFonts w:hint="default" w:ascii="Times New Roman" w:hAnsi="Times New Roman" w:eastAsia="宋体" w:cs="Times New Roman"/>
                <w:color w:val="auto"/>
                <w:kern w:val="0"/>
                <w:sz w:val="18"/>
                <w:szCs w:val="18"/>
                <w:lang w:eastAsia="zh-CN"/>
              </w:rPr>
            </w:pPr>
            <w:r>
              <w:rPr>
                <w:rFonts w:hint="default" w:ascii="Times New Roman" w:hAnsi="Times New Roman" w:cs="Times New Roman"/>
                <w:color w:val="auto"/>
                <w:kern w:val="0"/>
                <w:sz w:val="18"/>
                <w:szCs w:val="18"/>
                <w:lang w:eastAsia="zh-CN"/>
              </w:rPr>
              <w:t>是</w:t>
            </w:r>
          </w:p>
        </w:tc>
        <w:tc>
          <w:tcPr>
            <w:tcW w:w="3362" w:type="dxa"/>
            <w:vAlign w:val="center"/>
          </w:tcPr>
          <w:p>
            <w:pPr>
              <w:widowControl/>
              <w:jc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cs="Times New Roman"/>
                <w:color w:val="auto"/>
                <w:sz w:val="18"/>
                <w:szCs w:val="18"/>
                <w:lang w:val="en-US" w:eastAsia="zh-CN"/>
              </w:rPr>
              <w:t>无依托关系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1" w:type="dxa"/>
            <w:vMerge w:val="continue"/>
            <w:shd w:val="clear" w:color="auto" w:fill="auto"/>
            <w:vAlign w:val="center"/>
          </w:tcPr>
          <w:p>
            <w:pPr>
              <w:widowControl/>
              <w:jc w:val="center"/>
              <w:rPr>
                <w:rFonts w:hint="default" w:ascii="Times New Roman" w:hAnsi="Times New Roman" w:eastAsia="宋体" w:cs="Times New Roman"/>
                <w:color w:val="auto"/>
                <w:kern w:val="0"/>
                <w:sz w:val="18"/>
                <w:szCs w:val="18"/>
              </w:rPr>
            </w:pPr>
          </w:p>
        </w:tc>
        <w:tc>
          <w:tcPr>
            <w:tcW w:w="2582" w:type="dxa"/>
            <w:gridSpan w:val="3"/>
            <w:shd w:val="clear" w:color="auto" w:fill="auto"/>
            <w:vAlign w:val="center"/>
          </w:tcPr>
          <w:p>
            <w:pPr>
              <w:widowControl/>
              <w:jc w:val="center"/>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color w:val="auto"/>
                <w:kern w:val="0"/>
                <w:sz w:val="18"/>
                <w:szCs w:val="18"/>
                <w:lang w:eastAsia="zh-CN"/>
              </w:rPr>
              <w:t>食堂</w:t>
            </w:r>
          </w:p>
        </w:tc>
        <w:tc>
          <w:tcPr>
            <w:tcW w:w="6300" w:type="dxa"/>
            <w:shd w:val="clear" w:color="auto" w:fill="auto"/>
            <w:vAlign w:val="center"/>
          </w:tcPr>
          <w:p>
            <w:pPr>
              <w:widowControl/>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rPr>
              <w:t>1栋2层，占地面积约1488.4m</w:t>
            </w:r>
            <w:r>
              <w:rPr>
                <w:rFonts w:hint="default" w:ascii="Times New Roman" w:hAnsi="Times New Roman" w:eastAsia="宋体" w:cs="Times New Roman"/>
                <w:color w:val="auto"/>
                <w:kern w:val="0"/>
                <w:sz w:val="18"/>
                <w:szCs w:val="18"/>
                <w:vertAlign w:val="superscript"/>
              </w:rPr>
              <w:t>2</w:t>
            </w:r>
            <w:r>
              <w:rPr>
                <w:rFonts w:hint="default" w:ascii="Times New Roman" w:hAnsi="Times New Roman" w:eastAsia="宋体" w:cs="Times New Roman"/>
                <w:color w:val="auto"/>
                <w:kern w:val="0"/>
                <w:sz w:val="18"/>
                <w:szCs w:val="18"/>
              </w:rPr>
              <w:t>，建筑面积约2816.6m</w:t>
            </w:r>
            <w:r>
              <w:rPr>
                <w:rFonts w:hint="default" w:ascii="Times New Roman" w:hAnsi="Times New Roman" w:eastAsia="宋体" w:cs="Times New Roman"/>
                <w:color w:val="auto"/>
                <w:kern w:val="0"/>
                <w:sz w:val="18"/>
                <w:szCs w:val="18"/>
                <w:vertAlign w:val="superscript"/>
              </w:rPr>
              <w:t>2</w:t>
            </w:r>
            <w:r>
              <w:rPr>
                <w:rFonts w:hint="default" w:ascii="Times New Roman" w:hAnsi="Times New Roman" w:eastAsia="宋体" w:cs="Times New Roman"/>
                <w:color w:val="auto"/>
                <w:kern w:val="0"/>
                <w:sz w:val="18"/>
                <w:szCs w:val="18"/>
              </w:rPr>
              <w:t>,主要作为职工食堂</w:t>
            </w:r>
          </w:p>
        </w:tc>
        <w:tc>
          <w:tcPr>
            <w:tcW w:w="1414" w:type="dxa"/>
            <w:vMerge w:val="continue"/>
            <w:vAlign w:val="center"/>
          </w:tcPr>
          <w:p>
            <w:pPr>
              <w:widowControl/>
              <w:jc w:val="center"/>
              <w:rPr>
                <w:rFonts w:hint="default" w:ascii="Times New Roman" w:hAnsi="Times New Roman" w:eastAsia="宋体" w:cs="Times New Roman"/>
                <w:color w:val="auto"/>
                <w:sz w:val="18"/>
                <w:szCs w:val="18"/>
                <w:lang w:val="en-US" w:eastAsia="zh-CN"/>
              </w:rPr>
            </w:pPr>
          </w:p>
        </w:tc>
        <w:tc>
          <w:tcPr>
            <w:tcW w:w="708" w:type="dxa"/>
            <w:vAlign w:val="center"/>
          </w:tcPr>
          <w:p>
            <w:pPr>
              <w:widowControl/>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kern w:val="0"/>
                <w:sz w:val="18"/>
                <w:szCs w:val="18"/>
                <w:vertAlign w:val="baseline"/>
                <w:lang w:val="en-US" w:eastAsia="zh-CN"/>
              </w:rPr>
              <w:t>是</w:t>
            </w:r>
          </w:p>
        </w:tc>
        <w:tc>
          <w:tcPr>
            <w:tcW w:w="3362" w:type="dxa"/>
            <w:vAlign w:val="center"/>
          </w:tcPr>
          <w:p>
            <w:pPr>
              <w:widowControl/>
              <w:jc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本项目新增员工餐食依托该食堂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1" w:type="dxa"/>
            <w:vMerge w:val="continue"/>
            <w:shd w:val="clear" w:color="auto" w:fill="auto"/>
            <w:vAlign w:val="center"/>
          </w:tcPr>
          <w:p>
            <w:pPr>
              <w:widowControl/>
              <w:jc w:val="center"/>
              <w:rPr>
                <w:rFonts w:hint="default" w:ascii="Times New Roman" w:hAnsi="Times New Roman" w:eastAsia="宋体" w:cs="Times New Roman"/>
                <w:color w:val="auto"/>
                <w:kern w:val="0"/>
                <w:sz w:val="18"/>
                <w:szCs w:val="18"/>
              </w:rPr>
            </w:pPr>
          </w:p>
        </w:tc>
        <w:tc>
          <w:tcPr>
            <w:tcW w:w="2582" w:type="dxa"/>
            <w:gridSpan w:val="3"/>
            <w:shd w:val="clear" w:color="auto" w:fill="auto"/>
            <w:vAlign w:val="center"/>
          </w:tcPr>
          <w:p>
            <w:pPr>
              <w:widowControl/>
              <w:jc w:val="center"/>
              <w:rPr>
                <w:rFonts w:hint="default" w:ascii="Times New Roman" w:hAnsi="Times New Roman" w:eastAsia="宋体" w:cs="Times New Roman"/>
                <w:color w:val="auto"/>
                <w:kern w:val="0"/>
                <w:sz w:val="18"/>
                <w:szCs w:val="18"/>
                <w:lang w:eastAsia="zh-CN"/>
              </w:rPr>
            </w:pPr>
            <w:r>
              <w:rPr>
                <w:rFonts w:hint="default" w:ascii="Times New Roman" w:hAnsi="Times New Roman" w:cs="Times New Roman"/>
                <w:color w:val="auto"/>
                <w:kern w:val="0"/>
                <w:sz w:val="18"/>
                <w:szCs w:val="18"/>
                <w:lang w:eastAsia="zh-CN"/>
              </w:rPr>
              <w:t>清真食堂</w:t>
            </w:r>
          </w:p>
        </w:tc>
        <w:tc>
          <w:tcPr>
            <w:tcW w:w="6300" w:type="dxa"/>
            <w:shd w:val="clear" w:color="auto" w:fill="auto"/>
            <w:vAlign w:val="center"/>
          </w:tcPr>
          <w:p>
            <w:pPr>
              <w:widowControl/>
              <w:jc w:val="left"/>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1栋2层，</w:t>
            </w:r>
            <w:r>
              <w:rPr>
                <w:rFonts w:hint="default" w:ascii="Times New Roman" w:hAnsi="Times New Roman" w:eastAsia="宋体" w:cs="Times New Roman"/>
                <w:color w:val="auto"/>
                <w:kern w:val="0"/>
                <w:sz w:val="18"/>
                <w:szCs w:val="18"/>
              </w:rPr>
              <w:t>占地面积约1</w:t>
            </w:r>
            <w:r>
              <w:rPr>
                <w:rFonts w:hint="default" w:ascii="Times New Roman" w:hAnsi="Times New Roman" w:cs="Times New Roman"/>
                <w:color w:val="auto"/>
                <w:kern w:val="0"/>
                <w:sz w:val="18"/>
                <w:szCs w:val="18"/>
                <w:lang w:val="en-US" w:eastAsia="zh-CN"/>
              </w:rPr>
              <w:t>144.48</w:t>
            </w:r>
            <w:r>
              <w:rPr>
                <w:rFonts w:hint="default" w:ascii="Times New Roman" w:hAnsi="Times New Roman" w:eastAsia="宋体" w:cs="Times New Roman"/>
                <w:color w:val="auto"/>
                <w:kern w:val="0"/>
                <w:sz w:val="18"/>
                <w:szCs w:val="18"/>
              </w:rPr>
              <w:t>m</w:t>
            </w:r>
            <w:r>
              <w:rPr>
                <w:rFonts w:hint="default" w:ascii="Times New Roman" w:hAnsi="Times New Roman" w:eastAsia="宋体" w:cs="Times New Roman"/>
                <w:color w:val="auto"/>
                <w:kern w:val="0"/>
                <w:sz w:val="18"/>
                <w:szCs w:val="18"/>
                <w:vertAlign w:val="superscript"/>
              </w:rPr>
              <w:t>2</w:t>
            </w:r>
            <w:r>
              <w:rPr>
                <w:rFonts w:hint="default" w:ascii="Times New Roman" w:hAnsi="Times New Roman" w:eastAsia="宋体" w:cs="Times New Roman"/>
                <w:color w:val="auto"/>
                <w:kern w:val="0"/>
                <w:sz w:val="18"/>
                <w:szCs w:val="18"/>
              </w:rPr>
              <w:t>，建筑面积约</w:t>
            </w:r>
            <w:r>
              <w:rPr>
                <w:rFonts w:hint="default" w:ascii="Times New Roman" w:hAnsi="Times New Roman" w:cs="Times New Roman"/>
                <w:color w:val="auto"/>
                <w:kern w:val="0"/>
                <w:sz w:val="18"/>
                <w:szCs w:val="18"/>
                <w:lang w:val="en-US" w:eastAsia="zh-CN"/>
              </w:rPr>
              <w:t>2288.96</w:t>
            </w:r>
            <w:r>
              <w:rPr>
                <w:rFonts w:hint="default" w:ascii="Times New Roman" w:hAnsi="Times New Roman" w:eastAsia="宋体" w:cs="Times New Roman"/>
                <w:color w:val="auto"/>
                <w:kern w:val="0"/>
                <w:sz w:val="18"/>
                <w:szCs w:val="18"/>
              </w:rPr>
              <w:t>m</w:t>
            </w:r>
            <w:r>
              <w:rPr>
                <w:rFonts w:hint="default" w:ascii="Times New Roman" w:hAnsi="Times New Roman" w:eastAsia="宋体" w:cs="Times New Roman"/>
                <w:color w:val="auto"/>
                <w:kern w:val="0"/>
                <w:sz w:val="18"/>
                <w:szCs w:val="18"/>
                <w:vertAlign w:val="superscript"/>
              </w:rPr>
              <w:t>2</w:t>
            </w:r>
            <w:r>
              <w:rPr>
                <w:rFonts w:hint="default" w:ascii="Times New Roman" w:hAnsi="Times New Roman" w:eastAsia="宋体" w:cs="Times New Roman"/>
                <w:color w:val="auto"/>
                <w:kern w:val="0"/>
                <w:sz w:val="18"/>
                <w:szCs w:val="18"/>
              </w:rPr>
              <w:t>,主要作为职工食堂</w:t>
            </w:r>
          </w:p>
        </w:tc>
        <w:tc>
          <w:tcPr>
            <w:tcW w:w="1414" w:type="dxa"/>
            <w:vMerge w:val="continue"/>
            <w:vAlign w:val="center"/>
          </w:tcPr>
          <w:p>
            <w:pPr>
              <w:widowControl/>
              <w:jc w:val="center"/>
              <w:rPr>
                <w:rFonts w:hint="default" w:ascii="Times New Roman" w:hAnsi="Times New Roman" w:eastAsia="宋体" w:cs="Times New Roman"/>
                <w:color w:val="auto"/>
                <w:sz w:val="18"/>
                <w:szCs w:val="18"/>
                <w:lang w:val="en-US" w:eastAsia="zh-CN"/>
              </w:rPr>
            </w:pPr>
          </w:p>
        </w:tc>
        <w:tc>
          <w:tcPr>
            <w:tcW w:w="708" w:type="dxa"/>
            <w:vAlign w:val="center"/>
          </w:tcPr>
          <w:p>
            <w:pPr>
              <w:widowControl/>
              <w:jc w:val="center"/>
              <w:rPr>
                <w:rFonts w:hint="default" w:ascii="Times New Roman" w:hAnsi="Times New Roman" w:cs="Times New Roman"/>
                <w:color w:val="auto"/>
                <w:kern w:val="0"/>
                <w:sz w:val="18"/>
                <w:szCs w:val="18"/>
                <w:vertAlign w:val="baseline"/>
                <w:lang w:val="en-US" w:eastAsia="zh-CN"/>
              </w:rPr>
            </w:pPr>
            <w:r>
              <w:rPr>
                <w:rFonts w:hint="default" w:ascii="Times New Roman" w:hAnsi="Times New Roman" w:cs="Times New Roman"/>
                <w:color w:val="auto"/>
                <w:kern w:val="0"/>
                <w:sz w:val="18"/>
                <w:szCs w:val="18"/>
                <w:vertAlign w:val="baseline"/>
                <w:lang w:val="en-US" w:eastAsia="zh-CN"/>
              </w:rPr>
              <w:t>否</w:t>
            </w:r>
          </w:p>
        </w:tc>
        <w:tc>
          <w:tcPr>
            <w:tcW w:w="3362" w:type="dxa"/>
            <w:vAlign w:val="center"/>
          </w:tcPr>
          <w:p>
            <w:pPr>
              <w:widowControl/>
              <w:jc w:val="center"/>
              <w:rPr>
                <w:rFonts w:hint="default" w:ascii="Times New Roman" w:hAnsi="Times New Roman"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rPr>
              <w:t>本项目新增员工餐食依托该食堂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1" w:type="dxa"/>
            <w:vMerge w:val="continue"/>
            <w:shd w:val="clear" w:color="auto" w:fill="auto"/>
            <w:vAlign w:val="center"/>
          </w:tcPr>
          <w:p>
            <w:pPr>
              <w:widowControl/>
              <w:jc w:val="center"/>
              <w:rPr>
                <w:rFonts w:hint="default" w:ascii="Times New Roman" w:hAnsi="Times New Roman" w:eastAsia="宋体" w:cs="Times New Roman"/>
                <w:color w:val="auto"/>
                <w:kern w:val="0"/>
                <w:sz w:val="18"/>
                <w:szCs w:val="18"/>
              </w:rPr>
            </w:pPr>
          </w:p>
        </w:tc>
        <w:tc>
          <w:tcPr>
            <w:tcW w:w="2582" w:type="dxa"/>
            <w:gridSpan w:val="3"/>
            <w:shd w:val="clear" w:color="auto" w:fill="auto"/>
            <w:vAlign w:val="center"/>
          </w:tcPr>
          <w:p>
            <w:pPr>
              <w:widowControl/>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办公楼</w:t>
            </w:r>
          </w:p>
        </w:tc>
        <w:tc>
          <w:tcPr>
            <w:tcW w:w="6300" w:type="dxa"/>
            <w:shd w:val="clear" w:color="auto" w:fill="auto"/>
            <w:vAlign w:val="center"/>
          </w:tcPr>
          <w:p>
            <w:pPr>
              <w:widowControl/>
              <w:jc w:val="left"/>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sz w:val="18"/>
                <w:szCs w:val="18"/>
              </w:rPr>
              <w:t>1栋</w:t>
            </w:r>
            <w:r>
              <w:rPr>
                <w:rFonts w:hint="default" w:ascii="Times New Roman" w:hAnsi="Times New Roman" w:cs="Times New Roman"/>
                <w:color w:val="auto"/>
                <w:sz w:val="18"/>
                <w:szCs w:val="18"/>
                <w:lang w:val="en-US" w:eastAsia="zh-CN"/>
              </w:rPr>
              <w:t>4</w:t>
            </w:r>
            <w:r>
              <w:rPr>
                <w:rFonts w:hint="default" w:ascii="Times New Roman" w:hAnsi="Times New Roman" w:eastAsia="宋体" w:cs="Times New Roman"/>
                <w:color w:val="auto"/>
                <w:sz w:val="18"/>
                <w:szCs w:val="18"/>
              </w:rPr>
              <w:t>层，占地面积约</w:t>
            </w:r>
            <w:r>
              <w:rPr>
                <w:rFonts w:hint="default" w:ascii="Times New Roman" w:hAnsi="Times New Roman" w:cs="Times New Roman"/>
                <w:color w:val="auto"/>
                <w:sz w:val="18"/>
                <w:szCs w:val="18"/>
                <w:lang w:val="en-US" w:eastAsia="zh-CN"/>
              </w:rPr>
              <w:t>1642</w:t>
            </w:r>
            <w:r>
              <w:rPr>
                <w:rFonts w:hint="default" w:ascii="Times New Roman" w:hAnsi="Times New Roman" w:eastAsia="宋体" w:cs="Times New Roman"/>
                <w:color w:val="auto"/>
                <w:sz w:val="18"/>
                <w:szCs w:val="18"/>
              </w:rPr>
              <w:t>m</w:t>
            </w:r>
            <w:r>
              <w:rPr>
                <w:rFonts w:hint="default" w:ascii="Times New Roman" w:hAnsi="Times New Roman" w:eastAsia="宋体" w:cs="Times New Roman"/>
                <w:color w:val="auto"/>
                <w:sz w:val="18"/>
                <w:szCs w:val="18"/>
                <w:vertAlign w:val="superscript"/>
              </w:rPr>
              <w:t>2</w:t>
            </w:r>
            <w:r>
              <w:rPr>
                <w:rFonts w:hint="default" w:ascii="Times New Roman" w:hAnsi="Times New Roman" w:eastAsia="宋体" w:cs="Times New Roman"/>
                <w:color w:val="auto"/>
                <w:sz w:val="18"/>
                <w:szCs w:val="18"/>
              </w:rPr>
              <w:t>、建筑面积约</w:t>
            </w:r>
            <w:r>
              <w:rPr>
                <w:rFonts w:hint="default" w:ascii="Times New Roman" w:hAnsi="Times New Roman" w:cs="Times New Roman"/>
                <w:color w:val="auto"/>
                <w:sz w:val="18"/>
                <w:szCs w:val="18"/>
                <w:lang w:val="en-US" w:eastAsia="zh-CN"/>
              </w:rPr>
              <w:t>6568</w:t>
            </w:r>
            <w:r>
              <w:rPr>
                <w:rFonts w:hint="default" w:ascii="Times New Roman" w:hAnsi="Times New Roman" w:eastAsia="宋体" w:cs="Times New Roman"/>
                <w:color w:val="auto"/>
                <w:sz w:val="18"/>
                <w:szCs w:val="18"/>
              </w:rPr>
              <w:t>m</w:t>
            </w:r>
            <w:r>
              <w:rPr>
                <w:rFonts w:hint="default" w:ascii="Times New Roman" w:hAnsi="Times New Roman" w:eastAsia="宋体" w:cs="Times New Roman"/>
                <w:color w:val="auto"/>
                <w:sz w:val="18"/>
                <w:szCs w:val="18"/>
                <w:vertAlign w:val="superscript"/>
              </w:rPr>
              <w:t>2</w:t>
            </w:r>
            <w:r>
              <w:rPr>
                <w:rFonts w:hint="default" w:ascii="Times New Roman" w:hAnsi="Times New Roman" w:eastAsia="宋体" w:cs="Times New Roman"/>
                <w:color w:val="auto"/>
                <w:sz w:val="18"/>
                <w:szCs w:val="18"/>
              </w:rPr>
              <w:t>，主要用于公司行政办公等</w:t>
            </w:r>
            <w:r>
              <w:rPr>
                <w:rFonts w:hint="default" w:ascii="Times New Roman" w:hAnsi="Times New Roman" w:cs="Times New Roman"/>
                <w:color w:val="auto"/>
                <w:sz w:val="18"/>
                <w:szCs w:val="18"/>
                <w:lang w:eastAsia="zh-CN"/>
              </w:rPr>
              <w:t>，位于项目西南侧</w:t>
            </w:r>
          </w:p>
        </w:tc>
        <w:tc>
          <w:tcPr>
            <w:tcW w:w="1414" w:type="dxa"/>
            <w:vMerge w:val="continue"/>
            <w:vAlign w:val="center"/>
          </w:tcPr>
          <w:p>
            <w:pPr>
              <w:widowControl/>
              <w:jc w:val="center"/>
              <w:rPr>
                <w:rFonts w:hint="default" w:ascii="Times New Roman" w:hAnsi="Times New Roman" w:eastAsia="宋体" w:cs="Times New Roman"/>
                <w:color w:val="auto"/>
                <w:sz w:val="18"/>
                <w:szCs w:val="18"/>
                <w:lang w:val="en-US" w:eastAsia="zh-CN"/>
              </w:rPr>
            </w:pPr>
          </w:p>
        </w:tc>
        <w:tc>
          <w:tcPr>
            <w:tcW w:w="708" w:type="dxa"/>
            <w:vAlign w:val="center"/>
          </w:tcPr>
          <w:p>
            <w:pPr>
              <w:widowControl/>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kern w:val="0"/>
                <w:sz w:val="18"/>
                <w:szCs w:val="18"/>
                <w:vertAlign w:val="baseline"/>
                <w:lang w:val="en-US" w:eastAsia="zh-CN"/>
              </w:rPr>
              <w:t>是</w:t>
            </w:r>
          </w:p>
        </w:tc>
        <w:tc>
          <w:tcPr>
            <w:tcW w:w="3362" w:type="dxa"/>
            <w:vAlign w:val="center"/>
          </w:tcPr>
          <w:p>
            <w:pPr>
              <w:widowControl/>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bidi="ar-SA"/>
              </w:rPr>
              <w:t>本项目新增员工办公依托该办公楼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401" w:type="dxa"/>
            <w:vMerge w:val="continue"/>
            <w:shd w:val="clear" w:color="auto" w:fill="auto"/>
            <w:vAlign w:val="center"/>
          </w:tcPr>
          <w:p>
            <w:pPr>
              <w:widowControl/>
              <w:jc w:val="center"/>
              <w:rPr>
                <w:rFonts w:hint="default" w:ascii="Times New Roman" w:hAnsi="Times New Roman" w:eastAsia="宋体" w:cs="Times New Roman"/>
                <w:color w:val="auto"/>
                <w:kern w:val="0"/>
                <w:sz w:val="18"/>
                <w:szCs w:val="18"/>
              </w:rPr>
            </w:pPr>
          </w:p>
        </w:tc>
        <w:tc>
          <w:tcPr>
            <w:tcW w:w="2582" w:type="dxa"/>
            <w:gridSpan w:val="3"/>
            <w:shd w:val="clear" w:color="auto" w:fill="auto"/>
            <w:vAlign w:val="center"/>
          </w:tcPr>
          <w:p>
            <w:pPr>
              <w:widowControl/>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rPr>
              <w:t>宿舍</w:t>
            </w:r>
          </w:p>
        </w:tc>
        <w:tc>
          <w:tcPr>
            <w:tcW w:w="6300" w:type="dxa"/>
            <w:shd w:val="clear" w:color="auto" w:fill="auto"/>
            <w:vAlign w:val="center"/>
          </w:tcPr>
          <w:p>
            <w:pPr>
              <w:widowControl/>
              <w:jc w:val="left"/>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0"/>
                <w:sz w:val="18"/>
                <w:szCs w:val="18"/>
              </w:rPr>
              <w:t>1栋6层，占地面积1095.64m</w:t>
            </w:r>
            <w:r>
              <w:rPr>
                <w:rFonts w:hint="default" w:ascii="Times New Roman" w:hAnsi="Times New Roman" w:eastAsia="宋体" w:cs="Times New Roman"/>
                <w:color w:val="auto"/>
                <w:kern w:val="0"/>
                <w:sz w:val="18"/>
                <w:szCs w:val="18"/>
                <w:vertAlign w:val="superscript"/>
              </w:rPr>
              <w:t>2</w:t>
            </w:r>
            <w:r>
              <w:rPr>
                <w:rFonts w:hint="default" w:ascii="Times New Roman" w:hAnsi="Times New Roman" w:eastAsia="宋体" w:cs="Times New Roman"/>
                <w:color w:val="auto"/>
                <w:kern w:val="0"/>
                <w:sz w:val="18"/>
                <w:szCs w:val="18"/>
              </w:rPr>
              <w:t>，建筑面积6629.2m</w:t>
            </w:r>
            <w:r>
              <w:rPr>
                <w:rFonts w:hint="default" w:ascii="Times New Roman" w:hAnsi="Times New Roman" w:eastAsia="宋体" w:cs="Times New Roman"/>
                <w:color w:val="auto"/>
                <w:kern w:val="0"/>
                <w:sz w:val="18"/>
                <w:szCs w:val="18"/>
                <w:vertAlign w:val="superscript"/>
              </w:rPr>
              <w:t>2</w:t>
            </w:r>
            <w:r>
              <w:rPr>
                <w:rFonts w:hint="default" w:ascii="Times New Roman" w:hAnsi="Times New Roman" w:eastAsia="宋体" w:cs="Times New Roman"/>
                <w:color w:val="auto"/>
                <w:kern w:val="0"/>
                <w:sz w:val="18"/>
                <w:szCs w:val="18"/>
              </w:rPr>
              <w:t>，主要用于厂内员工住宿</w:t>
            </w:r>
          </w:p>
        </w:tc>
        <w:tc>
          <w:tcPr>
            <w:tcW w:w="1414" w:type="dxa"/>
            <w:vMerge w:val="continue"/>
            <w:vAlign w:val="center"/>
          </w:tcPr>
          <w:p>
            <w:pPr>
              <w:widowControl/>
              <w:jc w:val="center"/>
              <w:rPr>
                <w:rFonts w:hint="default" w:ascii="Times New Roman" w:hAnsi="Times New Roman" w:eastAsia="宋体" w:cs="Times New Roman"/>
                <w:color w:val="auto"/>
                <w:kern w:val="2"/>
                <w:sz w:val="18"/>
                <w:szCs w:val="18"/>
                <w:lang w:val="en-US" w:eastAsia="zh-CN" w:bidi="ar-SA"/>
              </w:rPr>
            </w:pPr>
          </w:p>
        </w:tc>
        <w:tc>
          <w:tcPr>
            <w:tcW w:w="708" w:type="dxa"/>
            <w:vAlign w:val="center"/>
          </w:tcPr>
          <w:p>
            <w:pPr>
              <w:widowControl/>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eastAsia="zh-CN"/>
              </w:rPr>
              <w:t>是</w:t>
            </w:r>
          </w:p>
        </w:tc>
        <w:tc>
          <w:tcPr>
            <w:tcW w:w="3362" w:type="dxa"/>
            <w:vAlign w:val="center"/>
          </w:tcPr>
          <w:p>
            <w:pPr>
              <w:widowControl/>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bidi="ar-SA"/>
              </w:rPr>
              <w:t>本项目新增员工住宿依托该宿舍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1" w:type="dxa"/>
            <w:vMerge w:val="continue"/>
            <w:shd w:val="clear" w:color="auto" w:fill="auto"/>
            <w:vAlign w:val="center"/>
          </w:tcPr>
          <w:p>
            <w:pPr>
              <w:widowControl/>
              <w:jc w:val="center"/>
              <w:rPr>
                <w:rFonts w:hint="default" w:ascii="Times New Roman" w:hAnsi="Times New Roman" w:eastAsia="宋体" w:cs="Times New Roman"/>
                <w:color w:val="auto"/>
                <w:kern w:val="0"/>
                <w:sz w:val="18"/>
                <w:szCs w:val="18"/>
              </w:rPr>
            </w:pPr>
          </w:p>
        </w:tc>
        <w:tc>
          <w:tcPr>
            <w:tcW w:w="2582" w:type="dxa"/>
            <w:gridSpan w:val="3"/>
            <w:shd w:val="clear" w:color="auto" w:fill="auto"/>
            <w:vAlign w:val="center"/>
          </w:tcPr>
          <w:p>
            <w:pPr>
              <w:widowControl/>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eastAsia="zh-CN"/>
              </w:rPr>
              <w:t>专家楼</w:t>
            </w:r>
          </w:p>
        </w:tc>
        <w:tc>
          <w:tcPr>
            <w:tcW w:w="6300" w:type="dxa"/>
            <w:shd w:val="clear" w:color="auto" w:fill="auto"/>
            <w:vAlign w:val="center"/>
          </w:tcPr>
          <w:p>
            <w:pPr>
              <w:widowControl/>
              <w:jc w:val="left"/>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rPr>
              <w:t>3栋，均为3层，占地面积768.78m</w:t>
            </w:r>
            <w:r>
              <w:rPr>
                <w:rFonts w:hint="default" w:ascii="Times New Roman" w:hAnsi="Times New Roman" w:eastAsia="宋体" w:cs="Times New Roman"/>
                <w:color w:val="auto"/>
                <w:kern w:val="0"/>
                <w:sz w:val="18"/>
                <w:szCs w:val="18"/>
                <w:vertAlign w:val="superscript"/>
              </w:rPr>
              <w:t>2</w:t>
            </w:r>
            <w:r>
              <w:rPr>
                <w:rFonts w:hint="default" w:ascii="Times New Roman" w:hAnsi="Times New Roman" w:eastAsia="宋体" w:cs="Times New Roman"/>
                <w:color w:val="auto"/>
                <w:kern w:val="0"/>
                <w:sz w:val="18"/>
                <w:szCs w:val="18"/>
              </w:rPr>
              <w:t>，建筑面积1120.2m</w:t>
            </w:r>
            <w:r>
              <w:rPr>
                <w:rFonts w:hint="default" w:ascii="Times New Roman" w:hAnsi="Times New Roman" w:eastAsia="宋体" w:cs="Times New Roman"/>
                <w:color w:val="auto"/>
                <w:kern w:val="0"/>
                <w:sz w:val="18"/>
                <w:szCs w:val="18"/>
                <w:vertAlign w:val="superscript"/>
              </w:rPr>
              <w:t>2</w:t>
            </w:r>
            <w:r>
              <w:rPr>
                <w:rFonts w:hint="default" w:ascii="Times New Roman" w:hAnsi="Times New Roman" w:eastAsia="宋体" w:cs="Times New Roman"/>
                <w:color w:val="auto"/>
                <w:kern w:val="0"/>
                <w:sz w:val="18"/>
                <w:szCs w:val="18"/>
              </w:rPr>
              <w:t>，主要用于接待外来专家、到访人员</w:t>
            </w:r>
          </w:p>
        </w:tc>
        <w:tc>
          <w:tcPr>
            <w:tcW w:w="1414" w:type="dxa"/>
            <w:vMerge w:val="continue"/>
            <w:vAlign w:val="center"/>
          </w:tcPr>
          <w:p>
            <w:pPr>
              <w:widowControl/>
              <w:jc w:val="center"/>
              <w:rPr>
                <w:rFonts w:hint="default" w:ascii="Times New Roman" w:hAnsi="Times New Roman" w:eastAsia="宋体" w:cs="Times New Roman"/>
                <w:color w:val="auto"/>
                <w:kern w:val="2"/>
                <w:sz w:val="18"/>
                <w:szCs w:val="18"/>
                <w:lang w:val="en-US" w:eastAsia="zh-CN" w:bidi="ar-SA"/>
              </w:rPr>
            </w:pPr>
          </w:p>
        </w:tc>
        <w:tc>
          <w:tcPr>
            <w:tcW w:w="708" w:type="dxa"/>
            <w:vAlign w:val="center"/>
          </w:tcPr>
          <w:p>
            <w:pPr>
              <w:widowControl/>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kern w:val="2"/>
                <w:sz w:val="18"/>
                <w:szCs w:val="18"/>
                <w:lang w:val="en-US" w:eastAsia="zh-CN" w:bidi="ar-SA"/>
              </w:rPr>
              <w:t>是</w:t>
            </w:r>
          </w:p>
        </w:tc>
        <w:tc>
          <w:tcPr>
            <w:tcW w:w="3362" w:type="dxa"/>
            <w:vAlign w:val="center"/>
          </w:tcPr>
          <w:p>
            <w:pPr>
              <w:widowControl/>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本项目专家接待依托该专家楼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1" w:type="dxa"/>
            <w:vMerge w:val="continue"/>
            <w:shd w:val="clear" w:color="auto" w:fill="auto"/>
            <w:vAlign w:val="center"/>
          </w:tcPr>
          <w:p>
            <w:pPr>
              <w:widowControl/>
              <w:jc w:val="center"/>
              <w:rPr>
                <w:rFonts w:hint="default" w:ascii="Times New Roman" w:hAnsi="Times New Roman" w:eastAsia="宋体" w:cs="Times New Roman"/>
                <w:color w:val="auto"/>
                <w:kern w:val="0"/>
                <w:sz w:val="18"/>
                <w:szCs w:val="18"/>
              </w:rPr>
            </w:pPr>
          </w:p>
        </w:tc>
        <w:tc>
          <w:tcPr>
            <w:tcW w:w="2582" w:type="dxa"/>
            <w:gridSpan w:val="3"/>
            <w:shd w:val="clear" w:color="auto" w:fill="auto"/>
            <w:vAlign w:val="center"/>
          </w:tcPr>
          <w:p>
            <w:pPr>
              <w:widowControl/>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eastAsia="zh-CN"/>
              </w:rPr>
              <w:t>门卫室</w:t>
            </w:r>
          </w:p>
        </w:tc>
        <w:tc>
          <w:tcPr>
            <w:tcW w:w="6300" w:type="dxa"/>
            <w:shd w:val="clear" w:color="auto" w:fill="auto"/>
            <w:vAlign w:val="center"/>
          </w:tcPr>
          <w:p>
            <w:pPr>
              <w:widowControl/>
              <w:jc w:val="left"/>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sz w:val="18"/>
                <w:szCs w:val="18"/>
              </w:rPr>
              <w:t>2间门卫室，占地面积和建筑面积均为18</w:t>
            </w:r>
            <w:r>
              <w:rPr>
                <w:rFonts w:hint="default" w:ascii="Times New Roman" w:hAnsi="Times New Roman" w:cs="Times New Roman"/>
                <w:color w:val="auto"/>
                <w:sz w:val="18"/>
                <w:szCs w:val="18"/>
                <w:lang w:val="en-US" w:eastAsia="zh-CN"/>
              </w:rPr>
              <w:t>.54</w:t>
            </w:r>
            <w:r>
              <w:rPr>
                <w:rFonts w:hint="default" w:ascii="Times New Roman" w:hAnsi="Times New Roman" w:cs="Times New Roman"/>
                <w:color w:val="auto"/>
                <w:sz w:val="18"/>
                <w:szCs w:val="18"/>
              </w:rPr>
              <w:t>m</w:t>
            </w:r>
            <w:r>
              <w:rPr>
                <w:rFonts w:hint="default" w:ascii="Times New Roman" w:hAnsi="Times New Roman" w:cs="Times New Roman"/>
                <w:color w:val="auto"/>
                <w:sz w:val="18"/>
                <w:szCs w:val="18"/>
                <w:vertAlign w:val="superscript"/>
              </w:rPr>
              <w:t>2</w:t>
            </w:r>
            <w:r>
              <w:rPr>
                <w:rFonts w:hint="default" w:ascii="Times New Roman" w:hAnsi="Times New Roman" w:cs="Times New Roman"/>
                <w:color w:val="auto"/>
                <w:sz w:val="18"/>
                <w:szCs w:val="18"/>
                <w:vertAlign w:val="baseline"/>
                <w:lang w:eastAsia="zh-CN"/>
              </w:rPr>
              <w:t>，主要用于安保人员办公</w:t>
            </w:r>
          </w:p>
        </w:tc>
        <w:tc>
          <w:tcPr>
            <w:tcW w:w="1414" w:type="dxa"/>
            <w:vMerge w:val="continue"/>
            <w:vAlign w:val="center"/>
          </w:tcPr>
          <w:p>
            <w:pPr>
              <w:widowControl/>
              <w:jc w:val="center"/>
              <w:rPr>
                <w:rFonts w:hint="default" w:ascii="Times New Roman" w:hAnsi="Times New Roman" w:eastAsia="宋体" w:cs="Times New Roman"/>
                <w:color w:val="auto"/>
                <w:kern w:val="2"/>
                <w:sz w:val="18"/>
                <w:szCs w:val="18"/>
                <w:lang w:val="en-US" w:eastAsia="zh-CN" w:bidi="ar-SA"/>
              </w:rPr>
            </w:pPr>
          </w:p>
        </w:tc>
        <w:tc>
          <w:tcPr>
            <w:tcW w:w="708" w:type="dxa"/>
            <w:vAlign w:val="center"/>
          </w:tcPr>
          <w:p>
            <w:pPr>
              <w:widowControl/>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kern w:val="2"/>
                <w:sz w:val="18"/>
                <w:szCs w:val="18"/>
                <w:lang w:val="en-US" w:eastAsia="zh-CN" w:bidi="ar-SA"/>
              </w:rPr>
              <w:t>是</w:t>
            </w:r>
          </w:p>
        </w:tc>
        <w:tc>
          <w:tcPr>
            <w:tcW w:w="3362" w:type="dxa"/>
            <w:vAlign w:val="center"/>
          </w:tcPr>
          <w:p>
            <w:pPr>
              <w:widowControl/>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本项目安保依托该设施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401" w:type="dxa"/>
            <w:vMerge w:val="continue"/>
            <w:shd w:val="clear" w:color="auto" w:fill="auto"/>
            <w:vAlign w:val="center"/>
          </w:tcPr>
          <w:p>
            <w:pPr>
              <w:widowControl/>
              <w:jc w:val="center"/>
              <w:rPr>
                <w:rFonts w:hint="default" w:ascii="Times New Roman" w:hAnsi="Times New Roman" w:eastAsia="宋体" w:cs="Times New Roman"/>
                <w:color w:val="auto"/>
                <w:kern w:val="0"/>
                <w:sz w:val="18"/>
                <w:szCs w:val="18"/>
              </w:rPr>
            </w:pPr>
          </w:p>
        </w:tc>
        <w:tc>
          <w:tcPr>
            <w:tcW w:w="2582" w:type="dxa"/>
            <w:gridSpan w:val="3"/>
            <w:shd w:val="clear" w:color="auto" w:fill="auto"/>
            <w:vAlign w:val="center"/>
          </w:tcPr>
          <w:p>
            <w:pPr>
              <w:widowControl/>
              <w:jc w:val="center"/>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color w:val="auto"/>
                <w:kern w:val="0"/>
                <w:sz w:val="18"/>
                <w:szCs w:val="18"/>
                <w:lang w:eastAsia="zh-CN"/>
              </w:rPr>
              <w:t>氩气回收系统</w:t>
            </w:r>
          </w:p>
        </w:tc>
        <w:tc>
          <w:tcPr>
            <w:tcW w:w="6300" w:type="dxa"/>
            <w:shd w:val="clear" w:color="auto" w:fill="auto"/>
            <w:vAlign w:val="center"/>
          </w:tcPr>
          <w:p>
            <w:pPr>
              <w:widowControl/>
              <w:jc w:val="left"/>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color w:val="auto"/>
                <w:kern w:val="0"/>
                <w:sz w:val="18"/>
                <w:szCs w:val="18"/>
              </w:rPr>
              <w:t>厂区西南侧建设一套氩气回收站，占地面积7518m</w:t>
            </w:r>
            <w:r>
              <w:rPr>
                <w:rFonts w:hint="default" w:ascii="Times New Roman" w:hAnsi="Times New Roman" w:eastAsia="宋体" w:cs="Times New Roman"/>
                <w:color w:val="auto"/>
                <w:kern w:val="0"/>
                <w:sz w:val="18"/>
                <w:szCs w:val="18"/>
                <w:vertAlign w:val="superscript"/>
              </w:rPr>
              <w:t>2</w:t>
            </w:r>
            <w:r>
              <w:rPr>
                <w:rFonts w:hint="default" w:ascii="Times New Roman" w:hAnsi="Times New Roman" w:eastAsia="宋体" w:cs="Times New Roman"/>
                <w:color w:val="auto"/>
                <w:kern w:val="0"/>
                <w:sz w:val="18"/>
                <w:szCs w:val="18"/>
              </w:rPr>
              <w:t>，将</w:t>
            </w:r>
            <w:r>
              <w:rPr>
                <w:rFonts w:hint="default" w:ascii="Times New Roman" w:hAnsi="Times New Roman" w:eastAsia="宋体" w:cs="Times New Roman"/>
                <w:color w:val="auto"/>
                <w:kern w:val="0"/>
                <w:sz w:val="18"/>
                <w:szCs w:val="18"/>
                <w:lang w:eastAsia="zh-CN"/>
              </w:rPr>
              <w:t>厂区熔料废气净化后回收氩气</w:t>
            </w:r>
          </w:p>
        </w:tc>
        <w:tc>
          <w:tcPr>
            <w:tcW w:w="1414" w:type="dxa"/>
            <w:vAlign w:val="center"/>
          </w:tcPr>
          <w:p>
            <w:pPr>
              <w:widowControl/>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kern w:val="0"/>
                <w:sz w:val="18"/>
                <w:szCs w:val="18"/>
                <w:lang w:val="en-US" w:eastAsia="zh-CN"/>
              </w:rPr>
              <w:t>年产5</w:t>
            </w:r>
            <w:r>
              <w:rPr>
                <w:rFonts w:hint="default" w:ascii="Times New Roman" w:hAnsi="Times New Roman" w:eastAsia="宋体" w:cs="Times New Roman"/>
                <w:color w:val="auto"/>
                <w:sz w:val="18"/>
                <w:szCs w:val="18"/>
              </w:rPr>
              <w:t>GW单晶硅</w:t>
            </w:r>
            <w:r>
              <w:rPr>
                <w:rFonts w:hint="default" w:ascii="Times New Roman" w:hAnsi="Times New Roman" w:cs="Times New Roman"/>
                <w:color w:val="auto"/>
                <w:sz w:val="18"/>
                <w:szCs w:val="18"/>
                <w:lang w:eastAsia="zh-CN"/>
              </w:rPr>
              <w:t>拉</w:t>
            </w:r>
            <w:r>
              <w:rPr>
                <w:rFonts w:hint="default" w:ascii="Times New Roman" w:hAnsi="Times New Roman" w:eastAsia="宋体" w:cs="Times New Roman"/>
                <w:color w:val="auto"/>
                <w:sz w:val="18"/>
                <w:szCs w:val="18"/>
              </w:rPr>
              <w:t>棒及</w:t>
            </w:r>
            <w:r>
              <w:rPr>
                <w:rFonts w:hint="default" w:ascii="Times New Roman" w:hAnsi="Times New Roman" w:cs="Times New Roman"/>
                <w:color w:val="auto"/>
                <w:sz w:val="18"/>
                <w:szCs w:val="18"/>
                <w:lang w:val="en-US" w:eastAsia="zh-CN"/>
              </w:rPr>
              <w:t>2</w:t>
            </w:r>
            <w:r>
              <w:rPr>
                <w:rFonts w:hint="default" w:ascii="Times New Roman" w:hAnsi="Times New Roman" w:eastAsia="宋体" w:cs="Times New Roman"/>
                <w:color w:val="auto"/>
                <w:sz w:val="18"/>
                <w:szCs w:val="18"/>
              </w:rPr>
              <w:t>GW切片项目</w:t>
            </w:r>
          </w:p>
        </w:tc>
        <w:tc>
          <w:tcPr>
            <w:tcW w:w="708" w:type="dxa"/>
            <w:vAlign w:val="center"/>
          </w:tcPr>
          <w:p>
            <w:pPr>
              <w:widowControl/>
              <w:jc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否</w:t>
            </w:r>
          </w:p>
        </w:tc>
        <w:tc>
          <w:tcPr>
            <w:tcW w:w="3362" w:type="dxa"/>
            <w:vAlign w:val="center"/>
          </w:tcPr>
          <w:p>
            <w:pPr>
              <w:widowControl/>
              <w:jc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cs="Times New Roman"/>
                <w:color w:val="auto"/>
                <w:sz w:val="18"/>
                <w:szCs w:val="18"/>
                <w:lang w:val="en-US" w:eastAsia="zh-CN"/>
              </w:rPr>
              <w:t>无依托关系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401" w:type="dxa"/>
            <w:vMerge w:val="restart"/>
            <w:shd w:val="clear" w:color="auto" w:fill="auto"/>
            <w:vAlign w:val="center"/>
          </w:tcPr>
          <w:p>
            <w:pPr>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储运工程</w:t>
            </w:r>
          </w:p>
        </w:tc>
        <w:tc>
          <w:tcPr>
            <w:tcW w:w="2582" w:type="dxa"/>
            <w:gridSpan w:val="3"/>
            <w:shd w:val="clear" w:color="auto" w:fill="auto"/>
            <w:vAlign w:val="center"/>
          </w:tcPr>
          <w:p>
            <w:pPr>
              <w:widowControl/>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氩气站</w:t>
            </w:r>
          </w:p>
        </w:tc>
        <w:tc>
          <w:tcPr>
            <w:tcW w:w="6300" w:type="dxa"/>
            <w:shd w:val="clear" w:color="auto" w:fill="auto"/>
            <w:vAlign w:val="center"/>
          </w:tcPr>
          <w:p>
            <w:pPr>
              <w:widowControl/>
              <w:jc w:val="left"/>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sz w:val="18"/>
                <w:szCs w:val="18"/>
              </w:rPr>
              <w:t>占地面积888</w:t>
            </w:r>
            <w:r>
              <w:rPr>
                <w:rFonts w:hint="default" w:ascii="Times New Roman" w:hAnsi="Times New Roman" w:eastAsia="宋体" w:cs="Times New Roman"/>
                <w:color w:val="auto"/>
                <w:sz w:val="18"/>
                <w:szCs w:val="18"/>
                <w:lang w:val="en-US" w:eastAsia="zh-CN"/>
              </w:rPr>
              <w:t>m</w:t>
            </w:r>
            <w:r>
              <w:rPr>
                <w:rFonts w:hint="default" w:ascii="Times New Roman" w:hAnsi="Times New Roman" w:eastAsia="宋体" w:cs="Times New Roman"/>
                <w:color w:val="auto"/>
                <w:sz w:val="18"/>
                <w:szCs w:val="18"/>
                <w:vertAlign w:val="superscript"/>
                <w:lang w:val="en-US" w:eastAsia="zh-CN"/>
              </w:rPr>
              <w:t>2</w:t>
            </w:r>
            <w:r>
              <w:rPr>
                <w:rFonts w:hint="default" w:ascii="Times New Roman" w:hAnsi="Times New Roman" w:eastAsia="宋体" w:cs="Times New Roman"/>
                <w:color w:val="auto"/>
                <w:sz w:val="18"/>
                <w:szCs w:val="18"/>
              </w:rPr>
              <w:t>，设置</w:t>
            </w:r>
            <w:r>
              <w:rPr>
                <w:rFonts w:hint="default" w:ascii="Times New Roman" w:hAnsi="Times New Roman" w:eastAsia="宋体" w:cs="Times New Roman"/>
                <w:color w:val="auto"/>
                <w:sz w:val="18"/>
                <w:szCs w:val="18"/>
                <w:lang w:val="en-US" w:eastAsia="zh-CN"/>
              </w:rPr>
              <w:t>4</w:t>
            </w:r>
            <w:r>
              <w:rPr>
                <w:rFonts w:hint="default" w:ascii="Times New Roman" w:hAnsi="Times New Roman" w:eastAsia="宋体" w:cs="Times New Roman"/>
                <w:color w:val="auto"/>
                <w:sz w:val="18"/>
                <w:szCs w:val="18"/>
              </w:rPr>
              <w:t>个容积为75m</w:t>
            </w:r>
            <w:r>
              <w:rPr>
                <w:rFonts w:hint="default" w:ascii="Times New Roman" w:hAnsi="Times New Roman" w:eastAsia="宋体" w:cs="Times New Roman"/>
                <w:color w:val="auto"/>
                <w:sz w:val="18"/>
                <w:szCs w:val="18"/>
                <w:vertAlign w:val="superscript"/>
                <w:lang w:val="en-US" w:eastAsia="zh-CN"/>
              </w:rPr>
              <w:t>3</w:t>
            </w:r>
            <w:r>
              <w:rPr>
                <w:rFonts w:hint="default" w:ascii="Times New Roman" w:hAnsi="Times New Roman" w:eastAsia="宋体" w:cs="Times New Roman"/>
                <w:color w:val="auto"/>
                <w:sz w:val="18"/>
                <w:szCs w:val="18"/>
              </w:rPr>
              <w:t>的露天液氩储罐，位于用地中部，主要放置氩气罐及相关设备。</w:t>
            </w:r>
          </w:p>
        </w:tc>
        <w:tc>
          <w:tcPr>
            <w:tcW w:w="1414" w:type="dxa"/>
            <w:vMerge w:val="restart"/>
            <w:vAlign w:val="center"/>
          </w:tcPr>
          <w:p>
            <w:pPr>
              <w:widowControl/>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宇泽半导体（云南）有限公司年产5GW单晶硅棒及3GW切片生产线项目</w:t>
            </w:r>
          </w:p>
        </w:tc>
        <w:tc>
          <w:tcPr>
            <w:tcW w:w="708" w:type="dxa"/>
            <w:vAlign w:val="center"/>
          </w:tcPr>
          <w:p>
            <w:pPr>
              <w:widowControl/>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eastAsia="zh-CN"/>
              </w:rPr>
              <w:t>是</w:t>
            </w:r>
          </w:p>
        </w:tc>
        <w:tc>
          <w:tcPr>
            <w:tcW w:w="3362" w:type="dxa"/>
            <w:vAlign w:val="center"/>
          </w:tcPr>
          <w:p>
            <w:pPr>
              <w:widowControl/>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sz w:val="18"/>
                <w:szCs w:val="18"/>
                <w:lang w:val="en-US" w:eastAsia="zh-CN"/>
              </w:rPr>
              <w:t>无依托关系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401" w:type="dxa"/>
            <w:vMerge w:val="continue"/>
            <w:shd w:val="clear" w:color="auto" w:fill="auto"/>
            <w:vAlign w:val="center"/>
          </w:tcPr>
          <w:p>
            <w:pPr>
              <w:jc w:val="center"/>
              <w:rPr>
                <w:rFonts w:hint="default" w:ascii="Times New Roman" w:hAnsi="Times New Roman" w:eastAsia="宋体" w:cs="Times New Roman"/>
                <w:color w:val="auto"/>
                <w:kern w:val="0"/>
                <w:sz w:val="18"/>
                <w:szCs w:val="18"/>
              </w:rPr>
            </w:pPr>
          </w:p>
        </w:tc>
        <w:tc>
          <w:tcPr>
            <w:tcW w:w="2582" w:type="dxa"/>
            <w:gridSpan w:val="3"/>
            <w:shd w:val="clear" w:color="auto" w:fill="auto"/>
            <w:vAlign w:val="center"/>
          </w:tcPr>
          <w:p>
            <w:pPr>
              <w:widowControl/>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化学品库</w:t>
            </w:r>
          </w:p>
        </w:tc>
        <w:tc>
          <w:tcPr>
            <w:tcW w:w="6300" w:type="dxa"/>
            <w:shd w:val="clear" w:color="auto" w:fill="auto"/>
            <w:vAlign w:val="center"/>
          </w:tcPr>
          <w:p>
            <w:pPr>
              <w:widowControl/>
              <w:jc w:val="left"/>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1栋1层，占地面积约1500m</w:t>
            </w:r>
            <w:r>
              <w:rPr>
                <w:rFonts w:hint="default" w:ascii="Times New Roman" w:hAnsi="Times New Roman" w:eastAsia="宋体" w:cs="Times New Roman"/>
                <w:color w:val="auto"/>
                <w:kern w:val="0"/>
                <w:sz w:val="18"/>
                <w:szCs w:val="18"/>
                <w:vertAlign w:val="superscript"/>
              </w:rPr>
              <w:t>2</w:t>
            </w:r>
            <w:r>
              <w:rPr>
                <w:rFonts w:hint="default" w:ascii="Times New Roman" w:hAnsi="Times New Roman" w:eastAsia="宋体" w:cs="Times New Roman"/>
                <w:color w:val="auto"/>
                <w:kern w:val="0"/>
                <w:sz w:val="18"/>
                <w:szCs w:val="18"/>
              </w:rPr>
              <w:t>、建筑面积约1500m</w:t>
            </w:r>
            <w:r>
              <w:rPr>
                <w:rFonts w:hint="default" w:ascii="Times New Roman" w:hAnsi="Times New Roman" w:eastAsia="宋体" w:cs="Times New Roman"/>
                <w:color w:val="auto"/>
                <w:kern w:val="0"/>
                <w:sz w:val="18"/>
                <w:szCs w:val="18"/>
                <w:vertAlign w:val="superscript"/>
              </w:rPr>
              <w:t>2</w:t>
            </w:r>
            <w:r>
              <w:rPr>
                <w:rFonts w:hint="default" w:ascii="Times New Roman" w:hAnsi="Times New Roman" w:eastAsia="宋体" w:cs="Times New Roman"/>
                <w:color w:val="auto"/>
                <w:kern w:val="0"/>
                <w:sz w:val="18"/>
                <w:szCs w:val="18"/>
              </w:rPr>
              <w:t>，位于用地中部。主要用于储存</w:t>
            </w:r>
            <w:r>
              <w:rPr>
                <w:rFonts w:hint="default" w:ascii="Times New Roman" w:hAnsi="Times New Roman" w:cs="Times New Roman"/>
                <w:color w:val="auto"/>
                <w:kern w:val="0"/>
                <w:sz w:val="18"/>
                <w:szCs w:val="18"/>
                <w:lang w:eastAsia="zh-CN"/>
              </w:rPr>
              <w:t>盐酸</w:t>
            </w:r>
            <w:r>
              <w:rPr>
                <w:rFonts w:hint="default" w:ascii="Times New Roman" w:hAnsi="Times New Roman" w:eastAsia="宋体" w:cs="Times New Roman"/>
                <w:color w:val="auto"/>
                <w:kern w:val="0"/>
                <w:sz w:val="18"/>
                <w:szCs w:val="18"/>
              </w:rPr>
              <w:t>、氢氟酸等</w:t>
            </w:r>
          </w:p>
        </w:tc>
        <w:tc>
          <w:tcPr>
            <w:tcW w:w="1414" w:type="dxa"/>
            <w:vMerge w:val="continue"/>
            <w:vAlign w:val="center"/>
          </w:tcPr>
          <w:p>
            <w:pPr>
              <w:widowControl/>
              <w:jc w:val="center"/>
              <w:rPr>
                <w:rFonts w:hint="default" w:ascii="Times New Roman" w:hAnsi="Times New Roman" w:eastAsia="宋体" w:cs="Times New Roman"/>
                <w:color w:val="auto"/>
                <w:kern w:val="2"/>
                <w:sz w:val="18"/>
                <w:szCs w:val="18"/>
                <w:lang w:val="en-US" w:eastAsia="zh-CN" w:bidi="ar-SA"/>
              </w:rPr>
            </w:pPr>
          </w:p>
        </w:tc>
        <w:tc>
          <w:tcPr>
            <w:tcW w:w="708" w:type="dxa"/>
            <w:vAlign w:val="center"/>
          </w:tcPr>
          <w:p>
            <w:pPr>
              <w:widowControl/>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eastAsia="zh-CN"/>
              </w:rPr>
              <w:t>是</w:t>
            </w:r>
          </w:p>
        </w:tc>
        <w:tc>
          <w:tcPr>
            <w:tcW w:w="3362" w:type="dxa"/>
            <w:vAlign w:val="center"/>
          </w:tcPr>
          <w:p>
            <w:pPr>
              <w:widowControl/>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sz w:val="18"/>
                <w:szCs w:val="18"/>
                <w:lang w:val="en-US" w:eastAsia="zh-CN"/>
              </w:rPr>
              <w:t>本项目使用的氢氟酸、盐酸依托该化学品库储存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401" w:type="dxa"/>
            <w:vMerge w:val="continue"/>
            <w:shd w:val="clear" w:color="auto" w:fill="auto"/>
            <w:vAlign w:val="center"/>
          </w:tcPr>
          <w:p>
            <w:pPr>
              <w:jc w:val="center"/>
              <w:rPr>
                <w:rFonts w:hint="default" w:ascii="Times New Roman" w:hAnsi="Times New Roman" w:eastAsia="宋体" w:cs="Times New Roman"/>
                <w:color w:val="auto"/>
                <w:kern w:val="0"/>
                <w:sz w:val="18"/>
                <w:szCs w:val="18"/>
              </w:rPr>
            </w:pPr>
          </w:p>
        </w:tc>
        <w:tc>
          <w:tcPr>
            <w:tcW w:w="2582" w:type="dxa"/>
            <w:gridSpan w:val="3"/>
            <w:shd w:val="clear" w:color="auto" w:fill="auto"/>
            <w:vAlign w:val="center"/>
          </w:tcPr>
          <w:p>
            <w:pPr>
              <w:widowControl/>
              <w:jc w:val="center"/>
              <w:rPr>
                <w:rFonts w:hint="default" w:ascii="Times New Roman" w:hAnsi="Times New Roman" w:eastAsia="宋体" w:cs="Times New Roman"/>
                <w:color w:val="auto"/>
                <w:kern w:val="0"/>
                <w:sz w:val="18"/>
                <w:szCs w:val="18"/>
              </w:rPr>
            </w:pPr>
            <w:r>
              <w:rPr>
                <w:rFonts w:hint="default" w:ascii="Times New Roman" w:hAnsi="Times New Roman" w:cs="Times New Roman"/>
                <w:color w:val="auto"/>
                <w:kern w:val="0"/>
                <w:sz w:val="18"/>
                <w:szCs w:val="18"/>
                <w:lang w:eastAsia="zh-CN"/>
              </w:rPr>
              <w:t>一期</w:t>
            </w:r>
            <w:r>
              <w:rPr>
                <w:rFonts w:hint="default" w:ascii="Times New Roman" w:hAnsi="Times New Roman" w:eastAsia="宋体" w:cs="Times New Roman"/>
                <w:color w:val="auto"/>
                <w:kern w:val="0"/>
                <w:sz w:val="18"/>
                <w:szCs w:val="18"/>
              </w:rPr>
              <w:t>成品仓库</w:t>
            </w:r>
          </w:p>
        </w:tc>
        <w:tc>
          <w:tcPr>
            <w:tcW w:w="6300" w:type="dxa"/>
            <w:shd w:val="clear" w:color="auto" w:fill="auto"/>
            <w:vAlign w:val="center"/>
          </w:tcPr>
          <w:p>
            <w:pPr>
              <w:widowControl/>
              <w:jc w:val="left"/>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1栋1层，建筑面积约2457m</w:t>
            </w:r>
            <w:r>
              <w:rPr>
                <w:rFonts w:hint="default" w:ascii="Times New Roman" w:hAnsi="Times New Roman" w:eastAsia="宋体" w:cs="Times New Roman"/>
                <w:color w:val="auto"/>
                <w:kern w:val="0"/>
                <w:sz w:val="18"/>
                <w:szCs w:val="18"/>
                <w:vertAlign w:val="superscript"/>
              </w:rPr>
              <w:t>2</w:t>
            </w:r>
            <w:r>
              <w:rPr>
                <w:rFonts w:hint="default" w:ascii="Times New Roman" w:hAnsi="Times New Roman" w:eastAsia="宋体" w:cs="Times New Roman"/>
                <w:color w:val="auto"/>
                <w:kern w:val="0"/>
                <w:sz w:val="18"/>
                <w:szCs w:val="18"/>
              </w:rPr>
              <w:t>，位于厂区中部，用于储存项目生产产品</w:t>
            </w:r>
          </w:p>
        </w:tc>
        <w:tc>
          <w:tcPr>
            <w:tcW w:w="1414" w:type="dxa"/>
            <w:vMerge w:val="continue"/>
            <w:vAlign w:val="center"/>
          </w:tcPr>
          <w:p>
            <w:pPr>
              <w:widowControl/>
              <w:jc w:val="center"/>
              <w:rPr>
                <w:rFonts w:hint="default" w:ascii="Times New Roman" w:hAnsi="Times New Roman" w:eastAsia="宋体" w:cs="Times New Roman"/>
                <w:color w:val="auto"/>
                <w:kern w:val="2"/>
                <w:sz w:val="18"/>
                <w:szCs w:val="18"/>
                <w:lang w:val="en-US" w:eastAsia="zh-CN" w:bidi="ar-SA"/>
              </w:rPr>
            </w:pPr>
          </w:p>
        </w:tc>
        <w:tc>
          <w:tcPr>
            <w:tcW w:w="708" w:type="dxa"/>
            <w:vAlign w:val="center"/>
          </w:tcPr>
          <w:p>
            <w:pPr>
              <w:widowControl/>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eastAsia="zh-CN"/>
              </w:rPr>
              <w:t>是</w:t>
            </w:r>
          </w:p>
        </w:tc>
        <w:tc>
          <w:tcPr>
            <w:tcW w:w="3362" w:type="dxa"/>
            <w:vAlign w:val="center"/>
          </w:tcPr>
          <w:p>
            <w:pPr>
              <w:widowControl/>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bidi="ar-SA"/>
              </w:rPr>
              <w:t>无依托关系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401" w:type="dxa"/>
            <w:vMerge w:val="continue"/>
            <w:shd w:val="clear" w:color="auto" w:fill="auto"/>
            <w:vAlign w:val="center"/>
          </w:tcPr>
          <w:p>
            <w:pPr>
              <w:jc w:val="center"/>
              <w:rPr>
                <w:rFonts w:hint="default" w:ascii="Times New Roman" w:hAnsi="Times New Roman" w:eastAsia="宋体" w:cs="Times New Roman"/>
                <w:color w:val="auto"/>
                <w:kern w:val="0"/>
                <w:sz w:val="18"/>
                <w:szCs w:val="18"/>
              </w:rPr>
            </w:pPr>
          </w:p>
        </w:tc>
        <w:tc>
          <w:tcPr>
            <w:tcW w:w="2582" w:type="dxa"/>
            <w:gridSpan w:val="3"/>
            <w:shd w:val="clear" w:color="auto" w:fill="auto"/>
            <w:vAlign w:val="center"/>
          </w:tcPr>
          <w:p>
            <w:pPr>
              <w:widowControl/>
              <w:jc w:val="center"/>
              <w:rPr>
                <w:rFonts w:hint="default" w:ascii="Times New Roman" w:hAnsi="Times New Roman" w:cs="Times New Roman"/>
                <w:color w:val="auto"/>
                <w:kern w:val="0"/>
                <w:sz w:val="18"/>
                <w:szCs w:val="18"/>
                <w:lang w:eastAsia="zh-CN"/>
              </w:rPr>
            </w:pPr>
            <w:r>
              <w:rPr>
                <w:rFonts w:hint="default" w:ascii="Times New Roman" w:hAnsi="Times New Roman" w:cs="Times New Roman"/>
                <w:color w:val="auto"/>
                <w:kern w:val="0"/>
                <w:sz w:val="18"/>
                <w:szCs w:val="18"/>
                <w:lang w:eastAsia="zh-CN"/>
              </w:rPr>
              <w:t>二期成品仓库</w:t>
            </w:r>
          </w:p>
        </w:tc>
        <w:tc>
          <w:tcPr>
            <w:tcW w:w="6300" w:type="dxa"/>
            <w:shd w:val="clear" w:color="auto" w:fill="auto"/>
            <w:vAlign w:val="center"/>
          </w:tcPr>
          <w:p>
            <w:pPr>
              <w:widowControl/>
              <w:jc w:val="left"/>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1栋1层，建筑面积约</w:t>
            </w:r>
            <w:r>
              <w:rPr>
                <w:rFonts w:hint="default" w:ascii="Times New Roman" w:hAnsi="Times New Roman" w:cs="Times New Roman"/>
                <w:color w:val="auto"/>
                <w:kern w:val="0"/>
                <w:sz w:val="18"/>
                <w:szCs w:val="18"/>
                <w:lang w:val="en-US" w:eastAsia="zh-CN"/>
              </w:rPr>
              <w:t>8800</w:t>
            </w:r>
            <w:r>
              <w:rPr>
                <w:rFonts w:hint="default" w:ascii="Times New Roman" w:hAnsi="Times New Roman" w:eastAsia="宋体" w:cs="Times New Roman"/>
                <w:color w:val="auto"/>
                <w:kern w:val="0"/>
                <w:sz w:val="18"/>
                <w:szCs w:val="18"/>
              </w:rPr>
              <w:t>m</w:t>
            </w:r>
            <w:r>
              <w:rPr>
                <w:rFonts w:hint="default" w:ascii="Times New Roman" w:hAnsi="Times New Roman" w:eastAsia="宋体" w:cs="Times New Roman"/>
                <w:color w:val="auto"/>
                <w:kern w:val="0"/>
                <w:sz w:val="18"/>
                <w:szCs w:val="18"/>
                <w:vertAlign w:val="superscript"/>
              </w:rPr>
              <w:t>2</w:t>
            </w:r>
            <w:r>
              <w:rPr>
                <w:rFonts w:hint="default" w:ascii="Times New Roman" w:hAnsi="Times New Roman" w:eastAsia="宋体" w:cs="Times New Roman"/>
                <w:color w:val="auto"/>
                <w:kern w:val="0"/>
                <w:sz w:val="18"/>
                <w:szCs w:val="18"/>
              </w:rPr>
              <w:t>，位于厂区</w:t>
            </w:r>
            <w:r>
              <w:rPr>
                <w:rFonts w:hint="default" w:ascii="Times New Roman" w:hAnsi="Times New Roman" w:cs="Times New Roman"/>
                <w:color w:val="auto"/>
                <w:kern w:val="0"/>
                <w:sz w:val="18"/>
                <w:szCs w:val="18"/>
                <w:lang w:eastAsia="zh-CN"/>
              </w:rPr>
              <w:t>南</w:t>
            </w:r>
            <w:r>
              <w:rPr>
                <w:rFonts w:hint="default" w:ascii="Times New Roman" w:hAnsi="Times New Roman" w:eastAsia="宋体" w:cs="Times New Roman"/>
                <w:color w:val="auto"/>
                <w:kern w:val="0"/>
                <w:sz w:val="18"/>
                <w:szCs w:val="18"/>
              </w:rPr>
              <w:t>部，用于储存项目生产产品</w:t>
            </w:r>
          </w:p>
        </w:tc>
        <w:tc>
          <w:tcPr>
            <w:tcW w:w="1414" w:type="dxa"/>
            <w:vMerge w:val="continue"/>
            <w:vAlign w:val="center"/>
          </w:tcPr>
          <w:p>
            <w:pPr>
              <w:widowControl/>
              <w:jc w:val="center"/>
              <w:rPr>
                <w:rFonts w:hint="default" w:ascii="Times New Roman" w:hAnsi="Times New Roman" w:eastAsia="宋体" w:cs="Times New Roman"/>
                <w:color w:val="auto"/>
                <w:sz w:val="18"/>
                <w:szCs w:val="18"/>
              </w:rPr>
            </w:pPr>
          </w:p>
        </w:tc>
        <w:tc>
          <w:tcPr>
            <w:tcW w:w="708" w:type="dxa"/>
            <w:vAlign w:val="center"/>
          </w:tcPr>
          <w:p>
            <w:pPr>
              <w:widowControl/>
              <w:jc w:val="center"/>
              <w:rPr>
                <w:rFonts w:hint="default" w:ascii="Times New Roman" w:hAnsi="Times New Roman" w:cs="Times New Roman"/>
                <w:color w:val="auto"/>
                <w:kern w:val="0"/>
                <w:sz w:val="18"/>
                <w:szCs w:val="18"/>
                <w:lang w:eastAsia="zh-CN"/>
              </w:rPr>
            </w:pPr>
            <w:r>
              <w:rPr>
                <w:rFonts w:hint="default" w:ascii="Times New Roman" w:hAnsi="Times New Roman" w:cs="Times New Roman"/>
                <w:color w:val="auto"/>
                <w:kern w:val="0"/>
                <w:sz w:val="18"/>
                <w:szCs w:val="18"/>
                <w:lang w:eastAsia="zh-CN"/>
              </w:rPr>
              <w:t>否</w:t>
            </w:r>
          </w:p>
        </w:tc>
        <w:tc>
          <w:tcPr>
            <w:tcW w:w="3362" w:type="dxa"/>
            <w:vAlign w:val="center"/>
          </w:tcPr>
          <w:p>
            <w:pPr>
              <w:widowControl/>
              <w:jc w:val="center"/>
              <w:rPr>
                <w:rFonts w:hint="default" w:ascii="Times New Roman" w:hAnsi="Times New Roman" w:cs="Times New Roman"/>
                <w:color w:val="auto"/>
                <w:kern w:val="0"/>
                <w:sz w:val="18"/>
                <w:szCs w:val="18"/>
                <w:lang w:val="en-US" w:eastAsia="zh-CN" w:bidi="ar-SA"/>
              </w:rPr>
            </w:pPr>
            <w:r>
              <w:rPr>
                <w:rFonts w:hint="default" w:ascii="Times New Roman" w:hAnsi="Times New Roman" w:cs="Times New Roman"/>
                <w:color w:val="auto"/>
                <w:sz w:val="18"/>
                <w:szCs w:val="18"/>
                <w:lang w:val="en-US" w:eastAsia="zh-CN"/>
              </w:rPr>
              <w:t>本项目切片成品依托该仓库存储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01" w:type="dxa"/>
            <w:vMerge w:val="restart"/>
            <w:shd w:val="clear" w:color="auto" w:fill="auto"/>
            <w:vAlign w:val="center"/>
          </w:tcPr>
          <w:p>
            <w:pPr>
              <w:widowControl/>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公用工程</w:t>
            </w:r>
          </w:p>
        </w:tc>
        <w:tc>
          <w:tcPr>
            <w:tcW w:w="2582" w:type="dxa"/>
            <w:gridSpan w:val="3"/>
            <w:shd w:val="clear" w:color="auto" w:fill="auto"/>
            <w:vAlign w:val="center"/>
          </w:tcPr>
          <w:p>
            <w:pPr>
              <w:widowControl/>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供水</w:t>
            </w:r>
          </w:p>
        </w:tc>
        <w:tc>
          <w:tcPr>
            <w:tcW w:w="6300" w:type="dxa"/>
            <w:shd w:val="clear" w:color="auto" w:fill="auto"/>
            <w:vAlign w:val="center"/>
          </w:tcPr>
          <w:p>
            <w:pPr>
              <w:widowControl/>
              <w:jc w:val="left"/>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厂区供水管网采用生产、生活与消防共用给水管网，供水由园区自来水供水管网供给</w:t>
            </w:r>
          </w:p>
        </w:tc>
        <w:tc>
          <w:tcPr>
            <w:tcW w:w="1414" w:type="dxa"/>
            <w:vMerge w:val="continue"/>
            <w:vAlign w:val="center"/>
          </w:tcPr>
          <w:p>
            <w:pPr>
              <w:widowControl/>
              <w:jc w:val="center"/>
              <w:rPr>
                <w:rFonts w:hint="default" w:ascii="Times New Roman" w:hAnsi="Times New Roman" w:eastAsia="宋体" w:cs="Times New Roman"/>
                <w:color w:val="auto"/>
                <w:kern w:val="0"/>
                <w:sz w:val="18"/>
                <w:szCs w:val="18"/>
              </w:rPr>
            </w:pPr>
          </w:p>
        </w:tc>
        <w:tc>
          <w:tcPr>
            <w:tcW w:w="708" w:type="dxa"/>
            <w:vAlign w:val="center"/>
          </w:tcPr>
          <w:p>
            <w:pPr>
              <w:widowControl/>
              <w:jc w:val="center"/>
              <w:rPr>
                <w:rFonts w:hint="default" w:ascii="Times New Roman" w:hAnsi="Times New Roman" w:eastAsia="宋体" w:cs="Times New Roman"/>
                <w:color w:val="auto"/>
                <w:kern w:val="0"/>
                <w:sz w:val="18"/>
                <w:szCs w:val="18"/>
                <w:lang w:eastAsia="zh-CN"/>
              </w:rPr>
            </w:pPr>
            <w:r>
              <w:rPr>
                <w:rFonts w:hint="default" w:ascii="Times New Roman" w:hAnsi="Times New Roman" w:cs="Times New Roman"/>
                <w:color w:val="auto"/>
                <w:kern w:val="0"/>
                <w:sz w:val="18"/>
                <w:szCs w:val="18"/>
                <w:lang w:val="en-US" w:eastAsia="zh-CN"/>
              </w:rPr>
              <w:t>是</w:t>
            </w:r>
          </w:p>
        </w:tc>
        <w:tc>
          <w:tcPr>
            <w:tcW w:w="3362" w:type="dxa"/>
            <w:vAlign w:val="center"/>
          </w:tcPr>
          <w:p>
            <w:pPr>
              <w:widowControl/>
              <w:jc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本项目供水依托已建成供水管网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401" w:type="dxa"/>
            <w:vMerge w:val="continue"/>
            <w:vAlign w:val="center"/>
          </w:tcPr>
          <w:p>
            <w:pPr>
              <w:widowControl/>
              <w:jc w:val="center"/>
              <w:rPr>
                <w:rFonts w:hint="default" w:ascii="Times New Roman" w:hAnsi="Times New Roman" w:eastAsia="宋体" w:cs="Times New Roman"/>
                <w:color w:val="auto"/>
                <w:kern w:val="0"/>
                <w:sz w:val="18"/>
                <w:szCs w:val="18"/>
              </w:rPr>
            </w:pPr>
          </w:p>
        </w:tc>
        <w:tc>
          <w:tcPr>
            <w:tcW w:w="2582" w:type="dxa"/>
            <w:gridSpan w:val="3"/>
            <w:shd w:val="clear" w:color="auto" w:fill="auto"/>
            <w:vAlign w:val="center"/>
          </w:tcPr>
          <w:p>
            <w:pPr>
              <w:widowControl/>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排水</w:t>
            </w:r>
          </w:p>
        </w:tc>
        <w:tc>
          <w:tcPr>
            <w:tcW w:w="6300" w:type="dxa"/>
            <w:shd w:val="clear" w:color="auto" w:fill="auto"/>
            <w:vAlign w:val="center"/>
          </w:tcPr>
          <w:p>
            <w:pPr>
              <w:widowControl/>
              <w:jc w:val="left"/>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color w:val="auto"/>
                <w:kern w:val="0"/>
                <w:sz w:val="18"/>
                <w:szCs w:val="18"/>
              </w:rPr>
              <w:t>实行雨污分流制，雨水经雨水管网排至项目区</w:t>
            </w:r>
            <w:r>
              <w:rPr>
                <w:rFonts w:hint="default" w:ascii="Times New Roman" w:hAnsi="Times New Roman" w:eastAsia="宋体" w:cs="Times New Roman"/>
                <w:color w:val="auto"/>
                <w:kern w:val="0"/>
                <w:sz w:val="18"/>
                <w:szCs w:val="18"/>
                <w:lang w:eastAsia="zh-CN"/>
              </w:rPr>
              <w:t>南</w:t>
            </w:r>
            <w:r>
              <w:rPr>
                <w:rFonts w:hint="default" w:ascii="Times New Roman" w:hAnsi="Times New Roman" w:eastAsia="宋体" w:cs="Times New Roman"/>
                <w:color w:val="auto"/>
                <w:kern w:val="0"/>
                <w:sz w:val="18"/>
                <w:szCs w:val="18"/>
              </w:rPr>
              <w:t>侧道路的雨水管网；生活废水和生产废水在场内预处理后通过</w:t>
            </w:r>
            <w:r>
              <w:rPr>
                <w:rFonts w:hint="default" w:ascii="Times New Roman" w:hAnsi="Times New Roman" w:eastAsia="宋体" w:cs="Times New Roman"/>
                <w:color w:val="auto"/>
                <w:kern w:val="0"/>
                <w:sz w:val="18"/>
                <w:szCs w:val="18"/>
                <w:lang w:eastAsia="zh-CN"/>
              </w:rPr>
              <w:t>项目</w:t>
            </w:r>
            <w:r>
              <w:rPr>
                <w:rFonts w:hint="default" w:ascii="Times New Roman" w:hAnsi="Times New Roman" w:cs="Times New Roman"/>
                <w:color w:val="auto"/>
                <w:kern w:val="0"/>
                <w:sz w:val="18"/>
                <w:szCs w:val="18"/>
                <w:lang w:eastAsia="zh-CN"/>
              </w:rPr>
              <w:t>西侧</w:t>
            </w:r>
            <w:r>
              <w:rPr>
                <w:rFonts w:hint="default" w:ascii="Times New Roman" w:hAnsi="Times New Roman" w:eastAsia="宋体" w:cs="Times New Roman"/>
                <w:color w:val="auto"/>
                <w:kern w:val="0"/>
                <w:sz w:val="18"/>
                <w:szCs w:val="18"/>
                <w:lang w:eastAsia="zh-CN"/>
              </w:rPr>
              <w:t>的</w:t>
            </w:r>
            <w:r>
              <w:rPr>
                <w:rFonts w:hint="default" w:ascii="Times New Roman" w:hAnsi="Times New Roman" w:eastAsia="宋体" w:cs="Times New Roman"/>
                <w:color w:val="auto"/>
                <w:kern w:val="0"/>
                <w:sz w:val="18"/>
                <w:szCs w:val="18"/>
              </w:rPr>
              <w:t>废水总排口排入市政污水管网</w:t>
            </w:r>
          </w:p>
        </w:tc>
        <w:tc>
          <w:tcPr>
            <w:tcW w:w="1414" w:type="dxa"/>
            <w:vMerge w:val="continue"/>
            <w:vAlign w:val="center"/>
          </w:tcPr>
          <w:p>
            <w:pPr>
              <w:widowControl/>
              <w:jc w:val="center"/>
              <w:rPr>
                <w:rFonts w:hint="default" w:ascii="Times New Roman" w:hAnsi="Times New Roman" w:eastAsia="宋体" w:cs="Times New Roman"/>
                <w:color w:val="auto"/>
                <w:kern w:val="0"/>
                <w:sz w:val="18"/>
                <w:szCs w:val="18"/>
                <w:lang w:eastAsia="zh-CN"/>
              </w:rPr>
            </w:pPr>
          </w:p>
        </w:tc>
        <w:tc>
          <w:tcPr>
            <w:tcW w:w="708" w:type="dxa"/>
            <w:vAlign w:val="center"/>
          </w:tcPr>
          <w:p>
            <w:pPr>
              <w:widowControl/>
              <w:jc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是</w:t>
            </w:r>
          </w:p>
        </w:tc>
        <w:tc>
          <w:tcPr>
            <w:tcW w:w="3362" w:type="dxa"/>
            <w:vAlign w:val="center"/>
          </w:tcPr>
          <w:p>
            <w:pPr>
              <w:widowControl/>
              <w:jc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本项目排水依托已建成排水管网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401" w:type="dxa"/>
            <w:vMerge w:val="continue"/>
            <w:vAlign w:val="center"/>
          </w:tcPr>
          <w:p>
            <w:pPr>
              <w:widowControl/>
              <w:jc w:val="center"/>
              <w:rPr>
                <w:rFonts w:hint="default" w:ascii="Times New Roman" w:hAnsi="Times New Roman" w:eastAsia="宋体" w:cs="Times New Roman"/>
                <w:color w:val="auto"/>
                <w:kern w:val="0"/>
                <w:sz w:val="18"/>
                <w:szCs w:val="18"/>
              </w:rPr>
            </w:pPr>
          </w:p>
        </w:tc>
        <w:tc>
          <w:tcPr>
            <w:tcW w:w="2582" w:type="dxa"/>
            <w:gridSpan w:val="3"/>
            <w:shd w:val="clear" w:color="auto" w:fill="auto"/>
            <w:vAlign w:val="center"/>
          </w:tcPr>
          <w:p>
            <w:pPr>
              <w:widowControl/>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供电</w:t>
            </w:r>
          </w:p>
        </w:tc>
        <w:tc>
          <w:tcPr>
            <w:tcW w:w="6300" w:type="dxa"/>
            <w:shd w:val="clear" w:color="auto" w:fill="auto"/>
            <w:vAlign w:val="center"/>
          </w:tcPr>
          <w:p>
            <w:pPr>
              <w:keepNext w:val="0"/>
              <w:keepLines w:val="0"/>
              <w:widowControl/>
              <w:suppressLineNumbers w:val="0"/>
              <w:jc w:val="left"/>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lang w:val="en-US" w:eastAsia="zh-CN" w:bidi="ar"/>
              </w:rPr>
              <w:t>项目用电引自园区供电电网，厂区设置1座110KV变电站，经变压器在分配到各用电终端</w:t>
            </w:r>
          </w:p>
        </w:tc>
        <w:tc>
          <w:tcPr>
            <w:tcW w:w="1414" w:type="dxa"/>
            <w:vAlign w:val="center"/>
          </w:tcPr>
          <w:p>
            <w:pPr>
              <w:widowControl/>
              <w:jc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bidi="ar"/>
              </w:rPr>
              <w:t>楚雄市富民工业园区110kv宇泽晶科输变电工程</w:t>
            </w:r>
          </w:p>
        </w:tc>
        <w:tc>
          <w:tcPr>
            <w:tcW w:w="708" w:type="dxa"/>
            <w:vAlign w:val="center"/>
          </w:tcPr>
          <w:p>
            <w:pPr>
              <w:widowControl/>
              <w:jc w:val="center"/>
              <w:rPr>
                <w:rFonts w:hint="default" w:ascii="Times New Roman" w:hAnsi="Times New Roman" w:eastAsia="宋体" w:cs="Times New Roman"/>
                <w:color w:val="auto"/>
                <w:kern w:val="0"/>
                <w:sz w:val="18"/>
                <w:szCs w:val="18"/>
                <w:lang w:eastAsia="zh-CN"/>
              </w:rPr>
            </w:pPr>
            <w:r>
              <w:rPr>
                <w:rFonts w:hint="default" w:ascii="Times New Roman" w:hAnsi="Times New Roman" w:cs="Times New Roman"/>
                <w:color w:val="auto"/>
                <w:kern w:val="0"/>
                <w:sz w:val="18"/>
                <w:szCs w:val="18"/>
                <w:lang w:val="en-US" w:eastAsia="zh-CN"/>
              </w:rPr>
              <w:t>否</w:t>
            </w:r>
          </w:p>
        </w:tc>
        <w:tc>
          <w:tcPr>
            <w:tcW w:w="3362" w:type="dxa"/>
            <w:vAlign w:val="center"/>
          </w:tcPr>
          <w:p>
            <w:pPr>
              <w:widowControl/>
              <w:jc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本项目供电依托已建成供电设施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401" w:type="dxa"/>
            <w:vMerge w:val="restart"/>
            <w:shd w:val="clear" w:color="auto" w:fill="auto"/>
            <w:vAlign w:val="center"/>
          </w:tcPr>
          <w:p>
            <w:pPr>
              <w:widowControl/>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环保工程</w:t>
            </w:r>
          </w:p>
        </w:tc>
        <w:tc>
          <w:tcPr>
            <w:tcW w:w="375" w:type="dxa"/>
            <w:vMerge w:val="restart"/>
            <w:shd w:val="clear" w:color="auto" w:fill="auto"/>
            <w:vAlign w:val="center"/>
          </w:tcPr>
          <w:p>
            <w:pPr>
              <w:widowControl/>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废气处置措施</w:t>
            </w:r>
          </w:p>
        </w:tc>
        <w:tc>
          <w:tcPr>
            <w:tcW w:w="782" w:type="dxa"/>
            <w:vMerge w:val="restart"/>
            <w:shd w:val="clear" w:color="auto" w:fill="auto"/>
            <w:vAlign w:val="center"/>
          </w:tcPr>
          <w:p>
            <w:pPr>
              <w:widowControl/>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lang w:eastAsia="zh-CN"/>
              </w:rPr>
              <w:t>一期</w:t>
            </w:r>
            <w:r>
              <w:rPr>
                <w:rFonts w:hint="default" w:ascii="Times New Roman" w:hAnsi="Times New Roman" w:eastAsia="宋体" w:cs="Times New Roman"/>
                <w:color w:val="auto"/>
                <w:kern w:val="0"/>
                <w:sz w:val="18"/>
                <w:szCs w:val="18"/>
              </w:rPr>
              <w:t>单晶车间</w:t>
            </w:r>
          </w:p>
        </w:tc>
        <w:tc>
          <w:tcPr>
            <w:tcW w:w="1425" w:type="dxa"/>
            <w:shd w:val="clear" w:color="auto" w:fill="auto"/>
            <w:vAlign w:val="center"/>
          </w:tcPr>
          <w:p>
            <w:pPr>
              <w:widowControl/>
              <w:jc w:val="center"/>
              <w:rPr>
                <w:rFonts w:hint="default" w:ascii="Times New Roman" w:hAnsi="Times New Roman" w:eastAsia="宋体" w:cs="Times New Roman"/>
                <w:color w:val="auto"/>
                <w:kern w:val="0"/>
                <w:sz w:val="18"/>
                <w:szCs w:val="18"/>
                <w:lang w:eastAsia="zh-CN"/>
              </w:rPr>
            </w:pPr>
            <w:r>
              <w:rPr>
                <w:rFonts w:hint="default" w:ascii="Times New Roman" w:hAnsi="Times New Roman" w:cs="Times New Roman"/>
                <w:color w:val="auto"/>
                <w:kern w:val="0"/>
                <w:sz w:val="18"/>
                <w:szCs w:val="18"/>
                <w:lang w:eastAsia="zh-CN"/>
              </w:rPr>
              <w:t>简谐式除尘器</w:t>
            </w:r>
          </w:p>
        </w:tc>
        <w:tc>
          <w:tcPr>
            <w:tcW w:w="6300" w:type="dxa"/>
            <w:shd w:val="clear" w:color="auto" w:fill="auto"/>
            <w:vAlign w:val="center"/>
          </w:tcPr>
          <w:p>
            <w:pPr>
              <w:widowControl/>
              <w:jc w:val="left"/>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lang w:val="en-US" w:eastAsia="zh-CN" w:bidi="ar"/>
              </w:rPr>
              <w:t>每台单晶炉上配套1台简谐式除尘器，共配套352台简谐式除尘器，除尘后的熔料废气</w:t>
            </w:r>
            <w:r>
              <w:rPr>
                <w:rFonts w:hint="default" w:ascii="Times New Roman" w:hAnsi="Times New Roman" w:eastAsia="宋体" w:cs="Times New Roman"/>
                <w:color w:val="auto"/>
                <w:kern w:val="0"/>
                <w:sz w:val="18"/>
                <w:szCs w:val="18"/>
                <w:lang w:eastAsia="zh-CN"/>
              </w:rPr>
              <w:t>通过管道输送至氩气回收系统回收氩气，不排放</w:t>
            </w:r>
          </w:p>
        </w:tc>
        <w:tc>
          <w:tcPr>
            <w:tcW w:w="1414" w:type="dxa"/>
            <w:vMerge w:val="restart"/>
            <w:vAlign w:val="center"/>
          </w:tcPr>
          <w:p>
            <w:pPr>
              <w:widowControl/>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sz w:val="18"/>
                <w:szCs w:val="18"/>
              </w:rPr>
              <w:t>宇泽半导体（云南）有限公司年产5GW单晶硅棒及3GW切片生产线项目</w:t>
            </w:r>
          </w:p>
        </w:tc>
        <w:tc>
          <w:tcPr>
            <w:tcW w:w="708" w:type="dxa"/>
            <w:vAlign w:val="center"/>
          </w:tcPr>
          <w:p>
            <w:pPr>
              <w:widowControl/>
              <w:jc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是</w:t>
            </w:r>
          </w:p>
        </w:tc>
        <w:tc>
          <w:tcPr>
            <w:tcW w:w="3362" w:type="dxa"/>
            <w:vAlign w:val="center"/>
          </w:tcPr>
          <w:p>
            <w:pPr>
              <w:widowControl/>
              <w:jc w:val="center"/>
              <w:rPr>
                <w:rFonts w:hint="default" w:ascii="Times New Roman" w:hAnsi="Times New Roman" w:eastAsia="宋体" w:cs="Times New Roman"/>
                <w:color w:val="auto"/>
                <w:kern w:val="0"/>
                <w:sz w:val="18"/>
                <w:szCs w:val="18"/>
              </w:rPr>
            </w:pPr>
            <w:r>
              <w:rPr>
                <w:rFonts w:hint="default" w:ascii="Times New Roman" w:hAnsi="Times New Roman" w:cs="Times New Roman"/>
                <w:color w:val="auto"/>
                <w:kern w:val="0"/>
                <w:sz w:val="18"/>
                <w:szCs w:val="18"/>
                <w:lang w:val="en-US" w:eastAsia="zh-CN" w:bidi="ar-SA"/>
              </w:rPr>
              <w:t>无依托关系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401" w:type="dxa"/>
            <w:vMerge w:val="continue"/>
            <w:shd w:val="clear" w:color="auto" w:fill="auto"/>
            <w:vAlign w:val="center"/>
          </w:tcPr>
          <w:p>
            <w:pPr>
              <w:widowControl/>
              <w:jc w:val="center"/>
              <w:rPr>
                <w:rFonts w:hint="default" w:ascii="Times New Roman" w:hAnsi="Times New Roman" w:eastAsia="宋体" w:cs="Times New Roman"/>
                <w:color w:val="auto"/>
                <w:kern w:val="0"/>
                <w:sz w:val="18"/>
                <w:szCs w:val="18"/>
              </w:rPr>
            </w:pPr>
          </w:p>
        </w:tc>
        <w:tc>
          <w:tcPr>
            <w:tcW w:w="375" w:type="dxa"/>
            <w:vMerge w:val="continue"/>
            <w:shd w:val="clear" w:color="auto" w:fill="auto"/>
            <w:vAlign w:val="center"/>
          </w:tcPr>
          <w:p>
            <w:pPr>
              <w:widowControl/>
              <w:jc w:val="center"/>
              <w:rPr>
                <w:rFonts w:hint="default" w:ascii="Times New Roman" w:hAnsi="Times New Roman" w:eastAsia="宋体" w:cs="Times New Roman"/>
                <w:color w:val="auto"/>
                <w:kern w:val="0"/>
                <w:sz w:val="18"/>
                <w:szCs w:val="18"/>
              </w:rPr>
            </w:pPr>
          </w:p>
        </w:tc>
        <w:tc>
          <w:tcPr>
            <w:tcW w:w="782" w:type="dxa"/>
            <w:vMerge w:val="continue"/>
            <w:shd w:val="clear" w:color="auto" w:fill="auto"/>
            <w:vAlign w:val="center"/>
          </w:tcPr>
          <w:p>
            <w:pPr>
              <w:widowControl/>
              <w:jc w:val="center"/>
              <w:rPr>
                <w:rFonts w:hint="default" w:ascii="Times New Roman" w:hAnsi="Times New Roman" w:eastAsia="宋体" w:cs="Times New Roman"/>
                <w:color w:val="auto"/>
                <w:kern w:val="0"/>
                <w:sz w:val="18"/>
                <w:szCs w:val="18"/>
              </w:rPr>
            </w:pPr>
          </w:p>
        </w:tc>
        <w:tc>
          <w:tcPr>
            <w:tcW w:w="1425" w:type="dxa"/>
            <w:shd w:val="clear" w:color="auto" w:fill="auto"/>
            <w:vAlign w:val="center"/>
          </w:tcPr>
          <w:p>
            <w:pPr>
              <w:widowControl/>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eastAsia="zh-CN"/>
              </w:rPr>
              <w:t>布袋除尘器</w:t>
            </w:r>
          </w:p>
        </w:tc>
        <w:tc>
          <w:tcPr>
            <w:tcW w:w="6300" w:type="dxa"/>
            <w:shd w:val="clear" w:color="auto" w:fill="auto"/>
            <w:vAlign w:val="center"/>
          </w:tcPr>
          <w:p>
            <w:pPr>
              <w:widowControl/>
              <w:jc w:val="left"/>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eastAsia="zh-CN"/>
              </w:rPr>
              <w:t>通过吸尘器将单晶炉底的粉尘抽吸至</w:t>
            </w:r>
            <w:r>
              <w:rPr>
                <w:rFonts w:hint="default" w:ascii="Times New Roman" w:hAnsi="Times New Roman" w:eastAsia="宋体" w:cs="Times New Roman"/>
                <w:color w:val="auto"/>
                <w:kern w:val="0"/>
                <w:sz w:val="18"/>
                <w:szCs w:val="18"/>
                <w:lang w:val="en-US" w:eastAsia="zh-CN"/>
              </w:rPr>
              <w:t>10套</w:t>
            </w:r>
            <w:r>
              <w:rPr>
                <w:rFonts w:hint="default" w:ascii="Times New Roman" w:hAnsi="Times New Roman" w:eastAsia="宋体" w:cs="Times New Roman"/>
                <w:color w:val="auto"/>
                <w:kern w:val="0"/>
                <w:sz w:val="18"/>
                <w:szCs w:val="18"/>
                <w:lang w:eastAsia="zh-CN"/>
              </w:rPr>
              <w:t>布袋除尘器</w:t>
            </w:r>
            <w:r>
              <w:rPr>
                <w:rFonts w:hint="default" w:ascii="Times New Roman" w:hAnsi="Times New Roman" w:eastAsia="宋体" w:cs="Times New Roman"/>
                <w:color w:val="auto"/>
                <w:sz w:val="18"/>
                <w:szCs w:val="18"/>
                <w:lang w:eastAsia="zh-CN"/>
              </w:rPr>
              <w:t>治理后无组织排放</w:t>
            </w:r>
          </w:p>
        </w:tc>
        <w:tc>
          <w:tcPr>
            <w:tcW w:w="1414" w:type="dxa"/>
            <w:vMerge w:val="continue"/>
            <w:vAlign w:val="center"/>
          </w:tcPr>
          <w:p>
            <w:pPr>
              <w:widowControl/>
              <w:jc w:val="left"/>
              <w:rPr>
                <w:rFonts w:hint="default" w:ascii="Times New Roman" w:hAnsi="Times New Roman" w:eastAsia="宋体" w:cs="Times New Roman"/>
                <w:color w:val="auto"/>
                <w:kern w:val="0"/>
                <w:sz w:val="18"/>
                <w:szCs w:val="18"/>
                <w:lang w:eastAsia="zh-CN"/>
              </w:rPr>
            </w:pPr>
          </w:p>
        </w:tc>
        <w:tc>
          <w:tcPr>
            <w:tcW w:w="708" w:type="dxa"/>
            <w:vAlign w:val="center"/>
          </w:tcPr>
          <w:p>
            <w:pPr>
              <w:widowControl/>
              <w:jc w:val="center"/>
              <w:rPr>
                <w:rFonts w:hint="default" w:ascii="Times New Roman" w:hAnsi="Times New Roman" w:eastAsia="宋体" w:cs="Times New Roman"/>
                <w:color w:val="auto"/>
                <w:kern w:val="0"/>
                <w:sz w:val="18"/>
                <w:szCs w:val="18"/>
                <w:lang w:eastAsia="zh-CN"/>
              </w:rPr>
            </w:pPr>
            <w:r>
              <w:rPr>
                <w:rFonts w:hint="default" w:ascii="Times New Roman" w:hAnsi="Times New Roman" w:cs="Times New Roman"/>
                <w:color w:val="auto"/>
                <w:kern w:val="0"/>
                <w:sz w:val="18"/>
                <w:szCs w:val="18"/>
                <w:lang w:eastAsia="zh-CN"/>
              </w:rPr>
              <w:t>是</w:t>
            </w:r>
          </w:p>
        </w:tc>
        <w:tc>
          <w:tcPr>
            <w:tcW w:w="3362" w:type="dxa"/>
            <w:vAlign w:val="center"/>
          </w:tcPr>
          <w:p>
            <w:pPr>
              <w:widowControl/>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kern w:val="0"/>
                <w:sz w:val="18"/>
                <w:szCs w:val="18"/>
                <w:lang w:val="en-US" w:eastAsia="zh-CN" w:bidi="ar-SA"/>
              </w:rPr>
              <w:t>无依托关系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401" w:type="dxa"/>
            <w:vMerge w:val="continue"/>
            <w:shd w:val="clear" w:color="auto" w:fill="auto"/>
            <w:vAlign w:val="center"/>
          </w:tcPr>
          <w:p>
            <w:pPr>
              <w:widowControl/>
              <w:jc w:val="center"/>
              <w:rPr>
                <w:rFonts w:hint="default" w:ascii="Times New Roman" w:hAnsi="Times New Roman" w:eastAsia="宋体" w:cs="Times New Roman"/>
                <w:color w:val="auto"/>
                <w:kern w:val="0"/>
                <w:sz w:val="18"/>
                <w:szCs w:val="18"/>
              </w:rPr>
            </w:pPr>
          </w:p>
        </w:tc>
        <w:tc>
          <w:tcPr>
            <w:tcW w:w="375" w:type="dxa"/>
            <w:vMerge w:val="continue"/>
            <w:shd w:val="clear" w:color="auto" w:fill="auto"/>
            <w:vAlign w:val="center"/>
          </w:tcPr>
          <w:p>
            <w:pPr>
              <w:widowControl/>
              <w:jc w:val="center"/>
              <w:rPr>
                <w:rFonts w:hint="default" w:ascii="Times New Roman" w:hAnsi="Times New Roman" w:eastAsia="宋体" w:cs="Times New Roman"/>
                <w:color w:val="auto"/>
                <w:kern w:val="0"/>
                <w:sz w:val="18"/>
                <w:szCs w:val="18"/>
              </w:rPr>
            </w:pPr>
          </w:p>
        </w:tc>
        <w:tc>
          <w:tcPr>
            <w:tcW w:w="782" w:type="dxa"/>
            <w:vMerge w:val="restart"/>
            <w:shd w:val="clear" w:color="auto" w:fill="auto"/>
            <w:vAlign w:val="center"/>
          </w:tcPr>
          <w:p>
            <w:pPr>
              <w:widowControl/>
              <w:jc w:val="center"/>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color w:val="auto"/>
                <w:kern w:val="0"/>
                <w:sz w:val="18"/>
                <w:szCs w:val="18"/>
                <w:lang w:eastAsia="zh-CN"/>
              </w:rPr>
              <w:t>二期单晶车间</w:t>
            </w:r>
          </w:p>
        </w:tc>
        <w:tc>
          <w:tcPr>
            <w:tcW w:w="1425" w:type="dxa"/>
            <w:shd w:val="clear" w:color="auto" w:fill="auto"/>
            <w:vAlign w:val="center"/>
          </w:tcPr>
          <w:p>
            <w:pPr>
              <w:widowControl/>
              <w:jc w:val="center"/>
              <w:rPr>
                <w:rFonts w:hint="default" w:ascii="Times New Roman" w:hAnsi="Times New Roman" w:eastAsia="宋体" w:cs="Times New Roman"/>
                <w:color w:val="auto"/>
                <w:kern w:val="0"/>
                <w:sz w:val="18"/>
                <w:szCs w:val="18"/>
                <w:lang w:eastAsia="zh-CN"/>
              </w:rPr>
            </w:pPr>
            <w:r>
              <w:rPr>
                <w:rFonts w:hint="default" w:ascii="Times New Roman" w:hAnsi="Times New Roman" w:cs="Times New Roman"/>
                <w:color w:val="auto"/>
                <w:kern w:val="0"/>
                <w:sz w:val="18"/>
                <w:szCs w:val="18"/>
                <w:lang w:eastAsia="zh-CN"/>
              </w:rPr>
              <w:t>简谐式除尘器</w:t>
            </w:r>
          </w:p>
        </w:tc>
        <w:tc>
          <w:tcPr>
            <w:tcW w:w="6300" w:type="dxa"/>
            <w:shd w:val="clear" w:color="auto" w:fill="auto"/>
            <w:vAlign w:val="center"/>
          </w:tcPr>
          <w:p>
            <w:pPr>
              <w:widowControl/>
              <w:jc w:val="left"/>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color w:val="auto"/>
                <w:kern w:val="0"/>
                <w:sz w:val="18"/>
                <w:szCs w:val="18"/>
                <w:lang w:val="en-US" w:eastAsia="zh-CN" w:bidi="ar"/>
              </w:rPr>
              <w:t>每台单晶炉上配套1台简谐式除尘器，共配套720台简谐式除尘器，除尘后的熔料废气</w:t>
            </w:r>
            <w:r>
              <w:rPr>
                <w:rFonts w:hint="default" w:ascii="Times New Roman" w:hAnsi="Times New Roman" w:eastAsia="宋体" w:cs="Times New Roman"/>
                <w:color w:val="auto"/>
                <w:kern w:val="0"/>
                <w:sz w:val="18"/>
                <w:szCs w:val="18"/>
                <w:lang w:eastAsia="zh-CN"/>
              </w:rPr>
              <w:t>通过管道输送至氩气回收系统回收氩气，不排放</w:t>
            </w:r>
          </w:p>
        </w:tc>
        <w:tc>
          <w:tcPr>
            <w:tcW w:w="1414" w:type="dxa"/>
            <w:vMerge w:val="continue"/>
            <w:vAlign w:val="center"/>
          </w:tcPr>
          <w:p>
            <w:pPr>
              <w:widowControl/>
              <w:jc w:val="center"/>
              <w:rPr>
                <w:rFonts w:hint="default" w:ascii="Times New Roman" w:hAnsi="Times New Roman" w:eastAsia="宋体" w:cs="Times New Roman"/>
                <w:color w:val="auto"/>
                <w:kern w:val="0"/>
                <w:sz w:val="18"/>
                <w:szCs w:val="18"/>
                <w:lang w:val="en-US" w:eastAsia="zh-CN" w:bidi="ar-SA"/>
              </w:rPr>
            </w:pPr>
          </w:p>
        </w:tc>
        <w:tc>
          <w:tcPr>
            <w:tcW w:w="708" w:type="dxa"/>
            <w:vAlign w:val="center"/>
          </w:tcPr>
          <w:p>
            <w:pPr>
              <w:widowControl/>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eastAsia="zh-CN"/>
              </w:rPr>
              <w:t>是</w:t>
            </w:r>
          </w:p>
        </w:tc>
        <w:tc>
          <w:tcPr>
            <w:tcW w:w="3362" w:type="dxa"/>
            <w:vAlign w:val="center"/>
          </w:tcPr>
          <w:p>
            <w:pPr>
              <w:widowControl/>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bidi="ar-SA"/>
              </w:rPr>
              <w:t>无依托关系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401" w:type="dxa"/>
            <w:vMerge w:val="continue"/>
            <w:shd w:val="clear" w:color="auto" w:fill="auto"/>
            <w:vAlign w:val="center"/>
          </w:tcPr>
          <w:p>
            <w:pPr>
              <w:widowControl/>
              <w:jc w:val="center"/>
              <w:rPr>
                <w:rFonts w:hint="default" w:ascii="Times New Roman" w:hAnsi="Times New Roman" w:eastAsia="宋体" w:cs="Times New Roman"/>
                <w:color w:val="auto"/>
                <w:kern w:val="0"/>
                <w:sz w:val="18"/>
                <w:szCs w:val="18"/>
              </w:rPr>
            </w:pPr>
          </w:p>
        </w:tc>
        <w:tc>
          <w:tcPr>
            <w:tcW w:w="375" w:type="dxa"/>
            <w:vMerge w:val="continue"/>
            <w:shd w:val="clear" w:color="auto" w:fill="auto"/>
            <w:vAlign w:val="center"/>
          </w:tcPr>
          <w:p>
            <w:pPr>
              <w:widowControl/>
              <w:jc w:val="center"/>
              <w:rPr>
                <w:rFonts w:hint="default" w:ascii="Times New Roman" w:hAnsi="Times New Roman" w:eastAsia="宋体" w:cs="Times New Roman"/>
                <w:color w:val="auto"/>
                <w:kern w:val="0"/>
                <w:sz w:val="18"/>
                <w:szCs w:val="18"/>
              </w:rPr>
            </w:pPr>
          </w:p>
        </w:tc>
        <w:tc>
          <w:tcPr>
            <w:tcW w:w="782" w:type="dxa"/>
            <w:vMerge w:val="continue"/>
            <w:shd w:val="clear" w:color="auto" w:fill="auto"/>
            <w:vAlign w:val="center"/>
          </w:tcPr>
          <w:p>
            <w:pPr>
              <w:widowControl/>
              <w:jc w:val="center"/>
              <w:rPr>
                <w:rFonts w:hint="default" w:ascii="Times New Roman" w:hAnsi="Times New Roman" w:eastAsia="宋体" w:cs="Times New Roman"/>
                <w:color w:val="auto"/>
                <w:kern w:val="0"/>
                <w:sz w:val="18"/>
                <w:szCs w:val="18"/>
              </w:rPr>
            </w:pPr>
          </w:p>
        </w:tc>
        <w:tc>
          <w:tcPr>
            <w:tcW w:w="1425" w:type="dxa"/>
            <w:shd w:val="clear" w:color="auto" w:fill="auto"/>
            <w:vAlign w:val="center"/>
          </w:tcPr>
          <w:p>
            <w:pPr>
              <w:widowControl/>
              <w:jc w:val="center"/>
              <w:rPr>
                <w:rFonts w:hint="default" w:ascii="Times New Roman" w:hAnsi="Times New Roman" w:eastAsia="宋体" w:cs="Times New Roman"/>
                <w:color w:val="auto"/>
                <w:kern w:val="0"/>
                <w:sz w:val="18"/>
                <w:szCs w:val="18"/>
                <w:lang w:eastAsia="zh-CN"/>
              </w:rPr>
            </w:pPr>
            <w:r>
              <w:rPr>
                <w:rFonts w:hint="default" w:ascii="Times New Roman" w:hAnsi="Times New Roman" w:cs="Times New Roman"/>
                <w:color w:val="auto"/>
                <w:kern w:val="0"/>
                <w:sz w:val="18"/>
                <w:szCs w:val="18"/>
                <w:lang w:eastAsia="zh-CN"/>
              </w:rPr>
              <w:t>布袋除尘器</w:t>
            </w:r>
          </w:p>
        </w:tc>
        <w:tc>
          <w:tcPr>
            <w:tcW w:w="6300" w:type="dxa"/>
            <w:shd w:val="clear" w:color="auto" w:fill="auto"/>
            <w:vAlign w:val="center"/>
          </w:tcPr>
          <w:p>
            <w:pPr>
              <w:widowControl/>
              <w:jc w:val="left"/>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eastAsia="zh-CN"/>
              </w:rPr>
              <w:t>通过吸尘器将单晶炉底的粉尘抽吸至</w:t>
            </w:r>
            <w:r>
              <w:rPr>
                <w:rFonts w:hint="default" w:ascii="Times New Roman" w:hAnsi="Times New Roman" w:eastAsia="宋体" w:cs="Times New Roman"/>
                <w:color w:val="auto"/>
                <w:kern w:val="0"/>
                <w:sz w:val="18"/>
                <w:szCs w:val="18"/>
                <w:lang w:val="en-US" w:eastAsia="zh-CN"/>
              </w:rPr>
              <w:t>15套</w:t>
            </w:r>
            <w:r>
              <w:rPr>
                <w:rFonts w:hint="default" w:ascii="Times New Roman" w:hAnsi="Times New Roman" w:eastAsia="宋体" w:cs="Times New Roman"/>
                <w:color w:val="auto"/>
                <w:kern w:val="0"/>
                <w:sz w:val="18"/>
                <w:szCs w:val="18"/>
                <w:lang w:eastAsia="zh-CN"/>
              </w:rPr>
              <w:t>布袋除尘器</w:t>
            </w:r>
            <w:r>
              <w:rPr>
                <w:rFonts w:hint="default" w:ascii="Times New Roman" w:hAnsi="Times New Roman" w:eastAsia="宋体" w:cs="Times New Roman"/>
                <w:color w:val="auto"/>
                <w:sz w:val="18"/>
                <w:szCs w:val="18"/>
                <w:lang w:eastAsia="zh-CN"/>
              </w:rPr>
              <w:t>治理后无组织排放</w:t>
            </w:r>
          </w:p>
        </w:tc>
        <w:tc>
          <w:tcPr>
            <w:tcW w:w="1414" w:type="dxa"/>
            <w:vMerge w:val="continue"/>
            <w:vAlign w:val="center"/>
          </w:tcPr>
          <w:p>
            <w:pPr>
              <w:widowControl/>
              <w:jc w:val="center"/>
              <w:rPr>
                <w:rFonts w:hint="default" w:ascii="Times New Roman" w:hAnsi="Times New Roman" w:eastAsia="宋体" w:cs="Times New Roman"/>
                <w:color w:val="auto"/>
                <w:kern w:val="0"/>
                <w:sz w:val="18"/>
                <w:szCs w:val="18"/>
                <w:lang w:val="en-US" w:eastAsia="zh-CN" w:bidi="ar-SA"/>
              </w:rPr>
            </w:pPr>
          </w:p>
        </w:tc>
        <w:tc>
          <w:tcPr>
            <w:tcW w:w="708" w:type="dxa"/>
            <w:vAlign w:val="center"/>
          </w:tcPr>
          <w:p>
            <w:pPr>
              <w:widowControl/>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eastAsia="zh-CN"/>
              </w:rPr>
              <w:t>是</w:t>
            </w:r>
          </w:p>
        </w:tc>
        <w:tc>
          <w:tcPr>
            <w:tcW w:w="3362" w:type="dxa"/>
            <w:vAlign w:val="center"/>
          </w:tcPr>
          <w:p>
            <w:pPr>
              <w:widowControl/>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kern w:val="0"/>
                <w:sz w:val="18"/>
                <w:szCs w:val="18"/>
                <w:lang w:val="en-US" w:eastAsia="zh-CN" w:bidi="ar-SA"/>
              </w:rPr>
              <w:t>无依托关系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401" w:type="dxa"/>
            <w:vMerge w:val="continue"/>
            <w:shd w:val="clear" w:color="auto" w:fill="auto"/>
            <w:vAlign w:val="center"/>
          </w:tcPr>
          <w:p>
            <w:pPr>
              <w:widowControl/>
              <w:jc w:val="center"/>
              <w:rPr>
                <w:rFonts w:hint="default" w:ascii="Times New Roman" w:hAnsi="Times New Roman" w:eastAsia="宋体" w:cs="Times New Roman"/>
                <w:color w:val="auto"/>
                <w:kern w:val="0"/>
                <w:sz w:val="18"/>
                <w:szCs w:val="18"/>
              </w:rPr>
            </w:pPr>
          </w:p>
        </w:tc>
        <w:tc>
          <w:tcPr>
            <w:tcW w:w="375" w:type="dxa"/>
            <w:vMerge w:val="continue"/>
            <w:shd w:val="clear" w:color="auto" w:fill="auto"/>
            <w:vAlign w:val="center"/>
          </w:tcPr>
          <w:p>
            <w:pPr>
              <w:widowControl/>
              <w:jc w:val="center"/>
              <w:rPr>
                <w:rFonts w:hint="default" w:ascii="Times New Roman" w:hAnsi="Times New Roman" w:eastAsia="宋体" w:cs="Times New Roman"/>
                <w:color w:val="auto"/>
                <w:kern w:val="0"/>
                <w:sz w:val="18"/>
                <w:szCs w:val="18"/>
              </w:rPr>
            </w:pPr>
          </w:p>
        </w:tc>
        <w:tc>
          <w:tcPr>
            <w:tcW w:w="782" w:type="dxa"/>
            <w:shd w:val="clear" w:color="auto" w:fill="auto"/>
            <w:vAlign w:val="center"/>
          </w:tcPr>
          <w:p>
            <w:pPr>
              <w:widowControl/>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eastAsia="zh-CN"/>
              </w:rPr>
              <w:t>一期</w:t>
            </w:r>
            <w:r>
              <w:rPr>
                <w:rFonts w:hint="default" w:ascii="Times New Roman" w:hAnsi="Times New Roman" w:eastAsia="宋体" w:cs="Times New Roman"/>
                <w:color w:val="auto"/>
                <w:sz w:val="18"/>
                <w:szCs w:val="18"/>
              </w:rPr>
              <w:t>石墨清理间</w:t>
            </w:r>
          </w:p>
        </w:tc>
        <w:tc>
          <w:tcPr>
            <w:tcW w:w="1425" w:type="dxa"/>
            <w:shd w:val="clear" w:color="auto" w:fill="auto"/>
            <w:vAlign w:val="center"/>
          </w:tcPr>
          <w:p>
            <w:pPr>
              <w:widowControl/>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eastAsia="zh-CN"/>
              </w:rPr>
              <w:t>布袋除尘器</w:t>
            </w:r>
          </w:p>
        </w:tc>
        <w:tc>
          <w:tcPr>
            <w:tcW w:w="6300" w:type="dxa"/>
            <w:shd w:val="clear" w:color="auto" w:fill="auto"/>
            <w:vAlign w:val="center"/>
          </w:tcPr>
          <w:p>
            <w:pPr>
              <w:widowControl/>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val="en-US" w:eastAsia="zh-CN" w:bidi="ar"/>
              </w:rPr>
              <w:t>石墨件集中在1个除尘间清理，</w:t>
            </w:r>
            <w:r>
              <w:rPr>
                <w:rFonts w:hint="default" w:ascii="Times New Roman" w:hAnsi="Times New Roman" w:cs="Times New Roman"/>
                <w:color w:val="auto"/>
                <w:kern w:val="0"/>
                <w:sz w:val="18"/>
                <w:szCs w:val="18"/>
                <w:lang w:val="en-US" w:eastAsia="zh-CN" w:bidi="ar"/>
              </w:rPr>
              <w:t>石墨件清理粉尘</w:t>
            </w:r>
            <w:r>
              <w:rPr>
                <w:rFonts w:hint="default" w:ascii="Times New Roman" w:hAnsi="Times New Roman" w:eastAsia="宋体" w:cs="Times New Roman"/>
                <w:color w:val="auto"/>
                <w:kern w:val="0"/>
                <w:sz w:val="18"/>
                <w:szCs w:val="18"/>
                <w:lang w:val="en-US" w:eastAsia="zh-CN" w:bidi="ar"/>
              </w:rPr>
              <w:t>经集气罩收集后经1套布袋除尘器处理后通过1根25m排气筒</w:t>
            </w:r>
            <w:r>
              <w:rPr>
                <w:rFonts w:hint="default" w:ascii="Times New Roman" w:hAnsi="Times New Roman" w:cs="Times New Roman"/>
                <w:color w:val="auto"/>
                <w:kern w:val="0"/>
                <w:sz w:val="18"/>
                <w:szCs w:val="18"/>
                <w:lang w:val="en-US" w:eastAsia="zh-CN" w:bidi="ar"/>
              </w:rPr>
              <w:t>DA002</w:t>
            </w:r>
            <w:r>
              <w:rPr>
                <w:rFonts w:hint="default" w:ascii="Times New Roman" w:hAnsi="Times New Roman" w:eastAsia="宋体" w:cs="Times New Roman"/>
                <w:color w:val="auto"/>
                <w:kern w:val="0"/>
                <w:sz w:val="18"/>
                <w:szCs w:val="18"/>
                <w:lang w:val="en-US" w:eastAsia="zh-CN" w:bidi="ar"/>
              </w:rPr>
              <w:t>排放</w:t>
            </w:r>
            <w:r>
              <w:rPr>
                <w:rFonts w:hint="default" w:ascii="Times New Roman" w:hAnsi="Times New Roman" w:cs="Times New Roman"/>
                <w:color w:val="auto"/>
                <w:kern w:val="0"/>
                <w:sz w:val="18"/>
                <w:szCs w:val="18"/>
                <w:lang w:val="en-US" w:eastAsia="zh-CN" w:bidi="ar"/>
              </w:rPr>
              <w:t>（编号与排污许可证一致）</w:t>
            </w:r>
          </w:p>
        </w:tc>
        <w:tc>
          <w:tcPr>
            <w:tcW w:w="1414" w:type="dxa"/>
            <w:vMerge w:val="continue"/>
            <w:vAlign w:val="center"/>
          </w:tcPr>
          <w:p>
            <w:pPr>
              <w:widowControl/>
              <w:jc w:val="left"/>
              <w:rPr>
                <w:rFonts w:hint="default" w:ascii="Times New Roman" w:hAnsi="Times New Roman" w:eastAsia="宋体" w:cs="Times New Roman"/>
                <w:color w:val="auto"/>
                <w:kern w:val="0"/>
                <w:sz w:val="18"/>
                <w:szCs w:val="18"/>
                <w:lang w:val="en-US" w:eastAsia="zh-CN" w:bidi="ar-SA"/>
              </w:rPr>
            </w:pPr>
          </w:p>
        </w:tc>
        <w:tc>
          <w:tcPr>
            <w:tcW w:w="708" w:type="dxa"/>
            <w:vAlign w:val="center"/>
          </w:tcPr>
          <w:p>
            <w:pPr>
              <w:widowControl/>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eastAsia="zh-CN"/>
              </w:rPr>
              <w:t>是</w:t>
            </w:r>
          </w:p>
        </w:tc>
        <w:tc>
          <w:tcPr>
            <w:tcW w:w="3362" w:type="dxa"/>
            <w:vAlign w:val="center"/>
          </w:tcPr>
          <w:p>
            <w:pPr>
              <w:widowControl/>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kern w:val="0"/>
                <w:sz w:val="18"/>
                <w:szCs w:val="18"/>
                <w:lang w:val="en-US" w:eastAsia="zh-CN" w:bidi="ar-SA"/>
              </w:rPr>
              <w:t>无依托关系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401" w:type="dxa"/>
            <w:vMerge w:val="continue"/>
            <w:shd w:val="clear" w:color="auto" w:fill="auto"/>
            <w:vAlign w:val="center"/>
          </w:tcPr>
          <w:p>
            <w:pPr>
              <w:widowControl/>
              <w:jc w:val="center"/>
              <w:rPr>
                <w:rFonts w:hint="default" w:ascii="Times New Roman" w:hAnsi="Times New Roman" w:eastAsia="宋体" w:cs="Times New Roman"/>
                <w:color w:val="auto"/>
                <w:kern w:val="0"/>
                <w:sz w:val="18"/>
                <w:szCs w:val="18"/>
              </w:rPr>
            </w:pPr>
          </w:p>
        </w:tc>
        <w:tc>
          <w:tcPr>
            <w:tcW w:w="375" w:type="dxa"/>
            <w:vMerge w:val="continue"/>
            <w:shd w:val="clear" w:color="auto" w:fill="auto"/>
            <w:vAlign w:val="center"/>
          </w:tcPr>
          <w:p>
            <w:pPr>
              <w:widowControl/>
              <w:jc w:val="center"/>
              <w:rPr>
                <w:rFonts w:hint="default" w:ascii="Times New Roman" w:hAnsi="Times New Roman" w:eastAsia="宋体" w:cs="Times New Roman"/>
                <w:color w:val="auto"/>
                <w:kern w:val="0"/>
                <w:sz w:val="18"/>
                <w:szCs w:val="18"/>
              </w:rPr>
            </w:pPr>
          </w:p>
        </w:tc>
        <w:tc>
          <w:tcPr>
            <w:tcW w:w="782" w:type="dxa"/>
            <w:shd w:val="clear" w:color="auto" w:fill="auto"/>
            <w:vAlign w:val="center"/>
          </w:tcPr>
          <w:p>
            <w:pPr>
              <w:widowControl/>
              <w:jc w:val="center"/>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二期</w:t>
            </w:r>
            <w:r>
              <w:rPr>
                <w:rFonts w:hint="default" w:ascii="Times New Roman" w:hAnsi="Times New Roman" w:eastAsia="宋体" w:cs="Times New Roman"/>
                <w:color w:val="auto"/>
                <w:sz w:val="18"/>
                <w:szCs w:val="18"/>
              </w:rPr>
              <w:t>石墨清理间</w:t>
            </w:r>
          </w:p>
        </w:tc>
        <w:tc>
          <w:tcPr>
            <w:tcW w:w="1425" w:type="dxa"/>
            <w:shd w:val="clear" w:color="auto" w:fill="auto"/>
            <w:vAlign w:val="center"/>
          </w:tcPr>
          <w:p>
            <w:pPr>
              <w:widowControl/>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eastAsia="zh-CN"/>
              </w:rPr>
              <w:t>布袋除尘器</w:t>
            </w:r>
          </w:p>
        </w:tc>
        <w:tc>
          <w:tcPr>
            <w:tcW w:w="6300" w:type="dxa"/>
            <w:shd w:val="clear" w:color="auto" w:fill="auto"/>
            <w:vAlign w:val="center"/>
          </w:tcPr>
          <w:p>
            <w:pPr>
              <w:widowControl/>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val="en-US" w:eastAsia="zh-CN" w:bidi="ar"/>
              </w:rPr>
              <w:t>石墨件集中在</w:t>
            </w:r>
            <w:r>
              <w:rPr>
                <w:rFonts w:hint="default" w:ascii="Times New Roman" w:hAnsi="Times New Roman" w:cs="Times New Roman"/>
                <w:color w:val="auto"/>
                <w:kern w:val="0"/>
                <w:sz w:val="18"/>
                <w:szCs w:val="18"/>
                <w:lang w:val="en-US" w:eastAsia="zh-CN" w:bidi="ar"/>
              </w:rPr>
              <w:t>2</w:t>
            </w:r>
            <w:r>
              <w:rPr>
                <w:rFonts w:hint="default" w:ascii="Times New Roman" w:hAnsi="Times New Roman" w:eastAsia="宋体" w:cs="Times New Roman"/>
                <w:color w:val="auto"/>
                <w:kern w:val="0"/>
                <w:sz w:val="18"/>
                <w:szCs w:val="18"/>
                <w:lang w:val="en-US" w:eastAsia="zh-CN" w:bidi="ar"/>
              </w:rPr>
              <w:t>个</w:t>
            </w:r>
            <w:r>
              <w:rPr>
                <w:rFonts w:hint="default" w:ascii="Times New Roman" w:hAnsi="Times New Roman" w:cs="Times New Roman"/>
                <w:color w:val="auto"/>
                <w:kern w:val="0"/>
                <w:sz w:val="18"/>
                <w:szCs w:val="18"/>
                <w:lang w:val="en-US" w:eastAsia="zh-CN" w:bidi="ar"/>
              </w:rPr>
              <w:t>清理间</w:t>
            </w:r>
            <w:r>
              <w:rPr>
                <w:rFonts w:hint="default" w:ascii="Times New Roman" w:hAnsi="Times New Roman" w:eastAsia="宋体" w:cs="Times New Roman"/>
                <w:color w:val="auto"/>
                <w:kern w:val="0"/>
                <w:sz w:val="18"/>
                <w:szCs w:val="18"/>
                <w:lang w:val="en-US" w:eastAsia="zh-CN" w:bidi="ar"/>
              </w:rPr>
              <w:t>清理，</w:t>
            </w:r>
            <w:r>
              <w:rPr>
                <w:rFonts w:hint="default" w:ascii="Times New Roman" w:hAnsi="Times New Roman" w:cs="Times New Roman"/>
                <w:color w:val="auto"/>
                <w:kern w:val="0"/>
                <w:sz w:val="18"/>
                <w:szCs w:val="18"/>
                <w:lang w:val="en-US" w:eastAsia="zh-CN" w:bidi="ar"/>
              </w:rPr>
              <w:t>石墨件清理粉尘</w:t>
            </w:r>
            <w:r>
              <w:rPr>
                <w:rFonts w:hint="default" w:ascii="Times New Roman" w:hAnsi="Times New Roman" w:eastAsia="宋体" w:cs="Times New Roman"/>
                <w:color w:val="auto"/>
                <w:kern w:val="0"/>
                <w:sz w:val="18"/>
                <w:szCs w:val="18"/>
                <w:lang w:val="en-US" w:eastAsia="zh-CN" w:bidi="ar"/>
              </w:rPr>
              <w:t>经集气罩收集后经2套布袋除尘器处理后通过2根25m排气筒</w:t>
            </w:r>
            <w:r>
              <w:rPr>
                <w:rFonts w:hint="default" w:ascii="Times New Roman" w:hAnsi="Times New Roman" w:cs="Times New Roman"/>
                <w:color w:val="auto"/>
                <w:kern w:val="0"/>
                <w:sz w:val="18"/>
                <w:szCs w:val="18"/>
                <w:lang w:val="en-US" w:eastAsia="zh-CN" w:bidi="ar"/>
              </w:rPr>
              <w:t>DA006、DA007</w:t>
            </w:r>
            <w:r>
              <w:rPr>
                <w:rFonts w:hint="default" w:ascii="Times New Roman" w:hAnsi="Times New Roman" w:eastAsia="宋体" w:cs="Times New Roman"/>
                <w:color w:val="auto"/>
                <w:kern w:val="0"/>
                <w:sz w:val="18"/>
                <w:szCs w:val="18"/>
                <w:lang w:val="en-US" w:eastAsia="zh-CN" w:bidi="ar"/>
              </w:rPr>
              <w:t>排放</w:t>
            </w:r>
            <w:r>
              <w:rPr>
                <w:rFonts w:hint="default" w:ascii="Times New Roman" w:hAnsi="Times New Roman" w:cs="Times New Roman"/>
                <w:color w:val="auto"/>
                <w:kern w:val="0"/>
                <w:sz w:val="18"/>
                <w:szCs w:val="18"/>
                <w:lang w:val="en-US" w:eastAsia="zh-CN" w:bidi="ar"/>
              </w:rPr>
              <w:t>（编号与排污许可证一致）</w:t>
            </w:r>
          </w:p>
        </w:tc>
        <w:tc>
          <w:tcPr>
            <w:tcW w:w="1414" w:type="dxa"/>
            <w:vMerge w:val="continue"/>
            <w:vAlign w:val="center"/>
          </w:tcPr>
          <w:p>
            <w:pPr>
              <w:widowControl/>
              <w:jc w:val="center"/>
              <w:rPr>
                <w:rFonts w:hint="default" w:ascii="Times New Roman" w:hAnsi="Times New Roman" w:eastAsia="宋体" w:cs="Times New Roman"/>
                <w:color w:val="auto"/>
                <w:sz w:val="18"/>
                <w:szCs w:val="18"/>
                <w:lang w:val="en-US" w:eastAsia="zh-CN"/>
              </w:rPr>
            </w:pPr>
          </w:p>
        </w:tc>
        <w:tc>
          <w:tcPr>
            <w:tcW w:w="708" w:type="dxa"/>
            <w:vAlign w:val="center"/>
          </w:tcPr>
          <w:p>
            <w:pPr>
              <w:widowControl/>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eastAsia="zh-CN"/>
              </w:rPr>
              <w:t>是</w:t>
            </w:r>
          </w:p>
        </w:tc>
        <w:tc>
          <w:tcPr>
            <w:tcW w:w="3362" w:type="dxa"/>
            <w:vAlign w:val="center"/>
          </w:tcPr>
          <w:p>
            <w:pPr>
              <w:widowControl/>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kern w:val="0"/>
                <w:sz w:val="18"/>
                <w:szCs w:val="18"/>
                <w:lang w:val="en-US" w:eastAsia="zh-CN" w:bidi="ar-SA"/>
              </w:rPr>
              <w:t>无依托关系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401" w:type="dxa"/>
            <w:vMerge w:val="continue"/>
            <w:shd w:val="clear" w:color="auto" w:fill="auto"/>
            <w:vAlign w:val="center"/>
          </w:tcPr>
          <w:p>
            <w:pPr>
              <w:widowControl/>
              <w:jc w:val="center"/>
              <w:rPr>
                <w:rFonts w:hint="default" w:ascii="Times New Roman" w:hAnsi="Times New Roman" w:eastAsia="宋体" w:cs="Times New Roman"/>
                <w:color w:val="auto"/>
                <w:kern w:val="0"/>
                <w:sz w:val="18"/>
                <w:szCs w:val="18"/>
              </w:rPr>
            </w:pPr>
          </w:p>
        </w:tc>
        <w:tc>
          <w:tcPr>
            <w:tcW w:w="375" w:type="dxa"/>
            <w:vMerge w:val="continue"/>
            <w:shd w:val="clear" w:color="auto" w:fill="auto"/>
            <w:vAlign w:val="center"/>
          </w:tcPr>
          <w:p>
            <w:pPr>
              <w:widowControl/>
              <w:jc w:val="center"/>
              <w:rPr>
                <w:rFonts w:hint="default" w:ascii="Times New Roman" w:hAnsi="Times New Roman" w:eastAsia="宋体" w:cs="Times New Roman"/>
                <w:color w:val="auto"/>
                <w:kern w:val="0"/>
                <w:sz w:val="18"/>
                <w:szCs w:val="18"/>
              </w:rPr>
            </w:pPr>
          </w:p>
        </w:tc>
        <w:tc>
          <w:tcPr>
            <w:tcW w:w="782" w:type="dxa"/>
            <w:vMerge w:val="restart"/>
            <w:shd w:val="clear" w:color="auto" w:fill="auto"/>
            <w:vAlign w:val="center"/>
          </w:tcPr>
          <w:p>
            <w:pPr>
              <w:widowControl/>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清洗车间</w:t>
            </w:r>
          </w:p>
        </w:tc>
        <w:tc>
          <w:tcPr>
            <w:tcW w:w="1425" w:type="dxa"/>
            <w:shd w:val="clear" w:color="auto" w:fill="auto"/>
            <w:vAlign w:val="center"/>
          </w:tcPr>
          <w:p>
            <w:pPr>
              <w:widowControl/>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eastAsia="zh-CN"/>
              </w:rPr>
              <w:t>布袋除尘器</w:t>
            </w:r>
          </w:p>
        </w:tc>
        <w:tc>
          <w:tcPr>
            <w:tcW w:w="6300" w:type="dxa"/>
            <w:shd w:val="clear" w:color="auto" w:fill="auto"/>
            <w:vAlign w:val="center"/>
          </w:tcPr>
          <w:p>
            <w:pPr>
              <w:widowControl/>
              <w:jc w:val="left"/>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eastAsia="zh-CN"/>
              </w:rPr>
              <w:t>清洗车间设置</w:t>
            </w:r>
            <w:r>
              <w:rPr>
                <w:rFonts w:hint="default" w:ascii="Times New Roman" w:hAnsi="Times New Roman" w:eastAsia="宋体" w:cs="Times New Roman"/>
                <w:color w:val="auto"/>
                <w:sz w:val="18"/>
                <w:szCs w:val="18"/>
                <w:lang w:val="en-US" w:eastAsia="zh-CN"/>
              </w:rPr>
              <w:t>6个破碎工作间，单晶硅废料破碎粉尘经集气罩收集后经3套布袋除尘器处理后通过3根排气筒</w:t>
            </w:r>
            <w:r>
              <w:rPr>
                <w:rFonts w:hint="default" w:ascii="Times New Roman" w:hAnsi="Times New Roman" w:cs="Times New Roman"/>
                <w:color w:val="auto"/>
                <w:sz w:val="18"/>
                <w:szCs w:val="18"/>
                <w:lang w:val="en-US" w:eastAsia="zh-CN"/>
              </w:rPr>
              <w:t>DA003（25m）、DA004（15m）、DA005（15m）</w:t>
            </w:r>
            <w:r>
              <w:rPr>
                <w:rFonts w:hint="default" w:ascii="Times New Roman" w:hAnsi="Times New Roman" w:eastAsia="宋体" w:cs="Times New Roman"/>
                <w:color w:val="auto"/>
                <w:sz w:val="18"/>
                <w:szCs w:val="18"/>
                <w:lang w:val="en-US" w:eastAsia="zh-CN"/>
              </w:rPr>
              <w:t>排放</w:t>
            </w:r>
            <w:r>
              <w:rPr>
                <w:rFonts w:hint="default" w:ascii="Times New Roman" w:hAnsi="Times New Roman" w:cs="Times New Roman"/>
                <w:color w:val="auto"/>
                <w:kern w:val="0"/>
                <w:sz w:val="18"/>
                <w:szCs w:val="18"/>
                <w:lang w:val="en-US" w:eastAsia="zh-CN" w:bidi="ar"/>
              </w:rPr>
              <w:t>（编号与排污许可证一致）</w:t>
            </w:r>
          </w:p>
        </w:tc>
        <w:tc>
          <w:tcPr>
            <w:tcW w:w="1414" w:type="dxa"/>
            <w:vMerge w:val="continue"/>
            <w:vAlign w:val="center"/>
          </w:tcPr>
          <w:p>
            <w:pPr>
              <w:widowControl/>
              <w:jc w:val="center"/>
              <w:rPr>
                <w:rFonts w:hint="default" w:ascii="Times New Roman" w:hAnsi="Times New Roman" w:eastAsia="宋体" w:cs="Times New Roman"/>
                <w:color w:val="auto"/>
                <w:kern w:val="2"/>
                <w:sz w:val="18"/>
                <w:szCs w:val="18"/>
                <w:lang w:val="en-US" w:eastAsia="zh-CN" w:bidi="ar-SA"/>
              </w:rPr>
            </w:pPr>
          </w:p>
        </w:tc>
        <w:tc>
          <w:tcPr>
            <w:tcW w:w="708" w:type="dxa"/>
            <w:vAlign w:val="center"/>
          </w:tcPr>
          <w:p>
            <w:pPr>
              <w:widowControl/>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eastAsia="zh-CN"/>
              </w:rPr>
              <w:t>是</w:t>
            </w:r>
          </w:p>
        </w:tc>
        <w:tc>
          <w:tcPr>
            <w:tcW w:w="3362" w:type="dxa"/>
            <w:vAlign w:val="center"/>
          </w:tcPr>
          <w:p>
            <w:pPr>
              <w:widowControl/>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kern w:val="0"/>
                <w:sz w:val="18"/>
                <w:szCs w:val="18"/>
                <w:lang w:val="en-US" w:eastAsia="zh-CN" w:bidi="ar-SA"/>
              </w:rPr>
              <w:t>无依托关系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401" w:type="dxa"/>
            <w:vMerge w:val="continue"/>
            <w:shd w:val="clear" w:color="auto" w:fill="auto"/>
            <w:vAlign w:val="center"/>
          </w:tcPr>
          <w:p>
            <w:pPr>
              <w:widowControl/>
              <w:jc w:val="center"/>
              <w:rPr>
                <w:rFonts w:hint="default" w:ascii="Times New Roman" w:hAnsi="Times New Roman" w:eastAsia="宋体" w:cs="Times New Roman"/>
                <w:color w:val="auto"/>
                <w:kern w:val="0"/>
                <w:sz w:val="18"/>
                <w:szCs w:val="18"/>
              </w:rPr>
            </w:pPr>
          </w:p>
        </w:tc>
        <w:tc>
          <w:tcPr>
            <w:tcW w:w="375" w:type="dxa"/>
            <w:vMerge w:val="continue"/>
            <w:shd w:val="clear" w:color="auto" w:fill="auto"/>
            <w:vAlign w:val="center"/>
          </w:tcPr>
          <w:p>
            <w:pPr>
              <w:widowControl/>
              <w:jc w:val="center"/>
              <w:rPr>
                <w:rFonts w:hint="default" w:ascii="Times New Roman" w:hAnsi="Times New Roman" w:eastAsia="宋体" w:cs="Times New Roman"/>
                <w:color w:val="auto"/>
                <w:kern w:val="0"/>
                <w:sz w:val="18"/>
                <w:szCs w:val="18"/>
              </w:rPr>
            </w:pPr>
          </w:p>
        </w:tc>
        <w:tc>
          <w:tcPr>
            <w:tcW w:w="782" w:type="dxa"/>
            <w:vMerge w:val="continue"/>
            <w:shd w:val="clear" w:color="auto" w:fill="auto"/>
            <w:vAlign w:val="center"/>
          </w:tcPr>
          <w:p>
            <w:pPr>
              <w:widowControl/>
              <w:jc w:val="center"/>
              <w:rPr>
                <w:rFonts w:hint="default" w:ascii="Times New Roman" w:hAnsi="Times New Roman" w:eastAsia="宋体" w:cs="Times New Roman"/>
                <w:color w:val="auto"/>
                <w:sz w:val="18"/>
                <w:szCs w:val="18"/>
              </w:rPr>
            </w:pPr>
          </w:p>
        </w:tc>
        <w:tc>
          <w:tcPr>
            <w:tcW w:w="1425" w:type="dxa"/>
            <w:shd w:val="clear" w:color="auto" w:fill="auto"/>
            <w:vAlign w:val="center"/>
          </w:tcPr>
          <w:p>
            <w:pPr>
              <w:widowControl/>
              <w:jc w:val="center"/>
              <w:rPr>
                <w:rFonts w:hint="default" w:ascii="Times New Roman" w:hAnsi="Times New Roman" w:eastAsia="宋体" w:cs="Times New Roman"/>
                <w:color w:val="auto"/>
                <w:kern w:val="0"/>
                <w:sz w:val="18"/>
                <w:szCs w:val="18"/>
                <w:lang w:eastAsia="zh-CN"/>
              </w:rPr>
            </w:pPr>
            <w:r>
              <w:rPr>
                <w:rFonts w:hint="default" w:ascii="Times New Roman" w:hAnsi="Times New Roman" w:cs="Times New Roman"/>
                <w:color w:val="auto"/>
                <w:kern w:val="0"/>
                <w:sz w:val="18"/>
                <w:szCs w:val="18"/>
                <w:lang w:eastAsia="zh-CN"/>
              </w:rPr>
              <w:t>四级氢氧化钠喷淋洗涤塔</w:t>
            </w:r>
          </w:p>
        </w:tc>
        <w:tc>
          <w:tcPr>
            <w:tcW w:w="6300" w:type="dxa"/>
            <w:shd w:val="clear" w:color="auto" w:fill="auto"/>
            <w:vAlign w:val="center"/>
          </w:tcPr>
          <w:p>
            <w:pPr>
              <w:widowControl/>
              <w:jc w:val="left"/>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sz w:val="18"/>
                <w:szCs w:val="18"/>
              </w:rPr>
              <w:t>设置</w:t>
            </w:r>
            <w:r>
              <w:rPr>
                <w:rFonts w:hint="default" w:ascii="Times New Roman" w:hAnsi="Times New Roman" w:eastAsia="宋体" w:cs="Times New Roman"/>
                <w:color w:val="auto"/>
                <w:sz w:val="18"/>
                <w:szCs w:val="18"/>
                <w:lang w:val="en-US" w:eastAsia="zh-CN"/>
              </w:rPr>
              <w:t>1</w:t>
            </w:r>
            <w:r>
              <w:rPr>
                <w:rFonts w:hint="default" w:ascii="Times New Roman" w:hAnsi="Times New Roman" w:eastAsia="宋体" w:cs="Times New Roman"/>
                <w:color w:val="auto"/>
                <w:sz w:val="18"/>
                <w:szCs w:val="18"/>
              </w:rPr>
              <w:t>套四级氢氧化钠溶液喷淋洗涤塔治理</w:t>
            </w:r>
            <w:r>
              <w:rPr>
                <w:rFonts w:hint="default" w:ascii="Times New Roman" w:hAnsi="Times New Roman" w:cs="Times New Roman"/>
                <w:color w:val="auto"/>
                <w:sz w:val="18"/>
                <w:szCs w:val="18"/>
                <w:lang w:eastAsia="zh-CN"/>
              </w:rPr>
              <w:t>酸洗废气</w:t>
            </w:r>
            <w:r>
              <w:rPr>
                <w:rFonts w:hint="default" w:ascii="Times New Roman" w:hAnsi="Times New Roman" w:eastAsia="宋体" w:cs="Times New Roman"/>
                <w:color w:val="auto"/>
                <w:sz w:val="18"/>
                <w:szCs w:val="18"/>
              </w:rPr>
              <w:t>后通过1根35m高排气筒</w:t>
            </w:r>
            <w:r>
              <w:rPr>
                <w:rFonts w:hint="default" w:ascii="Times New Roman" w:hAnsi="Times New Roman" w:cs="Times New Roman"/>
                <w:color w:val="auto"/>
                <w:sz w:val="18"/>
                <w:szCs w:val="18"/>
                <w:lang w:val="en-US" w:eastAsia="zh-CN"/>
              </w:rPr>
              <w:t>DA001</w:t>
            </w:r>
            <w:r>
              <w:rPr>
                <w:rFonts w:hint="default" w:ascii="Times New Roman" w:hAnsi="Times New Roman" w:eastAsia="宋体" w:cs="Times New Roman"/>
                <w:color w:val="auto"/>
                <w:sz w:val="18"/>
                <w:szCs w:val="18"/>
              </w:rPr>
              <w:t>排放</w:t>
            </w:r>
            <w:r>
              <w:rPr>
                <w:rFonts w:hint="default" w:ascii="Times New Roman" w:hAnsi="Times New Roman" w:cs="Times New Roman"/>
                <w:color w:val="auto"/>
                <w:kern w:val="0"/>
                <w:sz w:val="18"/>
                <w:szCs w:val="18"/>
                <w:lang w:val="en-US" w:eastAsia="zh-CN" w:bidi="ar"/>
              </w:rPr>
              <w:t>（编号与排污许可证一致）</w:t>
            </w:r>
          </w:p>
        </w:tc>
        <w:tc>
          <w:tcPr>
            <w:tcW w:w="1414" w:type="dxa"/>
            <w:vMerge w:val="continue"/>
            <w:vAlign w:val="center"/>
          </w:tcPr>
          <w:p>
            <w:pPr>
              <w:widowControl/>
              <w:jc w:val="center"/>
              <w:rPr>
                <w:rFonts w:hint="default" w:ascii="Times New Roman" w:hAnsi="Times New Roman" w:eastAsia="宋体" w:cs="Times New Roman"/>
                <w:color w:val="auto"/>
                <w:sz w:val="18"/>
                <w:szCs w:val="18"/>
                <w:lang w:val="en-US" w:eastAsia="zh-CN"/>
              </w:rPr>
            </w:pPr>
          </w:p>
        </w:tc>
        <w:tc>
          <w:tcPr>
            <w:tcW w:w="708" w:type="dxa"/>
            <w:vAlign w:val="center"/>
          </w:tcPr>
          <w:p>
            <w:pPr>
              <w:widowControl/>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kern w:val="0"/>
                <w:sz w:val="18"/>
                <w:szCs w:val="18"/>
                <w:lang w:eastAsia="zh-CN"/>
              </w:rPr>
              <w:t>是</w:t>
            </w:r>
          </w:p>
        </w:tc>
        <w:tc>
          <w:tcPr>
            <w:tcW w:w="3362" w:type="dxa"/>
            <w:vAlign w:val="center"/>
          </w:tcPr>
          <w:p>
            <w:pPr>
              <w:widowControl/>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kern w:val="0"/>
                <w:sz w:val="18"/>
                <w:szCs w:val="18"/>
                <w:lang w:val="en-US" w:eastAsia="zh-CN" w:bidi="ar-SA"/>
              </w:rPr>
              <w:t>无依托关系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401" w:type="dxa"/>
            <w:vMerge w:val="continue"/>
            <w:shd w:val="clear" w:color="auto" w:fill="auto"/>
            <w:vAlign w:val="center"/>
          </w:tcPr>
          <w:p>
            <w:pPr>
              <w:widowControl/>
              <w:jc w:val="center"/>
              <w:rPr>
                <w:rFonts w:hint="default" w:ascii="Times New Roman" w:hAnsi="Times New Roman" w:eastAsia="宋体" w:cs="Times New Roman"/>
                <w:color w:val="auto"/>
                <w:kern w:val="0"/>
                <w:sz w:val="18"/>
                <w:szCs w:val="18"/>
              </w:rPr>
            </w:pPr>
          </w:p>
        </w:tc>
        <w:tc>
          <w:tcPr>
            <w:tcW w:w="375" w:type="dxa"/>
            <w:vMerge w:val="continue"/>
            <w:shd w:val="clear" w:color="auto" w:fill="auto"/>
            <w:vAlign w:val="center"/>
          </w:tcPr>
          <w:p>
            <w:pPr>
              <w:widowControl/>
              <w:jc w:val="center"/>
              <w:rPr>
                <w:rFonts w:hint="default" w:ascii="Times New Roman" w:hAnsi="Times New Roman" w:eastAsia="宋体" w:cs="Times New Roman"/>
                <w:color w:val="auto"/>
                <w:kern w:val="0"/>
                <w:sz w:val="18"/>
                <w:szCs w:val="18"/>
              </w:rPr>
            </w:pPr>
          </w:p>
        </w:tc>
        <w:tc>
          <w:tcPr>
            <w:tcW w:w="782" w:type="dxa"/>
            <w:vMerge w:val="restart"/>
            <w:shd w:val="clear" w:color="auto" w:fill="auto"/>
            <w:vAlign w:val="center"/>
          </w:tcPr>
          <w:p>
            <w:pPr>
              <w:widowControl/>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eastAsia="zh-CN"/>
              </w:rPr>
              <w:t>切片车间</w:t>
            </w:r>
          </w:p>
        </w:tc>
        <w:tc>
          <w:tcPr>
            <w:tcW w:w="1425" w:type="dxa"/>
            <w:shd w:val="clear" w:color="auto" w:fill="auto"/>
            <w:vAlign w:val="center"/>
          </w:tcPr>
          <w:p>
            <w:pPr>
              <w:widowControl/>
              <w:jc w:val="center"/>
              <w:rPr>
                <w:rFonts w:hint="default" w:ascii="Times New Roman" w:hAnsi="Times New Roman" w:eastAsia="宋体" w:cs="Times New Roman"/>
                <w:color w:val="auto"/>
                <w:kern w:val="0"/>
                <w:sz w:val="18"/>
                <w:szCs w:val="18"/>
                <w:lang w:eastAsia="zh-CN"/>
              </w:rPr>
            </w:pPr>
            <w:r>
              <w:rPr>
                <w:rFonts w:hint="default" w:ascii="Times New Roman" w:hAnsi="Times New Roman" w:cs="Times New Roman"/>
                <w:color w:val="auto"/>
                <w:kern w:val="0"/>
                <w:sz w:val="18"/>
                <w:szCs w:val="18"/>
                <w:lang w:eastAsia="zh-CN"/>
              </w:rPr>
              <w:t>活性炭吸附塔</w:t>
            </w:r>
          </w:p>
        </w:tc>
        <w:tc>
          <w:tcPr>
            <w:tcW w:w="6300" w:type="dxa"/>
            <w:shd w:val="clear" w:color="auto" w:fill="auto"/>
            <w:vAlign w:val="center"/>
          </w:tcPr>
          <w:p>
            <w:pPr>
              <w:widowControl/>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设置1套活性炭吸附塔治理</w:t>
            </w:r>
            <w:r>
              <w:rPr>
                <w:rFonts w:hint="default" w:ascii="Times New Roman" w:hAnsi="Times New Roman" w:cs="Times New Roman"/>
                <w:color w:val="auto"/>
                <w:sz w:val="18"/>
                <w:szCs w:val="18"/>
                <w:lang w:val="en-US" w:eastAsia="zh-CN"/>
              </w:rPr>
              <w:t>有机废气</w:t>
            </w:r>
            <w:r>
              <w:rPr>
                <w:rFonts w:hint="default" w:ascii="Times New Roman" w:hAnsi="Times New Roman" w:eastAsia="宋体" w:cs="Times New Roman"/>
                <w:color w:val="auto"/>
                <w:sz w:val="18"/>
                <w:szCs w:val="18"/>
                <w:lang w:val="en-US" w:eastAsia="zh-CN"/>
              </w:rPr>
              <w:t>后通过1根</w:t>
            </w:r>
            <w:r>
              <w:rPr>
                <w:rFonts w:hint="default" w:ascii="Times New Roman" w:hAnsi="Times New Roman" w:cs="Times New Roman"/>
                <w:color w:val="auto"/>
                <w:sz w:val="18"/>
                <w:szCs w:val="18"/>
                <w:lang w:val="en-US" w:eastAsia="zh-CN"/>
              </w:rPr>
              <w:t>15</w:t>
            </w:r>
            <w:r>
              <w:rPr>
                <w:rFonts w:hint="default" w:ascii="Times New Roman" w:hAnsi="Times New Roman" w:eastAsia="宋体" w:cs="Times New Roman"/>
                <w:color w:val="auto"/>
                <w:sz w:val="18"/>
                <w:szCs w:val="18"/>
                <w:lang w:val="en-US" w:eastAsia="zh-CN"/>
              </w:rPr>
              <w:t>m高排气筒DA008排放</w:t>
            </w:r>
          </w:p>
        </w:tc>
        <w:tc>
          <w:tcPr>
            <w:tcW w:w="1414" w:type="dxa"/>
            <w:vMerge w:val="continue"/>
            <w:vAlign w:val="center"/>
          </w:tcPr>
          <w:p>
            <w:pPr>
              <w:widowControl/>
              <w:jc w:val="center"/>
              <w:rPr>
                <w:rFonts w:hint="default" w:ascii="Times New Roman" w:hAnsi="Times New Roman" w:eastAsia="宋体" w:cs="Times New Roman"/>
                <w:color w:val="auto"/>
                <w:sz w:val="18"/>
                <w:szCs w:val="18"/>
                <w:lang w:val="en-US" w:eastAsia="zh-CN"/>
              </w:rPr>
            </w:pPr>
          </w:p>
        </w:tc>
        <w:tc>
          <w:tcPr>
            <w:tcW w:w="708" w:type="dxa"/>
            <w:vAlign w:val="center"/>
          </w:tcPr>
          <w:p>
            <w:pPr>
              <w:widowControl/>
              <w:jc w:val="center"/>
              <w:rPr>
                <w:rFonts w:hint="default" w:ascii="Times New Roman" w:hAnsi="Times New Roman" w:cs="Times New Roman"/>
                <w:color w:val="auto"/>
                <w:kern w:val="0"/>
                <w:sz w:val="18"/>
                <w:szCs w:val="18"/>
                <w:lang w:eastAsia="zh-CN"/>
              </w:rPr>
            </w:pPr>
            <w:r>
              <w:rPr>
                <w:rFonts w:hint="default" w:ascii="Times New Roman" w:hAnsi="Times New Roman" w:cs="Times New Roman"/>
                <w:color w:val="auto"/>
                <w:kern w:val="0"/>
                <w:sz w:val="18"/>
                <w:szCs w:val="18"/>
                <w:lang w:eastAsia="zh-CN"/>
              </w:rPr>
              <w:t>否</w:t>
            </w:r>
          </w:p>
        </w:tc>
        <w:tc>
          <w:tcPr>
            <w:tcW w:w="3362" w:type="dxa"/>
            <w:vAlign w:val="center"/>
          </w:tcPr>
          <w:p>
            <w:pPr>
              <w:widowControl/>
              <w:jc w:val="center"/>
              <w:rPr>
                <w:rFonts w:hint="default" w:ascii="Times New Roman" w:hAnsi="Times New Roman"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bidi="ar-SA"/>
              </w:rPr>
              <w:t>本项目产生的有机废气依托该设施治理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401" w:type="dxa"/>
            <w:vMerge w:val="continue"/>
            <w:shd w:val="clear" w:color="auto" w:fill="auto"/>
            <w:vAlign w:val="center"/>
          </w:tcPr>
          <w:p>
            <w:pPr>
              <w:widowControl/>
              <w:jc w:val="center"/>
              <w:rPr>
                <w:rFonts w:hint="default" w:ascii="Times New Roman" w:hAnsi="Times New Roman" w:eastAsia="宋体" w:cs="Times New Roman"/>
                <w:color w:val="auto"/>
                <w:kern w:val="0"/>
                <w:sz w:val="18"/>
                <w:szCs w:val="18"/>
              </w:rPr>
            </w:pPr>
          </w:p>
        </w:tc>
        <w:tc>
          <w:tcPr>
            <w:tcW w:w="375" w:type="dxa"/>
            <w:vMerge w:val="continue"/>
            <w:shd w:val="clear" w:color="auto" w:fill="auto"/>
            <w:vAlign w:val="center"/>
          </w:tcPr>
          <w:p>
            <w:pPr>
              <w:widowControl/>
              <w:jc w:val="center"/>
              <w:rPr>
                <w:rFonts w:hint="default" w:ascii="Times New Roman" w:hAnsi="Times New Roman" w:eastAsia="宋体" w:cs="Times New Roman"/>
                <w:color w:val="auto"/>
                <w:kern w:val="0"/>
                <w:sz w:val="18"/>
                <w:szCs w:val="18"/>
              </w:rPr>
            </w:pPr>
          </w:p>
        </w:tc>
        <w:tc>
          <w:tcPr>
            <w:tcW w:w="782" w:type="dxa"/>
            <w:vMerge w:val="continue"/>
            <w:shd w:val="clear" w:color="auto" w:fill="auto"/>
            <w:vAlign w:val="center"/>
          </w:tcPr>
          <w:p>
            <w:pPr>
              <w:widowControl/>
              <w:jc w:val="center"/>
              <w:rPr>
                <w:rFonts w:hint="default" w:ascii="Times New Roman" w:hAnsi="Times New Roman" w:eastAsia="宋体" w:cs="Times New Roman"/>
                <w:color w:val="auto"/>
                <w:sz w:val="18"/>
                <w:szCs w:val="18"/>
              </w:rPr>
            </w:pPr>
          </w:p>
        </w:tc>
        <w:tc>
          <w:tcPr>
            <w:tcW w:w="1425" w:type="dxa"/>
            <w:shd w:val="clear" w:color="auto" w:fill="auto"/>
            <w:vAlign w:val="center"/>
          </w:tcPr>
          <w:p>
            <w:pPr>
              <w:widowControl/>
              <w:jc w:val="center"/>
              <w:rPr>
                <w:rFonts w:hint="default" w:ascii="Times New Roman" w:hAnsi="Times New Roman" w:eastAsia="宋体" w:cs="Times New Roman"/>
                <w:color w:val="auto"/>
                <w:kern w:val="0"/>
                <w:sz w:val="18"/>
                <w:szCs w:val="18"/>
                <w:lang w:eastAsia="zh-CN"/>
              </w:rPr>
            </w:pPr>
            <w:r>
              <w:rPr>
                <w:rFonts w:hint="default" w:ascii="Times New Roman" w:hAnsi="Times New Roman" w:cs="Times New Roman"/>
                <w:color w:val="auto"/>
                <w:kern w:val="0"/>
                <w:sz w:val="18"/>
                <w:szCs w:val="18"/>
                <w:lang w:eastAsia="zh-CN"/>
              </w:rPr>
              <w:t>文丘里洗涤塔</w:t>
            </w:r>
          </w:p>
        </w:tc>
        <w:tc>
          <w:tcPr>
            <w:tcW w:w="6300" w:type="dxa"/>
            <w:shd w:val="clear" w:color="auto" w:fill="auto"/>
            <w:vAlign w:val="center"/>
          </w:tcPr>
          <w:p>
            <w:pPr>
              <w:widowControl/>
              <w:jc w:val="left"/>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设置1套</w:t>
            </w:r>
            <w:r>
              <w:rPr>
                <w:rFonts w:hint="default" w:ascii="Times New Roman" w:hAnsi="Times New Roman" w:cs="Times New Roman"/>
                <w:color w:val="auto"/>
                <w:sz w:val="18"/>
                <w:szCs w:val="18"/>
                <w:lang w:val="en-US" w:eastAsia="zh-CN"/>
              </w:rPr>
              <w:t>文丘里洗涤塔（湿式除尘器）</w:t>
            </w:r>
            <w:r>
              <w:rPr>
                <w:rFonts w:hint="default" w:ascii="Times New Roman" w:hAnsi="Times New Roman" w:eastAsia="宋体" w:cs="Times New Roman"/>
                <w:color w:val="auto"/>
                <w:sz w:val="18"/>
                <w:szCs w:val="18"/>
                <w:lang w:val="en-US" w:eastAsia="zh-CN"/>
              </w:rPr>
              <w:t>治理</w:t>
            </w:r>
            <w:r>
              <w:rPr>
                <w:rFonts w:hint="default" w:ascii="Times New Roman" w:hAnsi="Times New Roman" w:cs="Times New Roman"/>
                <w:color w:val="auto"/>
                <w:sz w:val="18"/>
                <w:szCs w:val="18"/>
                <w:lang w:val="en-US" w:eastAsia="zh-CN"/>
              </w:rPr>
              <w:t>切片粉尘</w:t>
            </w:r>
            <w:r>
              <w:rPr>
                <w:rFonts w:hint="default" w:ascii="Times New Roman" w:hAnsi="Times New Roman" w:eastAsia="宋体" w:cs="Times New Roman"/>
                <w:color w:val="auto"/>
                <w:sz w:val="18"/>
                <w:szCs w:val="18"/>
                <w:lang w:val="en-US" w:eastAsia="zh-CN"/>
              </w:rPr>
              <w:t>后通过1根</w:t>
            </w:r>
            <w:r>
              <w:rPr>
                <w:rFonts w:hint="default" w:ascii="Times New Roman" w:hAnsi="Times New Roman" w:cs="Times New Roman"/>
                <w:color w:val="auto"/>
                <w:sz w:val="18"/>
                <w:szCs w:val="18"/>
                <w:lang w:val="en-US" w:eastAsia="zh-CN"/>
              </w:rPr>
              <w:t>15</w:t>
            </w:r>
            <w:r>
              <w:rPr>
                <w:rFonts w:hint="default" w:ascii="Times New Roman" w:hAnsi="Times New Roman" w:eastAsia="宋体" w:cs="Times New Roman"/>
                <w:color w:val="auto"/>
                <w:sz w:val="18"/>
                <w:szCs w:val="18"/>
                <w:lang w:val="en-US" w:eastAsia="zh-CN"/>
              </w:rPr>
              <w:t>m高排气筒DA00</w:t>
            </w:r>
            <w:r>
              <w:rPr>
                <w:rFonts w:hint="default" w:ascii="Times New Roman" w:hAnsi="Times New Roman" w:cs="Times New Roman"/>
                <w:color w:val="auto"/>
                <w:sz w:val="18"/>
                <w:szCs w:val="18"/>
                <w:lang w:val="en-US" w:eastAsia="zh-CN"/>
              </w:rPr>
              <w:t>9</w:t>
            </w:r>
            <w:r>
              <w:rPr>
                <w:rFonts w:hint="default" w:ascii="Times New Roman" w:hAnsi="Times New Roman" w:eastAsia="宋体" w:cs="Times New Roman"/>
                <w:color w:val="auto"/>
                <w:sz w:val="18"/>
                <w:szCs w:val="18"/>
                <w:lang w:val="en-US" w:eastAsia="zh-CN"/>
              </w:rPr>
              <w:t>排放</w:t>
            </w:r>
          </w:p>
        </w:tc>
        <w:tc>
          <w:tcPr>
            <w:tcW w:w="1414" w:type="dxa"/>
            <w:vMerge w:val="continue"/>
            <w:vAlign w:val="center"/>
          </w:tcPr>
          <w:p>
            <w:pPr>
              <w:widowControl/>
              <w:jc w:val="center"/>
              <w:rPr>
                <w:rFonts w:hint="default" w:ascii="Times New Roman" w:hAnsi="Times New Roman" w:eastAsia="宋体" w:cs="Times New Roman"/>
                <w:color w:val="auto"/>
                <w:sz w:val="18"/>
                <w:szCs w:val="18"/>
                <w:lang w:val="en-US" w:eastAsia="zh-CN"/>
              </w:rPr>
            </w:pPr>
          </w:p>
        </w:tc>
        <w:tc>
          <w:tcPr>
            <w:tcW w:w="708" w:type="dxa"/>
            <w:vAlign w:val="center"/>
          </w:tcPr>
          <w:p>
            <w:pPr>
              <w:widowControl/>
              <w:jc w:val="center"/>
              <w:rPr>
                <w:rFonts w:hint="default" w:ascii="Times New Roman" w:hAnsi="Times New Roman" w:cs="Times New Roman"/>
                <w:color w:val="auto"/>
                <w:kern w:val="0"/>
                <w:sz w:val="18"/>
                <w:szCs w:val="18"/>
                <w:lang w:eastAsia="zh-CN"/>
              </w:rPr>
            </w:pPr>
            <w:r>
              <w:rPr>
                <w:rFonts w:hint="default" w:ascii="Times New Roman" w:hAnsi="Times New Roman" w:cs="Times New Roman"/>
                <w:color w:val="auto"/>
                <w:kern w:val="0"/>
                <w:sz w:val="18"/>
                <w:szCs w:val="18"/>
                <w:lang w:eastAsia="zh-CN"/>
              </w:rPr>
              <w:t>否</w:t>
            </w:r>
          </w:p>
        </w:tc>
        <w:tc>
          <w:tcPr>
            <w:tcW w:w="3362" w:type="dxa"/>
            <w:vAlign w:val="center"/>
          </w:tcPr>
          <w:p>
            <w:pPr>
              <w:widowControl/>
              <w:jc w:val="center"/>
              <w:rPr>
                <w:rFonts w:hint="default" w:ascii="Times New Roman" w:hAnsi="Times New Roman"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bidi="ar-SA"/>
              </w:rPr>
              <w:t>本项目产生的粉尘依托该设施治理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401" w:type="dxa"/>
            <w:vMerge w:val="continue"/>
            <w:shd w:val="clear" w:color="auto" w:fill="auto"/>
            <w:vAlign w:val="center"/>
          </w:tcPr>
          <w:p>
            <w:pPr>
              <w:widowControl/>
              <w:jc w:val="center"/>
              <w:rPr>
                <w:rFonts w:hint="default" w:ascii="Times New Roman" w:hAnsi="Times New Roman" w:eastAsia="宋体" w:cs="Times New Roman"/>
                <w:color w:val="auto"/>
                <w:kern w:val="0"/>
                <w:sz w:val="18"/>
                <w:szCs w:val="18"/>
              </w:rPr>
            </w:pPr>
          </w:p>
        </w:tc>
        <w:tc>
          <w:tcPr>
            <w:tcW w:w="375" w:type="dxa"/>
            <w:vMerge w:val="continue"/>
            <w:shd w:val="clear" w:color="auto" w:fill="auto"/>
            <w:vAlign w:val="center"/>
          </w:tcPr>
          <w:p>
            <w:pPr>
              <w:widowControl/>
              <w:jc w:val="center"/>
              <w:rPr>
                <w:rFonts w:hint="default" w:ascii="Times New Roman" w:hAnsi="Times New Roman" w:eastAsia="宋体" w:cs="Times New Roman"/>
                <w:color w:val="auto"/>
                <w:kern w:val="0"/>
                <w:sz w:val="18"/>
                <w:szCs w:val="18"/>
              </w:rPr>
            </w:pPr>
          </w:p>
        </w:tc>
        <w:tc>
          <w:tcPr>
            <w:tcW w:w="782" w:type="dxa"/>
            <w:shd w:val="clear" w:color="auto" w:fill="auto"/>
            <w:vAlign w:val="center"/>
          </w:tcPr>
          <w:p>
            <w:pPr>
              <w:widowControl/>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eastAsia="zh-CN"/>
              </w:rPr>
              <w:t>综合污水处理站</w:t>
            </w:r>
          </w:p>
        </w:tc>
        <w:tc>
          <w:tcPr>
            <w:tcW w:w="1425" w:type="dxa"/>
            <w:shd w:val="clear" w:color="auto" w:fill="auto"/>
            <w:vAlign w:val="center"/>
          </w:tcPr>
          <w:p>
            <w:pPr>
              <w:widowControl/>
              <w:jc w:val="center"/>
              <w:rPr>
                <w:rFonts w:hint="default" w:ascii="Times New Roman" w:hAnsi="Times New Roman" w:cs="Times New Roman"/>
                <w:color w:val="auto"/>
                <w:kern w:val="0"/>
                <w:sz w:val="18"/>
                <w:szCs w:val="18"/>
                <w:lang w:eastAsia="zh-CN"/>
              </w:rPr>
            </w:pPr>
            <w:r>
              <w:rPr>
                <w:rFonts w:hint="default" w:ascii="Times New Roman" w:hAnsi="Times New Roman" w:cs="Times New Roman"/>
                <w:color w:val="auto"/>
                <w:kern w:val="0"/>
                <w:sz w:val="18"/>
                <w:szCs w:val="18"/>
                <w:lang w:eastAsia="zh-CN"/>
              </w:rPr>
              <w:t>除臭系统</w:t>
            </w:r>
          </w:p>
        </w:tc>
        <w:tc>
          <w:tcPr>
            <w:tcW w:w="6300" w:type="dxa"/>
            <w:shd w:val="clear" w:color="auto" w:fill="auto"/>
            <w:vAlign w:val="center"/>
          </w:tcPr>
          <w:p>
            <w:pPr>
              <w:widowControl/>
              <w:jc w:val="left"/>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设置1套除臭系统（碱吸收）治理综合污水处理站恶臭后通过1</w:t>
            </w:r>
            <w:r>
              <w:rPr>
                <w:rFonts w:hint="default" w:ascii="Times New Roman" w:hAnsi="Times New Roman" w:eastAsia="宋体" w:cs="Times New Roman"/>
                <w:color w:val="auto"/>
                <w:sz w:val="18"/>
                <w:szCs w:val="18"/>
                <w:lang w:val="en-US" w:eastAsia="zh-CN"/>
              </w:rPr>
              <w:t>根</w:t>
            </w:r>
            <w:r>
              <w:rPr>
                <w:rFonts w:hint="default" w:ascii="Times New Roman" w:hAnsi="Times New Roman" w:cs="Times New Roman"/>
                <w:color w:val="auto"/>
                <w:sz w:val="18"/>
                <w:szCs w:val="18"/>
                <w:lang w:val="en-US" w:eastAsia="zh-CN"/>
              </w:rPr>
              <w:t>1</w:t>
            </w:r>
            <w:r>
              <w:rPr>
                <w:rFonts w:hint="default" w:ascii="Times New Roman" w:hAnsi="Times New Roman" w:eastAsia="宋体" w:cs="Times New Roman"/>
                <w:color w:val="auto"/>
                <w:sz w:val="18"/>
                <w:szCs w:val="18"/>
                <w:lang w:val="en-US" w:eastAsia="zh-CN"/>
              </w:rPr>
              <w:t>5m高排气筒DA0</w:t>
            </w:r>
            <w:r>
              <w:rPr>
                <w:rFonts w:hint="default" w:ascii="Times New Roman" w:hAnsi="Times New Roman" w:cs="Times New Roman"/>
                <w:color w:val="auto"/>
                <w:sz w:val="18"/>
                <w:szCs w:val="18"/>
                <w:lang w:val="en-US" w:eastAsia="zh-CN"/>
              </w:rPr>
              <w:t>10</w:t>
            </w:r>
            <w:r>
              <w:rPr>
                <w:rFonts w:hint="default" w:ascii="Times New Roman" w:hAnsi="Times New Roman" w:eastAsia="宋体" w:cs="Times New Roman"/>
                <w:color w:val="auto"/>
                <w:sz w:val="18"/>
                <w:szCs w:val="18"/>
                <w:lang w:val="en-US" w:eastAsia="zh-CN"/>
              </w:rPr>
              <w:t>排放</w:t>
            </w:r>
          </w:p>
        </w:tc>
        <w:tc>
          <w:tcPr>
            <w:tcW w:w="1414" w:type="dxa"/>
            <w:vMerge w:val="continue"/>
            <w:vAlign w:val="center"/>
          </w:tcPr>
          <w:p>
            <w:pPr>
              <w:widowControl/>
              <w:jc w:val="center"/>
              <w:rPr>
                <w:rFonts w:hint="default" w:ascii="Times New Roman" w:hAnsi="Times New Roman" w:eastAsia="宋体" w:cs="Times New Roman"/>
                <w:color w:val="auto"/>
                <w:sz w:val="18"/>
                <w:szCs w:val="18"/>
                <w:lang w:val="en-US" w:eastAsia="zh-CN"/>
              </w:rPr>
            </w:pPr>
          </w:p>
        </w:tc>
        <w:tc>
          <w:tcPr>
            <w:tcW w:w="708" w:type="dxa"/>
            <w:vAlign w:val="center"/>
          </w:tcPr>
          <w:p>
            <w:pPr>
              <w:widowControl/>
              <w:jc w:val="center"/>
              <w:rPr>
                <w:rFonts w:hint="default" w:ascii="Times New Roman" w:hAnsi="Times New Roman" w:cs="Times New Roman"/>
                <w:color w:val="auto"/>
                <w:kern w:val="0"/>
                <w:sz w:val="18"/>
                <w:szCs w:val="18"/>
                <w:lang w:eastAsia="zh-CN"/>
              </w:rPr>
            </w:pPr>
            <w:r>
              <w:rPr>
                <w:rFonts w:hint="default" w:ascii="Times New Roman" w:hAnsi="Times New Roman" w:cs="Times New Roman"/>
                <w:color w:val="auto"/>
                <w:kern w:val="0"/>
                <w:sz w:val="18"/>
                <w:szCs w:val="18"/>
                <w:lang w:eastAsia="zh-CN"/>
              </w:rPr>
              <w:t>否</w:t>
            </w:r>
          </w:p>
        </w:tc>
        <w:tc>
          <w:tcPr>
            <w:tcW w:w="3362" w:type="dxa"/>
            <w:vAlign w:val="center"/>
          </w:tcPr>
          <w:p>
            <w:pPr>
              <w:widowControl/>
              <w:jc w:val="center"/>
              <w:rPr>
                <w:rFonts w:hint="default" w:ascii="Times New Roman" w:hAnsi="Times New Roman"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bidi="ar-SA"/>
              </w:rPr>
              <w:t>本项目废水处理产生的恶臭依托该设施治理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401" w:type="dxa"/>
            <w:vMerge w:val="continue"/>
            <w:vAlign w:val="center"/>
          </w:tcPr>
          <w:p>
            <w:pPr>
              <w:widowControl/>
              <w:jc w:val="center"/>
              <w:rPr>
                <w:rFonts w:hint="default" w:ascii="Times New Roman" w:hAnsi="Times New Roman" w:eastAsia="宋体" w:cs="Times New Roman"/>
                <w:color w:val="auto"/>
                <w:kern w:val="0"/>
                <w:sz w:val="18"/>
                <w:szCs w:val="18"/>
              </w:rPr>
            </w:pPr>
          </w:p>
        </w:tc>
        <w:tc>
          <w:tcPr>
            <w:tcW w:w="375" w:type="dxa"/>
            <w:vMerge w:val="restart"/>
            <w:shd w:val="clear" w:color="auto" w:fill="auto"/>
            <w:vAlign w:val="center"/>
          </w:tcPr>
          <w:p>
            <w:pPr>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废水处置措施</w:t>
            </w:r>
          </w:p>
        </w:tc>
        <w:tc>
          <w:tcPr>
            <w:tcW w:w="782" w:type="dxa"/>
            <w:vMerge w:val="restart"/>
            <w:shd w:val="clear" w:color="auto" w:fill="auto"/>
            <w:vAlign w:val="center"/>
          </w:tcPr>
          <w:p>
            <w:pPr>
              <w:widowControl/>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生活废水</w:t>
            </w:r>
          </w:p>
        </w:tc>
        <w:tc>
          <w:tcPr>
            <w:tcW w:w="1425" w:type="dxa"/>
            <w:vMerge w:val="restart"/>
            <w:shd w:val="clear" w:color="auto" w:fill="auto"/>
            <w:vAlign w:val="center"/>
          </w:tcPr>
          <w:p>
            <w:pPr>
              <w:widowControl/>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eastAsia="zh-CN"/>
              </w:rPr>
              <w:t>隔油池</w:t>
            </w:r>
          </w:p>
        </w:tc>
        <w:tc>
          <w:tcPr>
            <w:tcW w:w="6300" w:type="dxa"/>
            <w:shd w:val="clear" w:color="auto" w:fill="auto"/>
            <w:vAlign w:val="center"/>
          </w:tcPr>
          <w:p>
            <w:pPr>
              <w:widowControl/>
              <w:jc w:val="left"/>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设置</w:t>
            </w:r>
            <w:r>
              <w:rPr>
                <w:rFonts w:hint="default" w:ascii="Times New Roman" w:hAnsi="Times New Roman" w:eastAsia="宋体" w:cs="Times New Roman"/>
                <w:color w:val="auto"/>
                <w:kern w:val="0"/>
                <w:sz w:val="18"/>
                <w:szCs w:val="18"/>
                <w:lang w:val="en-US" w:eastAsia="zh-CN"/>
              </w:rPr>
              <w:t>1</w:t>
            </w:r>
            <w:r>
              <w:rPr>
                <w:rFonts w:hint="default" w:ascii="Times New Roman" w:hAnsi="Times New Roman" w:eastAsia="宋体" w:cs="Times New Roman"/>
                <w:color w:val="auto"/>
                <w:kern w:val="0"/>
                <w:sz w:val="18"/>
                <w:szCs w:val="18"/>
              </w:rPr>
              <w:t>座9.52m</w:t>
            </w:r>
            <w:r>
              <w:rPr>
                <w:rFonts w:hint="default" w:ascii="Times New Roman" w:hAnsi="Times New Roman" w:eastAsia="宋体" w:cs="Times New Roman"/>
                <w:color w:val="auto"/>
                <w:kern w:val="0"/>
                <w:sz w:val="18"/>
                <w:szCs w:val="18"/>
                <w:vertAlign w:val="superscript"/>
              </w:rPr>
              <w:t>3</w:t>
            </w:r>
            <w:r>
              <w:rPr>
                <w:rFonts w:hint="default" w:ascii="Times New Roman" w:hAnsi="Times New Roman" w:eastAsia="宋体" w:cs="Times New Roman"/>
                <w:color w:val="auto"/>
                <w:kern w:val="0"/>
                <w:sz w:val="18"/>
                <w:szCs w:val="18"/>
              </w:rPr>
              <w:t>隔油池</w:t>
            </w:r>
            <w:r>
              <w:rPr>
                <w:rFonts w:hint="default" w:ascii="Times New Roman" w:hAnsi="Times New Roman" w:eastAsia="宋体" w:cs="Times New Roman"/>
                <w:color w:val="auto"/>
                <w:kern w:val="0"/>
                <w:sz w:val="18"/>
                <w:szCs w:val="18"/>
                <w:lang w:eastAsia="zh-CN"/>
              </w:rPr>
              <w:t>处理食堂废水</w:t>
            </w:r>
          </w:p>
        </w:tc>
        <w:tc>
          <w:tcPr>
            <w:tcW w:w="1414" w:type="dxa"/>
            <w:vMerge w:val="continue"/>
            <w:vAlign w:val="center"/>
          </w:tcPr>
          <w:p>
            <w:pPr>
              <w:widowControl/>
              <w:jc w:val="center"/>
              <w:rPr>
                <w:rFonts w:hint="default" w:ascii="Times New Roman" w:hAnsi="Times New Roman" w:eastAsia="宋体" w:cs="Times New Roman"/>
                <w:color w:val="auto"/>
                <w:kern w:val="0"/>
                <w:sz w:val="18"/>
                <w:szCs w:val="18"/>
              </w:rPr>
            </w:pPr>
          </w:p>
        </w:tc>
        <w:tc>
          <w:tcPr>
            <w:tcW w:w="708" w:type="dxa"/>
            <w:vAlign w:val="center"/>
          </w:tcPr>
          <w:p>
            <w:pPr>
              <w:widowControl/>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kern w:val="0"/>
                <w:sz w:val="18"/>
                <w:szCs w:val="18"/>
                <w:lang w:eastAsia="zh-CN"/>
              </w:rPr>
              <w:t>是</w:t>
            </w:r>
          </w:p>
        </w:tc>
        <w:tc>
          <w:tcPr>
            <w:tcW w:w="3362" w:type="dxa"/>
            <w:vAlign w:val="center"/>
          </w:tcPr>
          <w:p>
            <w:pPr>
              <w:widowControl/>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kern w:val="2"/>
                <w:sz w:val="18"/>
                <w:szCs w:val="18"/>
                <w:lang w:val="en-US" w:eastAsia="zh-CN" w:bidi="ar-SA"/>
              </w:rPr>
              <w:t>本项目产生的生活废水依托该设施治理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401" w:type="dxa"/>
            <w:vMerge w:val="continue"/>
            <w:vAlign w:val="center"/>
          </w:tcPr>
          <w:p>
            <w:pPr>
              <w:widowControl/>
              <w:jc w:val="left"/>
              <w:rPr>
                <w:rFonts w:hint="default" w:ascii="Times New Roman" w:hAnsi="Times New Roman" w:cs="Times New Roman"/>
                <w:color w:val="auto"/>
              </w:rPr>
            </w:pPr>
          </w:p>
        </w:tc>
        <w:tc>
          <w:tcPr>
            <w:tcW w:w="375" w:type="dxa"/>
            <w:vMerge w:val="continue"/>
            <w:shd w:val="clear" w:color="auto" w:fill="auto"/>
            <w:vAlign w:val="center"/>
          </w:tcPr>
          <w:p>
            <w:pPr>
              <w:widowControl/>
              <w:jc w:val="left"/>
              <w:rPr>
                <w:rFonts w:hint="default" w:ascii="Times New Roman" w:hAnsi="Times New Roman" w:cs="Times New Roman"/>
                <w:color w:val="auto"/>
              </w:rPr>
            </w:pPr>
          </w:p>
        </w:tc>
        <w:tc>
          <w:tcPr>
            <w:tcW w:w="782" w:type="dxa"/>
            <w:vMerge w:val="continue"/>
            <w:shd w:val="clear" w:color="auto" w:fill="auto"/>
            <w:vAlign w:val="center"/>
          </w:tcPr>
          <w:p>
            <w:pPr>
              <w:widowControl/>
              <w:jc w:val="left"/>
              <w:rPr>
                <w:rFonts w:hint="default" w:ascii="Times New Roman" w:hAnsi="Times New Roman" w:cs="Times New Roman"/>
                <w:color w:val="auto"/>
              </w:rPr>
            </w:pPr>
          </w:p>
        </w:tc>
        <w:tc>
          <w:tcPr>
            <w:tcW w:w="1425" w:type="dxa"/>
            <w:vMerge w:val="continue"/>
            <w:shd w:val="clear" w:color="auto" w:fill="auto"/>
            <w:vAlign w:val="center"/>
          </w:tcPr>
          <w:p>
            <w:pPr>
              <w:widowControl/>
              <w:jc w:val="left"/>
              <w:rPr>
                <w:rFonts w:hint="default" w:ascii="Times New Roman" w:hAnsi="Times New Roman" w:cs="Times New Roman"/>
                <w:color w:val="auto"/>
              </w:rPr>
            </w:pPr>
          </w:p>
        </w:tc>
        <w:tc>
          <w:tcPr>
            <w:tcW w:w="6300" w:type="dxa"/>
            <w:shd w:val="clear" w:color="auto" w:fill="auto"/>
            <w:vAlign w:val="center"/>
          </w:tcPr>
          <w:p>
            <w:pPr>
              <w:widowControl/>
              <w:jc w:val="left"/>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设置</w:t>
            </w:r>
            <w:r>
              <w:rPr>
                <w:rFonts w:hint="default" w:ascii="Times New Roman" w:hAnsi="Times New Roman" w:eastAsia="宋体" w:cs="Times New Roman"/>
                <w:color w:val="auto"/>
                <w:kern w:val="0"/>
                <w:sz w:val="18"/>
                <w:szCs w:val="18"/>
                <w:lang w:val="en-US" w:eastAsia="zh-CN"/>
              </w:rPr>
              <w:t>1</w:t>
            </w:r>
            <w:r>
              <w:rPr>
                <w:rFonts w:hint="default" w:ascii="Times New Roman" w:hAnsi="Times New Roman" w:eastAsia="宋体" w:cs="Times New Roman"/>
                <w:color w:val="auto"/>
                <w:kern w:val="0"/>
                <w:sz w:val="18"/>
                <w:szCs w:val="18"/>
              </w:rPr>
              <w:t>座</w:t>
            </w:r>
            <w:r>
              <w:rPr>
                <w:rFonts w:hint="default" w:ascii="Times New Roman" w:hAnsi="Times New Roman" w:cs="Times New Roman"/>
                <w:color w:val="auto"/>
                <w:kern w:val="0"/>
                <w:sz w:val="18"/>
                <w:szCs w:val="18"/>
                <w:lang w:val="en-US" w:eastAsia="zh-CN"/>
              </w:rPr>
              <w:t>10</w:t>
            </w:r>
            <w:r>
              <w:rPr>
                <w:rFonts w:hint="default" w:ascii="Times New Roman" w:hAnsi="Times New Roman" w:eastAsia="宋体" w:cs="Times New Roman"/>
                <w:color w:val="auto"/>
                <w:kern w:val="0"/>
                <w:sz w:val="18"/>
                <w:szCs w:val="18"/>
              </w:rPr>
              <w:t>m</w:t>
            </w:r>
            <w:r>
              <w:rPr>
                <w:rFonts w:hint="default" w:ascii="Times New Roman" w:hAnsi="Times New Roman" w:eastAsia="宋体" w:cs="Times New Roman"/>
                <w:color w:val="auto"/>
                <w:kern w:val="0"/>
                <w:sz w:val="18"/>
                <w:szCs w:val="18"/>
                <w:vertAlign w:val="superscript"/>
              </w:rPr>
              <w:t>3</w:t>
            </w:r>
            <w:r>
              <w:rPr>
                <w:rFonts w:hint="default" w:ascii="Times New Roman" w:hAnsi="Times New Roman" w:eastAsia="宋体" w:cs="Times New Roman"/>
                <w:color w:val="auto"/>
                <w:kern w:val="0"/>
                <w:sz w:val="18"/>
                <w:szCs w:val="18"/>
              </w:rPr>
              <w:t>隔油池</w:t>
            </w:r>
            <w:r>
              <w:rPr>
                <w:rFonts w:hint="default" w:ascii="Times New Roman" w:hAnsi="Times New Roman" w:eastAsia="宋体" w:cs="Times New Roman"/>
                <w:color w:val="auto"/>
                <w:kern w:val="0"/>
                <w:sz w:val="18"/>
                <w:szCs w:val="18"/>
                <w:lang w:eastAsia="zh-CN"/>
              </w:rPr>
              <w:t>处理食堂废水</w:t>
            </w:r>
          </w:p>
        </w:tc>
        <w:tc>
          <w:tcPr>
            <w:tcW w:w="1414" w:type="dxa"/>
            <w:vMerge w:val="continue"/>
            <w:vAlign w:val="center"/>
          </w:tcPr>
          <w:p>
            <w:pPr>
              <w:widowControl/>
              <w:jc w:val="left"/>
              <w:rPr>
                <w:rFonts w:hint="default" w:ascii="Times New Roman" w:hAnsi="Times New Roman" w:eastAsia="宋体" w:cs="Times New Roman"/>
                <w:color w:val="auto"/>
                <w:kern w:val="0"/>
                <w:sz w:val="18"/>
                <w:szCs w:val="18"/>
              </w:rPr>
            </w:pPr>
          </w:p>
        </w:tc>
        <w:tc>
          <w:tcPr>
            <w:tcW w:w="708" w:type="dxa"/>
            <w:vAlign w:val="center"/>
          </w:tcPr>
          <w:p>
            <w:pPr>
              <w:widowControl/>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kern w:val="0"/>
                <w:sz w:val="18"/>
                <w:szCs w:val="18"/>
                <w:lang w:eastAsia="zh-CN"/>
              </w:rPr>
              <w:t>否</w:t>
            </w:r>
          </w:p>
        </w:tc>
        <w:tc>
          <w:tcPr>
            <w:tcW w:w="3362" w:type="dxa"/>
            <w:vAlign w:val="center"/>
          </w:tcPr>
          <w:p>
            <w:pPr>
              <w:widowControl/>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kern w:val="2"/>
                <w:sz w:val="18"/>
                <w:szCs w:val="18"/>
                <w:lang w:val="en-US" w:eastAsia="zh-CN" w:bidi="ar-SA"/>
              </w:rPr>
              <w:t>本项目产生的生活废水依托该设施治理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401" w:type="dxa"/>
            <w:vMerge w:val="continue"/>
            <w:vAlign w:val="center"/>
          </w:tcPr>
          <w:p>
            <w:pPr>
              <w:widowControl/>
              <w:jc w:val="center"/>
              <w:rPr>
                <w:rFonts w:hint="default" w:ascii="Times New Roman" w:hAnsi="Times New Roman" w:cs="Times New Roman"/>
                <w:color w:val="auto"/>
              </w:rPr>
            </w:pPr>
          </w:p>
        </w:tc>
        <w:tc>
          <w:tcPr>
            <w:tcW w:w="375" w:type="dxa"/>
            <w:vMerge w:val="continue"/>
            <w:shd w:val="clear" w:color="auto" w:fill="auto"/>
            <w:vAlign w:val="center"/>
          </w:tcPr>
          <w:p>
            <w:pPr>
              <w:widowControl/>
              <w:jc w:val="center"/>
              <w:rPr>
                <w:rFonts w:hint="default" w:ascii="Times New Roman" w:hAnsi="Times New Roman" w:cs="Times New Roman"/>
                <w:color w:val="auto"/>
              </w:rPr>
            </w:pPr>
          </w:p>
        </w:tc>
        <w:tc>
          <w:tcPr>
            <w:tcW w:w="782" w:type="dxa"/>
            <w:vMerge w:val="continue"/>
            <w:shd w:val="clear" w:color="auto" w:fill="auto"/>
            <w:vAlign w:val="center"/>
          </w:tcPr>
          <w:p>
            <w:pPr>
              <w:widowControl/>
              <w:jc w:val="center"/>
              <w:rPr>
                <w:rFonts w:hint="default" w:ascii="Times New Roman" w:hAnsi="Times New Roman" w:cs="Times New Roman"/>
                <w:color w:val="auto"/>
              </w:rPr>
            </w:pPr>
          </w:p>
        </w:tc>
        <w:tc>
          <w:tcPr>
            <w:tcW w:w="1425" w:type="dxa"/>
            <w:shd w:val="clear" w:color="auto" w:fill="auto"/>
            <w:vAlign w:val="center"/>
          </w:tcPr>
          <w:p>
            <w:pPr>
              <w:widowControl/>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eastAsia="zh-CN"/>
              </w:rPr>
              <w:t>化粪池</w:t>
            </w:r>
          </w:p>
        </w:tc>
        <w:tc>
          <w:tcPr>
            <w:tcW w:w="6300" w:type="dxa"/>
            <w:shd w:val="clear" w:color="auto" w:fill="auto"/>
            <w:vAlign w:val="center"/>
          </w:tcPr>
          <w:p>
            <w:pPr>
              <w:widowControl/>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eastAsia="zh-CN"/>
              </w:rPr>
              <w:t>设置</w:t>
            </w:r>
            <w:r>
              <w:rPr>
                <w:rFonts w:hint="default" w:ascii="Times New Roman" w:hAnsi="Times New Roman" w:cs="Times New Roman"/>
                <w:color w:val="auto"/>
                <w:sz w:val="18"/>
                <w:szCs w:val="18"/>
                <w:lang w:val="en-US" w:eastAsia="zh-CN"/>
              </w:rPr>
              <w:t>9</w:t>
            </w:r>
            <w:r>
              <w:rPr>
                <w:rFonts w:hint="default" w:ascii="Times New Roman" w:hAnsi="Times New Roman" w:eastAsia="宋体" w:cs="Times New Roman"/>
                <w:color w:val="auto"/>
                <w:sz w:val="18"/>
                <w:szCs w:val="18"/>
              </w:rPr>
              <w:t>座总容积为</w:t>
            </w:r>
            <w:r>
              <w:rPr>
                <w:rFonts w:hint="default" w:ascii="Times New Roman" w:hAnsi="Times New Roman" w:cs="Times New Roman"/>
                <w:color w:val="auto"/>
                <w:sz w:val="18"/>
                <w:szCs w:val="18"/>
                <w:lang w:val="en-US" w:eastAsia="zh-CN"/>
              </w:rPr>
              <w:t>2</w:t>
            </w:r>
            <w:r>
              <w:rPr>
                <w:rFonts w:hint="default" w:ascii="Times New Roman" w:hAnsi="Times New Roman" w:eastAsia="宋体" w:cs="Times New Roman"/>
                <w:color w:val="auto"/>
                <w:sz w:val="18"/>
                <w:szCs w:val="18"/>
              </w:rPr>
              <w:t>07.52</w:t>
            </w:r>
            <w:r>
              <w:rPr>
                <w:rFonts w:hint="default" w:ascii="Times New Roman" w:hAnsi="Times New Roman" w:eastAsia="宋体" w:cs="Times New Roman"/>
                <w:color w:val="auto"/>
                <w:kern w:val="0"/>
                <w:sz w:val="18"/>
                <w:szCs w:val="18"/>
              </w:rPr>
              <w:t>m</w:t>
            </w:r>
            <w:r>
              <w:rPr>
                <w:rFonts w:hint="default" w:ascii="Times New Roman" w:hAnsi="Times New Roman" w:eastAsia="宋体" w:cs="Times New Roman"/>
                <w:color w:val="auto"/>
                <w:kern w:val="0"/>
                <w:sz w:val="18"/>
                <w:szCs w:val="18"/>
                <w:vertAlign w:val="superscript"/>
              </w:rPr>
              <w:t>3</w:t>
            </w:r>
            <w:r>
              <w:rPr>
                <w:rFonts w:hint="default" w:ascii="Times New Roman" w:hAnsi="Times New Roman" w:eastAsia="宋体" w:cs="Times New Roman"/>
                <w:color w:val="auto"/>
                <w:sz w:val="18"/>
                <w:szCs w:val="18"/>
              </w:rPr>
              <w:t>的化粪池</w:t>
            </w:r>
            <w:r>
              <w:rPr>
                <w:rFonts w:hint="default" w:ascii="Times New Roman" w:hAnsi="Times New Roman" w:eastAsia="宋体" w:cs="Times New Roman"/>
                <w:color w:val="auto"/>
                <w:sz w:val="18"/>
                <w:szCs w:val="18"/>
                <w:lang w:eastAsia="zh-CN"/>
              </w:rPr>
              <w:t>处理生活废水</w:t>
            </w:r>
          </w:p>
        </w:tc>
        <w:tc>
          <w:tcPr>
            <w:tcW w:w="1414" w:type="dxa"/>
            <w:vMerge w:val="continue"/>
            <w:vAlign w:val="center"/>
          </w:tcPr>
          <w:p>
            <w:pPr>
              <w:widowControl/>
              <w:jc w:val="center"/>
              <w:rPr>
                <w:rFonts w:hint="default" w:ascii="Times New Roman" w:hAnsi="Times New Roman" w:eastAsia="宋体" w:cs="Times New Roman"/>
                <w:color w:val="auto"/>
                <w:sz w:val="18"/>
                <w:szCs w:val="18"/>
              </w:rPr>
            </w:pPr>
          </w:p>
        </w:tc>
        <w:tc>
          <w:tcPr>
            <w:tcW w:w="708" w:type="dxa"/>
            <w:vAlign w:val="center"/>
          </w:tcPr>
          <w:p>
            <w:pPr>
              <w:widowControl/>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eastAsia="zh-CN"/>
              </w:rPr>
              <w:t>是</w:t>
            </w:r>
          </w:p>
        </w:tc>
        <w:tc>
          <w:tcPr>
            <w:tcW w:w="3362" w:type="dxa"/>
            <w:vAlign w:val="center"/>
          </w:tcPr>
          <w:p>
            <w:pPr>
              <w:widowControl/>
              <w:jc w:val="center"/>
              <w:rPr>
                <w:rFonts w:hint="default" w:ascii="Times New Roman" w:hAnsi="Times New Roman" w:eastAsia="宋体" w:cs="Times New Roman"/>
                <w:color w:val="auto"/>
                <w:sz w:val="18"/>
                <w:szCs w:val="18"/>
              </w:rPr>
            </w:pPr>
            <w:r>
              <w:rPr>
                <w:rFonts w:hint="default" w:ascii="Times New Roman" w:hAnsi="Times New Roman" w:cs="Times New Roman"/>
                <w:color w:val="auto"/>
                <w:kern w:val="2"/>
                <w:sz w:val="18"/>
                <w:szCs w:val="18"/>
                <w:lang w:val="en-US" w:eastAsia="zh-CN" w:bidi="ar-SA"/>
              </w:rPr>
              <w:t>本项目产生的生活废水依托该设施治理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401" w:type="dxa"/>
            <w:vMerge w:val="continue"/>
            <w:vAlign w:val="center"/>
          </w:tcPr>
          <w:p>
            <w:pPr>
              <w:widowControl/>
              <w:jc w:val="center"/>
              <w:rPr>
                <w:rFonts w:hint="default" w:ascii="Times New Roman" w:hAnsi="Times New Roman" w:eastAsia="宋体" w:cs="Times New Roman"/>
                <w:color w:val="auto"/>
                <w:kern w:val="0"/>
                <w:sz w:val="18"/>
                <w:szCs w:val="18"/>
              </w:rPr>
            </w:pPr>
          </w:p>
        </w:tc>
        <w:tc>
          <w:tcPr>
            <w:tcW w:w="375" w:type="dxa"/>
            <w:vMerge w:val="continue"/>
            <w:shd w:val="clear" w:color="auto" w:fill="auto"/>
            <w:vAlign w:val="center"/>
          </w:tcPr>
          <w:p>
            <w:pPr>
              <w:widowControl/>
              <w:jc w:val="center"/>
              <w:rPr>
                <w:rFonts w:hint="default" w:ascii="Times New Roman" w:hAnsi="Times New Roman" w:eastAsia="宋体" w:cs="Times New Roman"/>
                <w:color w:val="auto"/>
                <w:kern w:val="0"/>
                <w:sz w:val="18"/>
                <w:szCs w:val="18"/>
              </w:rPr>
            </w:pPr>
          </w:p>
        </w:tc>
        <w:tc>
          <w:tcPr>
            <w:tcW w:w="782" w:type="dxa"/>
            <w:vMerge w:val="restart"/>
            <w:shd w:val="clear" w:color="auto" w:fill="auto"/>
            <w:vAlign w:val="center"/>
          </w:tcPr>
          <w:p>
            <w:pPr>
              <w:widowControl/>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生产废水</w:t>
            </w:r>
          </w:p>
        </w:tc>
        <w:tc>
          <w:tcPr>
            <w:tcW w:w="1425" w:type="dxa"/>
            <w:shd w:val="clear" w:color="auto" w:fill="auto"/>
            <w:vAlign w:val="center"/>
          </w:tcPr>
          <w:p>
            <w:pPr>
              <w:widowControl/>
              <w:jc w:val="center"/>
              <w:rPr>
                <w:rFonts w:hint="default" w:ascii="Times New Roman" w:hAnsi="Times New Roman" w:eastAsia="宋体" w:cs="Times New Roman"/>
                <w:color w:val="auto"/>
                <w:kern w:val="0"/>
                <w:sz w:val="18"/>
                <w:szCs w:val="18"/>
                <w:lang w:eastAsia="zh-CN"/>
              </w:rPr>
            </w:pPr>
            <w:r>
              <w:rPr>
                <w:rFonts w:hint="default" w:ascii="Times New Roman" w:hAnsi="Times New Roman" w:cs="Times New Roman"/>
                <w:color w:val="auto"/>
                <w:kern w:val="0"/>
                <w:sz w:val="18"/>
                <w:szCs w:val="18"/>
                <w:lang w:eastAsia="zh-CN"/>
              </w:rPr>
              <w:t>机加压滤系统</w:t>
            </w:r>
          </w:p>
        </w:tc>
        <w:tc>
          <w:tcPr>
            <w:tcW w:w="6300" w:type="dxa"/>
            <w:shd w:val="clear" w:color="auto" w:fill="auto"/>
            <w:vAlign w:val="center"/>
          </w:tcPr>
          <w:p>
            <w:pPr>
              <w:keepNext w:val="0"/>
              <w:keepLines w:val="0"/>
              <w:pageBreakBefore w:val="0"/>
              <w:widowControl/>
              <w:kinsoku/>
              <w:wordWrap/>
              <w:overflowPunct/>
              <w:topLinePunct w:val="0"/>
              <w:autoSpaceDE/>
              <w:autoSpaceDN/>
              <w:bidi w:val="0"/>
              <w:spacing w:line="240" w:lineRule="auto"/>
              <w:jc w:val="left"/>
              <w:textAlignment w:val="auto"/>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color w:val="auto"/>
                <w:sz w:val="18"/>
                <w:szCs w:val="18"/>
                <w:lang w:eastAsia="zh-CN"/>
              </w:rPr>
              <w:t>一期</w:t>
            </w:r>
            <w:r>
              <w:rPr>
                <w:rFonts w:hint="default" w:ascii="Times New Roman" w:hAnsi="Times New Roman" w:eastAsia="宋体" w:cs="Times New Roman"/>
                <w:color w:val="auto"/>
                <w:sz w:val="18"/>
                <w:szCs w:val="18"/>
              </w:rPr>
              <w:t>设置1套处理规模为</w:t>
            </w:r>
            <w:r>
              <w:rPr>
                <w:rFonts w:hint="default" w:ascii="Times New Roman" w:hAnsi="Times New Roman" w:eastAsia="宋体" w:cs="Times New Roman"/>
                <w:color w:val="auto"/>
                <w:sz w:val="18"/>
                <w:szCs w:val="18"/>
                <w:lang w:val="en-US" w:eastAsia="zh-CN"/>
              </w:rPr>
              <w:t>2</w:t>
            </w:r>
            <w:r>
              <w:rPr>
                <w:rFonts w:hint="default" w:ascii="Times New Roman" w:hAnsi="Times New Roman" w:eastAsia="宋体" w:cs="Times New Roman"/>
                <w:color w:val="auto"/>
                <w:sz w:val="18"/>
                <w:szCs w:val="18"/>
              </w:rPr>
              <w:t>00m</w:t>
            </w:r>
            <w:r>
              <w:rPr>
                <w:rFonts w:hint="default" w:ascii="Times New Roman" w:hAnsi="Times New Roman" w:eastAsia="宋体" w:cs="Times New Roman"/>
                <w:color w:val="auto"/>
                <w:sz w:val="18"/>
                <w:szCs w:val="18"/>
                <w:vertAlign w:val="superscript"/>
              </w:rPr>
              <w:t>3</w:t>
            </w:r>
            <w:r>
              <w:rPr>
                <w:rFonts w:hint="default" w:ascii="Times New Roman" w:hAnsi="Times New Roman" w:eastAsia="宋体" w:cs="Times New Roman"/>
                <w:color w:val="auto"/>
                <w:sz w:val="18"/>
                <w:szCs w:val="18"/>
              </w:rPr>
              <w:t>/h的压滤处理系统处理单晶硅棒机加废水，处理后的废水部分回用，剩余部分</w:t>
            </w:r>
            <w:r>
              <w:rPr>
                <w:rFonts w:hint="default" w:ascii="Times New Roman" w:hAnsi="Times New Roman" w:eastAsia="宋体" w:cs="Times New Roman"/>
                <w:color w:val="auto"/>
                <w:sz w:val="18"/>
                <w:szCs w:val="18"/>
                <w:lang w:eastAsia="zh-CN"/>
              </w:rPr>
              <w:t>进入含氟废水处理站处理；二期设置</w:t>
            </w:r>
            <w:r>
              <w:rPr>
                <w:rFonts w:hint="default" w:ascii="Times New Roman" w:hAnsi="Times New Roman" w:eastAsia="宋体" w:cs="Times New Roman"/>
                <w:color w:val="auto"/>
                <w:sz w:val="18"/>
                <w:szCs w:val="18"/>
              </w:rPr>
              <w:t>1套处理规模为</w:t>
            </w:r>
            <w:r>
              <w:rPr>
                <w:rFonts w:hint="default" w:ascii="Times New Roman" w:hAnsi="Times New Roman" w:eastAsia="宋体" w:cs="Times New Roman"/>
                <w:color w:val="auto"/>
                <w:sz w:val="18"/>
                <w:szCs w:val="18"/>
                <w:lang w:val="en-US" w:eastAsia="zh-CN"/>
              </w:rPr>
              <w:t>24</w:t>
            </w:r>
            <w:r>
              <w:rPr>
                <w:rFonts w:hint="default" w:ascii="Times New Roman" w:hAnsi="Times New Roman" w:eastAsia="宋体" w:cs="Times New Roman"/>
                <w:color w:val="auto"/>
                <w:sz w:val="18"/>
                <w:szCs w:val="18"/>
              </w:rPr>
              <w:t>0m</w:t>
            </w:r>
            <w:r>
              <w:rPr>
                <w:rFonts w:hint="default" w:ascii="Times New Roman" w:hAnsi="Times New Roman" w:eastAsia="宋体" w:cs="Times New Roman"/>
                <w:color w:val="auto"/>
                <w:sz w:val="18"/>
                <w:szCs w:val="18"/>
                <w:vertAlign w:val="superscript"/>
              </w:rPr>
              <w:t>3</w:t>
            </w:r>
            <w:r>
              <w:rPr>
                <w:rFonts w:hint="default" w:ascii="Times New Roman" w:hAnsi="Times New Roman" w:eastAsia="宋体" w:cs="Times New Roman"/>
                <w:color w:val="auto"/>
                <w:sz w:val="18"/>
                <w:szCs w:val="18"/>
              </w:rPr>
              <w:t>/h的压滤处理系统处理单晶硅棒机加废水，处理后的废水</w:t>
            </w:r>
            <w:r>
              <w:rPr>
                <w:rFonts w:hint="default" w:ascii="Times New Roman" w:hAnsi="Times New Roman" w:eastAsia="宋体" w:cs="Times New Roman"/>
                <w:color w:val="auto"/>
                <w:sz w:val="18"/>
                <w:szCs w:val="18"/>
                <w:lang w:eastAsia="zh-CN"/>
              </w:rPr>
              <w:t>进入含氟废水处理站处理</w:t>
            </w:r>
          </w:p>
        </w:tc>
        <w:tc>
          <w:tcPr>
            <w:tcW w:w="1414" w:type="dxa"/>
            <w:vMerge w:val="continue"/>
            <w:vAlign w:val="center"/>
          </w:tcPr>
          <w:p>
            <w:pPr>
              <w:widowControl/>
              <w:jc w:val="center"/>
              <w:rPr>
                <w:rFonts w:hint="default" w:ascii="Times New Roman" w:hAnsi="Times New Roman" w:eastAsia="宋体" w:cs="Times New Roman"/>
                <w:color w:val="auto"/>
                <w:kern w:val="0"/>
                <w:sz w:val="18"/>
                <w:szCs w:val="18"/>
              </w:rPr>
            </w:pPr>
          </w:p>
        </w:tc>
        <w:tc>
          <w:tcPr>
            <w:tcW w:w="708" w:type="dxa"/>
            <w:vAlign w:val="center"/>
          </w:tcPr>
          <w:p>
            <w:pPr>
              <w:widowControl/>
              <w:jc w:val="center"/>
              <w:rPr>
                <w:rFonts w:hint="default" w:ascii="Times New Roman" w:hAnsi="Times New Roman" w:eastAsia="宋体" w:cs="Times New Roman"/>
                <w:color w:val="auto"/>
                <w:kern w:val="0"/>
                <w:sz w:val="18"/>
                <w:szCs w:val="18"/>
              </w:rPr>
            </w:pPr>
            <w:r>
              <w:rPr>
                <w:rFonts w:hint="default" w:ascii="Times New Roman" w:hAnsi="Times New Roman" w:cs="Times New Roman"/>
                <w:color w:val="auto"/>
                <w:kern w:val="0"/>
                <w:sz w:val="18"/>
                <w:szCs w:val="18"/>
                <w:lang w:eastAsia="zh-CN"/>
              </w:rPr>
              <w:t>是</w:t>
            </w:r>
          </w:p>
        </w:tc>
        <w:tc>
          <w:tcPr>
            <w:tcW w:w="3362" w:type="dxa"/>
            <w:vAlign w:val="center"/>
          </w:tcPr>
          <w:p>
            <w:pPr>
              <w:widowControl/>
              <w:jc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bidi="ar-SA"/>
              </w:rPr>
              <w:t>无依托关系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1" w:type="dxa"/>
            <w:vMerge w:val="continue"/>
            <w:vAlign w:val="center"/>
          </w:tcPr>
          <w:p>
            <w:pPr>
              <w:widowControl/>
              <w:jc w:val="center"/>
              <w:rPr>
                <w:rFonts w:hint="default" w:ascii="Times New Roman" w:hAnsi="Times New Roman" w:eastAsia="宋体" w:cs="Times New Roman"/>
                <w:color w:val="auto"/>
                <w:kern w:val="0"/>
                <w:sz w:val="18"/>
                <w:szCs w:val="18"/>
              </w:rPr>
            </w:pPr>
          </w:p>
        </w:tc>
        <w:tc>
          <w:tcPr>
            <w:tcW w:w="375" w:type="dxa"/>
            <w:vMerge w:val="continue"/>
            <w:vAlign w:val="center"/>
          </w:tcPr>
          <w:p>
            <w:pPr>
              <w:widowControl/>
              <w:jc w:val="center"/>
              <w:rPr>
                <w:rFonts w:hint="default" w:ascii="Times New Roman" w:hAnsi="Times New Roman" w:eastAsia="宋体" w:cs="Times New Roman"/>
                <w:color w:val="auto"/>
                <w:kern w:val="0"/>
                <w:sz w:val="18"/>
                <w:szCs w:val="18"/>
              </w:rPr>
            </w:pPr>
          </w:p>
        </w:tc>
        <w:tc>
          <w:tcPr>
            <w:tcW w:w="782" w:type="dxa"/>
            <w:vMerge w:val="continue"/>
            <w:shd w:val="clear" w:color="auto" w:fill="auto"/>
            <w:vAlign w:val="center"/>
          </w:tcPr>
          <w:p>
            <w:pPr>
              <w:widowControl/>
              <w:jc w:val="left"/>
              <w:rPr>
                <w:rFonts w:hint="default" w:ascii="Times New Roman" w:hAnsi="Times New Roman" w:eastAsia="宋体" w:cs="Times New Roman"/>
                <w:color w:val="auto"/>
                <w:kern w:val="0"/>
                <w:sz w:val="18"/>
                <w:szCs w:val="18"/>
              </w:rPr>
            </w:pPr>
          </w:p>
        </w:tc>
        <w:tc>
          <w:tcPr>
            <w:tcW w:w="1425" w:type="dxa"/>
            <w:shd w:val="clear" w:color="auto" w:fill="auto"/>
            <w:vAlign w:val="center"/>
          </w:tcPr>
          <w:p>
            <w:pPr>
              <w:widowControl/>
              <w:jc w:val="center"/>
              <w:rPr>
                <w:rFonts w:hint="default" w:ascii="Times New Roman" w:hAnsi="Times New Roman" w:eastAsia="宋体" w:cs="Times New Roman"/>
                <w:color w:val="auto"/>
                <w:kern w:val="0"/>
                <w:sz w:val="18"/>
                <w:szCs w:val="18"/>
                <w:lang w:eastAsia="zh-CN"/>
              </w:rPr>
            </w:pPr>
            <w:r>
              <w:rPr>
                <w:rFonts w:hint="default" w:ascii="Times New Roman" w:hAnsi="Times New Roman" w:cs="Times New Roman"/>
                <w:color w:val="auto"/>
                <w:kern w:val="0"/>
                <w:sz w:val="18"/>
                <w:szCs w:val="18"/>
                <w:lang w:eastAsia="zh-CN"/>
              </w:rPr>
              <w:t>含氟废水处理站</w:t>
            </w:r>
          </w:p>
        </w:tc>
        <w:tc>
          <w:tcPr>
            <w:tcW w:w="6300" w:type="dxa"/>
            <w:shd w:val="clear" w:color="auto" w:fill="auto"/>
            <w:vAlign w:val="center"/>
          </w:tcPr>
          <w:p>
            <w:pPr>
              <w:pStyle w:val="55"/>
              <w:keepNext w:val="0"/>
              <w:keepLines w:val="0"/>
              <w:pageBreakBefore w:val="0"/>
              <w:kinsoku/>
              <w:wordWrap/>
              <w:overflowPunct/>
              <w:topLinePunct w:val="0"/>
              <w:autoSpaceDE/>
              <w:autoSpaceDN/>
              <w:bidi w:val="0"/>
              <w:spacing w:line="240" w:lineRule="auto"/>
              <w:ind w:left="0" w:leftChars="0" w:firstLine="0" w:firstLineChars="0"/>
              <w:textAlignment w:val="auto"/>
              <w:rPr>
                <w:rFonts w:hint="default" w:ascii="Times New Roman" w:hAnsi="Times New Roman" w:cs="Times New Roman"/>
                <w:color w:val="auto"/>
                <w:sz w:val="18"/>
                <w:szCs w:val="18"/>
                <w:lang w:val="en-US" w:eastAsia="zh-CN"/>
              </w:rPr>
            </w:pPr>
            <w:r>
              <w:rPr>
                <w:rFonts w:hint="default" w:ascii="Times New Roman" w:hAnsi="Times New Roman" w:eastAsia="宋体" w:cs="Times New Roman"/>
                <w:color w:val="auto"/>
                <w:kern w:val="0"/>
                <w:sz w:val="18"/>
                <w:szCs w:val="18"/>
              </w:rPr>
              <w:t>设置1套</w:t>
            </w:r>
            <w:r>
              <w:rPr>
                <w:rFonts w:hint="default" w:ascii="Times New Roman" w:hAnsi="Times New Roman" w:eastAsia="宋体" w:cs="Times New Roman"/>
                <w:color w:val="auto"/>
                <w:kern w:val="0"/>
                <w:sz w:val="18"/>
                <w:szCs w:val="18"/>
                <w:lang w:val="en-US" w:eastAsia="zh-CN"/>
              </w:rPr>
              <w:t>100</w:t>
            </w:r>
            <w:r>
              <w:rPr>
                <w:rFonts w:hint="default" w:ascii="Times New Roman" w:hAnsi="Times New Roman" w:eastAsia="宋体" w:cs="Times New Roman"/>
                <w:color w:val="auto"/>
                <w:kern w:val="0"/>
                <w:sz w:val="18"/>
                <w:szCs w:val="18"/>
              </w:rPr>
              <w:t>m</w:t>
            </w:r>
            <w:r>
              <w:rPr>
                <w:rFonts w:hint="default" w:ascii="Times New Roman" w:hAnsi="Times New Roman" w:eastAsia="宋体" w:cs="Times New Roman"/>
                <w:color w:val="auto"/>
                <w:kern w:val="0"/>
                <w:sz w:val="18"/>
                <w:szCs w:val="18"/>
                <w:vertAlign w:val="superscript"/>
              </w:rPr>
              <w:t>3</w:t>
            </w:r>
            <w:r>
              <w:rPr>
                <w:rFonts w:hint="default" w:ascii="Times New Roman" w:hAnsi="Times New Roman" w:eastAsia="宋体" w:cs="Times New Roman"/>
                <w:color w:val="auto"/>
                <w:kern w:val="0"/>
                <w:sz w:val="18"/>
                <w:szCs w:val="18"/>
              </w:rPr>
              <w:t>/h的含氟废水处理站处理</w:t>
            </w:r>
            <w:r>
              <w:rPr>
                <w:rFonts w:hint="default" w:ascii="Times New Roman" w:hAnsi="Times New Roman" w:cs="Times New Roman"/>
                <w:color w:val="auto"/>
                <w:kern w:val="0"/>
                <w:sz w:val="18"/>
                <w:szCs w:val="18"/>
                <w:lang w:eastAsia="zh-CN"/>
              </w:rPr>
              <w:t>全厂</w:t>
            </w:r>
            <w:r>
              <w:rPr>
                <w:rFonts w:hint="default" w:ascii="Times New Roman" w:hAnsi="Times New Roman" w:eastAsia="宋体" w:cs="Times New Roman"/>
                <w:color w:val="auto"/>
                <w:kern w:val="0"/>
                <w:sz w:val="18"/>
                <w:szCs w:val="18"/>
              </w:rPr>
              <w:t>含氟废水</w:t>
            </w:r>
            <w:r>
              <w:rPr>
                <w:rFonts w:hint="default" w:ascii="Times New Roman" w:hAnsi="Times New Roman" w:cs="Times New Roman"/>
                <w:color w:val="auto"/>
                <w:kern w:val="0"/>
                <w:sz w:val="18"/>
                <w:szCs w:val="18"/>
                <w:lang w:eastAsia="zh-CN"/>
              </w:rPr>
              <w:t>、机加废水</w:t>
            </w:r>
            <w:r>
              <w:rPr>
                <w:rFonts w:hint="default" w:ascii="Times New Roman" w:hAnsi="Times New Roman" w:eastAsia="宋体" w:cs="Times New Roman"/>
                <w:color w:val="auto"/>
                <w:kern w:val="0"/>
                <w:sz w:val="18"/>
                <w:szCs w:val="18"/>
              </w:rPr>
              <w:t>，</w:t>
            </w:r>
            <w:r>
              <w:rPr>
                <w:rFonts w:hint="default" w:ascii="Times New Roman" w:hAnsi="Times New Roman" w:eastAsia="宋体" w:cs="Times New Roman"/>
                <w:color w:val="auto"/>
                <w:kern w:val="0"/>
                <w:sz w:val="18"/>
                <w:szCs w:val="18"/>
                <w:lang w:eastAsia="zh-CN"/>
              </w:rPr>
              <w:t>采用</w:t>
            </w:r>
            <w:r>
              <w:rPr>
                <w:rFonts w:hint="default" w:ascii="Times New Roman" w:hAnsi="Times New Roman" w:eastAsia="宋体" w:cs="Times New Roman"/>
                <w:color w:val="auto"/>
                <w:kern w:val="0"/>
                <w:sz w:val="18"/>
                <w:szCs w:val="18"/>
              </w:rPr>
              <w:t>“混凝沉淀+AO”处理工艺</w:t>
            </w:r>
          </w:p>
        </w:tc>
        <w:tc>
          <w:tcPr>
            <w:tcW w:w="1414" w:type="dxa"/>
            <w:vMerge w:val="continue"/>
            <w:vAlign w:val="center"/>
          </w:tcPr>
          <w:p>
            <w:pPr>
              <w:widowControl/>
              <w:jc w:val="center"/>
              <w:rPr>
                <w:rFonts w:hint="default" w:ascii="Times New Roman" w:hAnsi="Times New Roman" w:eastAsia="宋体" w:cs="Times New Roman"/>
                <w:color w:val="auto"/>
                <w:sz w:val="18"/>
                <w:szCs w:val="18"/>
                <w:lang w:eastAsia="zh-CN"/>
              </w:rPr>
            </w:pPr>
          </w:p>
        </w:tc>
        <w:tc>
          <w:tcPr>
            <w:tcW w:w="708" w:type="dxa"/>
            <w:vAlign w:val="center"/>
          </w:tcPr>
          <w:p>
            <w:pPr>
              <w:widowControl/>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eastAsia="zh-CN"/>
              </w:rPr>
              <w:t>是</w:t>
            </w:r>
          </w:p>
        </w:tc>
        <w:tc>
          <w:tcPr>
            <w:tcW w:w="3362" w:type="dxa"/>
            <w:vAlign w:val="center"/>
          </w:tcPr>
          <w:p>
            <w:pPr>
              <w:widowControl/>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kern w:val="2"/>
                <w:sz w:val="18"/>
                <w:szCs w:val="18"/>
                <w:lang w:val="en-US" w:eastAsia="zh-CN" w:bidi="ar-SA"/>
              </w:rPr>
              <w:t>本项目产生的含氟废水依托该设施治理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 w:hRule="atLeast"/>
          <w:jc w:val="center"/>
        </w:trPr>
        <w:tc>
          <w:tcPr>
            <w:tcW w:w="401" w:type="dxa"/>
            <w:vMerge w:val="continue"/>
            <w:vAlign w:val="center"/>
          </w:tcPr>
          <w:p>
            <w:pPr>
              <w:widowControl/>
              <w:jc w:val="center"/>
              <w:rPr>
                <w:rFonts w:hint="default" w:ascii="Times New Roman" w:hAnsi="Times New Roman" w:eastAsia="宋体" w:cs="Times New Roman"/>
                <w:color w:val="auto"/>
                <w:kern w:val="0"/>
                <w:sz w:val="18"/>
                <w:szCs w:val="18"/>
              </w:rPr>
            </w:pPr>
          </w:p>
        </w:tc>
        <w:tc>
          <w:tcPr>
            <w:tcW w:w="375" w:type="dxa"/>
            <w:vMerge w:val="continue"/>
            <w:vAlign w:val="center"/>
          </w:tcPr>
          <w:p>
            <w:pPr>
              <w:widowControl/>
              <w:jc w:val="center"/>
              <w:rPr>
                <w:rFonts w:hint="default" w:ascii="Times New Roman" w:hAnsi="Times New Roman" w:eastAsia="宋体" w:cs="Times New Roman"/>
                <w:color w:val="auto"/>
                <w:kern w:val="0"/>
                <w:sz w:val="18"/>
                <w:szCs w:val="18"/>
              </w:rPr>
            </w:pPr>
          </w:p>
        </w:tc>
        <w:tc>
          <w:tcPr>
            <w:tcW w:w="782" w:type="dxa"/>
            <w:vMerge w:val="continue"/>
            <w:shd w:val="clear" w:color="auto" w:fill="auto"/>
            <w:vAlign w:val="center"/>
          </w:tcPr>
          <w:p>
            <w:pPr>
              <w:widowControl/>
              <w:jc w:val="left"/>
              <w:rPr>
                <w:rFonts w:hint="default" w:ascii="Times New Roman" w:hAnsi="Times New Roman" w:eastAsia="宋体" w:cs="Times New Roman"/>
                <w:color w:val="auto"/>
                <w:kern w:val="0"/>
                <w:sz w:val="18"/>
                <w:szCs w:val="18"/>
              </w:rPr>
            </w:pPr>
          </w:p>
        </w:tc>
        <w:tc>
          <w:tcPr>
            <w:tcW w:w="1425" w:type="dxa"/>
            <w:shd w:val="clear" w:color="auto" w:fill="auto"/>
            <w:vAlign w:val="center"/>
          </w:tcPr>
          <w:p>
            <w:pPr>
              <w:widowControl/>
              <w:jc w:val="center"/>
              <w:rPr>
                <w:rFonts w:hint="default" w:ascii="Times New Roman" w:hAnsi="Times New Roman" w:cs="Times New Roman"/>
                <w:color w:val="auto"/>
                <w:kern w:val="0"/>
                <w:sz w:val="18"/>
                <w:szCs w:val="18"/>
                <w:lang w:eastAsia="zh-CN"/>
              </w:rPr>
            </w:pPr>
            <w:r>
              <w:rPr>
                <w:rFonts w:hint="default" w:ascii="Times New Roman" w:hAnsi="Times New Roman" w:cs="Times New Roman"/>
                <w:color w:val="auto"/>
                <w:kern w:val="0"/>
                <w:sz w:val="18"/>
                <w:szCs w:val="18"/>
                <w:lang w:eastAsia="zh-CN"/>
              </w:rPr>
              <w:t>隔膜压滤系统</w:t>
            </w:r>
          </w:p>
        </w:tc>
        <w:tc>
          <w:tcPr>
            <w:tcW w:w="6300" w:type="dxa"/>
            <w:shd w:val="clear" w:color="auto" w:fill="auto"/>
            <w:vAlign w:val="center"/>
          </w:tcPr>
          <w:p>
            <w:pPr>
              <w:widowControl/>
              <w:jc w:val="left"/>
              <w:rPr>
                <w:rFonts w:hint="default" w:ascii="Times New Roman" w:hAnsi="Times New Roman" w:eastAsia="宋体" w:cs="Times New Roman"/>
                <w:color w:val="auto"/>
                <w:kern w:val="0"/>
                <w:sz w:val="18"/>
                <w:szCs w:val="18"/>
                <w:lang w:eastAsia="zh-CN"/>
              </w:rPr>
            </w:pPr>
            <w:r>
              <w:rPr>
                <w:rFonts w:hint="default" w:ascii="Times New Roman" w:hAnsi="Times New Roman" w:cs="Times New Roman"/>
                <w:color w:val="auto"/>
                <w:sz w:val="18"/>
                <w:szCs w:val="18"/>
              </w:rPr>
              <w:t>设置1套处理规模为57m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/h的</w:t>
            </w:r>
            <w:r>
              <w:rPr>
                <w:rFonts w:hint="default" w:ascii="Times New Roman" w:hAnsi="Times New Roman" w:cs="Times New Roman"/>
                <w:color w:val="auto"/>
                <w:sz w:val="18"/>
                <w:szCs w:val="18"/>
                <w:lang w:eastAsia="zh-CN"/>
              </w:rPr>
              <w:t>隔膜板框压滤机</w:t>
            </w:r>
            <w:r>
              <w:rPr>
                <w:rFonts w:hint="default" w:ascii="Times New Roman" w:hAnsi="Times New Roman" w:cs="Times New Roman"/>
                <w:color w:val="auto"/>
                <w:sz w:val="18"/>
                <w:szCs w:val="18"/>
              </w:rPr>
              <w:t>进行处理</w:t>
            </w:r>
            <w:r>
              <w:rPr>
                <w:rFonts w:hint="default" w:ascii="Times New Roman" w:hAnsi="Times New Roman" w:cs="Times New Roman"/>
                <w:color w:val="auto"/>
                <w:sz w:val="18"/>
                <w:szCs w:val="18"/>
                <w:lang w:eastAsia="zh-CN"/>
              </w:rPr>
              <w:t>切割废水，处理后的废水进入综合污水处理站处理</w:t>
            </w:r>
          </w:p>
        </w:tc>
        <w:tc>
          <w:tcPr>
            <w:tcW w:w="1414" w:type="dxa"/>
            <w:vMerge w:val="continue"/>
            <w:vAlign w:val="center"/>
          </w:tcPr>
          <w:p>
            <w:pPr>
              <w:widowControl/>
              <w:jc w:val="center"/>
              <w:rPr>
                <w:rFonts w:hint="default" w:ascii="Times New Roman" w:hAnsi="Times New Roman" w:eastAsia="宋体" w:cs="Times New Roman"/>
                <w:color w:val="auto"/>
                <w:kern w:val="0"/>
                <w:sz w:val="18"/>
                <w:szCs w:val="18"/>
                <w:lang w:val="en-US" w:eastAsia="zh-CN" w:bidi="ar-SA"/>
              </w:rPr>
            </w:pPr>
          </w:p>
        </w:tc>
        <w:tc>
          <w:tcPr>
            <w:tcW w:w="708" w:type="dxa"/>
            <w:vAlign w:val="center"/>
          </w:tcPr>
          <w:p>
            <w:pPr>
              <w:widowControl/>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eastAsia="zh-CN"/>
              </w:rPr>
              <w:t>否</w:t>
            </w:r>
          </w:p>
        </w:tc>
        <w:tc>
          <w:tcPr>
            <w:tcW w:w="3362" w:type="dxa"/>
            <w:vAlign w:val="center"/>
          </w:tcPr>
          <w:p>
            <w:pPr>
              <w:widowControl/>
              <w:jc w:val="center"/>
              <w:rPr>
                <w:rFonts w:hint="default" w:ascii="Times New Roman" w:hAnsi="Times New Roman" w:eastAsia="宋体" w:cs="Times New Roman"/>
                <w:color w:val="auto"/>
                <w:kern w:val="0"/>
                <w:sz w:val="18"/>
                <w:szCs w:val="18"/>
              </w:rPr>
            </w:pPr>
            <w:r>
              <w:rPr>
                <w:rFonts w:hint="default" w:ascii="Times New Roman" w:hAnsi="Times New Roman" w:cs="Times New Roman"/>
                <w:color w:val="auto"/>
                <w:kern w:val="2"/>
                <w:sz w:val="18"/>
                <w:szCs w:val="18"/>
                <w:lang w:val="en-US" w:eastAsia="zh-CN" w:bidi="ar-SA"/>
              </w:rPr>
              <w:t>本项目产生的切割废水依托该设施治理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 w:hRule="atLeast"/>
          <w:jc w:val="center"/>
        </w:trPr>
        <w:tc>
          <w:tcPr>
            <w:tcW w:w="401" w:type="dxa"/>
            <w:vMerge w:val="continue"/>
            <w:vAlign w:val="center"/>
          </w:tcPr>
          <w:p>
            <w:pPr>
              <w:widowControl/>
              <w:jc w:val="center"/>
              <w:rPr>
                <w:rFonts w:hint="default" w:ascii="Times New Roman" w:hAnsi="Times New Roman" w:eastAsia="宋体" w:cs="Times New Roman"/>
                <w:color w:val="auto"/>
                <w:kern w:val="0"/>
                <w:sz w:val="18"/>
                <w:szCs w:val="18"/>
              </w:rPr>
            </w:pPr>
          </w:p>
        </w:tc>
        <w:tc>
          <w:tcPr>
            <w:tcW w:w="375" w:type="dxa"/>
            <w:vMerge w:val="continue"/>
            <w:vAlign w:val="center"/>
          </w:tcPr>
          <w:p>
            <w:pPr>
              <w:widowControl/>
              <w:jc w:val="center"/>
              <w:rPr>
                <w:rFonts w:hint="default" w:ascii="Times New Roman" w:hAnsi="Times New Roman" w:eastAsia="宋体" w:cs="Times New Roman"/>
                <w:color w:val="auto"/>
                <w:kern w:val="0"/>
                <w:sz w:val="18"/>
                <w:szCs w:val="18"/>
              </w:rPr>
            </w:pPr>
          </w:p>
        </w:tc>
        <w:tc>
          <w:tcPr>
            <w:tcW w:w="782" w:type="dxa"/>
            <w:vMerge w:val="continue"/>
            <w:shd w:val="clear" w:color="auto" w:fill="auto"/>
            <w:vAlign w:val="center"/>
          </w:tcPr>
          <w:p>
            <w:pPr>
              <w:widowControl/>
              <w:jc w:val="left"/>
              <w:rPr>
                <w:rFonts w:hint="default" w:ascii="Times New Roman" w:hAnsi="Times New Roman" w:eastAsia="宋体" w:cs="Times New Roman"/>
                <w:color w:val="auto"/>
                <w:kern w:val="0"/>
                <w:sz w:val="18"/>
                <w:szCs w:val="18"/>
              </w:rPr>
            </w:pPr>
          </w:p>
        </w:tc>
        <w:tc>
          <w:tcPr>
            <w:tcW w:w="1425" w:type="dxa"/>
            <w:shd w:val="clear" w:color="auto" w:fill="auto"/>
            <w:vAlign w:val="center"/>
          </w:tcPr>
          <w:p>
            <w:pPr>
              <w:widowControl/>
              <w:jc w:val="center"/>
              <w:rPr>
                <w:rFonts w:hint="default" w:ascii="Times New Roman" w:hAnsi="Times New Roman" w:eastAsia="宋体" w:cs="Times New Roman"/>
                <w:color w:val="auto"/>
                <w:kern w:val="0"/>
                <w:sz w:val="18"/>
                <w:szCs w:val="18"/>
                <w:lang w:eastAsia="zh-CN"/>
              </w:rPr>
            </w:pPr>
            <w:r>
              <w:rPr>
                <w:rFonts w:hint="default" w:ascii="Times New Roman" w:hAnsi="Times New Roman" w:cs="Times New Roman"/>
                <w:color w:val="auto"/>
                <w:kern w:val="0"/>
                <w:sz w:val="18"/>
                <w:szCs w:val="18"/>
                <w:lang w:eastAsia="zh-CN"/>
              </w:rPr>
              <w:t>综合污水处理站</w:t>
            </w:r>
          </w:p>
        </w:tc>
        <w:tc>
          <w:tcPr>
            <w:tcW w:w="6300" w:type="dxa"/>
            <w:shd w:val="clear" w:color="auto" w:fill="auto"/>
            <w:vAlign w:val="center"/>
          </w:tcPr>
          <w:p>
            <w:pPr>
              <w:widowControl/>
              <w:jc w:val="left"/>
              <w:rPr>
                <w:rFonts w:hint="default" w:ascii="Times New Roman" w:hAnsi="Times New Roman" w:eastAsia="宋体" w:cs="Times New Roman"/>
                <w:color w:val="auto"/>
                <w:kern w:val="0"/>
                <w:sz w:val="18"/>
                <w:szCs w:val="18"/>
                <w:lang w:val="en-US" w:eastAsia="zh-CN"/>
              </w:rPr>
            </w:pPr>
            <w:r>
              <w:rPr>
                <w:rFonts w:hint="default" w:ascii="Times New Roman" w:hAnsi="Times New Roman" w:cs="Times New Roman"/>
                <w:color w:val="auto"/>
                <w:kern w:val="0"/>
                <w:sz w:val="18"/>
                <w:szCs w:val="18"/>
                <w:lang w:eastAsia="zh-CN"/>
              </w:rPr>
              <w:t>设置</w:t>
            </w:r>
            <w:r>
              <w:rPr>
                <w:rFonts w:hint="default" w:ascii="Times New Roman" w:hAnsi="Times New Roman" w:cs="Times New Roman"/>
                <w:color w:val="auto"/>
                <w:kern w:val="0"/>
                <w:sz w:val="18"/>
                <w:szCs w:val="18"/>
                <w:lang w:val="en-US" w:eastAsia="zh-CN"/>
              </w:rPr>
              <w:t>1套处理规模为353</w:t>
            </w:r>
            <w:r>
              <w:rPr>
                <w:rFonts w:hint="default" w:ascii="Times New Roman" w:hAnsi="Times New Roman" w:cs="Times New Roman"/>
                <w:color w:val="auto"/>
                <w:sz w:val="18"/>
                <w:szCs w:val="18"/>
              </w:rPr>
              <w:t>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/h的</w:t>
            </w:r>
            <w:r>
              <w:rPr>
                <w:rFonts w:hint="default" w:ascii="Times New Roman" w:hAnsi="Times New Roman" w:cs="Times New Roman"/>
                <w:color w:val="auto"/>
                <w:sz w:val="18"/>
                <w:szCs w:val="18"/>
                <w:lang w:eastAsia="zh-CN"/>
              </w:rPr>
              <w:t>综合污水处理站，将全厂预处理后的生活废水和生产废水（清净下水除外）接入综合污水处理站处理，采用</w:t>
            </w:r>
            <w:r>
              <w:rPr>
                <w:rFonts w:hint="default" w:ascii="Times New Roman" w:hAnsi="Times New Roman" w:cs="Times New Roman"/>
                <w:color w:val="auto"/>
                <w:sz w:val="18"/>
                <w:szCs w:val="18"/>
              </w:rPr>
              <w:t>“混凝沉淀+水解酸化+AO”</w:t>
            </w:r>
            <w:r>
              <w:rPr>
                <w:rFonts w:hint="default" w:ascii="Times New Roman" w:hAnsi="Times New Roman" w:eastAsia="宋体" w:cs="Times New Roman"/>
                <w:color w:val="auto"/>
                <w:kern w:val="0"/>
                <w:sz w:val="18"/>
                <w:szCs w:val="18"/>
              </w:rPr>
              <w:t>处理工艺</w:t>
            </w:r>
          </w:p>
        </w:tc>
        <w:tc>
          <w:tcPr>
            <w:tcW w:w="1414" w:type="dxa"/>
            <w:vMerge w:val="continue"/>
            <w:vAlign w:val="center"/>
          </w:tcPr>
          <w:p>
            <w:pPr>
              <w:widowControl/>
              <w:jc w:val="center"/>
              <w:rPr>
                <w:rFonts w:hint="default" w:ascii="Times New Roman" w:hAnsi="Times New Roman" w:eastAsia="宋体" w:cs="Times New Roman"/>
                <w:color w:val="auto"/>
                <w:kern w:val="0"/>
                <w:sz w:val="18"/>
                <w:szCs w:val="18"/>
                <w:lang w:val="en-US" w:eastAsia="zh-CN" w:bidi="ar-SA"/>
              </w:rPr>
            </w:pPr>
          </w:p>
        </w:tc>
        <w:tc>
          <w:tcPr>
            <w:tcW w:w="708" w:type="dxa"/>
            <w:vAlign w:val="center"/>
          </w:tcPr>
          <w:p>
            <w:pPr>
              <w:widowControl/>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eastAsia="zh-CN"/>
              </w:rPr>
              <w:t>否</w:t>
            </w:r>
          </w:p>
        </w:tc>
        <w:tc>
          <w:tcPr>
            <w:tcW w:w="3362" w:type="dxa"/>
            <w:vAlign w:val="center"/>
          </w:tcPr>
          <w:p>
            <w:pPr>
              <w:widowControl/>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2"/>
                <w:sz w:val="18"/>
                <w:szCs w:val="18"/>
                <w:lang w:val="en-US" w:eastAsia="zh-CN" w:bidi="ar-SA"/>
              </w:rPr>
              <w:t>本项目产生的废水依托该设施治理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401" w:type="dxa"/>
            <w:vMerge w:val="continue"/>
            <w:vAlign w:val="center"/>
          </w:tcPr>
          <w:p>
            <w:pPr>
              <w:widowControl/>
              <w:jc w:val="center"/>
              <w:rPr>
                <w:rFonts w:hint="default" w:ascii="Times New Roman" w:hAnsi="Times New Roman" w:eastAsia="宋体" w:cs="Times New Roman"/>
                <w:color w:val="auto"/>
                <w:kern w:val="0"/>
                <w:sz w:val="18"/>
                <w:szCs w:val="18"/>
              </w:rPr>
            </w:pPr>
          </w:p>
        </w:tc>
        <w:tc>
          <w:tcPr>
            <w:tcW w:w="375" w:type="dxa"/>
            <w:vMerge w:val="continue"/>
            <w:vAlign w:val="center"/>
          </w:tcPr>
          <w:p>
            <w:pPr>
              <w:widowControl/>
              <w:jc w:val="center"/>
              <w:rPr>
                <w:rFonts w:hint="default" w:ascii="Times New Roman" w:hAnsi="Times New Roman" w:eastAsia="宋体" w:cs="Times New Roman"/>
                <w:color w:val="auto"/>
                <w:kern w:val="0"/>
                <w:sz w:val="18"/>
                <w:szCs w:val="18"/>
              </w:rPr>
            </w:pPr>
          </w:p>
        </w:tc>
        <w:tc>
          <w:tcPr>
            <w:tcW w:w="2207" w:type="dxa"/>
            <w:gridSpan w:val="2"/>
            <w:shd w:val="clear" w:color="auto" w:fill="auto"/>
            <w:vAlign w:val="center"/>
          </w:tcPr>
          <w:p>
            <w:pPr>
              <w:widowControl/>
              <w:jc w:val="center"/>
              <w:rPr>
                <w:rFonts w:hint="default" w:ascii="Times New Roman" w:hAnsi="Times New Roman" w:eastAsia="宋体" w:cs="Times New Roman"/>
                <w:b/>
                <w:color w:val="auto"/>
                <w:kern w:val="0"/>
                <w:sz w:val="18"/>
                <w:szCs w:val="18"/>
              </w:rPr>
            </w:pPr>
            <w:r>
              <w:rPr>
                <w:rFonts w:hint="default" w:ascii="Times New Roman" w:hAnsi="Times New Roman" w:eastAsia="宋体" w:cs="Times New Roman"/>
                <w:color w:val="auto"/>
                <w:kern w:val="0"/>
                <w:sz w:val="18"/>
                <w:szCs w:val="18"/>
                <w:lang w:eastAsia="zh-CN"/>
              </w:rPr>
              <w:t>初期雨水</w:t>
            </w:r>
            <w:r>
              <w:rPr>
                <w:rFonts w:hint="default" w:ascii="Times New Roman" w:hAnsi="Times New Roman" w:cs="Times New Roman"/>
                <w:color w:val="auto"/>
                <w:kern w:val="0"/>
                <w:sz w:val="18"/>
                <w:szCs w:val="18"/>
                <w:lang w:eastAsia="zh-CN"/>
              </w:rPr>
              <w:t>收集池</w:t>
            </w:r>
          </w:p>
        </w:tc>
        <w:tc>
          <w:tcPr>
            <w:tcW w:w="6300" w:type="dxa"/>
            <w:shd w:val="clear" w:color="auto" w:fill="auto"/>
            <w:vAlign w:val="center"/>
          </w:tcPr>
          <w:p>
            <w:pPr>
              <w:widowControl/>
              <w:jc w:val="left"/>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color w:val="auto"/>
                <w:kern w:val="0"/>
                <w:sz w:val="18"/>
                <w:szCs w:val="18"/>
                <w:lang w:eastAsia="zh-CN"/>
              </w:rPr>
              <w:t>设置</w:t>
            </w:r>
            <w:r>
              <w:rPr>
                <w:rFonts w:hint="default" w:ascii="Times New Roman" w:hAnsi="Times New Roman" w:eastAsia="宋体" w:cs="Times New Roman"/>
                <w:color w:val="auto"/>
                <w:kern w:val="0"/>
                <w:sz w:val="18"/>
                <w:szCs w:val="18"/>
                <w:lang w:val="en-US" w:eastAsia="zh-CN"/>
              </w:rPr>
              <w:t>1座</w:t>
            </w:r>
            <w:r>
              <w:rPr>
                <w:rFonts w:hint="default" w:ascii="Times New Roman" w:hAnsi="Times New Roman" w:eastAsia="宋体" w:cs="Times New Roman"/>
                <w:color w:val="auto"/>
                <w:kern w:val="0"/>
                <w:sz w:val="18"/>
                <w:szCs w:val="18"/>
              </w:rPr>
              <w:t>150m</w:t>
            </w:r>
            <w:r>
              <w:rPr>
                <w:rFonts w:hint="default" w:ascii="Times New Roman" w:hAnsi="Times New Roman" w:eastAsia="宋体" w:cs="Times New Roman"/>
                <w:color w:val="auto"/>
                <w:kern w:val="0"/>
                <w:sz w:val="18"/>
                <w:szCs w:val="18"/>
                <w:vertAlign w:val="superscript"/>
              </w:rPr>
              <w:t>3</w:t>
            </w:r>
            <w:r>
              <w:rPr>
                <w:rFonts w:hint="default" w:ascii="Times New Roman" w:hAnsi="Times New Roman" w:eastAsia="宋体" w:cs="Times New Roman"/>
                <w:color w:val="auto"/>
                <w:kern w:val="0"/>
                <w:sz w:val="18"/>
                <w:szCs w:val="18"/>
              </w:rPr>
              <w:t>初期雨水收集池，初期雨水收集后进入</w:t>
            </w:r>
            <w:r>
              <w:rPr>
                <w:rFonts w:hint="default" w:ascii="Times New Roman" w:hAnsi="Times New Roman" w:eastAsia="宋体" w:cs="Times New Roman"/>
                <w:color w:val="auto"/>
                <w:kern w:val="0"/>
                <w:sz w:val="18"/>
                <w:szCs w:val="18"/>
                <w:lang w:eastAsia="zh-CN"/>
              </w:rPr>
              <w:t>含氟</w:t>
            </w:r>
            <w:r>
              <w:rPr>
                <w:rFonts w:hint="default" w:ascii="Times New Roman" w:hAnsi="Times New Roman" w:eastAsia="宋体" w:cs="Times New Roman"/>
                <w:color w:val="auto"/>
                <w:kern w:val="0"/>
                <w:sz w:val="18"/>
                <w:szCs w:val="18"/>
              </w:rPr>
              <w:t>废水处理站进行处理</w:t>
            </w:r>
          </w:p>
        </w:tc>
        <w:tc>
          <w:tcPr>
            <w:tcW w:w="1414" w:type="dxa"/>
            <w:vMerge w:val="continue"/>
            <w:vAlign w:val="center"/>
          </w:tcPr>
          <w:p>
            <w:pPr>
              <w:widowControl/>
              <w:jc w:val="left"/>
              <w:rPr>
                <w:rFonts w:hint="default" w:ascii="Times New Roman" w:hAnsi="Times New Roman" w:eastAsia="宋体" w:cs="Times New Roman"/>
                <w:color w:val="auto"/>
                <w:kern w:val="0"/>
                <w:sz w:val="18"/>
                <w:szCs w:val="18"/>
              </w:rPr>
            </w:pPr>
          </w:p>
        </w:tc>
        <w:tc>
          <w:tcPr>
            <w:tcW w:w="708" w:type="dxa"/>
            <w:vAlign w:val="center"/>
          </w:tcPr>
          <w:p>
            <w:pPr>
              <w:widowControl/>
              <w:jc w:val="center"/>
              <w:rPr>
                <w:rFonts w:hint="default" w:ascii="Times New Roman" w:hAnsi="Times New Roman" w:eastAsia="宋体" w:cs="Times New Roman"/>
                <w:color w:val="auto"/>
                <w:kern w:val="0"/>
                <w:sz w:val="18"/>
                <w:szCs w:val="18"/>
                <w:lang w:eastAsia="zh-CN"/>
              </w:rPr>
            </w:pPr>
            <w:r>
              <w:rPr>
                <w:rFonts w:hint="default" w:ascii="Times New Roman" w:hAnsi="Times New Roman" w:cs="Times New Roman"/>
                <w:color w:val="auto"/>
                <w:kern w:val="0"/>
                <w:sz w:val="18"/>
                <w:szCs w:val="18"/>
                <w:lang w:eastAsia="zh-CN"/>
              </w:rPr>
              <w:t>是</w:t>
            </w:r>
          </w:p>
        </w:tc>
        <w:tc>
          <w:tcPr>
            <w:tcW w:w="3362" w:type="dxa"/>
            <w:vAlign w:val="center"/>
          </w:tcPr>
          <w:p>
            <w:pPr>
              <w:widowControl/>
              <w:jc w:val="center"/>
              <w:rPr>
                <w:rFonts w:hint="default" w:ascii="Times New Roman" w:hAnsi="Times New Roman" w:eastAsia="宋体" w:cs="Times New Roman"/>
                <w:color w:val="auto"/>
                <w:kern w:val="0"/>
                <w:sz w:val="18"/>
                <w:szCs w:val="18"/>
              </w:rPr>
            </w:pPr>
            <w:r>
              <w:rPr>
                <w:rFonts w:hint="default" w:ascii="Times New Roman" w:hAnsi="Times New Roman" w:cs="Times New Roman"/>
                <w:color w:val="auto"/>
                <w:kern w:val="0"/>
                <w:sz w:val="18"/>
                <w:szCs w:val="18"/>
                <w:lang w:val="en-US" w:eastAsia="zh-CN" w:bidi="ar-SA"/>
              </w:rPr>
              <w:t>无依托关系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01" w:type="dxa"/>
            <w:vMerge w:val="continue"/>
            <w:vAlign w:val="center"/>
          </w:tcPr>
          <w:p>
            <w:pPr>
              <w:widowControl/>
              <w:jc w:val="center"/>
              <w:rPr>
                <w:rFonts w:hint="default" w:ascii="Times New Roman" w:hAnsi="Times New Roman" w:eastAsia="宋体" w:cs="Times New Roman"/>
                <w:color w:val="auto"/>
                <w:kern w:val="0"/>
                <w:sz w:val="18"/>
                <w:szCs w:val="18"/>
              </w:rPr>
            </w:pPr>
          </w:p>
        </w:tc>
        <w:tc>
          <w:tcPr>
            <w:tcW w:w="375" w:type="dxa"/>
            <w:vMerge w:val="continue"/>
            <w:vAlign w:val="center"/>
          </w:tcPr>
          <w:p>
            <w:pPr>
              <w:widowControl/>
              <w:jc w:val="center"/>
              <w:rPr>
                <w:rFonts w:hint="default" w:ascii="Times New Roman" w:hAnsi="Times New Roman" w:eastAsia="宋体" w:cs="Times New Roman"/>
                <w:color w:val="auto"/>
                <w:kern w:val="0"/>
                <w:sz w:val="18"/>
                <w:szCs w:val="18"/>
              </w:rPr>
            </w:pPr>
          </w:p>
        </w:tc>
        <w:tc>
          <w:tcPr>
            <w:tcW w:w="2207" w:type="dxa"/>
            <w:gridSpan w:val="2"/>
            <w:shd w:val="clear" w:color="auto" w:fill="auto"/>
            <w:vAlign w:val="center"/>
          </w:tcPr>
          <w:p>
            <w:pPr>
              <w:widowControl/>
              <w:jc w:val="center"/>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color w:val="auto"/>
                <w:kern w:val="0"/>
                <w:sz w:val="18"/>
                <w:szCs w:val="18"/>
                <w:lang w:eastAsia="zh-CN"/>
              </w:rPr>
              <w:t>事故</w:t>
            </w:r>
            <w:r>
              <w:rPr>
                <w:rFonts w:hint="default" w:ascii="Times New Roman" w:hAnsi="Times New Roman" w:cs="Times New Roman"/>
                <w:color w:val="auto"/>
                <w:kern w:val="0"/>
                <w:sz w:val="18"/>
                <w:szCs w:val="18"/>
                <w:lang w:eastAsia="zh-CN"/>
              </w:rPr>
              <w:t>水池</w:t>
            </w:r>
          </w:p>
        </w:tc>
        <w:tc>
          <w:tcPr>
            <w:tcW w:w="6300" w:type="dxa"/>
            <w:shd w:val="clear" w:color="auto" w:fill="auto"/>
            <w:vAlign w:val="center"/>
          </w:tcPr>
          <w:p>
            <w:pPr>
              <w:widowControl/>
              <w:jc w:val="left"/>
              <w:rPr>
                <w:rFonts w:hint="default" w:ascii="Times New Roman" w:hAnsi="Times New Roman" w:eastAsia="宋体" w:cs="Times New Roman"/>
                <w:color w:val="auto"/>
                <w:kern w:val="0"/>
                <w:sz w:val="18"/>
                <w:szCs w:val="18"/>
              </w:rPr>
            </w:pPr>
            <w:r>
              <w:rPr>
                <w:rFonts w:hint="default" w:ascii="Times New Roman" w:hAnsi="Times New Roman" w:cs="Times New Roman"/>
                <w:color w:val="auto"/>
                <w:kern w:val="0"/>
                <w:sz w:val="18"/>
                <w:szCs w:val="18"/>
                <w:lang w:eastAsia="zh-CN"/>
              </w:rPr>
              <w:t>共有</w:t>
            </w:r>
            <w:r>
              <w:rPr>
                <w:rFonts w:hint="default" w:ascii="Times New Roman" w:hAnsi="Times New Roman" w:cs="Times New Roman"/>
                <w:color w:val="auto"/>
                <w:kern w:val="0"/>
                <w:sz w:val="18"/>
                <w:szCs w:val="18"/>
                <w:lang w:val="en-US" w:eastAsia="zh-CN"/>
              </w:rPr>
              <w:t>2座事故水池，</w:t>
            </w:r>
            <w:r>
              <w:rPr>
                <w:rFonts w:hint="default" w:ascii="Times New Roman" w:hAnsi="Times New Roman" w:eastAsia="宋体" w:cs="Times New Roman"/>
                <w:color w:val="auto"/>
                <w:kern w:val="0"/>
                <w:sz w:val="18"/>
                <w:szCs w:val="18"/>
                <w:lang w:val="en-US" w:eastAsia="zh-CN"/>
              </w:rPr>
              <w:t>1</w:t>
            </w:r>
            <w:r>
              <w:rPr>
                <w:rFonts w:hint="default" w:ascii="Times New Roman" w:hAnsi="Times New Roman" w:eastAsia="宋体" w:cs="Times New Roman"/>
                <w:color w:val="auto"/>
                <w:kern w:val="0"/>
                <w:sz w:val="18"/>
                <w:szCs w:val="18"/>
              </w:rPr>
              <w:t>座容积为7</w:t>
            </w:r>
            <w:r>
              <w:rPr>
                <w:rFonts w:hint="default" w:ascii="Times New Roman" w:hAnsi="Times New Roman" w:eastAsia="宋体" w:cs="Times New Roman"/>
                <w:color w:val="auto"/>
                <w:kern w:val="0"/>
                <w:sz w:val="18"/>
                <w:szCs w:val="18"/>
                <w:lang w:val="en-US" w:eastAsia="zh-CN"/>
              </w:rPr>
              <w:t>2</w:t>
            </w:r>
            <w:r>
              <w:rPr>
                <w:rFonts w:hint="default" w:ascii="Times New Roman" w:hAnsi="Times New Roman" w:eastAsia="宋体" w:cs="Times New Roman"/>
                <w:color w:val="auto"/>
                <w:kern w:val="0"/>
                <w:sz w:val="18"/>
                <w:szCs w:val="18"/>
              </w:rPr>
              <w:t>0m</w:t>
            </w:r>
            <w:r>
              <w:rPr>
                <w:rFonts w:hint="default" w:ascii="Times New Roman" w:hAnsi="Times New Roman" w:eastAsia="宋体" w:cs="Times New Roman"/>
                <w:color w:val="auto"/>
                <w:kern w:val="0"/>
                <w:sz w:val="18"/>
                <w:szCs w:val="18"/>
                <w:vertAlign w:val="superscript"/>
              </w:rPr>
              <w:t>3</w:t>
            </w:r>
            <w:r>
              <w:rPr>
                <w:rFonts w:hint="default" w:ascii="Times New Roman" w:hAnsi="Times New Roman" w:eastAsia="宋体" w:cs="Times New Roman"/>
                <w:color w:val="auto"/>
                <w:kern w:val="0"/>
                <w:sz w:val="18"/>
                <w:szCs w:val="18"/>
                <w:lang w:eastAsia="zh-CN"/>
              </w:rPr>
              <w:t>，</w:t>
            </w:r>
            <w:r>
              <w:rPr>
                <w:rFonts w:hint="default" w:ascii="Times New Roman" w:hAnsi="Times New Roman" w:eastAsia="宋体" w:cs="Times New Roman"/>
                <w:color w:val="auto"/>
                <w:kern w:val="0"/>
                <w:sz w:val="18"/>
                <w:szCs w:val="18"/>
                <w:lang w:val="en-US" w:eastAsia="zh-CN"/>
              </w:rPr>
              <w:t>1座容积为3000</w:t>
            </w:r>
            <w:r>
              <w:rPr>
                <w:rFonts w:hint="default" w:ascii="Times New Roman" w:hAnsi="Times New Roman" w:eastAsia="宋体" w:cs="Times New Roman"/>
                <w:color w:val="auto"/>
                <w:kern w:val="0"/>
                <w:sz w:val="18"/>
                <w:szCs w:val="18"/>
              </w:rPr>
              <w:t>m</w:t>
            </w:r>
            <w:r>
              <w:rPr>
                <w:rFonts w:hint="default" w:ascii="Times New Roman" w:hAnsi="Times New Roman" w:eastAsia="宋体" w:cs="Times New Roman"/>
                <w:color w:val="auto"/>
                <w:kern w:val="0"/>
                <w:sz w:val="18"/>
                <w:szCs w:val="18"/>
                <w:vertAlign w:val="superscript"/>
              </w:rPr>
              <w:t>3</w:t>
            </w:r>
            <w:r>
              <w:rPr>
                <w:rFonts w:hint="default" w:ascii="Times New Roman" w:hAnsi="Times New Roman" w:eastAsia="宋体" w:cs="Times New Roman"/>
                <w:color w:val="auto"/>
                <w:kern w:val="0"/>
                <w:sz w:val="18"/>
                <w:szCs w:val="18"/>
                <w:lang w:eastAsia="zh-CN"/>
              </w:rPr>
              <w:t>，</w:t>
            </w:r>
            <w:r>
              <w:rPr>
                <w:rFonts w:hint="default" w:ascii="Times New Roman" w:hAnsi="Times New Roman" w:eastAsia="宋体" w:cs="Times New Roman"/>
                <w:color w:val="auto"/>
                <w:kern w:val="0"/>
                <w:sz w:val="18"/>
                <w:szCs w:val="18"/>
              </w:rPr>
              <w:t>事故废水收集后进入</w:t>
            </w:r>
            <w:r>
              <w:rPr>
                <w:rFonts w:hint="default" w:ascii="Times New Roman" w:hAnsi="Times New Roman" w:cs="Times New Roman"/>
                <w:color w:val="auto"/>
                <w:kern w:val="0"/>
                <w:sz w:val="18"/>
                <w:szCs w:val="18"/>
                <w:lang w:eastAsia="zh-CN"/>
              </w:rPr>
              <w:t>综合污水处理站</w:t>
            </w:r>
            <w:r>
              <w:rPr>
                <w:rFonts w:hint="default" w:ascii="Times New Roman" w:hAnsi="Times New Roman" w:eastAsia="宋体" w:cs="Times New Roman"/>
                <w:color w:val="auto"/>
                <w:kern w:val="0"/>
                <w:sz w:val="18"/>
                <w:szCs w:val="18"/>
              </w:rPr>
              <w:t>进行处理</w:t>
            </w:r>
          </w:p>
        </w:tc>
        <w:tc>
          <w:tcPr>
            <w:tcW w:w="1414" w:type="dxa"/>
            <w:vMerge w:val="continue"/>
            <w:vAlign w:val="center"/>
          </w:tcPr>
          <w:p>
            <w:pPr>
              <w:widowControl/>
              <w:jc w:val="left"/>
              <w:rPr>
                <w:rFonts w:hint="default" w:ascii="Times New Roman" w:hAnsi="Times New Roman" w:eastAsia="宋体" w:cs="Times New Roman"/>
                <w:color w:val="auto"/>
                <w:kern w:val="0"/>
                <w:sz w:val="18"/>
                <w:szCs w:val="18"/>
              </w:rPr>
            </w:pPr>
          </w:p>
        </w:tc>
        <w:tc>
          <w:tcPr>
            <w:tcW w:w="708" w:type="dxa"/>
            <w:vAlign w:val="center"/>
          </w:tcPr>
          <w:p>
            <w:pPr>
              <w:widowControl/>
              <w:jc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是</w:t>
            </w:r>
          </w:p>
        </w:tc>
        <w:tc>
          <w:tcPr>
            <w:tcW w:w="3362" w:type="dxa"/>
            <w:vAlign w:val="center"/>
          </w:tcPr>
          <w:p>
            <w:pPr>
              <w:widowControl/>
              <w:jc w:val="center"/>
              <w:rPr>
                <w:rFonts w:hint="default" w:ascii="Times New Roman" w:hAnsi="Times New Roman" w:eastAsia="宋体" w:cs="Times New Roman"/>
                <w:color w:val="auto"/>
                <w:kern w:val="0"/>
                <w:sz w:val="18"/>
                <w:szCs w:val="18"/>
                <w:lang w:eastAsia="zh-CN"/>
              </w:rPr>
            </w:pPr>
            <w:r>
              <w:rPr>
                <w:rFonts w:hint="default" w:ascii="Times New Roman" w:hAnsi="Times New Roman" w:cs="Times New Roman"/>
                <w:color w:val="auto"/>
                <w:kern w:val="2"/>
                <w:sz w:val="18"/>
                <w:szCs w:val="18"/>
                <w:lang w:val="en-US" w:eastAsia="zh-CN" w:bidi="ar-SA"/>
              </w:rPr>
              <w:t>本项目事故废水依托该设施治理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1" w:type="dxa"/>
            <w:vMerge w:val="continue"/>
            <w:vAlign w:val="center"/>
          </w:tcPr>
          <w:p>
            <w:pPr>
              <w:widowControl/>
              <w:jc w:val="center"/>
              <w:rPr>
                <w:rFonts w:hint="default" w:ascii="Times New Roman" w:hAnsi="Times New Roman" w:eastAsia="宋体" w:cs="Times New Roman"/>
                <w:color w:val="auto"/>
                <w:kern w:val="0"/>
                <w:sz w:val="18"/>
                <w:szCs w:val="18"/>
              </w:rPr>
            </w:pPr>
          </w:p>
        </w:tc>
        <w:tc>
          <w:tcPr>
            <w:tcW w:w="2582" w:type="dxa"/>
            <w:gridSpan w:val="3"/>
            <w:shd w:val="clear" w:color="auto" w:fill="auto"/>
            <w:vAlign w:val="center"/>
          </w:tcPr>
          <w:p>
            <w:pPr>
              <w:widowControl/>
              <w:jc w:val="center"/>
              <w:rPr>
                <w:rFonts w:hint="default" w:ascii="Times New Roman" w:hAnsi="Times New Roman" w:eastAsia="宋体" w:cs="Times New Roman"/>
                <w:color w:val="auto"/>
                <w:kern w:val="0"/>
                <w:sz w:val="18"/>
                <w:szCs w:val="18"/>
                <w:lang w:eastAsia="zh-CN"/>
              </w:rPr>
            </w:pPr>
            <w:r>
              <w:rPr>
                <w:rFonts w:hint="default" w:ascii="Times New Roman" w:hAnsi="Times New Roman" w:cs="Times New Roman"/>
                <w:color w:val="auto"/>
                <w:kern w:val="0"/>
                <w:sz w:val="18"/>
                <w:szCs w:val="18"/>
                <w:lang w:eastAsia="zh-CN"/>
              </w:rPr>
              <w:t>硅泥库</w:t>
            </w:r>
          </w:p>
        </w:tc>
        <w:tc>
          <w:tcPr>
            <w:tcW w:w="6300" w:type="dxa"/>
            <w:shd w:val="clear" w:color="auto" w:fill="auto"/>
            <w:vAlign w:val="center"/>
          </w:tcPr>
          <w:p>
            <w:pPr>
              <w:widowControl/>
              <w:jc w:val="left"/>
              <w:rPr>
                <w:rFonts w:hint="default" w:ascii="Times New Roman" w:hAnsi="Times New Roman" w:eastAsia="宋体" w:cs="Times New Roman"/>
                <w:color w:val="auto"/>
                <w:kern w:val="0"/>
                <w:sz w:val="18"/>
                <w:szCs w:val="18"/>
                <w:lang w:eastAsia="zh-CN"/>
              </w:rPr>
            </w:pPr>
            <w:r>
              <w:rPr>
                <w:rFonts w:hint="default" w:ascii="Times New Roman" w:hAnsi="Times New Roman" w:cs="Times New Roman"/>
                <w:color w:val="auto"/>
                <w:sz w:val="18"/>
                <w:szCs w:val="18"/>
                <w:lang w:eastAsia="zh-CN"/>
              </w:rPr>
              <w:t>设置</w:t>
            </w:r>
            <w:r>
              <w:rPr>
                <w:rFonts w:hint="default" w:ascii="Times New Roman" w:hAnsi="Times New Roman" w:cs="Times New Roman"/>
                <w:color w:val="auto"/>
                <w:sz w:val="18"/>
                <w:szCs w:val="18"/>
              </w:rPr>
              <w:t>1栋占地面积为</w:t>
            </w:r>
            <w:r>
              <w:rPr>
                <w:rFonts w:hint="default" w:ascii="Times New Roman" w:hAnsi="Times New Roman" w:cs="Times New Roman"/>
                <w:color w:val="auto"/>
                <w:sz w:val="18"/>
                <w:szCs w:val="18"/>
                <w:lang w:eastAsia="zh-CN"/>
              </w:rPr>
              <w:t>4874.36</w:t>
            </w:r>
            <w:r>
              <w:rPr>
                <w:rFonts w:hint="default" w:ascii="Times New Roman" w:hAnsi="Times New Roman" w:cs="Times New Roman"/>
                <w:color w:val="auto"/>
                <w:sz w:val="18"/>
                <w:szCs w:val="18"/>
              </w:rPr>
              <w:t>m</w:t>
            </w:r>
            <w:r>
              <w:rPr>
                <w:rFonts w:hint="default" w:ascii="Times New Roman" w:hAnsi="Times New Roman" w:cs="Times New Roman"/>
                <w:color w:val="auto"/>
                <w:sz w:val="18"/>
                <w:szCs w:val="18"/>
                <w:vertAlign w:val="superscript"/>
              </w:rPr>
              <w:t>2</w:t>
            </w:r>
            <w:r>
              <w:rPr>
                <w:rFonts w:hint="default" w:ascii="Times New Roman" w:hAnsi="Times New Roman" w:cs="Times New Roman"/>
                <w:color w:val="auto"/>
                <w:sz w:val="18"/>
                <w:szCs w:val="18"/>
              </w:rPr>
              <w:t>的硅泥库暂存</w:t>
            </w:r>
            <w:r>
              <w:rPr>
                <w:rFonts w:hint="default" w:ascii="Times New Roman" w:hAnsi="Times New Roman" w:cs="Times New Roman"/>
                <w:color w:val="auto"/>
                <w:sz w:val="18"/>
                <w:szCs w:val="18"/>
                <w:lang w:eastAsia="zh-CN"/>
              </w:rPr>
              <w:t>全厂产生的一般工业固废、硅泥以及污泥</w:t>
            </w:r>
          </w:p>
        </w:tc>
        <w:tc>
          <w:tcPr>
            <w:tcW w:w="1414" w:type="dxa"/>
            <w:vMerge w:val="continue"/>
            <w:vAlign w:val="center"/>
          </w:tcPr>
          <w:p>
            <w:pPr>
              <w:widowControl/>
              <w:jc w:val="left"/>
              <w:rPr>
                <w:rFonts w:hint="default" w:ascii="Times New Roman" w:hAnsi="Times New Roman" w:eastAsia="宋体" w:cs="Times New Roman"/>
                <w:color w:val="auto"/>
                <w:sz w:val="18"/>
                <w:szCs w:val="18"/>
                <w:vertAlign w:val="baseline"/>
                <w:lang w:val="en-US" w:eastAsia="zh-CN"/>
              </w:rPr>
            </w:pPr>
          </w:p>
        </w:tc>
        <w:tc>
          <w:tcPr>
            <w:tcW w:w="708" w:type="dxa"/>
            <w:vAlign w:val="center"/>
          </w:tcPr>
          <w:p>
            <w:pPr>
              <w:widowControl/>
              <w:jc w:val="center"/>
              <w:rPr>
                <w:rFonts w:hint="default" w:ascii="Times New Roman" w:hAnsi="Times New Roman" w:eastAsia="宋体" w:cs="Times New Roman"/>
                <w:color w:val="auto"/>
                <w:kern w:val="0"/>
                <w:sz w:val="18"/>
                <w:szCs w:val="18"/>
                <w:lang w:eastAsia="zh-CN"/>
              </w:rPr>
            </w:pPr>
            <w:r>
              <w:rPr>
                <w:rFonts w:hint="default" w:ascii="Times New Roman" w:hAnsi="Times New Roman" w:cs="Times New Roman"/>
                <w:color w:val="auto"/>
                <w:sz w:val="18"/>
                <w:szCs w:val="18"/>
                <w:lang w:eastAsia="zh-CN"/>
              </w:rPr>
              <w:t>否</w:t>
            </w:r>
          </w:p>
        </w:tc>
        <w:tc>
          <w:tcPr>
            <w:tcW w:w="3362" w:type="dxa"/>
            <w:vAlign w:val="center"/>
          </w:tcPr>
          <w:p>
            <w:pPr>
              <w:widowControl/>
              <w:jc w:val="center"/>
              <w:rPr>
                <w:rFonts w:hint="default" w:ascii="Times New Roman" w:hAnsi="Times New Roman" w:eastAsia="宋体" w:cs="Times New Roman"/>
                <w:color w:val="auto"/>
                <w:kern w:val="0"/>
                <w:sz w:val="18"/>
                <w:szCs w:val="18"/>
                <w:lang w:eastAsia="zh-CN"/>
              </w:rPr>
            </w:pPr>
            <w:r>
              <w:rPr>
                <w:rFonts w:hint="default" w:ascii="Times New Roman" w:hAnsi="Times New Roman" w:cs="Times New Roman"/>
                <w:color w:val="auto"/>
                <w:kern w:val="2"/>
                <w:sz w:val="18"/>
                <w:szCs w:val="18"/>
                <w:lang w:val="en-US" w:eastAsia="zh-CN" w:bidi="ar-SA"/>
              </w:rPr>
              <w:t>本项目产生的一般工业固废、硅泥以及污泥依托该设施暂存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401" w:type="dxa"/>
            <w:vMerge w:val="continue"/>
            <w:vAlign w:val="center"/>
          </w:tcPr>
          <w:p>
            <w:pPr>
              <w:widowControl/>
              <w:jc w:val="center"/>
              <w:rPr>
                <w:rFonts w:hint="default" w:ascii="Times New Roman" w:hAnsi="Times New Roman" w:eastAsia="宋体" w:cs="Times New Roman"/>
                <w:color w:val="auto"/>
                <w:kern w:val="0"/>
                <w:sz w:val="18"/>
                <w:szCs w:val="18"/>
              </w:rPr>
            </w:pPr>
          </w:p>
        </w:tc>
        <w:tc>
          <w:tcPr>
            <w:tcW w:w="2582" w:type="dxa"/>
            <w:gridSpan w:val="3"/>
            <w:shd w:val="clear" w:color="auto" w:fill="auto"/>
            <w:vAlign w:val="center"/>
          </w:tcPr>
          <w:p>
            <w:pPr>
              <w:widowControl/>
              <w:jc w:val="center"/>
              <w:rPr>
                <w:rFonts w:hint="default" w:ascii="Times New Roman" w:hAnsi="Times New Roman" w:eastAsia="宋体" w:cs="Times New Roman"/>
                <w:color w:val="auto"/>
                <w:kern w:val="0"/>
                <w:sz w:val="18"/>
                <w:szCs w:val="18"/>
                <w:lang w:eastAsia="zh-CN"/>
              </w:rPr>
            </w:pPr>
            <w:r>
              <w:rPr>
                <w:rFonts w:hint="default" w:ascii="Times New Roman" w:hAnsi="Times New Roman" w:cs="Times New Roman"/>
                <w:color w:val="auto"/>
                <w:kern w:val="0"/>
                <w:sz w:val="18"/>
                <w:szCs w:val="18"/>
                <w:lang w:eastAsia="zh-CN"/>
              </w:rPr>
              <w:t>危废库</w:t>
            </w:r>
          </w:p>
        </w:tc>
        <w:tc>
          <w:tcPr>
            <w:tcW w:w="6300" w:type="dxa"/>
            <w:shd w:val="clear" w:color="auto" w:fill="auto"/>
            <w:vAlign w:val="center"/>
          </w:tcPr>
          <w:p>
            <w:pPr>
              <w:widowControl/>
              <w:jc w:val="left"/>
              <w:rPr>
                <w:rFonts w:hint="default" w:ascii="Times New Roman" w:hAnsi="Times New Roman" w:eastAsia="宋体" w:cs="Times New Roman"/>
                <w:color w:val="auto"/>
                <w:kern w:val="0"/>
                <w:sz w:val="18"/>
                <w:szCs w:val="18"/>
              </w:rPr>
            </w:pPr>
            <w:r>
              <w:rPr>
                <w:rFonts w:hint="default" w:ascii="Times New Roman" w:hAnsi="Times New Roman" w:cs="Times New Roman"/>
                <w:color w:val="auto"/>
                <w:sz w:val="18"/>
                <w:szCs w:val="18"/>
                <w:lang w:eastAsia="zh-CN"/>
              </w:rPr>
              <w:t>设置</w:t>
            </w:r>
            <w:r>
              <w:rPr>
                <w:rFonts w:hint="default" w:ascii="Times New Roman" w:hAnsi="Times New Roman" w:cs="Times New Roman"/>
                <w:color w:val="auto"/>
                <w:sz w:val="18"/>
                <w:szCs w:val="18"/>
              </w:rPr>
              <w:t>1栋占地面积为</w:t>
            </w:r>
            <w:r>
              <w:rPr>
                <w:rFonts w:hint="default" w:ascii="Times New Roman" w:hAnsi="Times New Roman" w:cs="Times New Roman"/>
                <w:color w:val="auto"/>
                <w:sz w:val="18"/>
                <w:szCs w:val="18"/>
                <w:lang w:eastAsia="zh-CN"/>
              </w:rPr>
              <w:t>345.56m</w:t>
            </w:r>
            <w:r>
              <w:rPr>
                <w:rFonts w:hint="default" w:ascii="Times New Roman" w:hAnsi="Times New Roman" w:cs="Times New Roman"/>
                <w:color w:val="auto"/>
                <w:sz w:val="18"/>
                <w:szCs w:val="18"/>
                <w:vertAlign w:val="superscript"/>
              </w:rPr>
              <w:t>2</w:t>
            </w:r>
            <w:r>
              <w:rPr>
                <w:rFonts w:hint="default" w:ascii="Times New Roman" w:hAnsi="Times New Roman" w:cs="Times New Roman"/>
                <w:color w:val="auto"/>
                <w:sz w:val="18"/>
                <w:szCs w:val="18"/>
              </w:rPr>
              <w:t>的危废库用于暂存</w:t>
            </w:r>
            <w:r>
              <w:rPr>
                <w:rFonts w:hint="default" w:ascii="Times New Roman" w:hAnsi="Times New Roman" w:cs="Times New Roman"/>
                <w:color w:val="auto"/>
                <w:sz w:val="18"/>
                <w:szCs w:val="18"/>
                <w:lang w:eastAsia="zh-CN"/>
              </w:rPr>
              <w:t>全厂产生的</w:t>
            </w:r>
            <w:r>
              <w:rPr>
                <w:rFonts w:hint="default" w:ascii="Times New Roman" w:hAnsi="Times New Roman" w:cs="Times New Roman"/>
                <w:color w:val="auto"/>
                <w:sz w:val="18"/>
                <w:szCs w:val="18"/>
              </w:rPr>
              <w:t>危险废物</w:t>
            </w:r>
          </w:p>
        </w:tc>
        <w:tc>
          <w:tcPr>
            <w:tcW w:w="1414" w:type="dxa"/>
            <w:vMerge w:val="continue"/>
            <w:vAlign w:val="center"/>
          </w:tcPr>
          <w:p>
            <w:pPr>
              <w:widowControl/>
              <w:jc w:val="left"/>
              <w:rPr>
                <w:rFonts w:hint="default" w:ascii="Times New Roman" w:hAnsi="Times New Roman" w:eastAsia="宋体" w:cs="Times New Roman"/>
                <w:color w:val="auto"/>
                <w:kern w:val="0"/>
                <w:sz w:val="18"/>
                <w:szCs w:val="18"/>
              </w:rPr>
            </w:pPr>
          </w:p>
        </w:tc>
        <w:tc>
          <w:tcPr>
            <w:tcW w:w="708" w:type="dxa"/>
            <w:vAlign w:val="center"/>
          </w:tcPr>
          <w:p>
            <w:pPr>
              <w:widowControl/>
              <w:jc w:val="center"/>
              <w:rPr>
                <w:rFonts w:hint="default" w:ascii="Times New Roman" w:hAnsi="Times New Roman" w:eastAsia="宋体" w:cs="Times New Roman"/>
                <w:color w:val="auto"/>
                <w:kern w:val="0"/>
                <w:sz w:val="18"/>
                <w:szCs w:val="18"/>
                <w:lang w:eastAsia="zh-CN"/>
              </w:rPr>
            </w:pPr>
            <w:r>
              <w:rPr>
                <w:rFonts w:hint="default" w:ascii="Times New Roman" w:hAnsi="Times New Roman" w:cs="Times New Roman"/>
                <w:color w:val="auto"/>
                <w:sz w:val="18"/>
                <w:szCs w:val="18"/>
                <w:lang w:eastAsia="zh-CN"/>
              </w:rPr>
              <w:t>否</w:t>
            </w:r>
          </w:p>
        </w:tc>
        <w:tc>
          <w:tcPr>
            <w:tcW w:w="3362" w:type="dxa"/>
            <w:vAlign w:val="center"/>
          </w:tcPr>
          <w:p>
            <w:pPr>
              <w:widowControl/>
              <w:jc w:val="center"/>
              <w:rPr>
                <w:rFonts w:hint="default" w:ascii="Times New Roman" w:hAnsi="Times New Roman" w:eastAsia="宋体" w:cs="Times New Roman"/>
                <w:color w:val="auto"/>
                <w:kern w:val="0"/>
                <w:sz w:val="18"/>
                <w:szCs w:val="18"/>
              </w:rPr>
            </w:pPr>
            <w:r>
              <w:rPr>
                <w:rFonts w:hint="default" w:ascii="Times New Roman" w:hAnsi="Times New Roman" w:cs="Times New Roman"/>
                <w:color w:val="auto"/>
                <w:kern w:val="2"/>
                <w:sz w:val="18"/>
                <w:szCs w:val="18"/>
                <w:lang w:val="en-US" w:eastAsia="zh-CN" w:bidi="ar-SA"/>
              </w:rPr>
              <w:t>本项目产生的危险废物依托该设施暂存</w:t>
            </w:r>
          </w:p>
        </w:tc>
      </w:tr>
    </w:tbl>
    <w:p>
      <w:pPr>
        <w:pStyle w:val="133"/>
        <w:keepNext w:val="0"/>
        <w:keepLines w:val="0"/>
        <w:pageBreakBefore w:val="0"/>
        <w:widowControl w:val="0"/>
        <w:numPr>
          <w:ilvl w:val="0"/>
          <w:numId w:val="0"/>
        </w:numPr>
        <w:kinsoku/>
        <w:wordWrap/>
        <w:overflowPunct/>
        <w:topLinePunct w:val="0"/>
        <w:autoSpaceDE/>
        <w:autoSpaceDN/>
        <w:bidi w:val="0"/>
        <w:adjustRightInd/>
        <w:snapToGrid/>
        <w:spacing w:before="157" w:beforeLines="50" w:line="360" w:lineRule="auto"/>
        <w:ind w:firstLine="420" w:firstLineChars="200"/>
        <w:jc w:val="left"/>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eastAsia="zh-CN"/>
        </w:rPr>
        <w:t>注：切片车间顶部还设置有</w:t>
      </w:r>
      <w:r>
        <w:rPr>
          <w:rFonts w:hint="default" w:ascii="Times New Roman" w:hAnsi="Times New Roman" w:cs="Times New Roman"/>
          <w:b w:val="0"/>
          <w:bCs/>
          <w:color w:val="auto"/>
          <w:sz w:val="21"/>
          <w:szCs w:val="21"/>
          <w:lang w:val="en-US" w:eastAsia="zh-CN"/>
        </w:rPr>
        <w:t>3根热排风排气筒，主要是排出清洗工序末端烘干热气，不涉及大气污染物排放。</w:t>
      </w:r>
    </w:p>
    <w:p>
      <w:pPr>
        <w:pStyle w:val="13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color w:val="auto"/>
          <w:lang w:eastAsia="zh-CN"/>
        </w:rPr>
      </w:pPr>
      <w:r>
        <w:rPr>
          <w:rFonts w:hint="default" w:ascii="Times New Roman" w:hAnsi="Times New Roman" w:cs="Times New Roman"/>
          <w:b w:val="0"/>
          <w:bCs/>
          <w:color w:val="auto"/>
          <w:lang w:eastAsia="zh-CN"/>
        </w:rPr>
        <w:t>以上为本次环评踏勘时厂内已建成的全部内容，根据上表梳理可知，本项目主要依托“宇泽半导体（云南）有限公司年产5GW单晶硅棒及3GW切片生产线项目”建设的基础设施。本次环评将与本项目有依托关系的建设内容对照原环评及批复、</w:t>
      </w:r>
      <w:r>
        <w:rPr>
          <w:rFonts w:hint="default" w:ascii="Times New Roman" w:hAnsi="Times New Roman" w:cs="Times New Roman"/>
          <w:b w:val="0"/>
          <w:bCs/>
          <w:color w:val="auto"/>
        </w:rPr>
        <w:t>《关于印发&lt;污染影响类建设项目重大变动清单（试行）&gt;的通知》（环办环评函〔2020〕688号）逐条分析建设项目重大变动的界定原则，核对本</w:t>
      </w:r>
      <w:r>
        <w:rPr>
          <w:rFonts w:hint="default" w:ascii="Times New Roman" w:hAnsi="Times New Roman" w:cs="Times New Roman"/>
          <w:b w:val="0"/>
          <w:bCs/>
          <w:color w:val="auto"/>
          <w:lang w:eastAsia="zh-CN"/>
        </w:rPr>
        <w:t>项目依托工程</w:t>
      </w:r>
      <w:r>
        <w:rPr>
          <w:rFonts w:hint="default" w:ascii="Times New Roman" w:hAnsi="Times New Roman" w:cs="Times New Roman"/>
          <w:b w:val="0"/>
          <w:bCs/>
          <w:color w:val="auto"/>
        </w:rPr>
        <w:t>是否存在重大变更内容</w:t>
      </w:r>
      <w:r>
        <w:rPr>
          <w:rFonts w:hint="default" w:ascii="Times New Roman" w:hAnsi="Times New Roman" w:cs="Times New Roman"/>
          <w:b w:val="0"/>
          <w:bCs/>
          <w:color w:val="auto"/>
          <w:lang w:eastAsia="zh-CN"/>
        </w:rPr>
        <w:t>。</w:t>
      </w:r>
    </w:p>
    <w:p>
      <w:pPr>
        <w:pStyle w:val="133"/>
        <w:numPr>
          <w:ilvl w:val="0"/>
          <w:numId w:val="9"/>
        </w:numPr>
        <w:spacing w:line="360" w:lineRule="auto"/>
        <w:ind w:left="0" w:firstLine="0" w:firstLineChars="0"/>
        <w:jc w:val="center"/>
        <w:rPr>
          <w:rFonts w:hint="default" w:ascii="Times New Roman" w:hAnsi="Times New Roman" w:cs="Times New Roman"/>
          <w:b/>
          <w:color w:val="auto"/>
        </w:rPr>
      </w:pPr>
      <w:r>
        <w:rPr>
          <w:rFonts w:hint="default" w:ascii="Times New Roman" w:hAnsi="Times New Roman" w:cs="Times New Roman"/>
          <w:b/>
          <w:color w:val="auto"/>
          <w:lang w:eastAsia="zh-CN"/>
        </w:rPr>
        <w:t>与本项目有关的建设</w:t>
      </w:r>
      <w:r>
        <w:rPr>
          <w:rFonts w:hint="default" w:ascii="Times New Roman" w:hAnsi="Times New Roman" w:cs="Times New Roman"/>
          <w:b/>
          <w:color w:val="auto"/>
        </w:rPr>
        <w:t>内容</w:t>
      </w:r>
      <w:r>
        <w:rPr>
          <w:rFonts w:hint="default" w:ascii="Times New Roman" w:hAnsi="Times New Roman" w:cs="Times New Roman"/>
          <w:b/>
          <w:color w:val="auto"/>
          <w:lang w:eastAsia="zh-CN"/>
        </w:rPr>
        <w:t>对比环评变化情况</w:t>
      </w:r>
      <w:r>
        <w:rPr>
          <w:rFonts w:hint="default" w:ascii="Times New Roman" w:hAnsi="Times New Roman" w:cs="Times New Roman"/>
          <w:b/>
          <w:color w:val="auto"/>
        </w:rPr>
        <w:t>一览表</w:t>
      </w:r>
    </w:p>
    <w:tbl>
      <w:tblPr>
        <w:tblStyle w:val="44"/>
        <w:tblW w:w="154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1"/>
        <w:gridCol w:w="437"/>
        <w:gridCol w:w="771"/>
        <w:gridCol w:w="660"/>
        <w:gridCol w:w="2219"/>
        <w:gridCol w:w="3066"/>
        <w:gridCol w:w="1022"/>
        <w:gridCol w:w="2264"/>
        <w:gridCol w:w="2791"/>
        <w:gridCol w:w="1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789" w:type="dxa"/>
            <w:gridSpan w:val="3"/>
            <w:shd w:val="clear" w:color="auto" w:fill="auto"/>
            <w:vAlign w:val="center"/>
          </w:tcPr>
          <w:p>
            <w:pPr>
              <w:widowControl/>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工程名称</w:t>
            </w:r>
          </w:p>
        </w:tc>
        <w:tc>
          <w:tcPr>
            <w:tcW w:w="2879" w:type="dxa"/>
            <w:gridSpan w:val="2"/>
            <w:shd w:val="clear" w:color="auto" w:fill="auto"/>
            <w:vAlign w:val="center"/>
          </w:tcPr>
          <w:p>
            <w:pPr>
              <w:widowControl/>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lang w:eastAsia="zh-CN"/>
              </w:rPr>
              <w:t>已</w:t>
            </w:r>
            <w:r>
              <w:rPr>
                <w:rFonts w:hint="default" w:ascii="Times New Roman" w:hAnsi="Times New Roman" w:eastAsia="宋体" w:cs="Times New Roman"/>
                <w:color w:val="auto"/>
                <w:kern w:val="0"/>
                <w:sz w:val="18"/>
                <w:szCs w:val="18"/>
              </w:rPr>
              <w:t>批复</w:t>
            </w:r>
            <w:r>
              <w:rPr>
                <w:rFonts w:hint="default" w:ascii="Times New Roman" w:hAnsi="Times New Roman" w:eastAsia="宋体" w:cs="Times New Roman"/>
                <w:color w:val="auto"/>
                <w:kern w:val="0"/>
                <w:sz w:val="18"/>
                <w:szCs w:val="18"/>
                <w:lang w:eastAsia="zh-CN"/>
              </w:rPr>
              <w:t>环评</w:t>
            </w:r>
            <w:r>
              <w:rPr>
                <w:rFonts w:hint="default" w:ascii="Times New Roman" w:hAnsi="Times New Roman" w:eastAsia="宋体" w:cs="Times New Roman"/>
                <w:color w:val="auto"/>
                <w:kern w:val="0"/>
                <w:sz w:val="18"/>
                <w:szCs w:val="18"/>
              </w:rPr>
              <w:t>建设内容</w:t>
            </w:r>
          </w:p>
        </w:tc>
        <w:tc>
          <w:tcPr>
            <w:tcW w:w="3066" w:type="dxa"/>
            <w:vAlign w:val="center"/>
          </w:tcPr>
          <w:p>
            <w:pPr>
              <w:widowControl/>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lang w:eastAsia="zh-CN"/>
              </w:rPr>
              <w:t>实际</w:t>
            </w:r>
            <w:r>
              <w:rPr>
                <w:rFonts w:hint="default" w:ascii="Times New Roman" w:hAnsi="Times New Roman" w:eastAsia="宋体" w:cs="Times New Roman"/>
                <w:color w:val="auto"/>
                <w:kern w:val="0"/>
                <w:sz w:val="18"/>
                <w:szCs w:val="18"/>
              </w:rPr>
              <w:t>建设内容</w:t>
            </w:r>
          </w:p>
        </w:tc>
        <w:tc>
          <w:tcPr>
            <w:tcW w:w="1022" w:type="dxa"/>
            <w:vAlign w:val="center"/>
          </w:tcPr>
          <w:p>
            <w:pPr>
              <w:widowControl/>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变化情况</w:t>
            </w:r>
          </w:p>
        </w:tc>
        <w:tc>
          <w:tcPr>
            <w:tcW w:w="2264" w:type="dxa"/>
            <w:vAlign w:val="center"/>
          </w:tcPr>
          <w:p>
            <w:pPr>
              <w:widowControl/>
              <w:jc w:val="center"/>
              <w:rPr>
                <w:rFonts w:hint="default" w:ascii="Times New Roman" w:hAnsi="Times New Roman" w:eastAsia="宋体" w:cs="Times New Roman"/>
                <w:color w:val="auto"/>
                <w:kern w:val="0"/>
                <w:sz w:val="18"/>
                <w:szCs w:val="18"/>
                <w:lang w:eastAsia="zh-CN"/>
              </w:rPr>
            </w:pPr>
            <w:r>
              <w:rPr>
                <w:rFonts w:hint="default" w:ascii="Times New Roman" w:hAnsi="Times New Roman" w:cs="Times New Roman"/>
                <w:color w:val="auto"/>
                <w:kern w:val="0"/>
                <w:sz w:val="18"/>
                <w:szCs w:val="18"/>
                <w:lang w:eastAsia="zh-CN"/>
              </w:rPr>
              <w:t>变化原因</w:t>
            </w:r>
          </w:p>
        </w:tc>
        <w:tc>
          <w:tcPr>
            <w:tcW w:w="2791" w:type="dxa"/>
            <w:vAlign w:val="center"/>
          </w:tcPr>
          <w:p>
            <w:pPr>
              <w:widowControl/>
              <w:jc w:val="center"/>
              <w:rPr>
                <w:rFonts w:hint="default" w:ascii="Times New Roman" w:hAnsi="Times New Roman" w:cs="Times New Roman"/>
                <w:color w:val="auto"/>
                <w:kern w:val="0"/>
                <w:sz w:val="18"/>
                <w:szCs w:val="18"/>
                <w:lang w:eastAsia="zh-CN"/>
              </w:rPr>
            </w:pPr>
            <w:r>
              <w:rPr>
                <w:rFonts w:hint="default" w:ascii="Times New Roman" w:hAnsi="Times New Roman" w:cs="Times New Roman"/>
                <w:color w:val="auto"/>
                <w:kern w:val="0"/>
                <w:sz w:val="18"/>
                <w:szCs w:val="18"/>
                <w:lang w:eastAsia="zh-CN"/>
              </w:rPr>
              <w:t>变动分析</w:t>
            </w:r>
          </w:p>
        </w:tc>
        <w:tc>
          <w:tcPr>
            <w:tcW w:w="1644" w:type="dxa"/>
            <w:vAlign w:val="center"/>
          </w:tcPr>
          <w:p>
            <w:pPr>
              <w:widowControl/>
              <w:jc w:val="center"/>
              <w:rPr>
                <w:rFonts w:hint="default" w:ascii="Times New Roman" w:hAnsi="Times New Roman" w:cs="Times New Roman"/>
                <w:color w:val="auto"/>
                <w:kern w:val="0"/>
                <w:sz w:val="18"/>
                <w:szCs w:val="18"/>
                <w:lang w:eastAsia="zh-CN"/>
              </w:rPr>
            </w:pPr>
            <w:r>
              <w:rPr>
                <w:rFonts w:hint="default" w:ascii="Times New Roman" w:hAnsi="Times New Roman" w:cs="Times New Roman"/>
                <w:color w:val="auto"/>
                <w:kern w:val="0"/>
                <w:sz w:val="18"/>
                <w:szCs w:val="18"/>
                <w:lang w:eastAsia="zh-CN"/>
              </w:rPr>
              <w:t>界定结果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581" w:type="dxa"/>
            <w:shd w:val="clear" w:color="auto" w:fill="auto"/>
            <w:vAlign w:val="center"/>
          </w:tcPr>
          <w:p>
            <w:pPr>
              <w:widowControl/>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主体工程</w:t>
            </w:r>
          </w:p>
        </w:tc>
        <w:tc>
          <w:tcPr>
            <w:tcW w:w="1208" w:type="dxa"/>
            <w:gridSpan w:val="2"/>
            <w:shd w:val="clear" w:color="auto" w:fill="auto"/>
            <w:vAlign w:val="center"/>
          </w:tcPr>
          <w:p>
            <w:pPr>
              <w:widowControl/>
              <w:jc w:val="center"/>
              <w:rPr>
                <w:rFonts w:hint="default" w:ascii="Times New Roman" w:hAnsi="Times New Roman" w:eastAsia="宋体" w:cs="Times New Roman"/>
                <w:color w:val="auto"/>
                <w:kern w:val="0"/>
                <w:sz w:val="18"/>
                <w:szCs w:val="18"/>
              </w:rPr>
            </w:pPr>
            <w:r>
              <w:rPr>
                <w:rFonts w:hint="default" w:ascii="Times New Roman" w:hAnsi="Times New Roman" w:cs="Times New Roman"/>
                <w:color w:val="auto"/>
                <w:kern w:val="0"/>
                <w:sz w:val="18"/>
                <w:szCs w:val="18"/>
                <w:lang w:eastAsia="zh-CN"/>
              </w:rPr>
              <w:t>切片车间</w:t>
            </w:r>
          </w:p>
        </w:tc>
        <w:tc>
          <w:tcPr>
            <w:tcW w:w="2879" w:type="dxa"/>
            <w:gridSpan w:val="2"/>
            <w:shd w:val="clear" w:color="auto" w:fill="auto"/>
            <w:vAlign w:val="center"/>
          </w:tcPr>
          <w:p>
            <w:pPr>
              <w:pStyle w:val="167"/>
              <w:jc w:val="left"/>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1栋1层，框架及门式钢架结构，占地面积14560m</w:t>
            </w:r>
            <w:r>
              <w:rPr>
                <w:rFonts w:hint="default" w:ascii="Times New Roman" w:hAnsi="Times New Roman" w:cs="Times New Roman"/>
                <w:color w:val="auto"/>
                <w:sz w:val="18"/>
                <w:szCs w:val="18"/>
                <w:vertAlign w:val="superscript"/>
              </w:rPr>
              <w:t>2</w:t>
            </w:r>
            <w:r>
              <w:rPr>
                <w:rFonts w:hint="default" w:ascii="Times New Roman" w:hAnsi="Times New Roman" w:cs="Times New Roman"/>
                <w:color w:val="auto"/>
                <w:sz w:val="18"/>
                <w:szCs w:val="18"/>
              </w:rPr>
              <w:t>,建筑面积14560m</w:t>
            </w:r>
            <w:r>
              <w:rPr>
                <w:rFonts w:hint="default" w:ascii="Times New Roman" w:hAnsi="Times New Roman" w:cs="Times New Roman"/>
                <w:color w:val="auto"/>
                <w:sz w:val="18"/>
                <w:szCs w:val="18"/>
                <w:vertAlign w:val="superscript"/>
              </w:rPr>
              <w:t>2</w:t>
            </w:r>
            <w:r>
              <w:rPr>
                <w:rFonts w:hint="default" w:ascii="Times New Roman" w:hAnsi="Times New Roman" w:cs="Times New Roman"/>
                <w:color w:val="auto"/>
                <w:sz w:val="18"/>
                <w:szCs w:val="18"/>
              </w:rPr>
              <w:t>,位于用地东侧</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rPr>
              <w:t>主要功能为对单晶硅棒进行切片</w:t>
            </w:r>
            <w:r>
              <w:rPr>
                <w:rFonts w:hint="default" w:ascii="Times New Roman" w:hAnsi="Times New Roman" w:cs="Times New Roman"/>
                <w:color w:val="auto"/>
                <w:sz w:val="18"/>
                <w:szCs w:val="18"/>
                <w:lang w:eastAsia="zh-CN"/>
              </w:rPr>
              <w:t>加工</w:t>
            </w:r>
          </w:p>
        </w:tc>
        <w:tc>
          <w:tcPr>
            <w:tcW w:w="3066" w:type="dxa"/>
            <w:vAlign w:val="center"/>
          </w:tcPr>
          <w:p>
            <w:pPr>
              <w:pStyle w:val="167"/>
              <w:jc w:val="left"/>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1栋1层，框架及门式钢架结构，占地面积27938m</w:t>
            </w:r>
            <w:r>
              <w:rPr>
                <w:rFonts w:hint="default" w:ascii="Times New Roman" w:hAnsi="Times New Roman" w:cs="Times New Roman"/>
                <w:color w:val="auto"/>
                <w:sz w:val="18"/>
                <w:szCs w:val="18"/>
                <w:vertAlign w:val="superscript"/>
              </w:rPr>
              <w:t>2</w:t>
            </w:r>
            <w:r>
              <w:rPr>
                <w:rFonts w:hint="default" w:ascii="Times New Roman" w:hAnsi="Times New Roman" w:cs="Times New Roman"/>
                <w:color w:val="auto"/>
                <w:sz w:val="18"/>
                <w:szCs w:val="18"/>
              </w:rPr>
              <w:t>，建筑面积27938m</w:t>
            </w:r>
            <w:r>
              <w:rPr>
                <w:rFonts w:hint="default" w:ascii="Times New Roman" w:hAnsi="Times New Roman" w:cs="Times New Roman"/>
                <w:color w:val="auto"/>
                <w:sz w:val="18"/>
                <w:szCs w:val="18"/>
                <w:vertAlign w:val="superscript"/>
              </w:rPr>
              <w:t>2</w:t>
            </w:r>
            <w:r>
              <w:rPr>
                <w:rFonts w:hint="default" w:ascii="Times New Roman" w:hAnsi="Times New Roman" w:cs="Times New Roman"/>
                <w:color w:val="auto"/>
                <w:sz w:val="18"/>
                <w:szCs w:val="18"/>
              </w:rPr>
              <w:t>，位于厂区西侧，主要功能为对单晶硅棒进行切片</w:t>
            </w:r>
            <w:r>
              <w:rPr>
                <w:rFonts w:hint="default" w:ascii="Times New Roman" w:hAnsi="Times New Roman" w:cs="Times New Roman"/>
                <w:color w:val="auto"/>
                <w:sz w:val="18"/>
                <w:szCs w:val="18"/>
                <w:lang w:eastAsia="zh-CN"/>
              </w:rPr>
              <w:t>加工</w:t>
            </w:r>
          </w:p>
        </w:tc>
        <w:tc>
          <w:tcPr>
            <w:tcW w:w="1022" w:type="dxa"/>
            <w:vAlign w:val="center"/>
          </w:tcPr>
          <w:p>
            <w:pPr>
              <w:pStyle w:val="167"/>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rPr>
              <w:t>建筑面积增大，</w:t>
            </w:r>
            <w:r>
              <w:rPr>
                <w:rFonts w:hint="default" w:ascii="Times New Roman" w:hAnsi="Times New Roman" w:cs="Times New Roman"/>
                <w:color w:val="auto"/>
                <w:sz w:val="18"/>
                <w:szCs w:val="18"/>
                <w:lang w:eastAsia="zh-CN"/>
              </w:rPr>
              <w:t>建设位置在厂区内进行了调整</w:t>
            </w:r>
          </w:p>
        </w:tc>
        <w:tc>
          <w:tcPr>
            <w:tcW w:w="2264" w:type="dxa"/>
            <w:vAlign w:val="center"/>
          </w:tcPr>
          <w:p>
            <w:pPr>
              <w:pStyle w:val="167"/>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eastAsia="zh-CN"/>
              </w:rPr>
              <w:t>原项目环评批复后，建设单位又新增“年产5GW单晶硅拉棒及2GW切片项目”和本项目，原切片车间不能满足容纳要求，因此在调整厂区布局的同时扩大了切片车间的建筑面积</w:t>
            </w:r>
          </w:p>
        </w:tc>
        <w:tc>
          <w:tcPr>
            <w:tcW w:w="2791" w:type="dxa"/>
            <w:vAlign w:val="center"/>
          </w:tcPr>
          <w:p>
            <w:pPr>
              <w:pStyle w:val="167"/>
              <w:jc w:val="left"/>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lang w:val="en-US" w:eastAsia="zh-CN"/>
              </w:rPr>
              <w:t>1</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rPr>
              <w:t>项目位于楚雄市富民工业园区，</w:t>
            </w:r>
            <w:r>
              <w:rPr>
                <w:rFonts w:hint="default" w:ascii="Times New Roman" w:hAnsi="Times New Roman" w:cs="Times New Roman"/>
                <w:color w:val="auto"/>
                <w:sz w:val="18"/>
                <w:szCs w:val="18"/>
                <w:lang w:eastAsia="zh-CN"/>
              </w:rPr>
              <w:t>没有重新选址，不设置环境防护距离，总平面布置发生变化导致卫生防护距离范围发生变化，但没有新增环境敏感点；</w:t>
            </w:r>
          </w:p>
          <w:p>
            <w:pPr>
              <w:pStyle w:val="167"/>
              <w:jc w:val="left"/>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lang w:val="en-US" w:eastAsia="zh-CN"/>
              </w:rPr>
              <w:t>2</w:t>
            </w:r>
            <w:r>
              <w:rPr>
                <w:rFonts w:hint="default" w:ascii="Times New Roman" w:hAnsi="Times New Roman" w:cs="Times New Roman"/>
                <w:color w:val="auto"/>
                <w:sz w:val="18"/>
                <w:szCs w:val="18"/>
                <w:lang w:eastAsia="zh-CN"/>
              </w:rPr>
              <w:t>）项目本身并未扩大生产规模，车间扩大主要是为了满足后续项目的生产要求。</w:t>
            </w:r>
          </w:p>
        </w:tc>
        <w:tc>
          <w:tcPr>
            <w:tcW w:w="1644" w:type="dxa"/>
            <w:vAlign w:val="center"/>
          </w:tcPr>
          <w:p>
            <w:pPr>
              <w:pStyle w:val="167"/>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eastAsia="zh-CN"/>
              </w:rPr>
              <w:t>对照重大变动清单第</w:t>
            </w:r>
            <w:r>
              <w:rPr>
                <w:rFonts w:hint="default" w:ascii="Times New Roman" w:hAnsi="Times New Roman" w:cs="Times New Roman"/>
                <w:color w:val="auto"/>
                <w:sz w:val="18"/>
                <w:szCs w:val="18"/>
                <w:lang w:val="en-US" w:eastAsia="zh-CN"/>
              </w:rPr>
              <w:t>1条、第2条、</w:t>
            </w:r>
            <w:r>
              <w:rPr>
                <w:rFonts w:hint="default" w:ascii="Times New Roman" w:hAnsi="Times New Roman" w:cs="Times New Roman"/>
                <w:color w:val="auto"/>
                <w:sz w:val="18"/>
                <w:szCs w:val="18"/>
                <w:lang w:eastAsia="zh-CN"/>
              </w:rPr>
              <w:t>第</w:t>
            </w:r>
            <w:r>
              <w:rPr>
                <w:rFonts w:hint="default" w:ascii="Times New Roman" w:hAnsi="Times New Roman" w:cs="Times New Roman"/>
                <w:color w:val="auto"/>
                <w:sz w:val="18"/>
                <w:szCs w:val="18"/>
                <w:lang w:val="en-US" w:eastAsia="zh-CN"/>
              </w:rPr>
              <w:t>5条，不属于重大变动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581" w:type="dxa"/>
            <w:vMerge w:val="restart"/>
            <w:shd w:val="clear" w:color="auto" w:fill="auto"/>
            <w:vAlign w:val="center"/>
          </w:tcPr>
          <w:p>
            <w:pPr>
              <w:widowControl/>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辅助工程</w:t>
            </w:r>
          </w:p>
        </w:tc>
        <w:tc>
          <w:tcPr>
            <w:tcW w:w="1208" w:type="dxa"/>
            <w:gridSpan w:val="2"/>
            <w:shd w:val="clear" w:color="auto" w:fill="auto"/>
            <w:vAlign w:val="center"/>
          </w:tcPr>
          <w:p>
            <w:pPr>
              <w:widowControl/>
              <w:jc w:val="center"/>
              <w:rPr>
                <w:rFonts w:hint="default" w:ascii="Times New Roman" w:hAnsi="Times New Roman" w:eastAsia="宋体" w:cs="Times New Roman"/>
                <w:color w:val="auto"/>
                <w:kern w:val="0"/>
                <w:sz w:val="18"/>
                <w:szCs w:val="18"/>
              </w:rPr>
            </w:pPr>
            <w:r>
              <w:rPr>
                <w:rFonts w:hint="default" w:ascii="Times New Roman" w:hAnsi="Times New Roman" w:cs="Times New Roman"/>
                <w:color w:val="auto"/>
                <w:kern w:val="0"/>
                <w:sz w:val="18"/>
                <w:szCs w:val="18"/>
                <w:lang w:eastAsia="zh-CN"/>
              </w:rPr>
              <w:t>切片车间纯水站</w:t>
            </w:r>
          </w:p>
        </w:tc>
        <w:tc>
          <w:tcPr>
            <w:tcW w:w="2879" w:type="dxa"/>
            <w:gridSpan w:val="2"/>
            <w:shd w:val="clear" w:color="auto" w:fill="auto"/>
            <w:vAlign w:val="center"/>
          </w:tcPr>
          <w:p>
            <w:pPr>
              <w:widowControl/>
              <w:jc w:val="left"/>
              <w:rPr>
                <w:rFonts w:hint="default" w:ascii="Times New Roman" w:hAnsi="Times New Roman" w:eastAsia="宋体"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w:t>
            </w:r>
          </w:p>
        </w:tc>
        <w:tc>
          <w:tcPr>
            <w:tcW w:w="3066" w:type="dxa"/>
            <w:vAlign w:val="center"/>
          </w:tcPr>
          <w:p>
            <w:pPr>
              <w:widowControl/>
              <w:jc w:val="left"/>
              <w:rPr>
                <w:rFonts w:hint="default" w:ascii="Times New Roman" w:hAnsi="Times New Roman" w:eastAsia="宋体" w:cs="Times New Roman"/>
                <w:color w:val="auto"/>
                <w:sz w:val="18"/>
                <w:szCs w:val="18"/>
              </w:rPr>
            </w:pPr>
            <w:r>
              <w:rPr>
                <w:rFonts w:hint="default" w:ascii="Times New Roman" w:hAnsi="Times New Roman" w:cs="Times New Roman"/>
                <w:color w:val="auto"/>
                <w:sz w:val="18"/>
                <w:szCs w:val="18"/>
                <w:lang w:eastAsia="zh-CN"/>
              </w:rPr>
              <w:t>切片车间单独建设</w:t>
            </w:r>
            <w:r>
              <w:rPr>
                <w:rFonts w:hint="default" w:ascii="Times New Roman" w:hAnsi="Times New Roman" w:cs="Times New Roman"/>
                <w:color w:val="auto"/>
                <w:sz w:val="18"/>
                <w:szCs w:val="18"/>
                <w:lang w:val="en-US" w:eastAsia="zh-CN"/>
              </w:rPr>
              <w:t>1套纯水站，供切片车间使用，纯水制备规模为120m</w:t>
            </w:r>
            <w:r>
              <w:rPr>
                <w:rFonts w:hint="default" w:ascii="Times New Roman" w:hAnsi="Times New Roman" w:cs="Times New Roman"/>
                <w:color w:val="auto"/>
                <w:sz w:val="18"/>
                <w:szCs w:val="18"/>
                <w:vertAlign w:val="superscript"/>
                <w:lang w:val="en-US" w:eastAsia="zh-CN"/>
              </w:rPr>
              <w:t>3</w:t>
            </w:r>
            <w:r>
              <w:rPr>
                <w:rFonts w:hint="default" w:ascii="Times New Roman" w:hAnsi="Times New Roman" w:cs="Times New Roman"/>
                <w:color w:val="auto"/>
                <w:sz w:val="18"/>
                <w:szCs w:val="18"/>
                <w:vertAlign w:val="baseline"/>
                <w:lang w:val="en-US" w:eastAsia="zh-CN"/>
              </w:rPr>
              <w:t>/h，</w:t>
            </w:r>
            <w:r>
              <w:rPr>
                <w:rFonts w:hint="default" w:ascii="Times New Roman" w:hAnsi="Times New Roman" w:eastAsia="宋体" w:cs="Times New Roman"/>
                <w:color w:val="auto"/>
                <w:sz w:val="18"/>
                <w:szCs w:val="18"/>
              </w:rPr>
              <w:t>采用沉淀+反渗透+钠型阳离子树脂交换法工艺</w:t>
            </w:r>
          </w:p>
        </w:tc>
        <w:tc>
          <w:tcPr>
            <w:tcW w:w="1022" w:type="dxa"/>
            <w:vAlign w:val="center"/>
          </w:tcPr>
          <w:p>
            <w:pPr>
              <w:widowControl/>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eastAsia="zh-CN"/>
              </w:rPr>
              <w:t>新增切片车间纯水站</w:t>
            </w:r>
          </w:p>
        </w:tc>
        <w:tc>
          <w:tcPr>
            <w:tcW w:w="2264" w:type="dxa"/>
            <w:vAlign w:val="center"/>
          </w:tcPr>
          <w:p>
            <w:pPr>
              <w:widowControl/>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eastAsia="zh-CN"/>
              </w:rPr>
              <w:t>原项目环评及批复中，切片车间纯水依托水处理站制备，新增“年产5GW单晶硅拉棒及2GW切片项目”和本项目后，水处理站纯水制备规模不能满足切片车间供给要求，因此切片车间单独建设纯水站供给纯水</w:t>
            </w:r>
          </w:p>
        </w:tc>
        <w:tc>
          <w:tcPr>
            <w:tcW w:w="2791" w:type="dxa"/>
            <w:vAlign w:val="center"/>
          </w:tcPr>
          <w:p>
            <w:pPr>
              <w:widowControl/>
              <w:jc w:val="left"/>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lang w:eastAsia="zh-CN"/>
              </w:rPr>
              <w:t>项目本身并未扩大生产规模，切片车间单独建设纯水站主要是为了满足后续项目的生产要求。</w:t>
            </w:r>
          </w:p>
        </w:tc>
        <w:tc>
          <w:tcPr>
            <w:tcW w:w="1644" w:type="dxa"/>
            <w:vAlign w:val="center"/>
          </w:tcPr>
          <w:p>
            <w:pPr>
              <w:widowControl/>
              <w:jc w:val="center"/>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lang w:eastAsia="zh-CN"/>
              </w:rPr>
              <w:t>对照重大变动清单第</w:t>
            </w:r>
            <w:r>
              <w:rPr>
                <w:rFonts w:hint="default" w:ascii="Times New Roman" w:hAnsi="Times New Roman" w:cs="Times New Roman"/>
                <w:color w:val="auto"/>
                <w:sz w:val="18"/>
                <w:szCs w:val="18"/>
                <w:lang w:val="en-US" w:eastAsia="zh-CN"/>
              </w:rPr>
              <w:t>1条、第2条，不属于重大变动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81" w:type="dxa"/>
            <w:vMerge w:val="continue"/>
            <w:shd w:val="clear" w:color="auto" w:fill="auto"/>
            <w:vAlign w:val="center"/>
          </w:tcPr>
          <w:p>
            <w:pPr>
              <w:widowControl/>
              <w:jc w:val="center"/>
              <w:rPr>
                <w:rFonts w:hint="default" w:ascii="Times New Roman" w:hAnsi="Times New Roman" w:eastAsia="宋体" w:cs="Times New Roman"/>
                <w:color w:val="auto"/>
                <w:kern w:val="0"/>
                <w:sz w:val="18"/>
                <w:szCs w:val="18"/>
              </w:rPr>
            </w:pPr>
          </w:p>
        </w:tc>
        <w:tc>
          <w:tcPr>
            <w:tcW w:w="1208" w:type="dxa"/>
            <w:gridSpan w:val="2"/>
            <w:shd w:val="clear" w:color="auto" w:fill="auto"/>
            <w:vAlign w:val="center"/>
          </w:tcPr>
          <w:p>
            <w:pPr>
              <w:widowControl/>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eastAsia="zh-CN"/>
              </w:rPr>
              <w:t>食堂</w:t>
            </w:r>
          </w:p>
        </w:tc>
        <w:tc>
          <w:tcPr>
            <w:tcW w:w="2879" w:type="dxa"/>
            <w:gridSpan w:val="2"/>
            <w:shd w:val="clear" w:color="auto" w:fill="auto"/>
            <w:vAlign w:val="center"/>
          </w:tcPr>
          <w:p>
            <w:pPr>
              <w:widowControl/>
              <w:jc w:val="left"/>
              <w:rPr>
                <w:rFonts w:hint="default" w:ascii="Times New Roman" w:hAnsi="Times New Roman" w:eastAsia="宋体" w:cs="Times New Roman"/>
                <w:color w:val="auto"/>
                <w:kern w:val="0"/>
                <w:sz w:val="18"/>
                <w:szCs w:val="18"/>
                <w:lang w:eastAsia="zh-CN"/>
              </w:rPr>
            </w:pPr>
            <w:r>
              <w:rPr>
                <w:rFonts w:hint="default" w:ascii="Times New Roman" w:hAnsi="Times New Roman" w:cs="Times New Roman"/>
                <w:color w:val="auto"/>
                <w:sz w:val="18"/>
                <w:szCs w:val="18"/>
              </w:rPr>
              <w:t>1栋2层，占地面积约1488.4m</w:t>
            </w:r>
            <w:r>
              <w:rPr>
                <w:rFonts w:hint="default" w:ascii="Times New Roman" w:hAnsi="Times New Roman" w:cs="Times New Roman"/>
                <w:color w:val="auto"/>
                <w:sz w:val="18"/>
                <w:szCs w:val="18"/>
                <w:vertAlign w:val="superscript"/>
              </w:rPr>
              <w:t>2</w:t>
            </w:r>
            <w:r>
              <w:rPr>
                <w:rFonts w:hint="default" w:ascii="Times New Roman" w:hAnsi="Times New Roman" w:cs="Times New Roman"/>
                <w:color w:val="auto"/>
                <w:sz w:val="18"/>
                <w:szCs w:val="18"/>
              </w:rPr>
              <w:t>、建筑面积约2816.6m</w:t>
            </w:r>
            <w:r>
              <w:rPr>
                <w:rFonts w:hint="default" w:ascii="Times New Roman" w:hAnsi="Times New Roman" w:cs="Times New Roman"/>
                <w:color w:val="auto"/>
                <w:sz w:val="18"/>
                <w:szCs w:val="18"/>
                <w:vertAlign w:val="superscript"/>
              </w:rPr>
              <w:t>2</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rPr>
              <w:t>主要</w:t>
            </w:r>
            <w:r>
              <w:rPr>
                <w:rFonts w:hint="default" w:ascii="Times New Roman" w:hAnsi="Times New Roman" w:cs="Times New Roman"/>
                <w:color w:val="auto"/>
                <w:sz w:val="18"/>
                <w:szCs w:val="18"/>
                <w:lang w:eastAsia="zh-CN"/>
              </w:rPr>
              <w:t>作为职工食堂</w:t>
            </w:r>
          </w:p>
        </w:tc>
        <w:tc>
          <w:tcPr>
            <w:tcW w:w="3066" w:type="dxa"/>
            <w:vAlign w:val="center"/>
          </w:tcPr>
          <w:p>
            <w:pPr>
              <w:widowControl/>
              <w:jc w:val="left"/>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0"/>
                <w:sz w:val="18"/>
                <w:szCs w:val="18"/>
              </w:rPr>
              <w:t>1栋2层，占地面积约1488.4m</w:t>
            </w:r>
            <w:r>
              <w:rPr>
                <w:rFonts w:hint="default" w:ascii="Times New Roman" w:hAnsi="Times New Roman" w:eastAsia="宋体" w:cs="Times New Roman"/>
                <w:color w:val="auto"/>
                <w:kern w:val="0"/>
                <w:sz w:val="18"/>
                <w:szCs w:val="18"/>
                <w:vertAlign w:val="superscript"/>
              </w:rPr>
              <w:t>2</w:t>
            </w:r>
            <w:r>
              <w:rPr>
                <w:rFonts w:hint="default" w:ascii="Times New Roman" w:hAnsi="Times New Roman" w:eastAsia="宋体" w:cs="Times New Roman"/>
                <w:color w:val="auto"/>
                <w:kern w:val="0"/>
                <w:sz w:val="18"/>
                <w:szCs w:val="18"/>
              </w:rPr>
              <w:t>，建筑面积约2816.6m</w:t>
            </w:r>
            <w:r>
              <w:rPr>
                <w:rFonts w:hint="default" w:ascii="Times New Roman" w:hAnsi="Times New Roman" w:eastAsia="宋体" w:cs="Times New Roman"/>
                <w:color w:val="auto"/>
                <w:kern w:val="0"/>
                <w:sz w:val="18"/>
                <w:szCs w:val="18"/>
                <w:vertAlign w:val="superscript"/>
              </w:rPr>
              <w:t>2</w:t>
            </w:r>
            <w:r>
              <w:rPr>
                <w:rFonts w:hint="default" w:ascii="Times New Roman" w:hAnsi="Times New Roman" w:eastAsia="宋体" w:cs="Times New Roman"/>
                <w:color w:val="auto"/>
                <w:kern w:val="0"/>
                <w:sz w:val="18"/>
                <w:szCs w:val="18"/>
              </w:rPr>
              <w:t>,主要作为职工食堂</w:t>
            </w:r>
          </w:p>
        </w:tc>
        <w:tc>
          <w:tcPr>
            <w:tcW w:w="1022" w:type="dxa"/>
            <w:vAlign w:val="center"/>
          </w:tcPr>
          <w:p>
            <w:pPr>
              <w:widowControl/>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未发生改变</w:t>
            </w:r>
          </w:p>
        </w:tc>
        <w:tc>
          <w:tcPr>
            <w:tcW w:w="2264" w:type="dxa"/>
            <w:vAlign w:val="center"/>
          </w:tcPr>
          <w:p>
            <w:pPr>
              <w:widowControl/>
              <w:jc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w:t>
            </w:r>
          </w:p>
        </w:tc>
        <w:tc>
          <w:tcPr>
            <w:tcW w:w="2791" w:type="dxa"/>
            <w:vAlign w:val="center"/>
          </w:tcPr>
          <w:p>
            <w:pPr>
              <w:widowControl/>
              <w:jc w:val="center"/>
              <w:rPr>
                <w:rFonts w:hint="default" w:ascii="Times New Roman" w:hAnsi="Times New Roman"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w:t>
            </w:r>
          </w:p>
        </w:tc>
        <w:tc>
          <w:tcPr>
            <w:tcW w:w="1644" w:type="dxa"/>
            <w:vAlign w:val="center"/>
          </w:tcPr>
          <w:p>
            <w:pPr>
              <w:widowControl/>
              <w:jc w:val="center"/>
              <w:rPr>
                <w:rFonts w:hint="default" w:ascii="Times New Roman" w:hAnsi="Times New Roman"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81" w:type="dxa"/>
            <w:vMerge w:val="continue"/>
            <w:shd w:val="clear" w:color="auto" w:fill="auto"/>
            <w:vAlign w:val="center"/>
          </w:tcPr>
          <w:p>
            <w:pPr>
              <w:widowControl/>
              <w:jc w:val="center"/>
              <w:rPr>
                <w:rFonts w:hint="default" w:ascii="Times New Roman" w:hAnsi="Times New Roman" w:eastAsia="宋体" w:cs="Times New Roman"/>
                <w:color w:val="auto"/>
                <w:kern w:val="0"/>
                <w:sz w:val="18"/>
                <w:szCs w:val="18"/>
              </w:rPr>
            </w:pPr>
          </w:p>
        </w:tc>
        <w:tc>
          <w:tcPr>
            <w:tcW w:w="1208" w:type="dxa"/>
            <w:gridSpan w:val="2"/>
            <w:shd w:val="clear" w:color="auto" w:fill="auto"/>
            <w:vAlign w:val="center"/>
          </w:tcPr>
          <w:p>
            <w:pPr>
              <w:widowControl/>
              <w:jc w:val="center"/>
              <w:rPr>
                <w:rFonts w:hint="default" w:ascii="Times New Roman" w:hAnsi="Times New Roman" w:eastAsia="宋体" w:cs="Times New Roman"/>
                <w:color w:val="auto"/>
                <w:kern w:val="0"/>
                <w:sz w:val="18"/>
                <w:szCs w:val="18"/>
                <w:lang w:eastAsia="zh-CN"/>
              </w:rPr>
            </w:pPr>
            <w:r>
              <w:rPr>
                <w:rFonts w:hint="default" w:ascii="Times New Roman" w:hAnsi="Times New Roman" w:cs="Times New Roman"/>
                <w:color w:val="auto"/>
                <w:kern w:val="0"/>
                <w:sz w:val="18"/>
                <w:szCs w:val="18"/>
                <w:lang w:eastAsia="zh-CN"/>
              </w:rPr>
              <w:t>清真食堂</w:t>
            </w:r>
          </w:p>
        </w:tc>
        <w:tc>
          <w:tcPr>
            <w:tcW w:w="2879" w:type="dxa"/>
            <w:gridSpan w:val="2"/>
            <w:shd w:val="clear" w:color="auto" w:fill="auto"/>
            <w:vAlign w:val="center"/>
          </w:tcPr>
          <w:p>
            <w:pPr>
              <w:widowControl/>
              <w:jc w:val="left"/>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3066" w:type="dxa"/>
            <w:vAlign w:val="center"/>
          </w:tcPr>
          <w:p>
            <w:pPr>
              <w:widowControl/>
              <w:jc w:val="left"/>
              <w:rPr>
                <w:rFonts w:hint="default" w:ascii="Times New Roman" w:hAnsi="Times New Roman" w:eastAsia="宋体" w:cs="Times New Roman"/>
                <w:color w:val="auto"/>
                <w:sz w:val="18"/>
                <w:szCs w:val="18"/>
              </w:rPr>
            </w:pPr>
            <w:r>
              <w:rPr>
                <w:rFonts w:hint="default" w:ascii="Times New Roman" w:hAnsi="Times New Roman" w:cs="Times New Roman"/>
                <w:color w:val="auto"/>
                <w:sz w:val="18"/>
                <w:szCs w:val="18"/>
                <w:lang w:val="en-US" w:eastAsia="zh-CN"/>
              </w:rPr>
              <w:t>1栋2层，</w:t>
            </w:r>
            <w:r>
              <w:rPr>
                <w:rFonts w:hint="default" w:ascii="Times New Roman" w:hAnsi="Times New Roman" w:eastAsia="宋体" w:cs="Times New Roman"/>
                <w:color w:val="auto"/>
                <w:kern w:val="0"/>
                <w:sz w:val="18"/>
                <w:szCs w:val="18"/>
              </w:rPr>
              <w:t>占地面积约1</w:t>
            </w:r>
            <w:r>
              <w:rPr>
                <w:rFonts w:hint="default" w:ascii="Times New Roman" w:hAnsi="Times New Roman" w:cs="Times New Roman"/>
                <w:color w:val="auto"/>
                <w:kern w:val="0"/>
                <w:sz w:val="18"/>
                <w:szCs w:val="18"/>
                <w:lang w:val="en-US" w:eastAsia="zh-CN"/>
              </w:rPr>
              <w:t>144.48</w:t>
            </w:r>
            <w:r>
              <w:rPr>
                <w:rFonts w:hint="default" w:ascii="Times New Roman" w:hAnsi="Times New Roman" w:eastAsia="宋体" w:cs="Times New Roman"/>
                <w:color w:val="auto"/>
                <w:kern w:val="0"/>
                <w:sz w:val="18"/>
                <w:szCs w:val="18"/>
              </w:rPr>
              <w:t>m</w:t>
            </w:r>
            <w:r>
              <w:rPr>
                <w:rFonts w:hint="default" w:ascii="Times New Roman" w:hAnsi="Times New Roman" w:eastAsia="宋体" w:cs="Times New Roman"/>
                <w:color w:val="auto"/>
                <w:kern w:val="0"/>
                <w:sz w:val="18"/>
                <w:szCs w:val="18"/>
                <w:vertAlign w:val="superscript"/>
              </w:rPr>
              <w:t>2</w:t>
            </w:r>
            <w:r>
              <w:rPr>
                <w:rFonts w:hint="default" w:ascii="Times New Roman" w:hAnsi="Times New Roman" w:eastAsia="宋体" w:cs="Times New Roman"/>
                <w:color w:val="auto"/>
                <w:kern w:val="0"/>
                <w:sz w:val="18"/>
                <w:szCs w:val="18"/>
              </w:rPr>
              <w:t>，建筑面积约</w:t>
            </w:r>
            <w:r>
              <w:rPr>
                <w:rFonts w:hint="default" w:ascii="Times New Roman" w:hAnsi="Times New Roman" w:cs="Times New Roman"/>
                <w:color w:val="auto"/>
                <w:kern w:val="0"/>
                <w:sz w:val="18"/>
                <w:szCs w:val="18"/>
                <w:lang w:val="en-US" w:eastAsia="zh-CN"/>
              </w:rPr>
              <w:t>2288.96</w:t>
            </w:r>
            <w:r>
              <w:rPr>
                <w:rFonts w:hint="default" w:ascii="Times New Roman" w:hAnsi="Times New Roman" w:eastAsia="宋体" w:cs="Times New Roman"/>
                <w:color w:val="auto"/>
                <w:kern w:val="0"/>
                <w:sz w:val="18"/>
                <w:szCs w:val="18"/>
              </w:rPr>
              <w:t>m</w:t>
            </w:r>
            <w:r>
              <w:rPr>
                <w:rFonts w:hint="default" w:ascii="Times New Roman" w:hAnsi="Times New Roman" w:eastAsia="宋体" w:cs="Times New Roman"/>
                <w:color w:val="auto"/>
                <w:kern w:val="0"/>
                <w:sz w:val="18"/>
                <w:szCs w:val="18"/>
                <w:vertAlign w:val="superscript"/>
              </w:rPr>
              <w:t>2</w:t>
            </w:r>
            <w:r>
              <w:rPr>
                <w:rFonts w:hint="default" w:ascii="Times New Roman" w:hAnsi="Times New Roman" w:eastAsia="宋体" w:cs="Times New Roman"/>
                <w:color w:val="auto"/>
                <w:kern w:val="0"/>
                <w:sz w:val="18"/>
                <w:szCs w:val="18"/>
              </w:rPr>
              <w:t>,主要作为职工食堂</w:t>
            </w:r>
          </w:p>
        </w:tc>
        <w:tc>
          <w:tcPr>
            <w:tcW w:w="1022" w:type="dxa"/>
            <w:vAlign w:val="center"/>
          </w:tcPr>
          <w:p>
            <w:pPr>
              <w:widowControl/>
              <w:jc w:val="center"/>
              <w:rPr>
                <w:rFonts w:hint="default" w:ascii="Times New Roman" w:hAnsi="Times New Roman" w:cs="Times New Roman"/>
                <w:color w:val="auto"/>
                <w:kern w:val="0"/>
                <w:sz w:val="18"/>
                <w:szCs w:val="18"/>
                <w:lang w:eastAsia="zh-CN"/>
              </w:rPr>
            </w:pPr>
            <w:r>
              <w:rPr>
                <w:rFonts w:hint="default" w:ascii="Times New Roman" w:hAnsi="Times New Roman" w:cs="Times New Roman"/>
                <w:color w:val="auto"/>
                <w:kern w:val="0"/>
                <w:sz w:val="18"/>
                <w:szCs w:val="18"/>
                <w:lang w:eastAsia="zh-CN"/>
              </w:rPr>
              <w:t>新增食堂</w:t>
            </w:r>
          </w:p>
        </w:tc>
        <w:tc>
          <w:tcPr>
            <w:tcW w:w="2264" w:type="dxa"/>
            <w:vAlign w:val="center"/>
          </w:tcPr>
          <w:p>
            <w:pPr>
              <w:widowControl/>
              <w:jc w:val="center"/>
              <w:rPr>
                <w:rFonts w:hint="default" w:ascii="Times New Roman" w:hAnsi="Times New Roman" w:cs="Times New Roman"/>
                <w:color w:val="auto"/>
                <w:kern w:val="0"/>
                <w:sz w:val="18"/>
                <w:szCs w:val="18"/>
                <w:lang w:eastAsia="zh-CN"/>
              </w:rPr>
            </w:pPr>
            <w:r>
              <w:rPr>
                <w:rFonts w:hint="default" w:ascii="Times New Roman" w:hAnsi="Times New Roman" w:cs="Times New Roman"/>
                <w:color w:val="auto"/>
                <w:kern w:val="0"/>
                <w:sz w:val="18"/>
                <w:szCs w:val="18"/>
                <w:lang w:eastAsia="zh-CN"/>
              </w:rPr>
              <w:t>建设过程中设计发生调整</w:t>
            </w:r>
          </w:p>
        </w:tc>
        <w:tc>
          <w:tcPr>
            <w:tcW w:w="2791" w:type="dxa"/>
            <w:vAlign w:val="center"/>
          </w:tcPr>
          <w:p>
            <w:pPr>
              <w:widowControl/>
              <w:jc w:val="center"/>
              <w:rPr>
                <w:rFonts w:hint="default" w:ascii="Times New Roman" w:hAnsi="Times New Roman" w:cs="Times New Roman"/>
                <w:color w:val="auto"/>
                <w:kern w:val="0"/>
                <w:sz w:val="18"/>
                <w:szCs w:val="18"/>
                <w:lang w:eastAsia="zh-CN"/>
              </w:rPr>
            </w:pPr>
            <w:r>
              <w:rPr>
                <w:rFonts w:hint="default" w:ascii="Times New Roman" w:hAnsi="Times New Roman" w:cs="Times New Roman"/>
                <w:color w:val="auto"/>
                <w:kern w:val="0"/>
                <w:sz w:val="18"/>
                <w:szCs w:val="18"/>
                <w:lang w:eastAsia="zh-CN"/>
              </w:rPr>
              <w:t>不涉及重大变动界定内容</w:t>
            </w:r>
          </w:p>
        </w:tc>
        <w:tc>
          <w:tcPr>
            <w:tcW w:w="1644" w:type="dxa"/>
            <w:vAlign w:val="center"/>
          </w:tcPr>
          <w:p>
            <w:pPr>
              <w:widowControl/>
              <w:jc w:val="center"/>
              <w:rPr>
                <w:rFonts w:hint="default" w:ascii="Times New Roman" w:hAnsi="Times New Roman" w:cs="Times New Roman"/>
                <w:color w:val="auto"/>
                <w:kern w:val="0"/>
                <w:sz w:val="18"/>
                <w:szCs w:val="18"/>
                <w:lang w:eastAsia="zh-CN"/>
              </w:rPr>
            </w:pPr>
            <w:r>
              <w:rPr>
                <w:rFonts w:hint="default" w:ascii="Times New Roman" w:hAnsi="Times New Roman" w:cs="Times New Roman"/>
                <w:color w:val="auto"/>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81" w:type="dxa"/>
            <w:vMerge w:val="continue"/>
            <w:shd w:val="clear" w:color="auto" w:fill="auto"/>
            <w:vAlign w:val="center"/>
          </w:tcPr>
          <w:p>
            <w:pPr>
              <w:widowControl/>
              <w:jc w:val="center"/>
              <w:rPr>
                <w:rFonts w:hint="default" w:ascii="Times New Roman" w:hAnsi="Times New Roman" w:eastAsia="宋体" w:cs="Times New Roman"/>
                <w:color w:val="auto"/>
                <w:kern w:val="0"/>
                <w:sz w:val="18"/>
                <w:szCs w:val="18"/>
              </w:rPr>
            </w:pPr>
          </w:p>
        </w:tc>
        <w:tc>
          <w:tcPr>
            <w:tcW w:w="1208" w:type="dxa"/>
            <w:gridSpan w:val="2"/>
            <w:shd w:val="clear" w:color="auto" w:fill="auto"/>
            <w:vAlign w:val="center"/>
          </w:tcPr>
          <w:p>
            <w:pPr>
              <w:widowControl/>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rPr>
              <w:t>办公楼</w:t>
            </w:r>
          </w:p>
        </w:tc>
        <w:tc>
          <w:tcPr>
            <w:tcW w:w="2879" w:type="dxa"/>
            <w:gridSpan w:val="2"/>
            <w:shd w:val="clear" w:color="auto" w:fill="auto"/>
            <w:vAlign w:val="center"/>
          </w:tcPr>
          <w:p>
            <w:pPr>
              <w:widowControl/>
              <w:jc w:val="left"/>
              <w:rPr>
                <w:rFonts w:hint="default" w:ascii="Times New Roman" w:hAnsi="Times New Roman" w:eastAsia="宋体" w:cs="Times New Roman"/>
                <w:color w:val="auto"/>
                <w:kern w:val="0"/>
                <w:sz w:val="18"/>
                <w:szCs w:val="18"/>
                <w:lang w:eastAsia="zh-CN"/>
              </w:rPr>
            </w:pPr>
            <w:r>
              <w:rPr>
                <w:rFonts w:hint="default" w:ascii="Times New Roman" w:hAnsi="Times New Roman" w:cs="Times New Roman"/>
                <w:color w:val="auto"/>
                <w:sz w:val="18"/>
                <w:szCs w:val="18"/>
              </w:rPr>
              <w:t>1栋5层，占地面积约2670m</w:t>
            </w:r>
            <w:r>
              <w:rPr>
                <w:rFonts w:hint="default" w:ascii="Times New Roman" w:hAnsi="Times New Roman" w:cs="Times New Roman"/>
                <w:color w:val="auto"/>
                <w:sz w:val="18"/>
                <w:szCs w:val="18"/>
                <w:vertAlign w:val="superscript"/>
              </w:rPr>
              <w:t>2</w:t>
            </w:r>
            <w:r>
              <w:rPr>
                <w:rFonts w:hint="default" w:ascii="Times New Roman" w:hAnsi="Times New Roman" w:cs="Times New Roman"/>
                <w:color w:val="auto"/>
                <w:sz w:val="18"/>
                <w:szCs w:val="18"/>
              </w:rPr>
              <w:t>、建筑面积约13350m</w:t>
            </w:r>
            <w:r>
              <w:rPr>
                <w:rFonts w:hint="default" w:ascii="Times New Roman" w:hAnsi="Times New Roman" w:cs="Times New Roman"/>
                <w:color w:val="auto"/>
                <w:sz w:val="18"/>
                <w:szCs w:val="18"/>
                <w:vertAlign w:val="superscript"/>
              </w:rPr>
              <w:t>2</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rPr>
              <w:t>主要用于公司行政办公</w:t>
            </w:r>
            <w:r>
              <w:rPr>
                <w:rFonts w:hint="default" w:ascii="Times New Roman" w:hAnsi="Times New Roman" w:cs="Times New Roman"/>
                <w:color w:val="auto"/>
                <w:sz w:val="18"/>
                <w:szCs w:val="18"/>
                <w:lang w:eastAsia="zh-CN"/>
              </w:rPr>
              <w:t>，位于项目西南侧</w:t>
            </w:r>
          </w:p>
        </w:tc>
        <w:tc>
          <w:tcPr>
            <w:tcW w:w="3066" w:type="dxa"/>
            <w:vAlign w:val="center"/>
          </w:tcPr>
          <w:p>
            <w:pPr>
              <w:widowControl/>
              <w:jc w:val="left"/>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1栋</w:t>
            </w:r>
            <w:r>
              <w:rPr>
                <w:rFonts w:hint="default" w:ascii="Times New Roman" w:hAnsi="Times New Roman" w:cs="Times New Roman"/>
                <w:color w:val="auto"/>
                <w:sz w:val="18"/>
                <w:szCs w:val="18"/>
                <w:lang w:val="en-US" w:eastAsia="zh-CN"/>
              </w:rPr>
              <w:t>4</w:t>
            </w:r>
            <w:r>
              <w:rPr>
                <w:rFonts w:hint="default" w:ascii="Times New Roman" w:hAnsi="Times New Roman" w:eastAsia="宋体" w:cs="Times New Roman"/>
                <w:color w:val="auto"/>
                <w:sz w:val="18"/>
                <w:szCs w:val="18"/>
              </w:rPr>
              <w:t>层，占地面积约</w:t>
            </w:r>
            <w:r>
              <w:rPr>
                <w:rFonts w:hint="default" w:ascii="Times New Roman" w:hAnsi="Times New Roman" w:cs="Times New Roman"/>
                <w:color w:val="auto"/>
                <w:sz w:val="18"/>
                <w:szCs w:val="18"/>
                <w:lang w:val="en-US" w:eastAsia="zh-CN"/>
              </w:rPr>
              <w:t>1642</w:t>
            </w:r>
            <w:r>
              <w:rPr>
                <w:rFonts w:hint="default" w:ascii="Times New Roman" w:hAnsi="Times New Roman" w:eastAsia="宋体" w:cs="Times New Roman"/>
                <w:color w:val="auto"/>
                <w:sz w:val="18"/>
                <w:szCs w:val="18"/>
              </w:rPr>
              <w:t>m</w:t>
            </w:r>
            <w:r>
              <w:rPr>
                <w:rFonts w:hint="default" w:ascii="Times New Roman" w:hAnsi="Times New Roman" w:eastAsia="宋体" w:cs="Times New Roman"/>
                <w:color w:val="auto"/>
                <w:sz w:val="18"/>
                <w:szCs w:val="18"/>
                <w:vertAlign w:val="superscript"/>
              </w:rPr>
              <w:t>2</w:t>
            </w:r>
            <w:r>
              <w:rPr>
                <w:rFonts w:hint="default" w:ascii="Times New Roman" w:hAnsi="Times New Roman" w:eastAsia="宋体" w:cs="Times New Roman"/>
                <w:color w:val="auto"/>
                <w:sz w:val="18"/>
                <w:szCs w:val="18"/>
              </w:rPr>
              <w:t>、建筑面积约</w:t>
            </w:r>
            <w:r>
              <w:rPr>
                <w:rFonts w:hint="default" w:ascii="Times New Roman" w:hAnsi="Times New Roman" w:cs="Times New Roman"/>
                <w:color w:val="auto"/>
                <w:sz w:val="18"/>
                <w:szCs w:val="18"/>
                <w:lang w:val="en-US" w:eastAsia="zh-CN"/>
              </w:rPr>
              <w:t>6568</w:t>
            </w:r>
            <w:r>
              <w:rPr>
                <w:rFonts w:hint="default" w:ascii="Times New Roman" w:hAnsi="Times New Roman" w:eastAsia="宋体" w:cs="Times New Roman"/>
                <w:color w:val="auto"/>
                <w:sz w:val="18"/>
                <w:szCs w:val="18"/>
              </w:rPr>
              <w:t>m</w:t>
            </w:r>
            <w:r>
              <w:rPr>
                <w:rFonts w:hint="default" w:ascii="Times New Roman" w:hAnsi="Times New Roman" w:eastAsia="宋体" w:cs="Times New Roman"/>
                <w:color w:val="auto"/>
                <w:sz w:val="18"/>
                <w:szCs w:val="18"/>
                <w:vertAlign w:val="superscript"/>
              </w:rPr>
              <w:t>2</w:t>
            </w:r>
            <w:r>
              <w:rPr>
                <w:rFonts w:hint="default" w:ascii="Times New Roman" w:hAnsi="Times New Roman" w:eastAsia="宋体" w:cs="Times New Roman"/>
                <w:color w:val="auto"/>
                <w:sz w:val="18"/>
                <w:szCs w:val="18"/>
              </w:rPr>
              <w:t>，主要用于公司行政办公等</w:t>
            </w:r>
            <w:r>
              <w:rPr>
                <w:rFonts w:hint="default" w:ascii="Times New Roman" w:hAnsi="Times New Roman" w:cs="Times New Roman"/>
                <w:color w:val="auto"/>
                <w:sz w:val="18"/>
                <w:szCs w:val="18"/>
                <w:lang w:eastAsia="zh-CN"/>
              </w:rPr>
              <w:t>，位于项目西南侧</w:t>
            </w:r>
          </w:p>
        </w:tc>
        <w:tc>
          <w:tcPr>
            <w:tcW w:w="1022" w:type="dxa"/>
            <w:vAlign w:val="center"/>
          </w:tcPr>
          <w:p>
            <w:pPr>
              <w:widowControl/>
              <w:jc w:val="center"/>
              <w:rPr>
                <w:rFonts w:hint="default" w:ascii="Times New Roman" w:hAnsi="Times New Roman" w:eastAsia="宋体" w:cs="Times New Roman"/>
                <w:color w:val="auto"/>
                <w:kern w:val="0"/>
                <w:sz w:val="18"/>
                <w:szCs w:val="18"/>
                <w:lang w:eastAsia="zh-CN"/>
              </w:rPr>
            </w:pPr>
            <w:r>
              <w:rPr>
                <w:rFonts w:hint="default" w:ascii="Times New Roman" w:hAnsi="Times New Roman" w:cs="Times New Roman"/>
                <w:color w:val="auto"/>
                <w:kern w:val="0"/>
                <w:sz w:val="18"/>
                <w:szCs w:val="18"/>
                <w:lang w:eastAsia="zh-CN"/>
              </w:rPr>
              <w:t>总图发生调整，建筑面积、占地面积缩减、建设位置有略微改变</w:t>
            </w:r>
          </w:p>
        </w:tc>
        <w:tc>
          <w:tcPr>
            <w:tcW w:w="2264" w:type="dxa"/>
            <w:vAlign w:val="center"/>
          </w:tcPr>
          <w:p>
            <w:pPr>
              <w:widowControl/>
              <w:jc w:val="center"/>
              <w:rPr>
                <w:rFonts w:hint="default" w:ascii="Times New Roman" w:hAnsi="Times New Roman" w:eastAsia="宋体" w:cs="Times New Roman"/>
                <w:color w:val="auto"/>
                <w:kern w:val="0"/>
                <w:sz w:val="18"/>
                <w:szCs w:val="18"/>
                <w:lang w:eastAsia="zh-CN"/>
              </w:rPr>
            </w:pPr>
            <w:r>
              <w:rPr>
                <w:rFonts w:hint="default" w:ascii="Times New Roman" w:hAnsi="Times New Roman" w:cs="Times New Roman"/>
                <w:color w:val="auto"/>
                <w:kern w:val="0"/>
                <w:sz w:val="18"/>
                <w:szCs w:val="18"/>
                <w:lang w:eastAsia="zh-CN"/>
              </w:rPr>
              <w:t>建设过程中设计发生调整</w:t>
            </w:r>
          </w:p>
        </w:tc>
        <w:tc>
          <w:tcPr>
            <w:tcW w:w="2791" w:type="dxa"/>
            <w:vAlign w:val="center"/>
          </w:tcPr>
          <w:p>
            <w:pPr>
              <w:pStyle w:val="167"/>
              <w:jc w:val="left"/>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lang w:val="en-US" w:eastAsia="zh-CN"/>
              </w:rPr>
              <w:t>1</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rPr>
              <w:t>项目位于楚雄市富民工业园区，</w:t>
            </w:r>
            <w:r>
              <w:rPr>
                <w:rFonts w:hint="default" w:ascii="Times New Roman" w:hAnsi="Times New Roman" w:cs="Times New Roman"/>
                <w:color w:val="auto"/>
                <w:sz w:val="18"/>
                <w:szCs w:val="18"/>
                <w:lang w:eastAsia="zh-CN"/>
              </w:rPr>
              <w:t>没有重新选址，不设置环境防护距离，总平面布置发生变化导致卫生防护距离范围发生变化，但没有新增环境敏感点；</w:t>
            </w:r>
          </w:p>
          <w:p>
            <w:pPr>
              <w:widowControl/>
              <w:jc w:val="center"/>
              <w:rPr>
                <w:rFonts w:hint="default" w:ascii="Times New Roman" w:hAnsi="Times New Roman" w:cs="Times New Roman"/>
                <w:color w:val="auto"/>
                <w:kern w:val="0"/>
                <w:sz w:val="18"/>
                <w:szCs w:val="18"/>
                <w:lang w:eastAsia="zh-CN"/>
              </w:rPr>
            </w:pP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lang w:val="en-US" w:eastAsia="zh-CN"/>
              </w:rPr>
              <w:t>2</w:t>
            </w:r>
            <w:r>
              <w:rPr>
                <w:rFonts w:hint="default" w:ascii="Times New Roman" w:hAnsi="Times New Roman" w:cs="Times New Roman"/>
                <w:color w:val="auto"/>
                <w:sz w:val="18"/>
                <w:szCs w:val="18"/>
                <w:lang w:eastAsia="zh-CN"/>
              </w:rPr>
              <w:t>）项目本身并未扩大生产规模，办公楼建设主要是根据项目实际情况调整。</w:t>
            </w:r>
          </w:p>
        </w:tc>
        <w:tc>
          <w:tcPr>
            <w:tcW w:w="1644" w:type="dxa"/>
            <w:vAlign w:val="center"/>
          </w:tcPr>
          <w:p>
            <w:pPr>
              <w:widowControl/>
              <w:jc w:val="center"/>
              <w:rPr>
                <w:rFonts w:hint="default" w:ascii="Times New Roman" w:hAnsi="Times New Roman" w:cs="Times New Roman"/>
                <w:color w:val="auto"/>
                <w:kern w:val="0"/>
                <w:sz w:val="18"/>
                <w:szCs w:val="18"/>
                <w:lang w:eastAsia="zh-CN"/>
              </w:rPr>
            </w:pPr>
            <w:r>
              <w:rPr>
                <w:rFonts w:hint="default" w:ascii="Times New Roman" w:hAnsi="Times New Roman" w:cs="Times New Roman"/>
                <w:color w:val="auto"/>
                <w:sz w:val="18"/>
                <w:szCs w:val="18"/>
                <w:lang w:eastAsia="zh-CN"/>
              </w:rPr>
              <w:t>对照重大变动清单第</w:t>
            </w:r>
            <w:r>
              <w:rPr>
                <w:rFonts w:hint="default" w:ascii="Times New Roman" w:hAnsi="Times New Roman" w:cs="Times New Roman"/>
                <w:color w:val="auto"/>
                <w:sz w:val="18"/>
                <w:szCs w:val="18"/>
                <w:lang w:val="en-US" w:eastAsia="zh-CN"/>
              </w:rPr>
              <w:t>1条、第2条、</w:t>
            </w:r>
            <w:r>
              <w:rPr>
                <w:rFonts w:hint="default" w:ascii="Times New Roman" w:hAnsi="Times New Roman" w:cs="Times New Roman"/>
                <w:color w:val="auto"/>
                <w:sz w:val="18"/>
                <w:szCs w:val="18"/>
                <w:lang w:eastAsia="zh-CN"/>
              </w:rPr>
              <w:t>第</w:t>
            </w:r>
            <w:r>
              <w:rPr>
                <w:rFonts w:hint="default" w:ascii="Times New Roman" w:hAnsi="Times New Roman" w:cs="Times New Roman"/>
                <w:color w:val="auto"/>
                <w:sz w:val="18"/>
                <w:szCs w:val="18"/>
                <w:lang w:val="en-US" w:eastAsia="zh-CN"/>
              </w:rPr>
              <w:t>5条，不属于重大变动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1" w:type="dxa"/>
            <w:vMerge w:val="continue"/>
            <w:shd w:val="clear" w:color="auto" w:fill="auto"/>
            <w:vAlign w:val="center"/>
          </w:tcPr>
          <w:p>
            <w:pPr>
              <w:widowControl/>
              <w:jc w:val="center"/>
              <w:rPr>
                <w:rFonts w:hint="default" w:ascii="Times New Roman" w:hAnsi="Times New Roman" w:eastAsia="宋体" w:cs="Times New Roman"/>
                <w:color w:val="auto"/>
                <w:kern w:val="0"/>
                <w:sz w:val="18"/>
                <w:szCs w:val="18"/>
              </w:rPr>
            </w:pPr>
          </w:p>
        </w:tc>
        <w:tc>
          <w:tcPr>
            <w:tcW w:w="1208" w:type="dxa"/>
            <w:gridSpan w:val="2"/>
            <w:shd w:val="clear" w:color="auto" w:fill="auto"/>
            <w:vAlign w:val="center"/>
          </w:tcPr>
          <w:p>
            <w:pPr>
              <w:widowControl/>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rPr>
              <w:t>报告厅</w:t>
            </w:r>
          </w:p>
        </w:tc>
        <w:tc>
          <w:tcPr>
            <w:tcW w:w="2879" w:type="dxa"/>
            <w:gridSpan w:val="2"/>
            <w:shd w:val="clear" w:color="auto" w:fill="auto"/>
            <w:vAlign w:val="center"/>
          </w:tcPr>
          <w:p>
            <w:pPr>
              <w:widowControl/>
              <w:jc w:val="left"/>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1栋2层，占地面积约567m</w:t>
            </w:r>
            <w:r>
              <w:rPr>
                <w:rFonts w:hint="default" w:ascii="Times New Roman" w:hAnsi="Times New Roman" w:eastAsia="宋体" w:cs="Times New Roman"/>
                <w:color w:val="auto"/>
                <w:sz w:val="18"/>
                <w:szCs w:val="18"/>
                <w:vertAlign w:val="superscript"/>
              </w:rPr>
              <w:t>2</w:t>
            </w:r>
            <w:r>
              <w:rPr>
                <w:rFonts w:hint="default" w:ascii="Times New Roman" w:hAnsi="Times New Roman" w:eastAsia="宋体" w:cs="Times New Roman"/>
                <w:color w:val="auto"/>
                <w:sz w:val="18"/>
                <w:szCs w:val="18"/>
              </w:rPr>
              <w:t>、建筑面积约1134m</w:t>
            </w:r>
            <w:r>
              <w:rPr>
                <w:rFonts w:hint="default" w:ascii="Times New Roman" w:hAnsi="Times New Roman" w:eastAsia="宋体" w:cs="Times New Roman"/>
                <w:color w:val="auto"/>
                <w:sz w:val="18"/>
                <w:szCs w:val="18"/>
                <w:vertAlign w:val="superscript"/>
              </w:rPr>
              <w:t>2</w:t>
            </w:r>
            <w:r>
              <w:rPr>
                <w:rFonts w:hint="default" w:ascii="Times New Roman" w:hAnsi="Times New Roman" w:cs="Times New Roman"/>
                <w:color w:val="auto"/>
                <w:sz w:val="18"/>
                <w:szCs w:val="18"/>
                <w:lang w:eastAsia="zh-CN"/>
              </w:rPr>
              <w:t>，</w:t>
            </w:r>
            <w:r>
              <w:rPr>
                <w:rFonts w:hint="default" w:ascii="Times New Roman" w:hAnsi="Times New Roman" w:eastAsia="宋体" w:cs="Times New Roman"/>
                <w:color w:val="auto"/>
                <w:sz w:val="18"/>
                <w:szCs w:val="18"/>
              </w:rPr>
              <w:t>主要用于公司会议办公等</w:t>
            </w:r>
          </w:p>
        </w:tc>
        <w:tc>
          <w:tcPr>
            <w:tcW w:w="3066" w:type="dxa"/>
            <w:vAlign w:val="center"/>
          </w:tcPr>
          <w:p>
            <w:pPr>
              <w:widowControl/>
              <w:jc w:val="left"/>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kern w:val="2"/>
                <w:sz w:val="18"/>
                <w:szCs w:val="18"/>
                <w:lang w:val="en-US" w:eastAsia="zh-CN" w:bidi="ar-SA"/>
              </w:rPr>
              <w:t>未建设</w:t>
            </w:r>
          </w:p>
        </w:tc>
        <w:tc>
          <w:tcPr>
            <w:tcW w:w="1022" w:type="dxa"/>
            <w:vAlign w:val="center"/>
          </w:tcPr>
          <w:p>
            <w:pPr>
              <w:widowControl/>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eastAsia="zh-CN"/>
              </w:rPr>
              <w:t>取消建设</w:t>
            </w:r>
          </w:p>
        </w:tc>
        <w:tc>
          <w:tcPr>
            <w:tcW w:w="2264" w:type="dxa"/>
            <w:vAlign w:val="center"/>
          </w:tcPr>
          <w:p>
            <w:pPr>
              <w:widowControl/>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eastAsia="zh-CN"/>
              </w:rPr>
              <w:t>建设过程中设计发生调整</w:t>
            </w:r>
          </w:p>
        </w:tc>
        <w:tc>
          <w:tcPr>
            <w:tcW w:w="2791" w:type="dxa"/>
            <w:vAlign w:val="center"/>
          </w:tcPr>
          <w:p>
            <w:pPr>
              <w:widowControl/>
              <w:jc w:val="center"/>
              <w:rPr>
                <w:rFonts w:hint="default" w:ascii="Times New Roman" w:hAnsi="Times New Roman" w:cs="Times New Roman"/>
                <w:color w:val="auto"/>
                <w:kern w:val="0"/>
                <w:sz w:val="18"/>
                <w:szCs w:val="18"/>
                <w:lang w:eastAsia="zh-CN"/>
              </w:rPr>
            </w:pPr>
            <w:r>
              <w:rPr>
                <w:rFonts w:hint="default" w:ascii="Times New Roman" w:hAnsi="Times New Roman" w:cs="Times New Roman"/>
                <w:color w:val="auto"/>
                <w:kern w:val="0"/>
                <w:sz w:val="18"/>
                <w:szCs w:val="18"/>
                <w:lang w:eastAsia="zh-CN"/>
              </w:rPr>
              <w:t>不涉及重大变动界定内容</w:t>
            </w:r>
          </w:p>
        </w:tc>
        <w:tc>
          <w:tcPr>
            <w:tcW w:w="1644" w:type="dxa"/>
            <w:vAlign w:val="center"/>
          </w:tcPr>
          <w:p>
            <w:pPr>
              <w:widowControl/>
              <w:jc w:val="center"/>
              <w:rPr>
                <w:rFonts w:hint="default" w:ascii="Times New Roman" w:hAnsi="Times New Roman"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1" w:type="dxa"/>
            <w:vMerge w:val="continue"/>
            <w:shd w:val="clear" w:color="auto" w:fill="auto"/>
            <w:vAlign w:val="center"/>
          </w:tcPr>
          <w:p>
            <w:pPr>
              <w:widowControl/>
              <w:jc w:val="center"/>
              <w:rPr>
                <w:rFonts w:hint="default" w:ascii="Times New Roman" w:hAnsi="Times New Roman" w:eastAsia="宋体" w:cs="Times New Roman"/>
                <w:color w:val="auto"/>
                <w:kern w:val="0"/>
                <w:sz w:val="18"/>
                <w:szCs w:val="18"/>
              </w:rPr>
            </w:pPr>
          </w:p>
        </w:tc>
        <w:tc>
          <w:tcPr>
            <w:tcW w:w="1208" w:type="dxa"/>
            <w:gridSpan w:val="2"/>
            <w:shd w:val="clear" w:color="auto" w:fill="auto"/>
            <w:vAlign w:val="center"/>
          </w:tcPr>
          <w:p>
            <w:pPr>
              <w:widowControl/>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bidi="ar-SA"/>
              </w:rPr>
              <w:t>展厅</w:t>
            </w:r>
          </w:p>
        </w:tc>
        <w:tc>
          <w:tcPr>
            <w:tcW w:w="2879" w:type="dxa"/>
            <w:gridSpan w:val="2"/>
            <w:shd w:val="clear" w:color="auto" w:fill="auto"/>
            <w:vAlign w:val="center"/>
          </w:tcPr>
          <w:p>
            <w:pPr>
              <w:widowControl/>
              <w:jc w:val="left"/>
              <w:rPr>
                <w:rFonts w:hint="default" w:ascii="Times New Roman" w:hAnsi="Times New Roman" w:eastAsia="宋体" w:cs="Times New Roman"/>
                <w:color w:val="auto"/>
                <w:sz w:val="18"/>
                <w:szCs w:val="18"/>
              </w:rPr>
            </w:pPr>
            <w:r>
              <w:rPr>
                <w:rFonts w:hint="default" w:ascii="Times New Roman" w:hAnsi="Times New Roman" w:cs="Times New Roman"/>
                <w:color w:val="auto"/>
                <w:sz w:val="18"/>
                <w:szCs w:val="18"/>
              </w:rPr>
              <w:t>设置展厅2个，展厅一4层，占地面积2320m</w:t>
            </w:r>
            <w:r>
              <w:rPr>
                <w:rFonts w:hint="default" w:ascii="Times New Roman" w:hAnsi="Times New Roman" w:cs="Times New Roman"/>
                <w:color w:val="auto"/>
                <w:sz w:val="18"/>
                <w:szCs w:val="18"/>
                <w:vertAlign w:val="superscript"/>
              </w:rPr>
              <w:t>2</w:t>
            </w:r>
            <w:r>
              <w:rPr>
                <w:rFonts w:hint="default" w:ascii="Times New Roman" w:hAnsi="Times New Roman" w:cs="Times New Roman"/>
                <w:color w:val="auto"/>
                <w:sz w:val="18"/>
                <w:szCs w:val="18"/>
              </w:rPr>
              <w:t>、建筑面积9280m</w:t>
            </w:r>
            <w:r>
              <w:rPr>
                <w:rFonts w:hint="default" w:ascii="Times New Roman" w:hAnsi="Times New Roman" w:cs="Times New Roman"/>
                <w:color w:val="auto"/>
                <w:sz w:val="18"/>
                <w:szCs w:val="18"/>
                <w:vertAlign w:val="superscript"/>
              </w:rPr>
              <w:t>2</w:t>
            </w:r>
            <w:r>
              <w:rPr>
                <w:rFonts w:hint="default" w:ascii="Times New Roman" w:hAnsi="Times New Roman" w:cs="Times New Roman"/>
                <w:color w:val="auto"/>
                <w:sz w:val="18"/>
                <w:szCs w:val="18"/>
              </w:rPr>
              <w:t>；展厅二2层，占地1080m</w:t>
            </w:r>
            <w:r>
              <w:rPr>
                <w:rFonts w:hint="default" w:ascii="Times New Roman" w:hAnsi="Times New Roman" w:cs="Times New Roman"/>
                <w:color w:val="auto"/>
                <w:sz w:val="18"/>
                <w:szCs w:val="18"/>
                <w:vertAlign w:val="superscript"/>
              </w:rPr>
              <w:t>2</w:t>
            </w:r>
            <w:r>
              <w:rPr>
                <w:rFonts w:hint="default" w:ascii="Times New Roman" w:hAnsi="Times New Roman" w:cs="Times New Roman"/>
                <w:color w:val="auto"/>
                <w:sz w:val="18"/>
                <w:szCs w:val="18"/>
              </w:rPr>
              <w:t>、建筑面积2160m</w:t>
            </w:r>
            <w:r>
              <w:rPr>
                <w:rFonts w:hint="default" w:ascii="Times New Roman" w:hAnsi="Times New Roman" w:cs="Times New Roman"/>
                <w:color w:val="auto"/>
                <w:sz w:val="18"/>
                <w:szCs w:val="18"/>
                <w:vertAlign w:val="superscript"/>
              </w:rPr>
              <w:t>2</w:t>
            </w:r>
            <w:r>
              <w:rPr>
                <w:rFonts w:hint="default" w:ascii="Times New Roman" w:hAnsi="Times New Roman" w:cs="Times New Roman"/>
                <w:color w:val="auto"/>
                <w:sz w:val="18"/>
                <w:szCs w:val="18"/>
              </w:rPr>
              <w:t>，均用于产品的展示</w:t>
            </w:r>
          </w:p>
        </w:tc>
        <w:tc>
          <w:tcPr>
            <w:tcW w:w="3066" w:type="dxa"/>
            <w:vAlign w:val="center"/>
          </w:tcPr>
          <w:p>
            <w:pPr>
              <w:widowControl/>
              <w:jc w:val="left"/>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kern w:val="2"/>
                <w:sz w:val="18"/>
                <w:szCs w:val="18"/>
                <w:lang w:val="en-US" w:eastAsia="zh-CN" w:bidi="ar-SA"/>
              </w:rPr>
              <w:t>未建设</w:t>
            </w:r>
          </w:p>
        </w:tc>
        <w:tc>
          <w:tcPr>
            <w:tcW w:w="1022" w:type="dxa"/>
            <w:vAlign w:val="center"/>
          </w:tcPr>
          <w:p>
            <w:pPr>
              <w:widowControl/>
              <w:jc w:val="center"/>
              <w:rPr>
                <w:rFonts w:hint="default" w:ascii="Times New Roman" w:hAnsi="Times New Roman" w:eastAsia="宋体" w:cs="Times New Roman"/>
                <w:color w:val="auto"/>
                <w:kern w:val="0"/>
                <w:sz w:val="18"/>
                <w:szCs w:val="18"/>
                <w:lang w:eastAsia="zh-CN"/>
              </w:rPr>
            </w:pPr>
            <w:r>
              <w:rPr>
                <w:rFonts w:hint="default" w:ascii="Times New Roman" w:hAnsi="Times New Roman" w:cs="Times New Roman"/>
                <w:color w:val="auto"/>
                <w:kern w:val="0"/>
                <w:sz w:val="18"/>
                <w:szCs w:val="18"/>
                <w:lang w:eastAsia="zh-CN"/>
              </w:rPr>
              <w:t>取消建设</w:t>
            </w:r>
          </w:p>
        </w:tc>
        <w:tc>
          <w:tcPr>
            <w:tcW w:w="2264" w:type="dxa"/>
            <w:vAlign w:val="center"/>
          </w:tcPr>
          <w:p>
            <w:pPr>
              <w:widowControl/>
              <w:jc w:val="center"/>
              <w:rPr>
                <w:rFonts w:hint="default" w:ascii="Times New Roman" w:hAnsi="Times New Roman" w:eastAsia="宋体" w:cs="Times New Roman"/>
                <w:color w:val="auto"/>
                <w:kern w:val="0"/>
                <w:sz w:val="18"/>
                <w:szCs w:val="18"/>
              </w:rPr>
            </w:pPr>
            <w:r>
              <w:rPr>
                <w:rFonts w:hint="default" w:ascii="Times New Roman" w:hAnsi="Times New Roman" w:cs="Times New Roman"/>
                <w:color w:val="auto"/>
                <w:kern w:val="0"/>
                <w:sz w:val="18"/>
                <w:szCs w:val="18"/>
                <w:lang w:eastAsia="zh-CN"/>
              </w:rPr>
              <w:t>建设过程中设计发生调整</w:t>
            </w:r>
          </w:p>
        </w:tc>
        <w:tc>
          <w:tcPr>
            <w:tcW w:w="2791" w:type="dxa"/>
            <w:vAlign w:val="center"/>
          </w:tcPr>
          <w:p>
            <w:pPr>
              <w:widowControl/>
              <w:jc w:val="center"/>
              <w:rPr>
                <w:rFonts w:hint="default" w:ascii="Times New Roman" w:hAnsi="Times New Roman" w:cs="Times New Roman"/>
                <w:color w:val="auto"/>
                <w:kern w:val="0"/>
                <w:sz w:val="18"/>
                <w:szCs w:val="18"/>
                <w:lang w:eastAsia="zh-CN"/>
              </w:rPr>
            </w:pPr>
            <w:r>
              <w:rPr>
                <w:rFonts w:hint="default" w:ascii="Times New Roman" w:hAnsi="Times New Roman" w:cs="Times New Roman"/>
                <w:color w:val="auto"/>
                <w:kern w:val="0"/>
                <w:sz w:val="18"/>
                <w:szCs w:val="18"/>
                <w:lang w:eastAsia="zh-CN"/>
              </w:rPr>
              <w:t>不涉及重大变动界定内容</w:t>
            </w:r>
          </w:p>
        </w:tc>
        <w:tc>
          <w:tcPr>
            <w:tcW w:w="1644" w:type="dxa"/>
            <w:vAlign w:val="center"/>
          </w:tcPr>
          <w:p>
            <w:pPr>
              <w:widowControl/>
              <w:jc w:val="center"/>
              <w:rPr>
                <w:rFonts w:hint="default" w:ascii="Times New Roman" w:hAnsi="Times New Roman"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81" w:type="dxa"/>
            <w:vMerge w:val="continue"/>
            <w:shd w:val="clear" w:color="auto" w:fill="auto"/>
            <w:vAlign w:val="center"/>
          </w:tcPr>
          <w:p>
            <w:pPr>
              <w:widowControl/>
              <w:jc w:val="center"/>
              <w:rPr>
                <w:rFonts w:hint="default" w:ascii="Times New Roman" w:hAnsi="Times New Roman" w:eastAsia="宋体" w:cs="Times New Roman"/>
                <w:color w:val="auto"/>
                <w:kern w:val="0"/>
                <w:sz w:val="18"/>
                <w:szCs w:val="18"/>
              </w:rPr>
            </w:pPr>
          </w:p>
        </w:tc>
        <w:tc>
          <w:tcPr>
            <w:tcW w:w="1208" w:type="dxa"/>
            <w:gridSpan w:val="2"/>
            <w:shd w:val="clear" w:color="auto" w:fill="auto"/>
            <w:vAlign w:val="center"/>
          </w:tcPr>
          <w:p>
            <w:pPr>
              <w:widowControl/>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rPr>
              <w:t>专家楼</w:t>
            </w:r>
          </w:p>
        </w:tc>
        <w:tc>
          <w:tcPr>
            <w:tcW w:w="2879" w:type="dxa"/>
            <w:gridSpan w:val="2"/>
            <w:shd w:val="clear" w:color="auto" w:fill="auto"/>
            <w:vAlign w:val="center"/>
          </w:tcPr>
          <w:p>
            <w:pPr>
              <w:widowControl/>
              <w:jc w:val="left"/>
              <w:rPr>
                <w:rFonts w:hint="default" w:ascii="Times New Roman" w:hAnsi="Times New Roman" w:eastAsia="宋体"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w:t>
            </w:r>
          </w:p>
        </w:tc>
        <w:tc>
          <w:tcPr>
            <w:tcW w:w="3066" w:type="dxa"/>
            <w:vAlign w:val="center"/>
          </w:tcPr>
          <w:p>
            <w:pPr>
              <w:widowControl/>
              <w:jc w:val="left"/>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0"/>
                <w:sz w:val="18"/>
                <w:szCs w:val="18"/>
              </w:rPr>
              <w:t>3栋，均为3层，占地面积768.78m</w:t>
            </w:r>
            <w:r>
              <w:rPr>
                <w:rFonts w:hint="default" w:ascii="Times New Roman" w:hAnsi="Times New Roman" w:eastAsia="宋体" w:cs="Times New Roman"/>
                <w:color w:val="auto"/>
                <w:kern w:val="0"/>
                <w:sz w:val="18"/>
                <w:szCs w:val="18"/>
                <w:vertAlign w:val="superscript"/>
              </w:rPr>
              <w:t>2</w:t>
            </w:r>
            <w:r>
              <w:rPr>
                <w:rFonts w:hint="default" w:ascii="Times New Roman" w:hAnsi="Times New Roman" w:eastAsia="宋体" w:cs="Times New Roman"/>
                <w:color w:val="auto"/>
                <w:kern w:val="0"/>
                <w:sz w:val="18"/>
                <w:szCs w:val="18"/>
              </w:rPr>
              <w:t>，建筑面积1120.2m</w:t>
            </w:r>
            <w:r>
              <w:rPr>
                <w:rFonts w:hint="default" w:ascii="Times New Roman" w:hAnsi="Times New Roman" w:eastAsia="宋体" w:cs="Times New Roman"/>
                <w:color w:val="auto"/>
                <w:kern w:val="0"/>
                <w:sz w:val="18"/>
                <w:szCs w:val="18"/>
                <w:vertAlign w:val="superscript"/>
              </w:rPr>
              <w:t>2</w:t>
            </w:r>
            <w:r>
              <w:rPr>
                <w:rFonts w:hint="default" w:ascii="Times New Roman" w:hAnsi="Times New Roman" w:eastAsia="宋体" w:cs="Times New Roman"/>
                <w:color w:val="auto"/>
                <w:kern w:val="0"/>
                <w:sz w:val="18"/>
                <w:szCs w:val="18"/>
              </w:rPr>
              <w:t>，主要用于接待外来专家、到访人员</w:t>
            </w:r>
          </w:p>
        </w:tc>
        <w:tc>
          <w:tcPr>
            <w:tcW w:w="1022" w:type="dxa"/>
            <w:vAlign w:val="center"/>
          </w:tcPr>
          <w:p>
            <w:pPr>
              <w:widowControl/>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eastAsia="zh-CN"/>
              </w:rPr>
              <w:t>新增专家楼</w:t>
            </w:r>
          </w:p>
        </w:tc>
        <w:tc>
          <w:tcPr>
            <w:tcW w:w="2264" w:type="dxa"/>
            <w:vAlign w:val="center"/>
          </w:tcPr>
          <w:p>
            <w:pPr>
              <w:widowControl/>
              <w:jc w:val="center"/>
              <w:rPr>
                <w:rFonts w:hint="default" w:ascii="Times New Roman" w:hAnsi="Times New Roman" w:eastAsia="宋体" w:cs="Times New Roman"/>
                <w:color w:val="auto"/>
                <w:sz w:val="18"/>
                <w:szCs w:val="18"/>
              </w:rPr>
            </w:pPr>
            <w:r>
              <w:rPr>
                <w:rFonts w:hint="default" w:ascii="Times New Roman" w:hAnsi="Times New Roman" w:cs="Times New Roman"/>
                <w:color w:val="auto"/>
                <w:kern w:val="0"/>
                <w:sz w:val="18"/>
                <w:szCs w:val="18"/>
                <w:lang w:eastAsia="zh-CN"/>
              </w:rPr>
              <w:t>建设过程中设计发生调整</w:t>
            </w:r>
          </w:p>
        </w:tc>
        <w:tc>
          <w:tcPr>
            <w:tcW w:w="2791" w:type="dxa"/>
            <w:vAlign w:val="center"/>
          </w:tcPr>
          <w:p>
            <w:pPr>
              <w:widowControl/>
              <w:jc w:val="center"/>
              <w:rPr>
                <w:rFonts w:hint="default" w:ascii="Times New Roman" w:hAnsi="Times New Roman" w:cs="Times New Roman"/>
                <w:color w:val="auto"/>
                <w:kern w:val="0"/>
                <w:sz w:val="18"/>
                <w:szCs w:val="18"/>
                <w:lang w:eastAsia="zh-CN"/>
              </w:rPr>
            </w:pPr>
            <w:r>
              <w:rPr>
                <w:rFonts w:hint="default" w:ascii="Times New Roman" w:hAnsi="Times New Roman" w:cs="Times New Roman"/>
                <w:color w:val="auto"/>
                <w:kern w:val="0"/>
                <w:sz w:val="18"/>
                <w:szCs w:val="18"/>
                <w:lang w:eastAsia="zh-CN"/>
              </w:rPr>
              <w:t>不涉及重大变动界定内容</w:t>
            </w:r>
          </w:p>
        </w:tc>
        <w:tc>
          <w:tcPr>
            <w:tcW w:w="1644" w:type="dxa"/>
            <w:vAlign w:val="center"/>
          </w:tcPr>
          <w:p>
            <w:pPr>
              <w:widowControl/>
              <w:jc w:val="center"/>
              <w:rPr>
                <w:rFonts w:hint="default" w:ascii="Times New Roman" w:hAnsi="Times New Roman"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581" w:type="dxa"/>
            <w:vMerge w:val="continue"/>
            <w:shd w:val="clear" w:color="auto" w:fill="auto"/>
            <w:vAlign w:val="center"/>
          </w:tcPr>
          <w:p>
            <w:pPr>
              <w:widowControl/>
              <w:jc w:val="center"/>
              <w:rPr>
                <w:rFonts w:hint="default" w:ascii="Times New Roman" w:hAnsi="Times New Roman" w:eastAsia="宋体" w:cs="Times New Roman"/>
                <w:color w:val="auto"/>
                <w:kern w:val="0"/>
                <w:sz w:val="18"/>
                <w:szCs w:val="18"/>
              </w:rPr>
            </w:pPr>
          </w:p>
        </w:tc>
        <w:tc>
          <w:tcPr>
            <w:tcW w:w="1208" w:type="dxa"/>
            <w:gridSpan w:val="2"/>
            <w:shd w:val="clear" w:color="auto" w:fill="auto"/>
            <w:vAlign w:val="center"/>
          </w:tcPr>
          <w:p>
            <w:pPr>
              <w:widowControl/>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宿舍</w:t>
            </w:r>
          </w:p>
        </w:tc>
        <w:tc>
          <w:tcPr>
            <w:tcW w:w="2879" w:type="dxa"/>
            <w:gridSpan w:val="2"/>
            <w:shd w:val="clear" w:color="auto" w:fill="auto"/>
            <w:vAlign w:val="center"/>
          </w:tcPr>
          <w:p>
            <w:pPr>
              <w:widowControl/>
              <w:jc w:val="left"/>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3066" w:type="dxa"/>
            <w:vAlign w:val="center"/>
          </w:tcPr>
          <w:p>
            <w:pPr>
              <w:widowControl/>
              <w:jc w:val="left"/>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rPr>
              <w:t>1栋6层，占地面积1095.64m</w:t>
            </w:r>
            <w:r>
              <w:rPr>
                <w:rFonts w:hint="default" w:ascii="Times New Roman" w:hAnsi="Times New Roman" w:eastAsia="宋体" w:cs="Times New Roman"/>
                <w:color w:val="auto"/>
                <w:kern w:val="0"/>
                <w:sz w:val="18"/>
                <w:szCs w:val="18"/>
                <w:vertAlign w:val="superscript"/>
              </w:rPr>
              <w:t>2</w:t>
            </w:r>
            <w:r>
              <w:rPr>
                <w:rFonts w:hint="default" w:ascii="Times New Roman" w:hAnsi="Times New Roman" w:eastAsia="宋体" w:cs="Times New Roman"/>
                <w:color w:val="auto"/>
                <w:kern w:val="0"/>
                <w:sz w:val="18"/>
                <w:szCs w:val="18"/>
              </w:rPr>
              <w:t>，建筑面积6629.2m</w:t>
            </w:r>
            <w:r>
              <w:rPr>
                <w:rFonts w:hint="default" w:ascii="Times New Roman" w:hAnsi="Times New Roman" w:eastAsia="宋体" w:cs="Times New Roman"/>
                <w:color w:val="auto"/>
                <w:kern w:val="0"/>
                <w:sz w:val="18"/>
                <w:szCs w:val="18"/>
                <w:vertAlign w:val="superscript"/>
              </w:rPr>
              <w:t>2</w:t>
            </w:r>
            <w:r>
              <w:rPr>
                <w:rFonts w:hint="default" w:ascii="Times New Roman" w:hAnsi="Times New Roman" w:eastAsia="宋体" w:cs="Times New Roman"/>
                <w:color w:val="auto"/>
                <w:kern w:val="0"/>
                <w:sz w:val="18"/>
                <w:szCs w:val="18"/>
              </w:rPr>
              <w:t>，主要用于厂内员工住宿</w:t>
            </w:r>
          </w:p>
        </w:tc>
        <w:tc>
          <w:tcPr>
            <w:tcW w:w="1022" w:type="dxa"/>
            <w:vAlign w:val="center"/>
          </w:tcPr>
          <w:p>
            <w:pPr>
              <w:widowControl/>
              <w:jc w:val="center"/>
              <w:rPr>
                <w:rFonts w:hint="default" w:ascii="Times New Roman" w:hAnsi="Times New Roman" w:eastAsia="宋体" w:cs="Times New Roman"/>
                <w:color w:val="auto"/>
                <w:kern w:val="0"/>
                <w:sz w:val="18"/>
                <w:szCs w:val="18"/>
                <w:lang w:eastAsia="zh-CN"/>
              </w:rPr>
            </w:pPr>
            <w:r>
              <w:rPr>
                <w:rFonts w:hint="default" w:ascii="Times New Roman" w:hAnsi="Times New Roman" w:cs="Times New Roman"/>
                <w:color w:val="auto"/>
                <w:kern w:val="0"/>
                <w:sz w:val="18"/>
                <w:szCs w:val="18"/>
                <w:lang w:eastAsia="zh-CN"/>
              </w:rPr>
              <w:t>新增员工宿舍</w:t>
            </w:r>
          </w:p>
        </w:tc>
        <w:tc>
          <w:tcPr>
            <w:tcW w:w="2264" w:type="dxa"/>
            <w:vAlign w:val="center"/>
          </w:tcPr>
          <w:p>
            <w:pPr>
              <w:widowControl/>
              <w:jc w:val="center"/>
              <w:rPr>
                <w:rFonts w:hint="default" w:ascii="Times New Roman" w:hAnsi="Times New Roman" w:eastAsia="宋体" w:cs="Times New Roman"/>
                <w:color w:val="auto"/>
                <w:kern w:val="0"/>
                <w:sz w:val="18"/>
                <w:szCs w:val="18"/>
              </w:rPr>
            </w:pPr>
            <w:r>
              <w:rPr>
                <w:rFonts w:hint="default" w:ascii="Times New Roman" w:hAnsi="Times New Roman" w:cs="Times New Roman"/>
                <w:color w:val="auto"/>
                <w:kern w:val="0"/>
                <w:sz w:val="18"/>
                <w:szCs w:val="18"/>
                <w:lang w:eastAsia="zh-CN"/>
              </w:rPr>
              <w:t>建设过程中设计发生调整</w:t>
            </w:r>
          </w:p>
        </w:tc>
        <w:tc>
          <w:tcPr>
            <w:tcW w:w="2791" w:type="dxa"/>
            <w:vAlign w:val="center"/>
          </w:tcPr>
          <w:p>
            <w:pPr>
              <w:widowControl/>
              <w:jc w:val="center"/>
              <w:rPr>
                <w:rFonts w:hint="default" w:ascii="Times New Roman" w:hAnsi="Times New Roman" w:cs="Times New Roman"/>
                <w:color w:val="auto"/>
                <w:kern w:val="0"/>
                <w:sz w:val="18"/>
                <w:szCs w:val="18"/>
                <w:lang w:eastAsia="zh-CN"/>
              </w:rPr>
            </w:pPr>
            <w:r>
              <w:rPr>
                <w:rFonts w:hint="default" w:ascii="Times New Roman" w:hAnsi="Times New Roman" w:cs="Times New Roman"/>
                <w:color w:val="auto"/>
                <w:kern w:val="0"/>
                <w:sz w:val="18"/>
                <w:szCs w:val="18"/>
                <w:lang w:eastAsia="zh-CN"/>
              </w:rPr>
              <w:t>不涉及重大变动界定内容</w:t>
            </w:r>
          </w:p>
        </w:tc>
        <w:tc>
          <w:tcPr>
            <w:tcW w:w="1644" w:type="dxa"/>
            <w:vAlign w:val="center"/>
          </w:tcPr>
          <w:p>
            <w:pPr>
              <w:widowControl/>
              <w:jc w:val="center"/>
              <w:rPr>
                <w:rFonts w:hint="default" w:ascii="Times New Roman" w:hAnsi="Times New Roman"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81" w:type="dxa"/>
            <w:vMerge w:val="continue"/>
            <w:shd w:val="clear" w:color="auto" w:fill="auto"/>
            <w:vAlign w:val="center"/>
          </w:tcPr>
          <w:p>
            <w:pPr>
              <w:widowControl/>
              <w:jc w:val="center"/>
              <w:rPr>
                <w:rFonts w:hint="default" w:ascii="Times New Roman" w:hAnsi="Times New Roman" w:eastAsia="宋体" w:cs="Times New Roman"/>
                <w:color w:val="auto"/>
                <w:kern w:val="0"/>
                <w:sz w:val="18"/>
                <w:szCs w:val="18"/>
              </w:rPr>
            </w:pPr>
          </w:p>
        </w:tc>
        <w:tc>
          <w:tcPr>
            <w:tcW w:w="1208" w:type="dxa"/>
            <w:gridSpan w:val="2"/>
            <w:vMerge w:val="restart"/>
            <w:shd w:val="clear" w:color="auto" w:fill="auto"/>
            <w:vAlign w:val="center"/>
          </w:tcPr>
          <w:p>
            <w:pPr>
              <w:widowControl/>
              <w:jc w:val="center"/>
              <w:rPr>
                <w:rFonts w:hint="default" w:ascii="Times New Roman" w:hAnsi="Times New Roman" w:eastAsia="宋体" w:cs="Times New Roman"/>
                <w:color w:val="auto"/>
                <w:kern w:val="0"/>
                <w:sz w:val="18"/>
                <w:szCs w:val="18"/>
                <w:lang w:eastAsia="zh-CN"/>
              </w:rPr>
            </w:pPr>
            <w:r>
              <w:rPr>
                <w:rFonts w:hint="default" w:ascii="Times New Roman" w:hAnsi="Times New Roman" w:cs="Times New Roman"/>
                <w:color w:val="auto"/>
                <w:kern w:val="0"/>
                <w:sz w:val="18"/>
                <w:szCs w:val="18"/>
                <w:lang w:eastAsia="zh-CN"/>
              </w:rPr>
              <w:t>门卫室</w:t>
            </w:r>
          </w:p>
        </w:tc>
        <w:tc>
          <w:tcPr>
            <w:tcW w:w="2879" w:type="dxa"/>
            <w:gridSpan w:val="2"/>
            <w:shd w:val="clear" w:color="auto" w:fill="auto"/>
            <w:vAlign w:val="center"/>
          </w:tcPr>
          <w:p>
            <w:pPr>
              <w:widowControl/>
              <w:jc w:val="left"/>
              <w:rPr>
                <w:rFonts w:hint="default" w:ascii="Times New Roman" w:hAnsi="Times New Roman" w:eastAsia="宋体" w:cs="Times New Roman"/>
                <w:color w:val="auto"/>
                <w:sz w:val="18"/>
                <w:szCs w:val="18"/>
              </w:rPr>
            </w:pPr>
            <w:r>
              <w:rPr>
                <w:rFonts w:hint="default" w:ascii="Times New Roman" w:hAnsi="Times New Roman" w:cs="Times New Roman"/>
                <w:color w:val="auto"/>
                <w:sz w:val="18"/>
                <w:szCs w:val="18"/>
              </w:rPr>
              <w:t>设置2间门卫室，占地面积和建筑面积均为18.54m</w:t>
            </w:r>
            <w:r>
              <w:rPr>
                <w:rFonts w:hint="default" w:ascii="Times New Roman" w:hAnsi="Times New Roman" w:cs="Times New Roman"/>
                <w:color w:val="auto"/>
                <w:sz w:val="18"/>
                <w:szCs w:val="18"/>
                <w:vertAlign w:val="superscript"/>
              </w:rPr>
              <w:t>2</w:t>
            </w:r>
          </w:p>
        </w:tc>
        <w:tc>
          <w:tcPr>
            <w:tcW w:w="3066" w:type="dxa"/>
            <w:vAlign w:val="center"/>
          </w:tcPr>
          <w:p>
            <w:pPr>
              <w:widowControl/>
              <w:jc w:val="left"/>
              <w:rPr>
                <w:rFonts w:hint="default" w:ascii="Times New Roman" w:hAnsi="Times New Roman" w:eastAsia="宋体" w:cs="Times New Roman"/>
                <w:color w:val="auto"/>
                <w:sz w:val="18"/>
                <w:szCs w:val="18"/>
              </w:rPr>
            </w:pPr>
            <w:r>
              <w:rPr>
                <w:rFonts w:hint="default" w:ascii="Times New Roman" w:hAnsi="Times New Roman" w:cs="Times New Roman"/>
                <w:color w:val="auto"/>
                <w:sz w:val="18"/>
                <w:szCs w:val="18"/>
              </w:rPr>
              <w:t>设置2间门卫室，占地面积和建筑面积均为18.54m</w:t>
            </w:r>
            <w:r>
              <w:rPr>
                <w:rFonts w:hint="default" w:ascii="Times New Roman" w:hAnsi="Times New Roman" w:cs="Times New Roman"/>
                <w:color w:val="auto"/>
                <w:sz w:val="18"/>
                <w:szCs w:val="18"/>
                <w:vertAlign w:val="superscript"/>
              </w:rPr>
              <w:t>2</w:t>
            </w:r>
          </w:p>
        </w:tc>
        <w:tc>
          <w:tcPr>
            <w:tcW w:w="1022" w:type="dxa"/>
            <w:vAlign w:val="center"/>
          </w:tcPr>
          <w:p>
            <w:pPr>
              <w:widowControl/>
              <w:jc w:val="center"/>
              <w:rPr>
                <w:rFonts w:hint="default" w:ascii="Times New Roman" w:hAnsi="Times New Roman" w:eastAsia="宋体" w:cs="Times New Roman"/>
                <w:color w:val="auto"/>
                <w:kern w:val="0"/>
                <w:sz w:val="18"/>
                <w:szCs w:val="18"/>
                <w:lang w:eastAsia="zh-CN"/>
              </w:rPr>
            </w:pPr>
            <w:r>
              <w:rPr>
                <w:rFonts w:hint="default" w:ascii="Times New Roman" w:hAnsi="Times New Roman" w:cs="Times New Roman"/>
                <w:color w:val="auto"/>
                <w:kern w:val="0"/>
                <w:sz w:val="18"/>
                <w:szCs w:val="18"/>
                <w:lang w:eastAsia="zh-CN"/>
              </w:rPr>
              <w:t>未发生改变</w:t>
            </w:r>
          </w:p>
        </w:tc>
        <w:tc>
          <w:tcPr>
            <w:tcW w:w="2264" w:type="dxa"/>
            <w:vAlign w:val="center"/>
          </w:tcPr>
          <w:p>
            <w:pPr>
              <w:widowControl/>
              <w:jc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w:t>
            </w:r>
          </w:p>
        </w:tc>
        <w:tc>
          <w:tcPr>
            <w:tcW w:w="2791" w:type="dxa"/>
            <w:vAlign w:val="center"/>
          </w:tcPr>
          <w:p>
            <w:pPr>
              <w:widowControl/>
              <w:jc w:val="center"/>
              <w:rPr>
                <w:rFonts w:hint="default" w:ascii="Times New Roman" w:hAnsi="Times New Roman"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w:t>
            </w:r>
          </w:p>
        </w:tc>
        <w:tc>
          <w:tcPr>
            <w:tcW w:w="1644" w:type="dxa"/>
            <w:vAlign w:val="center"/>
          </w:tcPr>
          <w:p>
            <w:pPr>
              <w:widowControl/>
              <w:jc w:val="center"/>
              <w:rPr>
                <w:rFonts w:hint="default" w:ascii="Times New Roman" w:hAnsi="Times New Roman"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81" w:type="dxa"/>
            <w:vMerge w:val="continue"/>
            <w:shd w:val="clear" w:color="auto" w:fill="auto"/>
            <w:vAlign w:val="center"/>
          </w:tcPr>
          <w:p>
            <w:pPr>
              <w:widowControl/>
              <w:jc w:val="center"/>
              <w:rPr>
                <w:rFonts w:hint="default" w:ascii="Times New Roman" w:hAnsi="Times New Roman" w:eastAsia="宋体" w:cs="Times New Roman"/>
                <w:color w:val="auto"/>
                <w:kern w:val="0"/>
                <w:sz w:val="18"/>
                <w:szCs w:val="18"/>
              </w:rPr>
            </w:pPr>
          </w:p>
        </w:tc>
        <w:tc>
          <w:tcPr>
            <w:tcW w:w="1208" w:type="dxa"/>
            <w:gridSpan w:val="2"/>
            <w:vMerge w:val="continue"/>
            <w:shd w:val="clear" w:color="auto" w:fill="auto"/>
            <w:vAlign w:val="center"/>
          </w:tcPr>
          <w:p>
            <w:pPr>
              <w:widowControl/>
              <w:jc w:val="center"/>
              <w:rPr>
                <w:rFonts w:hint="default" w:ascii="Times New Roman" w:hAnsi="Times New Roman" w:cs="Times New Roman"/>
                <w:color w:val="auto"/>
                <w:kern w:val="0"/>
                <w:sz w:val="18"/>
                <w:szCs w:val="18"/>
                <w:lang w:eastAsia="zh-CN"/>
              </w:rPr>
            </w:pPr>
          </w:p>
        </w:tc>
        <w:tc>
          <w:tcPr>
            <w:tcW w:w="2879" w:type="dxa"/>
            <w:gridSpan w:val="2"/>
            <w:shd w:val="clear" w:color="auto" w:fill="auto"/>
            <w:vAlign w:val="center"/>
          </w:tcPr>
          <w:p>
            <w:pPr>
              <w:widowControl/>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设置1间门卫室，占地面积和建筑面积均为96m</w:t>
            </w:r>
            <w:r>
              <w:rPr>
                <w:rFonts w:hint="default" w:ascii="Times New Roman" w:hAnsi="Times New Roman" w:cs="Times New Roman"/>
                <w:color w:val="auto"/>
                <w:sz w:val="18"/>
                <w:szCs w:val="18"/>
                <w:vertAlign w:val="superscript"/>
              </w:rPr>
              <w:t>2</w:t>
            </w:r>
          </w:p>
        </w:tc>
        <w:tc>
          <w:tcPr>
            <w:tcW w:w="3066" w:type="dxa"/>
            <w:vAlign w:val="center"/>
          </w:tcPr>
          <w:p>
            <w:pPr>
              <w:widowControl/>
              <w:jc w:val="left"/>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eastAsia="zh-CN"/>
              </w:rPr>
              <w:t>未建设</w:t>
            </w:r>
          </w:p>
        </w:tc>
        <w:tc>
          <w:tcPr>
            <w:tcW w:w="1022" w:type="dxa"/>
            <w:vAlign w:val="center"/>
          </w:tcPr>
          <w:p>
            <w:pPr>
              <w:widowControl/>
              <w:jc w:val="center"/>
              <w:rPr>
                <w:rFonts w:hint="default" w:ascii="Times New Roman" w:hAnsi="Times New Roman" w:eastAsia="宋体" w:cs="Times New Roman"/>
                <w:color w:val="auto"/>
                <w:kern w:val="0"/>
                <w:sz w:val="18"/>
                <w:szCs w:val="18"/>
              </w:rPr>
            </w:pPr>
            <w:r>
              <w:rPr>
                <w:rFonts w:hint="default" w:ascii="Times New Roman" w:hAnsi="Times New Roman" w:cs="Times New Roman"/>
                <w:color w:val="auto"/>
                <w:kern w:val="0"/>
                <w:sz w:val="18"/>
                <w:szCs w:val="18"/>
                <w:lang w:eastAsia="zh-CN"/>
              </w:rPr>
              <w:t>取消建设</w:t>
            </w:r>
          </w:p>
        </w:tc>
        <w:tc>
          <w:tcPr>
            <w:tcW w:w="2264" w:type="dxa"/>
            <w:vAlign w:val="center"/>
          </w:tcPr>
          <w:p>
            <w:pPr>
              <w:widowControl/>
              <w:jc w:val="center"/>
              <w:rPr>
                <w:rFonts w:hint="default" w:ascii="Times New Roman" w:hAnsi="Times New Roman" w:eastAsia="宋体" w:cs="Times New Roman"/>
                <w:color w:val="auto"/>
                <w:kern w:val="0"/>
                <w:sz w:val="18"/>
                <w:szCs w:val="18"/>
              </w:rPr>
            </w:pPr>
            <w:r>
              <w:rPr>
                <w:rFonts w:hint="default" w:ascii="Times New Roman" w:hAnsi="Times New Roman" w:cs="Times New Roman"/>
                <w:color w:val="auto"/>
                <w:kern w:val="0"/>
                <w:sz w:val="18"/>
                <w:szCs w:val="18"/>
                <w:lang w:eastAsia="zh-CN"/>
              </w:rPr>
              <w:t>建设过程中设计发生调整</w:t>
            </w:r>
          </w:p>
        </w:tc>
        <w:tc>
          <w:tcPr>
            <w:tcW w:w="2791" w:type="dxa"/>
            <w:vAlign w:val="center"/>
          </w:tcPr>
          <w:p>
            <w:pPr>
              <w:widowControl/>
              <w:jc w:val="center"/>
              <w:rPr>
                <w:rFonts w:hint="default" w:ascii="Times New Roman" w:hAnsi="Times New Roman" w:cs="Times New Roman"/>
                <w:color w:val="auto"/>
                <w:kern w:val="0"/>
                <w:sz w:val="18"/>
                <w:szCs w:val="18"/>
                <w:lang w:eastAsia="zh-CN"/>
              </w:rPr>
            </w:pPr>
            <w:r>
              <w:rPr>
                <w:rFonts w:hint="default" w:ascii="Times New Roman" w:hAnsi="Times New Roman" w:cs="Times New Roman"/>
                <w:color w:val="auto"/>
                <w:kern w:val="0"/>
                <w:sz w:val="18"/>
                <w:szCs w:val="18"/>
                <w:lang w:eastAsia="zh-CN"/>
              </w:rPr>
              <w:t>不涉及重大变动界定内容</w:t>
            </w:r>
          </w:p>
        </w:tc>
        <w:tc>
          <w:tcPr>
            <w:tcW w:w="1644" w:type="dxa"/>
            <w:vAlign w:val="center"/>
          </w:tcPr>
          <w:p>
            <w:pPr>
              <w:widowControl/>
              <w:jc w:val="center"/>
              <w:rPr>
                <w:rFonts w:hint="default" w:ascii="Times New Roman" w:hAnsi="Times New Roman"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581" w:type="dxa"/>
            <w:vMerge w:val="restart"/>
            <w:shd w:val="clear" w:color="auto" w:fill="auto"/>
            <w:vAlign w:val="center"/>
          </w:tcPr>
          <w:p>
            <w:pPr>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储运工程</w:t>
            </w:r>
          </w:p>
        </w:tc>
        <w:tc>
          <w:tcPr>
            <w:tcW w:w="1208" w:type="dxa"/>
            <w:gridSpan w:val="2"/>
            <w:shd w:val="clear" w:color="auto" w:fill="auto"/>
            <w:vAlign w:val="center"/>
          </w:tcPr>
          <w:p>
            <w:pPr>
              <w:widowControl/>
              <w:jc w:val="center"/>
              <w:rPr>
                <w:rFonts w:hint="default" w:ascii="Times New Roman" w:hAnsi="Times New Roman" w:eastAsia="宋体" w:cs="Times New Roman"/>
                <w:color w:val="auto"/>
                <w:kern w:val="0"/>
                <w:sz w:val="18"/>
                <w:szCs w:val="18"/>
                <w:lang w:eastAsia="zh-CN"/>
              </w:rPr>
            </w:pPr>
            <w:r>
              <w:rPr>
                <w:rFonts w:hint="default" w:ascii="Times New Roman" w:hAnsi="Times New Roman" w:cs="Times New Roman"/>
                <w:color w:val="auto"/>
                <w:kern w:val="0"/>
                <w:sz w:val="18"/>
                <w:szCs w:val="18"/>
                <w:lang w:eastAsia="zh-CN"/>
              </w:rPr>
              <w:t>化学品库</w:t>
            </w:r>
          </w:p>
        </w:tc>
        <w:tc>
          <w:tcPr>
            <w:tcW w:w="2879" w:type="dxa"/>
            <w:gridSpan w:val="2"/>
            <w:shd w:val="clear" w:color="auto" w:fill="auto"/>
            <w:vAlign w:val="center"/>
          </w:tcPr>
          <w:p>
            <w:pPr>
              <w:widowControl/>
              <w:jc w:val="left"/>
              <w:rPr>
                <w:rFonts w:hint="default" w:ascii="Times New Roman" w:hAnsi="Times New Roman" w:eastAsia="宋体" w:cs="Times New Roman"/>
                <w:color w:val="auto"/>
                <w:kern w:val="0"/>
                <w:sz w:val="18"/>
                <w:szCs w:val="18"/>
              </w:rPr>
            </w:pPr>
            <w:r>
              <w:rPr>
                <w:rFonts w:hint="default" w:ascii="Times New Roman" w:hAnsi="Times New Roman" w:cs="Times New Roman"/>
                <w:color w:val="auto"/>
                <w:sz w:val="18"/>
                <w:szCs w:val="18"/>
              </w:rPr>
              <w:t>1栋1层，占地面积约1500m</w:t>
            </w:r>
            <w:r>
              <w:rPr>
                <w:rFonts w:hint="default" w:ascii="Times New Roman" w:hAnsi="Times New Roman" w:cs="Times New Roman"/>
                <w:color w:val="auto"/>
                <w:sz w:val="18"/>
                <w:szCs w:val="18"/>
                <w:vertAlign w:val="superscript"/>
              </w:rPr>
              <w:t>2</w:t>
            </w:r>
            <w:r>
              <w:rPr>
                <w:rFonts w:hint="default" w:ascii="Times New Roman" w:hAnsi="Times New Roman" w:cs="Times New Roman"/>
                <w:color w:val="auto"/>
                <w:sz w:val="18"/>
                <w:szCs w:val="18"/>
              </w:rPr>
              <w:t>、建筑面积约1500m</w:t>
            </w:r>
            <w:r>
              <w:rPr>
                <w:rFonts w:hint="default" w:ascii="Times New Roman" w:hAnsi="Times New Roman" w:cs="Times New Roman"/>
                <w:color w:val="auto"/>
                <w:sz w:val="18"/>
                <w:szCs w:val="18"/>
                <w:vertAlign w:val="superscript"/>
              </w:rPr>
              <w:t>2</w:t>
            </w:r>
            <w:r>
              <w:rPr>
                <w:rFonts w:hint="default" w:ascii="Times New Roman" w:hAnsi="Times New Roman" w:cs="Times New Roman"/>
                <w:color w:val="auto"/>
                <w:sz w:val="18"/>
                <w:szCs w:val="18"/>
              </w:rPr>
              <w:t>,位于用地中部。主要用于存放</w:t>
            </w:r>
            <w:r>
              <w:rPr>
                <w:rFonts w:hint="default" w:ascii="Times New Roman" w:hAnsi="Times New Roman" w:cs="Times New Roman"/>
                <w:color w:val="auto"/>
                <w:sz w:val="18"/>
                <w:szCs w:val="18"/>
                <w:lang w:eastAsia="zh-CN"/>
              </w:rPr>
              <w:t>盐酸</w:t>
            </w:r>
            <w:r>
              <w:rPr>
                <w:rFonts w:hint="default" w:ascii="Times New Roman" w:hAnsi="Times New Roman" w:cs="Times New Roman"/>
                <w:color w:val="auto"/>
                <w:sz w:val="18"/>
                <w:szCs w:val="18"/>
              </w:rPr>
              <w:t>、氢氟酸</w:t>
            </w:r>
          </w:p>
        </w:tc>
        <w:tc>
          <w:tcPr>
            <w:tcW w:w="3066" w:type="dxa"/>
            <w:vAlign w:val="center"/>
          </w:tcPr>
          <w:p>
            <w:pPr>
              <w:widowControl/>
              <w:jc w:val="left"/>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color w:val="auto"/>
                <w:kern w:val="0"/>
                <w:sz w:val="18"/>
                <w:szCs w:val="18"/>
              </w:rPr>
              <w:t>1栋1层，占地面积约1500m</w:t>
            </w:r>
            <w:r>
              <w:rPr>
                <w:rFonts w:hint="default" w:ascii="Times New Roman" w:hAnsi="Times New Roman" w:eastAsia="宋体" w:cs="Times New Roman"/>
                <w:color w:val="auto"/>
                <w:kern w:val="0"/>
                <w:sz w:val="18"/>
                <w:szCs w:val="18"/>
                <w:vertAlign w:val="superscript"/>
              </w:rPr>
              <w:t>2</w:t>
            </w:r>
            <w:r>
              <w:rPr>
                <w:rFonts w:hint="default" w:ascii="Times New Roman" w:hAnsi="Times New Roman" w:eastAsia="宋体" w:cs="Times New Roman"/>
                <w:color w:val="auto"/>
                <w:kern w:val="0"/>
                <w:sz w:val="18"/>
                <w:szCs w:val="18"/>
              </w:rPr>
              <w:t>、建筑面积约1500m</w:t>
            </w:r>
            <w:r>
              <w:rPr>
                <w:rFonts w:hint="default" w:ascii="Times New Roman" w:hAnsi="Times New Roman" w:eastAsia="宋体" w:cs="Times New Roman"/>
                <w:color w:val="auto"/>
                <w:kern w:val="0"/>
                <w:sz w:val="18"/>
                <w:szCs w:val="18"/>
                <w:vertAlign w:val="superscript"/>
              </w:rPr>
              <w:t>2</w:t>
            </w:r>
            <w:r>
              <w:rPr>
                <w:rFonts w:hint="default" w:ascii="Times New Roman" w:hAnsi="Times New Roman" w:eastAsia="宋体" w:cs="Times New Roman"/>
                <w:color w:val="auto"/>
                <w:kern w:val="0"/>
                <w:sz w:val="18"/>
                <w:szCs w:val="18"/>
              </w:rPr>
              <w:t>，位于用地中部。主要用于储存</w:t>
            </w:r>
            <w:r>
              <w:rPr>
                <w:rFonts w:hint="default" w:ascii="Times New Roman" w:hAnsi="Times New Roman" w:cs="Times New Roman"/>
                <w:color w:val="auto"/>
                <w:kern w:val="0"/>
                <w:sz w:val="18"/>
                <w:szCs w:val="18"/>
                <w:lang w:eastAsia="zh-CN"/>
              </w:rPr>
              <w:t>盐酸</w:t>
            </w:r>
            <w:r>
              <w:rPr>
                <w:rFonts w:hint="default" w:ascii="Times New Roman" w:hAnsi="Times New Roman" w:eastAsia="宋体" w:cs="Times New Roman"/>
                <w:color w:val="auto"/>
                <w:kern w:val="0"/>
                <w:sz w:val="18"/>
                <w:szCs w:val="18"/>
              </w:rPr>
              <w:t>、氢氟酸等</w:t>
            </w:r>
          </w:p>
        </w:tc>
        <w:tc>
          <w:tcPr>
            <w:tcW w:w="1022" w:type="dxa"/>
            <w:vAlign w:val="center"/>
          </w:tcPr>
          <w:p>
            <w:pPr>
              <w:widowControl/>
              <w:jc w:val="center"/>
              <w:rPr>
                <w:rFonts w:hint="default" w:ascii="Times New Roman" w:hAnsi="Times New Roman" w:eastAsia="宋体" w:cs="Times New Roman"/>
                <w:color w:val="auto"/>
                <w:kern w:val="0"/>
                <w:sz w:val="18"/>
                <w:szCs w:val="18"/>
                <w:lang w:eastAsia="zh-CN"/>
              </w:rPr>
            </w:pPr>
            <w:r>
              <w:rPr>
                <w:rFonts w:hint="default" w:ascii="Times New Roman" w:hAnsi="Times New Roman" w:cs="Times New Roman"/>
                <w:color w:val="auto"/>
                <w:kern w:val="0"/>
                <w:sz w:val="18"/>
                <w:szCs w:val="18"/>
                <w:lang w:eastAsia="zh-CN"/>
              </w:rPr>
              <w:t>未发生改变</w:t>
            </w:r>
          </w:p>
        </w:tc>
        <w:tc>
          <w:tcPr>
            <w:tcW w:w="2264" w:type="dxa"/>
            <w:vAlign w:val="center"/>
          </w:tcPr>
          <w:p>
            <w:pPr>
              <w:widowControl/>
              <w:jc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w:t>
            </w:r>
          </w:p>
        </w:tc>
        <w:tc>
          <w:tcPr>
            <w:tcW w:w="2791" w:type="dxa"/>
            <w:vAlign w:val="center"/>
          </w:tcPr>
          <w:p>
            <w:pPr>
              <w:widowControl/>
              <w:jc w:val="center"/>
              <w:rPr>
                <w:rFonts w:hint="default" w:ascii="Times New Roman" w:hAnsi="Times New Roman"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w:t>
            </w:r>
          </w:p>
        </w:tc>
        <w:tc>
          <w:tcPr>
            <w:tcW w:w="1644" w:type="dxa"/>
            <w:vAlign w:val="center"/>
          </w:tcPr>
          <w:p>
            <w:pPr>
              <w:widowControl/>
              <w:jc w:val="center"/>
              <w:rPr>
                <w:rFonts w:hint="default" w:ascii="Times New Roman" w:hAnsi="Times New Roman"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581" w:type="dxa"/>
            <w:vMerge w:val="continue"/>
            <w:shd w:val="clear" w:color="auto" w:fill="auto"/>
            <w:vAlign w:val="center"/>
          </w:tcPr>
          <w:p>
            <w:pPr>
              <w:jc w:val="center"/>
              <w:rPr>
                <w:rFonts w:hint="default" w:ascii="Times New Roman" w:hAnsi="Times New Roman" w:eastAsia="宋体" w:cs="Times New Roman"/>
                <w:color w:val="auto"/>
                <w:kern w:val="0"/>
                <w:sz w:val="18"/>
                <w:szCs w:val="18"/>
              </w:rPr>
            </w:pPr>
          </w:p>
        </w:tc>
        <w:tc>
          <w:tcPr>
            <w:tcW w:w="1208" w:type="dxa"/>
            <w:gridSpan w:val="2"/>
            <w:shd w:val="clear" w:color="auto" w:fill="auto"/>
            <w:vAlign w:val="center"/>
          </w:tcPr>
          <w:p>
            <w:pPr>
              <w:widowControl/>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eastAsia="zh-CN"/>
              </w:rPr>
              <w:t>二期成品仓库</w:t>
            </w:r>
          </w:p>
        </w:tc>
        <w:tc>
          <w:tcPr>
            <w:tcW w:w="2879" w:type="dxa"/>
            <w:gridSpan w:val="2"/>
            <w:shd w:val="clear" w:color="auto" w:fill="auto"/>
            <w:vAlign w:val="center"/>
          </w:tcPr>
          <w:p>
            <w:pPr>
              <w:widowControl/>
              <w:jc w:val="left"/>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bidi="ar-SA"/>
              </w:rPr>
              <w:t>/</w:t>
            </w:r>
          </w:p>
        </w:tc>
        <w:tc>
          <w:tcPr>
            <w:tcW w:w="3066" w:type="dxa"/>
            <w:vAlign w:val="center"/>
          </w:tcPr>
          <w:p>
            <w:pPr>
              <w:widowControl/>
              <w:jc w:val="left"/>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1栋1层，建筑面积约</w:t>
            </w:r>
            <w:r>
              <w:rPr>
                <w:rFonts w:hint="default" w:ascii="Times New Roman" w:hAnsi="Times New Roman" w:cs="Times New Roman"/>
                <w:color w:val="auto"/>
                <w:kern w:val="0"/>
                <w:sz w:val="18"/>
                <w:szCs w:val="18"/>
                <w:lang w:val="en-US" w:eastAsia="zh-CN"/>
              </w:rPr>
              <w:t>8800</w:t>
            </w:r>
            <w:r>
              <w:rPr>
                <w:rFonts w:hint="default" w:ascii="Times New Roman" w:hAnsi="Times New Roman" w:eastAsia="宋体" w:cs="Times New Roman"/>
                <w:color w:val="auto"/>
                <w:kern w:val="0"/>
                <w:sz w:val="18"/>
                <w:szCs w:val="18"/>
              </w:rPr>
              <w:t>m</w:t>
            </w:r>
            <w:r>
              <w:rPr>
                <w:rFonts w:hint="default" w:ascii="Times New Roman" w:hAnsi="Times New Roman" w:eastAsia="宋体" w:cs="Times New Roman"/>
                <w:color w:val="auto"/>
                <w:kern w:val="0"/>
                <w:sz w:val="18"/>
                <w:szCs w:val="18"/>
                <w:vertAlign w:val="superscript"/>
              </w:rPr>
              <w:t>2</w:t>
            </w:r>
            <w:r>
              <w:rPr>
                <w:rFonts w:hint="default" w:ascii="Times New Roman" w:hAnsi="Times New Roman" w:eastAsia="宋体" w:cs="Times New Roman"/>
                <w:color w:val="auto"/>
                <w:kern w:val="0"/>
                <w:sz w:val="18"/>
                <w:szCs w:val="18"/>
              </w:rPr>
              <w:t>，位于厂区</w:t>
            </w:r>
            <w:r>
              <w:rPr>
                <w:rFonts w:hint="default" w:ascii="Times New Roman" w:hAnsi="Times New Roman" w:cs="Times New Roman"/>
                <w:color w:val="auto"/>
                <w:kern w:val="0"/>
                <w:sz w:val="18"/>
                <w:szCs w:val="18"/>
                <w:lang w:eastAsia="zh-CN"/>
              </w:rPr>
              <w:t>南</w:t>
            </w:r>
            <w:r>
              <w:rPr>
                <w:rFonts w:hint="default" w:ascii="Times New Roman" w:hAnsi="Times New Roman" w:eastAsia="宋体" w:cs="Times New Roman"/>
                <w:color w:val="auto"/>
                <w:kern w:val="0"/>
                <w:sz w:val="18"/>
                <w:szCs w:val="18"/>
              </w:rPr>
              <w:t>部，用于储存项目生产产品</w:t>
            </w:r>
          </w:p>
        </w:tc>
        <w:tc>
          <w:tcPr>
            <w:tcW w:w="1022" w:type="dxa"/>
            <w:vAlign w:val="center"/>
          </w:tcPr>
          <w:p>
            <w:pPr>
              <w:widowControl/>
              <w:jc w:val="center"/>
              <w:rPr>
                <w:rFonts w:hint="default" w:ascii="Times New Roman" w:hAnsi="Times New Roman" w:eastAsia="宋体" w:cs="Times New Roman"/>
                <w:color w:val="auto"/>
                <w:kern w:val="0"/>
                <w:sz w:val="18"/>
                <w:szCs w:val="18"/>
                <w:lang w:eastAsia="zh-CN"/>
              </w:rPr>
            </w:pPr>
            <w:r>
              <w:rPr>
                <w:rFonts w:hint="default" w:ascii="Times New Roman" w:hAnsi="Times New Roman" w:cs="Times New Roman"/>
                <w:color w:val="auto"/>
                <w:kern w:val="0"/>
                <w:sz w:val="18"/>
                <w:szCs w:val="18"/>
                <w:lang w:eastAsia="zh-CN"/>
              </w:rPr>
              <w:t>新增成品仓库</w:t>
            </w:r>
          </w:p>
        </w:tc>
        <w:tc>
          <w:tcPr>
            <w:tcW w:w="2264" w:type="dxa"/>
            <w:vAlign w:val="center"/>
          </w:tcPr>
          <w:p>
            <w:pPr>
              <w:widowControl/>
              <w:jc w:val="center"/>
              <w:rPr>
                <w:rFonts w:hint="default" w:ascii="Times New Roman" w:hAnsi="Times New Roman" w:eastAsia="宋体" w:cs="Times New Roman"/>
                <w:color w:val="auto"/>
                <w:kern w:val="0"/>
                <w:sz w:val="18"/>
                <w:szCs w:val="18"/>
              </w:rPr>
            </w:pPr>
            <w:r>
              <w:rPr>
                <w:rFonts w:hint="default" w:ascii="Times New Roman" w:hAnsi="Times New Roman" w:cs="Times New Roman"/>
                <w:color w:val="auto"/>
                <w:kern w:val="0"/>
                <w:sz w:val="18"/>
                <w:szCs w:val="18"/>
                <w:lang w:eastAsia="zh-CN"/>
              </w:rPr>
              <w:t>建设过程中设计发生调整</w:t>
            </w:r>
          </w:p>
        </w:tc>
        <w:tc>
          <w:tcPr>
            <w:tcW w:w="2791" w:type="dxa"/>
            <w:vAlign w:val="center"/>
          </w:tcPr>
          <w:p>
            <w:pPr>
              <w:widowControl/>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eastAsia="zh-CN"/>
              </w:rPr>
              <w:t>不涉及重大变动界定内容</w:t>
            </w:r>
          </w:p>
        </w:tc>
        <w:tc>
          <w:tcPr>
            <w:tcW w:w="1644" w:type="dxa"/>
            <w:vAlign w:val="center"/>
          </w:tcPr>
          <w:p>
            <w:pPr>
              <w:widowControl/>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581" w:type="dxa"/>
            <w:vMerge w:val="restart"/>
            <w:shd w:val="clear" w:color="auto" w:fill="auto"/>
            <w:vAlign w:val="center"/>
          </w:tcPr>
          <w:p>
            <w:pPr>
              <w:widowControl/>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公用工程</w:t>
            </w:r>
          </w:p>
        </w:tc>
        <w:tc>
          <w:tcPr>
            <w:tcW w:w="1208" w:type="dxa"/>
            <w:gridSpan w:val="2"/>
            <w:shd w:val="clear" w:color="auto" w:fill="auto"/>
            <w:vAlign w:val="center"/>
          </w:tcPr>
          <w:p>
            <w:pPr>
              <w:widowControl/>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供水</w:t>
            </w:r>
          </w:p>
        </w:tc>
        <w:tc>
          <w:tcPr>
            <w:tcW w:w="2879" w:type="dxa"/>
            <w:gridSpan w:val="2"/>
            <w:shd w:val="clear" w:color="auto" w:fill="auto"/>
            <w:vAlign w:val="center"/>
          </w:tcPr>
          <w:p>
            <w:pPr>
              <w:widowControl/>
              <w:jc w:val="left"/>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厂区供水管网采用生产、生活与消防共用给水管网，供水由园区自来水供水管网供给</w:t>
            </w:r>
          </w:p>
        </w:tc>
        <w:tc>
          <w:tcPr>
            <w:tcW w:w="3066" w:type="dxa"/>
            <w:vAlign w:val="center"/>
          </w:tcPr>
          <w:p>
            <w:pPr>
              <w:widowControl/>
              <w:jc w:val="left"/>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厂区供水管网采用生产、生活与消防共用给水管网，供水由园区自来水供水管网供给</w:t>
            </w:r>
          </w:p>
        </w:tc>
        <w:tc>
          <w:tcPr>
            <w:tcW w:w="1022" w:type="dxa"/>
            <w:vAlign w:val="center"/>
          </w:tcPr>
          <w:p>
            <w:pPr>
              <w:widowControl/>
              <w:jc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w:t>
            </w:r>
          </w:p>
        </w:tc>
        <w:tc>
          <w:tcPr>
            <w:tcW w:w="2264" w:type="dxa"/>
            <w:vAlign w:val="center"/>
          </w:tcPr>
          <w:p>
            <w:pPr>
              <w:widowControl/>
              <w:jc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w:t>
            </w:r>
          </w:p>
        </w:tc>
        <w:tc>
          <w:tcPr>
            <w:tcW w:w="2791" w:type="dxa"/>
            <w:vAlign w:val="center"/>
          </w:tcPr>
          <w:p>
            <w:pPr>
              <w:widowControl/>
              <w:jc w:val="center"/>
              <w:rPr>
                <w:rFonts w:hint="default" w:ascii="Times New Roman" w:hAnsi="Times New Roman"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w:t>
            </w:r>
          </w:p>
        </w:tc>
        <w:tc>
          <w:tcPr>
            <w:tcW w:w="1644" w:type="dxa"/>
            <w:vAlign w:val="center"/>
          </w:tcPr>
          <w:p>
            <w:pPr>
              <w:widowControl/>
              <w:jc w:val="center"/>
              <w:rPr>
                <w:rFonts w:hint="default" w:ascii="Times New Roman" w:hAnsi="Times New Roman"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1" w:type="dxa"/>
            <w:vMerge w:val="continue"/>
            <w:vAlign w:val="center"/>
          </w:tcPr>
          <w:p>
            <w:pPr>
              <w:widowControl/>
              <w:jc w:val="center"/>
              <w:rPr>
                <w:rFonts w:hint="default" w:ascii="Times New Roman" w:hAnsi="Times New Roman" w:eastAsia="宋体" w:cs="Times New Roman"/>
                <w:color w:val="auto"/>
                <w:kern w:val="0"/>
                <w:sz w:val="18"/>
                <w:szCs w:val="18"/>
              </w:rPr>
            </w:pPr>
          </w:p>
        </w:tc>
        <w:tc>
          <w:tcPr>
            <w:tcW w:w="1208" w:type="dxa"/>
            <w:gridSpan w:val="2"/>
            <w:shd w:val="clear" w:color="auto" w:fill="auto"/>
            <w:vAlign w:val="center"/>
          </w:tcPr>
          <w:p>
            <w:pPr>
              <w:widowControl/>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排水</w:t>
            </w:r>
          </w:p>
        </w:tc>
        <w:tc>
          <w:tcPr>
            <w:tcW w:w="2879" w:type="dxa"/>
            <w:gridSpan w:val="2"/>
            <w:shd w:val="clear" w:color="auto" w:fill="auto"/>
            <w:vAlign w:val="center"/>
          </w:tcPr>
          <w:p>
            <w:pPr>
              <w:widowControl/>
              <w:jc w:val="left"/>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color w:val="auto"/>
                <w:kern w:val="0"/>
                <w:sz w:val="18"/>
                <w:szCs w:val="18"/>
              </w:rPr>
              <w:t>实行雨污分流制，雨水经雨水管网排至项目区</w:t>
            </w:r>
            <w:r>
              <w:rPr>
                <w:rFonts w:hint="default" w:ascii="Times New Roman" w:hAnsi="Times New Roman" w:cs="Times New Roman"/>
                <w:color w:val="auto"/>
                <w:kern w:val="0"/>
                <w:sz w:val="18"/>
                <w:szCs w:val="18"/>
                <w:lang w:eastAsia="zh-CN"/>
              </w:rPr>
              <w:t>西</w:t>
            </w:r>
            <w:r>
              <w:rPr>
                <w:rFonts w:hint="default" w:ascii="Times New Roman" w:hAnsi="Times New Roman" w:eastAsia="宋体" w:cs="Times New Roman"/>
                <w:color w:val="auto"/>
                <w:kern w:val="0"/>
                <w:sz w:val="18"/>
                <w:szCs w:val="18"/>
              </w:rPr>
              <w:t>侧道路的雨水管网；生活废水和生产废水在场内预处理后</w:t>
            </w:r>
            <w:r>
              <w:rPr>
                <w:rFonts w:hint="default" w:ascii="Times New Roman" w:hAnsi="Times New Roman" w:cs="Times New Roman"/>
                <w:color w:val="auto"/>
                <w:kern w:val="0"/>
                <w:sz w:val="18"/>
                <w:szCs w:val="18"/>
                <w:lang w:eastAsia="zh-CN"/>
              </w:rPr>
              <w:t>分别</w:t>
            </w:r>
            <w:r>
              <w:rPr>
                <w:rFonts w:hint="default" w:ascii="Times New Roman" w:hAnsi="Times New Roman" w:eastAsia="宋体" w:cs="Times New Roman"/>
                <w:color w:val="auto"/>
                <w:kern w:val="0"/>
                <w:sz w:val="18"/>
                <w:szCs w:val="18"/>
              </w:rPr>
              <w:t>通过</w:t>
            </w:r>
            <w:r>
              <w:rPr>
                <w:rFonts w:hint="default" w:ascii="Times New Roman" w:hAnsi="Times New Roman" w:cs="Times New Roman"/>
                <w:color w:val="auto"/>
                <w:kern w:val="0"/>
                <w:sz w:val="18"/>
                <w:szCs w:val="18"/>
                <w:lang w:eastAsia="zh-CN"/>
              </w:rPr>
              <w:t>生活废水排放口和生产废水排放口排入项目区东侧的市政污水管网</w:t>
            </w:r>
          </w:p>
        </w:tc>
        <w:tc>
          <w:tcPr>
            <w:tcW w:w="3066" w:type="dxa"/>
            <w:vAlign w:val="center"/>
          </w:tcPr>
          <w:p>
            <w:pPr>
              <w:widowControl/>
              <w:jc w:val="left"/>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color w:val="auto"/>
                <w:kern w:val="0"/>
                <w:sz w:val="18"/>
                <w:szCs w:val="18"/>
              </w:rPr>
              <w:t>实行雨污分流制，雨水经雨水管网排至项目区</w:t>
            </w:r>
            <w:r>
              <w:rPr>
                <w:rFonts w:hint="default" w:ascii="Times New Roman" w:hAnsi="Times New Roman" w:cs="Times New Roman"/>
                <w:color w:val="auto"/>
                <w:kern w:val="0"/>
                <w:sz w:val="18"/>
                <w:szCs w:val="18"/>
                <w:lang w:eastAsia="zh-CN"/>
              </w:rPr>
              <w:t>西</w:t>
            </w:r>
            <w:r>
              <w:rPr>
                <w:rFonts w:hint="default" w:ascii="Times New Roman" w:hAnsi="Times New Roman" w:eastAsia="宋体" w:cs="Times New Roman"/>
                <w:color w:val="auto"/>
                <w:kern w:val="0"/>
                <w:sz w:val="18"/>
                <w:szCs w:val="18"/>
              </w:rPr>
              <w:t>侧道路的雨水管网；生活废水和生产废水在场内预处理后通过</w:t>
            </w:r>
            <w:r>
              <w:rPr>
                <w:rFonts w:hint="default" w:ascii="Times New Roman" w:hAnsi="Times New Roman" w:eastAsia="宋体" w:cs="Times New Roman"/>
                <w:color w:val="auto"/>
                <w:kern w:val="0"/>
                <w:sz w:val="18"/>
                <w:szCs w:val="18"/>
                <w:lang w:eastAsia="zh-CN"/>
              </w:rPr>
              <w:t>项目</w:t>
            </w:r>
            <w:r>
              <w:rPr>
                <w:rFonts w:hint="default" w:ascii="Times New Roman" w:hAnsi="Times New Roman" w:cs="Times New Roman"/>
                <w:color w:val="auto"/>
                <w:kern w:val="0"/>
                <w:sz w:val="18"/>
                <w:szCs w:val="18"/>
                <w:lang w:eastAsia="zh-CN"/>
              </w:rPr>
              <w:t>西侧</w:t>
            </w:r>
            <w:r>
              <w:rPr>
                <w:rFonts w:hint="default" w:ascii="Times New Roman" w:hAnsi="Times New Roman" w:eastAsia="宋体" w:cs="Times New Roman"/>
                <w:color w:val="auto"/>
                <w:kern w:val="0"/>
                <w:sz w:val="18"/>
                <w:szCs w:val="18"/>
                <w:lang w:eastAsia="zh-CN"/>
              </w:rPr>
              <w:t>的</w:t>
            </w:r>
            <w:r>
              <w:rPr>
                <w:rFonts w:hint="default" w:ascii="Times New Roman" w:hAnsi="Times New Roman" w:eastAsia="宋体" w:cs="Times New Roman"/>
                <w:color w:val="auto"/>
                <w:kern w:val="0"/>
                <w:sz w:val="18"/>
                <w:szCs w:val="18"/>
              </w:rPr>
              <w:t>废水总排口排入市政污水管网</w:t>
            </w:r>
          </w:p>
        </w:tc>
        <w:tc>
          <w:tcPr>
            <w:tcW w:w="1022" w:type="dxa"/>
            <w:vAlign w:val="center"/>
          </w:tcPr>
          <w:p>
            <w:pPr>
              <w:widowControl/>
              <w:jc w:val="center"/>
              <w:rPr>
                <w:rFonts w:hint="default" w:ascii="Times New Roman" w:hAnsi="Times New Roman" w:eastAsia="宋体" w:cs="Times New Roman"/>
                <w:color w:val="auto"/>
                <w:kern w:val="0"/>
                <w:sz w:val="18"/>
                <w:szCs w:val="18"/>
              </w:rPr>
            </w:pPr>
            <w:r>
              <w:rPr>
                <w:rFonts w:hint="default" w:ascii="Times New Roman" w:hAnsi="Times New Roman" w:cs="Times New Roman"/>
                <w:color w:val="auto"/>
                <w:kern w:val="0"/>
                <w:sz w:val="18"/>
                <w:szCs w:val="18"/>
                <w:lang w:eastAsia="zh-CN"/>
              </w:rPr>
              <w:t>生活废水和生产</w:t>
            </w:r>
            <w:r>
              <w:rPr>
                <w:rFonts w:hint="default" w:ascii="Times New Roman" w:hAnsi="Times New Roman" w:eastAsia="宋体" w:cs="Times New Roman"/>
                <w:color w:val="auto"/>
                <w:kern w:val="0"/>
                <w:sz w:val="18"/>
                <w:szCs w:val="18"/>
              </w:rPr>
              <w:t>废水排放口</w:t>
            </w:r>
            <w:r>
              <w:rPr>
                <w:rFonts w:hint="default" w:ascii="Times New Roman" w:hAnsi="Times New Roman" w:eastAsia="宋体" w:cs="Times New Roman"/>
                <w:color w:val="auto"/>
                <w:kern w:val="0"/>
                <w:sz w:val="18"/>
                <w:szCs w:val="18"/>
                <w:lang w:eastAsia="zh-CN"/>
              </w:rPr>
              <w:t>合并</w:t>
            </w:r>
            <w:r>
              <w:rPr>
                <w:rFonts w:hint="default" w:ascii="Times New Roman" w:hAnsi="Times New Roman" w:eastAsia="宋体" w:cs="Times New Roman"/>
                <w:color w:val="auto"/>
                <w:kern w:val="0"/>
                <w:sz w:val="18"/>
                <w:szCs w:val="18"/>
              </w:rPr>
              <w:t>，</w:t>
            </w:r>
            <w:r>
              <w:rPr>
                <w:rFonts w:hint="default" w:ascii="Times New Roman" w:hAnsi="Times New Roman" w:cs="Times New Roman"/>
                <w:color w:val="auto"/>
                <w:kern w:val="0"/>
                <w:sz w:val="18"/>
                <w:szCs w:val="18"/>
                <w:lang w:eastAsia="zh-CN"/>
              </w:rPr>
              <w:t>废水排放口</w:t>
            </w:r>
            <w:r>
              <w:rPr>
                <w:rFonts w:hint="default" w:ascii="Times New Roman" w:hAnsi="Times New Roman" w:eastAsia="宋体" w:cs="Times New Roman"/>
                <w:color w:val="auto"/>
                <w:kern w:val="0"/>
                <w:sz w:val="18"/>
                <w:szCs w:val="18"/>
              </w:rPr>
              <w:t>位置发生改变</w:t>
            </w:r>
          </w:p>
        </w:tc>
        <w:tc>
          <w:tcPr>
            <w:tcW w:w="2264" w:type="dxa"/>
            <w:vAlign w:val="center"/>
          </w:tcPr>
          <w:p>
            <w:pPr>
              <w:widowControl/>
              <w:jc w:val="center"/>
              <w:rPr>
                <w:rFonts w:hint="default" w:ascii="Times New Roman" w:hAnsi="Times New Roman" w:eastAsia="宋体" w:cs="Times New Roman"/>
                <w:color w:val="auto"/>
                <w:kern w:val="0"/>
                <w:sz w:val="18"/>
                <w:szCs w:val="18"/>
              </w:rPr>
            </w:pPr>
            <w:r>
              <w:rPr>
                <w:rFonts w:hint="default" w:ascii="Times New Roman" w:hAnsi="Times New Roman" w:cs="Times New Roman"/>
                <w:color w:val="auto"/>
                <w:kern w:val="0"/>
                <w:sz w:val="18"/>
                <w:szCs w:val="18"/>
                <w:lang w:eastAsia="zh-CN"/>
              </w:rPr>
              <w:t>建设过程中设计发生调整</w:t>
            </w:r>
          </w:p>
        </w:tc>
        <w:tc>
          <w:tcPr>
            <w:tcW w:w="2791" w:type="dxa"/>
            <w:vAlign w:val="center"/>
          </w:tcPr>
          <w:p>
            <w:pPr>
              <w:widowControl/>
              <w:jc w:val="left"/>
              <w:rPr>
                <w:rFonts w:hint="default" w:ascii="Times New Roman" w:hAnsi="Times New Roman" w:cs="Times New Roman"/>
                <w:color w:val="auto"/>
                <w:kern w:val="0"/>
                <w:sz w:val="18"/>
                <w:szCs w:val="18"/>
                <w:lang w:eastAsia="zh-CN"/>
              </w:rPr>
            </w:pPr>
            <w:r>
              <w:rPr>
                <w:rFonts w:hint="default" w:ascii="Times New Roman" w:hAnsi="Times New Roman" w:cs="Times New Roman"/>
                <w:color w:val="auto"/>
                <w:kern w:val="0"/>
                <w:sz w:val="18"/>
                <w:szCs w:val="18"/>
                <w:lang w:eastAsia="zh-CN"/>
              </w:rPr>
              <w:t>项目生活废水预处理后和处理达标的生产废水合并设置1个排放口排入园区污水管网，为间接排放，不是直接排放，没有新增废水排放口；</w:t>
            </w:r>
          </w:p>
        </w:tc>
        <w:tc>
          <w:tcPr>
            <w:tcW w:w="1644" w:type="dxa"/>
            <w:vAlign w:val="center"/>
          </w:tcPr>
          <w:p>
            <w:pPr>
              <w:widowControl/>
              <w:jc w:val="center"/>
              <w:rPr>
                <w:rFonts w:hint="default" w:ascii="Times New Roman" w:hAnsi="Times New Roman" w:cs="Times New Roman"/>
                <w:color w:val="auto"/>
                <w:kern w:val="0"/>
                <w:sz w:val="18"/>
                <w:szCs w:val="18"/>
                <w:lang w:eastAsia="zh-CN"/>
              </w:rPr>
            </w:pPr>
            <w:r>
              <w:rPr>
                <w:rFonts w:hint="default" w:ascii="Times New Roman" w:hAnsi="Times New Roman" w:cs="Times New Roman"/>
                <w:color w:val="auto"/>
                <w:sz w:val="18"/>
                <w:szCs w:val="18"/>
                <w:lang w:eastAsia="zh-CN"/>
              </w:rPr>
              <w:t>对照重大变动清单第</w:t>
            </w:r>
            <w:r>
              <w:rPr>
                <w:rFonts w:hint="default" w:ascii="Times New Roman" w:hAnsi="Times New Roman" w:cs="Times New Roman"/>
                <w:color w:val="auto"/>
                <w:sz w:val="18"/>
                <w:szCs w:val="18"/>
                <w:lang w:val="en-US" w:eastAsia="zh-CN"/>
              </w:rPr>
              <w:t>9条，不属于重大变动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581" w:type="dxa"/>
            <w:vMerge w:val="continue"/>
            <w:vAlign w:val="center"/>
          </w:tcPr>
          <w:p>
            <w:pPr>
              <w:widowControl/>
              <w:jc w:val="center"/>
              <w:rPr>
                <w:rFonts w:hint="default" w:ascii="Times New Roman" w:hAnsi="Times New Roman" w:eastAsia="宋体" w:cs="Times New Roman"/>
                <w:color w:val="auto"/>
                <w:kern w:val="0"/>
                <w:sz w:val="18"/>
                <w:szCs w:val="18"/>
              </w:rPr>
            </w:pPr>
          </w:p>
        </w:tc>
        <w:tc>
          <w:tcPr>
            <w:tcW w:w="1208" w:type="dxa"/>
            <w:gridSpan w:val="2"/>
            <w:shd w:val="clear" w:color="auto" w:fill="auto"/>
            <w:vAlign w:val="center"/>
          </w:tcPr>
          <w:p>
            <w:pPr>
              <w:widowControl/>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供电</w:t>
            </w:r>
          </w:p>
        </w:tc>
        <w:tc>
          <w:tcPr>
            <w:tcW w:w="2879" w:type="dxa"/>
            <w:gridSpan w:val="2"/>
            <w:shd w:val="clear" w:color="auto" w:fill="auto"/>
            <w:vAlign w:val="center"/>
          </w:tcPr>
          <w:p>
            <w:pPr>
              <w:keepNext w:val="0"/>
              <w:keepLines w:val="0"/>
              <w:widowControl/>
              <w:suppressLineNumbers w:val="0"/>
              <w:jc w:val="left"/>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lang w:val="en-US" w:eastAsia="zh-CN" w:bidi="ar"/>
              </w:rPr>
              <w:t>项目用电引自园区供电电网，厂区设置1座110KV变电站，经变压器在分配到各用电终端</w:t>
            </w:r>
          </w:p>
        </w:tc>
        <w:tc>
          <w:tcPr>
            <w:tcW w:w="3066" w:type="dxa"/>
            <w:vAlign w:val="center"/>
          </w:tcPr>
          <w:p>
            <w:pPr>
              <w:keepNext w:val="0"/>
              <w:keepLines w:val="0"/>
              <w:widowControl/>
              <w:suppressLineNumbers w:val="0"/>
              <w:jc w:val="left"/>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bidi="ar"/>
              </w:rPr>
              <w:t>项目用电引自园区供电电网，厂区设置1座110KV变电站，经变压器在分配到各用电终端</w:t>
            </w:r>
          </w:p>
        </w:tc>
        <w:tc>
          <w:tcPr>
            <w:tcW w:w="1022" w:type="dxa"/>
            <w:vAlign w:val="center"/>
          </w:tcPr>
          <w:p>
            <w:pPr>
              <w:widowControl/>
              <w:jc w:val="center"/>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color w:val="auto"/>
                <w:kern w:val="0"/>
                <w:sz w:val="18"/>
                <w:szCs w:val="18"/>
                <w:lang w:eastAsia="zh-CN"/>
              </w:rPr>
              <w:t>未发生改变</w:t>
            </w:r>
          </w:p>
        </w:tc>
        <w:tc>
          <w:tcPr>
            <w:tcW w:w="2264" w:type="dxa"/>
            <w:vAlign w:val="center"/>
          </w:tcPr>
          <w:p>
            <w:pPr>
              <w:widowControl/>
              <w:jc w:val="center"/>
              <w:rPr>
                <w:rFonts w:hint="default" w:ascii="Times New Roman" w:hAnsi="Times New Roman" w:eastAsia="宋体" w:cs="Times New Roman"/>
                <w:color w:val="auto"/>
                <w:kern w:val="0"/>
                <w:sz w:val="18"/>
                <w:szCs w:val="18"/>
                <w:lang w:eastAsia="zh-CN"/>
              </w:rPr>
            </w:pPr>
            <w:r>
              <w:rPr>
                <w:rFonts w:hint="default" w:ascii="Times New Roman" w:hAnsi="Times New Roman" w:cs="Times New Roman"/>
                <w:color w:val="auto"/>
                <w:kern w:val="0"/>
                <w:sz w:val="18"/>
                <w:szCs w:val="18"/>
                <w:lang w:eastAsia="zh-CN"/>
              </w:rPr>
              <w:t>（该变电站未办理环评手续，目前已进行处罚，正在补办环评手续）</w:t>
            </w:r>
          </w:p>
        </w:tc>
        <w:tc>
          <w:tcPr>
            <w:tcW w:w="2791" w:type="dxa"/>
            <w:vAlign w:val="center"/>
          </w:tcPr>
          <w:p>
            <w:pPr>
              <w:widowControl/>
              <w:jc w:val="center"/>
              <w:rPr>
                <w:rFonts w:hint="default" w:ascii="Times New Roman" w:hAnsi="Times New Roman"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w:t>
            </w:r>
          </w:p>
        </w:tc>
        <w:tc>
          <w:tcPr>
            <w:tcW w:w="1644" w:type="dxa"/>
            <w:vAlign w:val="center"/>
          </w:tcPr>
          <w:p>
            <w:pPr>
              <w:widowControl/>
              <w:jc w:val="center"/>
              <w:rPr>
                <w:rFonts w:hint="default" w:ascii="Times New Roman" w:hAnsi="Times New Roman"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581" w:type="dxa"/>
            <w:vMerge w:val="restart"/>
            <w:shd w:val="clear" w:color="auto" w:fill="auto"/>
            <w:vAlign w:val="center"/>
          </w:tcPr>
          <w:p>
            <w:pPr>
              <w:widowControl/>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环保工程</w:t>
            </w:r>
          </w:p>
        </w:tc>
        <w:tc>
          <w:tcPr>
            <w:tcW w:w="437" w:type="dxa"/>
            <w:vMerge w:val="restart"/>
            <w:shd w:val="clear" w:color="auto" w:fill="auto"/>
            <w:vAlign w:val="center"/>
          </w:tcPr>
          <w:p>
            <w:pPr>
              <w:widowControl/>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废气处置措施</w:t>
            </w:r>
          </w:p>
        </w:tc>
        <w:tc>
          <w:tcPr>
            <w:tcW w:w="771" w:type="dxa"/>
            <w:vMerge w:val="restart"/>
            <w:shd w:val="clear" w:color="auto" w:fill="auto"/>
            <w:vAlign w:val="center"/>
          </w:tcPr>
          <w:p>
            <w:pPr>
              <w:widowControl/>
              <w:jc w:val="center"/>
              <w:rPr>
                <w:rFonts w:hint="default" w:ascii="Times New Roman" w:hAnsi="Times New Roman" w:eastAsia="宋体" w:cs="Times New Roman"/>
                <w:color w:val="auto"/>
                <w:kern w:val="0"/>
                <w:sz w:val="18"/>
                <w:szCs w:val="18"/>
                <w:lang w:eastAsia="zh-CN"/>
              </w:rPr>
            </w:pPr>
            <w:r>
              <w:rPr>
                <w:rFonts w:hint="default" w:ascii="Times New Roman" w:hAnsi="Times New Roman" w:cs="Times New Roman"/>
                <w:color w:val="auto"/>
                <w:kern w:val="0"/>
                <w:sz w:val="18"/>
                <w:szCs w:val="18"/>
                <w:lang w:eastAsia="zh-CN"/>
              </w:rPr>
              <w:t>切片车间</w:t>
            </w:r>
          </w:p>
        </w:tc>
        <w:tc>
          <w:tcPr>
            <w:tcW w:w="660" w:type="dxa"/>
            <w:shd w:val="clear" w:color="auto" w:fill="auto"/>
            <w:vAlign w:val="center"/>
          </w:tcPr>
          <w:p>
            <w:pPr>
              <w:widowControl/>
              <w:jc w:val="center"/>
              <w:rPr>
                <w:rFonts w:hint="default" w:ascii="Times New Roman" w:hAnsi="Times New Roman" w:eastAsia="宋体" w:cs="Times New Roman"/>
                <w:color w:val="auto"/>
                <w:kern w:val="0"/>
                <w:sz w:val="18"/>
                <w:szCs w:val="18"/>
                <w:lang w:eastAsia="zh-CN"/>
              </w:rPr>
            </w:pPr>
            <w:r>
              <w:rPr>
                <w:rFonts w:hint="default" w:ascii="Times New Roman" w:hAnsi="Times New Roman" w:cs="Times New Roman"/>
                <w:color w:val="auto"/>
                <w:kern w:val="0"/>
                <w:sz w:val="18"/>
                <w:szCs w:val="18"/>
                <w:lang w:eastAsia="zh-CN"/>
              </w:rPr>
              <w:t>有机废气</w:t>
            </w:r>
          </w:p>
        </w:tc>
        <w:tc>
          <w:tcPr>
            <w:tcW w:w="2219" w:type="dxa"/>
            <w:shd w:val="clear" w:color="auto" w:fill="auto"/>
            <w:vAlign w:val="center"/>
          </w:tcPr>
          <w:p>
            <w:pPr>
              <w:widowControl/>
              <w:jc w:val="left"/>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sz w:val="18"/>
                <w:szCs w:val="18"/>
                <w:lang w:val="en-US" w:eastAsia="zh-CN"/>
              </w:rPr>
              <w:t>设置1套活性炭吸附塔治理</w:t>
            </w:r>
            <w:r>
              <w:rPr>
                <w:rFonts w:hint="default" w:ascii="Times New Roman" w:hAnsi="Times New Roman" w:cs="Times New Roman"/>
                <w:color w:val="auto"/>
                <w:sz w:val="18"/>
                <w:szCs w:val="18"/>
                <w:lang w:val="en-US" w:eastAsia="zh-CN"/>
              </w:rPr>
              <w:t>有机废气</w:t>
            </w:r>
            <w:r>
              <w:rPr>
                <w:rFonts w:hint="default" w:ascii="Times New Roman" w:hAnsi="Times New Roman" w:eastAsia="宋体" w:cs="Times New Roman"/>
                <w:color w:val="auto"/>
                <w:sz w:val="18"/>
                <w:szCs w:val="18"/>
                <w:lang w:val="en-US" w:eastAsia="zh-CN"/>
              </w:rPr>
              <w:t>后通过1根</w:t>
            </w:r>
            <w:r>
              <w:rPr>
                <w:rFonts w:hint="default" w:ascii="Times New Roman" w:hAnsi="Times New Roman" w:cs="Times New Roman"/>
                <w:color w:val="auto"/>
                <w:sz w:val="18"/>
                <w:szCs w:val="18"/>
                <w:lang w:val="en-US" w:eastAsia="zh-CN"/>
              </w:rPr>
              <w:t>25</w:t>
            </w:r>
            <w:r>
              <w:rPr>
                <w:rFonts w:hint="default" w:ascii="Times New Roman" w:hAnsi="Times New Roman" w:eastAsia="宋体" w:cs="Times New Roman"/>
                <w:color w:val="auto"/>
                <w:sz w:val="18"/>
                <w:szCs w:val="18"/>
                <w:lang w:val="en-US" w:eastAsia="zh-CN"/>
              </w:rPr>
              <w:t>m高排气筒排放</w:t>
            </w:r>
          </w:p>
        </w:tc>
        <w:tc>
          <w:tcPr>
            <w:tcW w:w="3066" w:type="dxa"/>
            <w:vAlign w:val="center"/>
          </w:tcPr>
          <w:p>
            <w:pPr>
              <w:widowControl/>
              <w:jc w:val="left"/>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color w:val="auto"/>
                <w:sz w:val="18"/>
                <w:szCs w:val="18"/>
                <w:lang w:val="en-US" w:eastAsia="zh-CN"/>
              </w:rPr>
              <w:t>设置1套活性炭吸附塔治理</w:t>
            </w:r>
            <w:r>
              <w:rPr>
                <w:rFonts w:hint="default" w:ascii="Times New Roman" w:hAnsi="Times New Roman" w:cs="Times New Roman"/>
                <w:color w:val="auto"/>
                <w:sz w:val="18"/>
                <w:szCs w:val="18"/>
                <w:lang w:val="en-US" w:eastAsia="zh-CN"/>
              </w:rPr>
              <w:t>有机废气</w:t>
            </w:r>
            <w:r>
              <w:rPr>
                <w:rFonts w:hint="default" w:ascii="Times New Roman" w:hAnsi="Times New Roman" w:eastAsia="宋体" w:cs="Times New Roman"/>
                <w:color w:val="auto"/>
                <w:sz w:val="18"/>
                <w:szCs w:val="18"/>
                <w:lang w:val="en-US" w:eastAsia="zh-CN"/>
              </w:rPr>
              <w:t>后通过1根</w:t>
            </w:r>
            <w:r>
              <w:rPr>
                <w:rFonts w:hint="default" w:ascii="Times New Roman" w:hAnsi="Times New Roman" w:cs="Times New Roman"/>
                <w:color w:val="auto"/>
                <w:sz w:val="18"/>
                <w:szCs w:val="18"/>
                <w:lang w:val="en-US" w:eastAsia="zh-CN"/>
              </w:rPr>
              <w:t>15</w:t>
            </w:r>
            <w:r>
              <w:rPr>
                <w:rFonts w:hint="default" w:ascii="Times New Roman" w:hAnsi="Times New Roman" w:eastAsia="宋体" w:cs="Times New Roman"/>
                <w:color w:val="auto"/>
                <w:sz w:val="18"/>
                <w:szCs w:val="18"/>
                <w:lang w:val="en-US" w:eastAsia="zh-CN"/>
              </w:rPr>
              <w:t>m高排气筒排放</w:t>
            </w:r>
          </w:p>
        </w:tc>
        <w:tc>
          <w:tcPr>
            <w:tcW w:w="1022" w:type="dxa"/>
            <w:vAlign w:val="center"/>
          </w:tcPr>
          <w:p>
            <w:pPr>
              <w:widowControl/>
              <w:jc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cs="Times New Roman"/>
                <w:color w:val="auto"/>
                <w:kern w:val="0"/>
                <w:sz w:val="18"/>
                <w:szCs w:val="18"/>
                <w:lang w:eastAsia="zh-CN"/>
              </w:rPr>
              <w:t>排气筒高度降低</w:t>
            </w:r>
            <w:r>
              <w:rPr>
                <w:rFonts w:hint="default" w:ascii="Times New Roman" w:hAnsi="Times New Roman" w:cs="Times New Roman"/>
                <w:color w:val="auto"/>
                <w:kern w:val="0"/>
                <w:sz w:val="18"/>
                <w:szCs w:val="18"/>
                <w:lang w:val="en-US" w:eastAsia="zh-CN"/>
              </w:rPr>
              <w:t>10m</w:t>
            </w:r>
          </w:p>
        </w:tc>
        <w:tc>
          <w:tcPr>
            <w:tcW w:w="2264" w:type="dxa"/>
            <w:vAlign w:val="center"/>
          </w:tcPr>
          <w:p>
            <w:pPr>
              <w:widowControl/>
              <w:jc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建设过程中设计发生调整</w:t>
            </w:r>
          </w:p>
        </w:tc>
        <w:tc>
          <w:tcPr>
            <w:tcW w:w="2791" w:type="dxa"/>
            <w:vAlign w:val="center"/>
          </w:tcPr>
          <w:p>
            <w:pPr>
              <w:widowControl/>
              <w:jc w:val="left"/>
              <w:rPr>
                <w:rFonts w:hint="default" w:ascii="Times New Roman" w:hAnsi="Times New Roman"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防治措施未发生变化，排气筒高度降低，排放口为一般排放口</w:t>
            </w:r>
          </w:p>
        </w:tc>
        <w:tc>
          <w:tcPr>
            <w:tcW w:w="1644" w:type="dxa"/>
            <w:vAlign w:val="center"/>
          </w:tcPr>
          <w:p>
            <w:pPr>
              <w:widowControl/>
              <w:jc w:val="center"/>
              <w:rPr>
                <w:rFonts w:hint="default" w:ascii="Times New Roman" w:hAnsi="Times New Roman"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对照</w:t>
            </w:r>
            <w:r>
              <w:rPr>
                <w:rFonts w:hint="default" w:ascii="Times New Roman" w:hAnsi="Times New Roman" w:cs="Times New Roman"/>
                <w:color w:val="auto"/>
                <w:sz w:val="18"/>
                <w:szCs w:val="18"/>
                <w:lang w:eastAsia="zh-CN"/>
              </w:rPr>
              <w:t>重大变动清单第</w:t>
            </w:r>
            <w:r>
              <w:rPr>
                <w:rFonts w:hint="default" w:ascii="Times New Roman" w:hAnsi="Times New Roman" w:cs="Times New Roman"/>
                <w:color w:val="auto"/>
                <w:sz w:val="18"/>
                <w:szCs w:val="18"/>
                <w:lang w:val="en-US" w:eastAsia="zh-CN"/>
              </w:rPr>
              <w:t>10条，不属于重大变动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581" w:type="dxa"/>
            <w:vMerge w:val="continue"/>
            <w:shd w:val="clear" w:color="auto" w:fill="auto"/>
            <w:vAlign w:val="center"/>
          </w:tcPr>
          <w:p>
            <w:pPr>
              <w:widowControl/>
              <w:jc w:val="center"/>
              <w:rPr>
                <w:rFonts w:hint="default" w:ascii="Times New Roman" w:hAnsi="Times New Roman" w:eastAsia="宋体" w:cs="Times New Roman"/>
                <w:color w:val="auto"/>
                <w:kern w:val="0"/>
                <w:sz w:val="18"/>
                <w:szCs w:val="18"/>
              </w:rPr>
            </w:pPr>
          </w:p>
        </w:tc>
        <w:tc>
          <w:tcPr>
            <w:tcW w:w="437" w:type="dxa"/>
            <w:vMerge w:val="continue"/>
            <w:shd w:val="clear" w:color="auto" w:fill="auto"/>
            <w:vAlign w:val="center"/>
          </w:tcPr>
          <w:p>
            <w:pPr>
              <w:widowControl/>
              <w:jc w:val="center"/>
              <w:rPr>
                <w:rFonts w:hint="default" w:ascii="Times New Roman" w:hAnsi="Times New Roman" w:eastAsia="宋体" w:cs="Times New Roman"/>
                <w:color w:val="auto"/>
                <w:kern w:val="0"/>
                <w:sz w:val="18"/>
                <w:szCs w:val="18"/>
              </w:rPr>
            </w:pPr>
          </w:p>
        </w:tc>
        <w:tc>
          <w:tcPr>
            <w:tcW w:w="771" w:type="dxa"/>
            <w:vMerge w:val="continue"/>
            <w:shd w:val="clear" w:color="auto" w:fill="auto"/>
            <w:vAlign w:val="center"/>
          </w:tcPr>
          <w:p>
            <w:pPr>
              <w:widowControl/>
              <w:jc w:val="center"/>
              <w:rPr>
                <w:rFonts w:hint="default" w:ascii="Times New Roman" w:hAnsi="Times New Roman" w:eastAsia="宋体" w:cs="Times New Roman"/>
                <w:color w:val="auto"/>
                <w:kern w:val="0"/>
                <w:sz w:val="18"/>
                <w:szCs w:val="18"/>
              </w:rPr>
            </w:pPr>
          </w:p>
        </w:tc>
        <w:tc>
          <w:tcPr>
            <w:tcW w:w="660" w:type="dxa"/>
            <w:shd w:val="clear" w:color="auto" w:fill="auto"/>
            <w:vAlign w:val="center"/>
          </w:tcPr>
          <w:p>
            <w:pPr>
              <w:widowControl/>
              <w:jc w:val="center"/>
              <w:rPr>
                <w:rFonts w:hint="default" w:ascii="Times New Roman" w:hAnsi="Times New Roman" w:eastAsia="宋体" w:cs="Times New Roman"/>
                <w:color w:val="auto"/>
                <w:kern w:val="0"/>
                <w:sz w:val="18"/>
                <w:szCs w:val="18"/>
                <w:lang w:eastAsia="zh-CN"/>
              </w:rPr>
            </w:pPr>
            <w:r>
              <w:rPr>
                <w:rFonts w:hint="default" w:ascii="Times New Roman" w:hAnsi="Times New Roman" w:cs="Times New Roman"/>
                <w:color w:val="auto"/>
                <w:kern w:val="0"/>
                <w:sz w:val="18"/>
                <w:szCs w:val="18"/>
                <w:lang w:eastAsia="zh-CN"/>
              </w:rPr>
              <w:t>切片粉尘</w:t>
            </w:r>
          </w:p>
        </w:tc>
        <w:tc>
          <w:tcPr>
            <w:tcW w:w="2219" w:type="dxa"/>
            <w:shd w:val="clear" w:color="auto" w:fill="auto"/>
            <w:vAlign w:val="center"/>
          </w:tcPr>
          <w:p>
            <w:pPr>
              <w:widowControl/>
              <w:jc w:val="left"/>
              <w:rPr>
                <w:rFonts w:hint="default" w:ascii="Times New Roman" w:hAnsi="Times New Roman" w:eastAsia="宋体"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w:t>
            </w:r>
          </w:p>
        </w:tc>
        <w:tc>
          <w:tcPr>
            <w:tcW w:w="3066" w:type="dxa"/>
            <w:vAlign w:val="center"/>
          </w:tcPr>
          <w:p>
            <w:pPr>
              <w:widowControl/>
              <w:jc w:val="left"/>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color w:val="auto"/>
                <w:sz w:val="18"/>
                <w:szCs w:val="18"/>
                <w:lang w:val="en-US" w:eastAsia="zh-CN"/>
              </w:rPr>
              <w:t>设置1套</w:t>
            </w:r>
            <w:r>
              <w:rPr>
                <w:rFonts w:hint="default" w:ascii="Times New Roman" w:hAnsi="Times New Roman" w:cs="Times New Roman"/>
                <w:color w:val="auto"/>
                <w:sz w:val="18"/>
                <w:szCs w:val="18"/>
                <w:lang w:val="en-US" w:eastAsia="zh-CN"/>
              </w:rPr>
              <w:t>文丘里洗涤塔（湿式除尘器）</w:t>
            </w:r>
            <w:r>
              <w:rPr>
                <w:rFonts w:hint="default" w:ascii="Times New Roman" w:hAnsi="Times New Roman" w:eastAsia="宋体" w:cs="Times New Roman"/>
                <w:color w:val="auto"/>
                <w:sz w:val="18"/>
                <w:szCs w:val="18"/>
                <w:lang w:val="en-US" w:eastAsia="zh-CN"/>
              </w:rPr>
              <w:t>治理</w:t>
            </w:r>
            <w:r>
              <w:rPr>
                <w:rFonts w:hint="default" w:ascii="Times New Roman" w:hAnsi="Times New Roman" w:cs="Times New Roman"/>
                <w:color w:val="auto"/>
                <w:sz w:val="18"/>
                <w:szCs w:val="18"/>
                <w:lang w:val="en-US" w:eastAsia="zh-CN"/>
              </w:rPr>
              <w:t>切片粉尘</w:t>
            </w:r>
            <w:r>
              <w:rPr>
                <w:rFonts w:hint="default" w:ascii="Times New Roman" w:hAnsi="Times New Roman" w:eastAsia="宋体" w:cs="Times New Roman"/>
                <w:color w:val="auto"/>
                <w:sz w:val="18"/>
                <w:szCs w:val="18"/>
                <w:lang w:val="en-US" w:eastAsia="zh-CN"/>
              </w:rPr>
              <w:t>后通过1根</w:t>
            </w:r>
            <w:r>
              <w:rPr>
                <w:rFonts w:hint="default" w:ascii="Times New Roman" w:hAnsi="Times New Roman" w:cs="Times New Roman"/>
                <w:color w:val="auto"/>
                <w:sz w:val="18"/>
                <w:szCs w:val="18"/>
                <w:lang w:val="en-US" w:eastAsia="zh-CN"/>
              </w:rPr>
              <w:t>15</w:t>
            </w:r>
            <w:r>
              <w:rPr>
                <w:rFonts w:hint="default" w:ascii="Times New Roman" w:hAnsi="Times New Roman" w:eastAsia="宋体" w:cs="Times New Roman"/>
                <w:color w:val="auto"/>
                <w:sz w:val="18"/>
                <w:szCs w:val="18"/>
                <w:lang w:val="en-US" w:eastAsia="zh-CN"/>
              </w:rPr>
              <w:t>m高排气筒排放</w:t>
            </w:r>
          </w:p>
        </w:tc>
        <w:tc>
          <w:tcPr>
            <w:tcW w:w="1022" w:type="dxa"/>
            <w:vAlign w:val="center"/>
          </w:tcPr>
          <w:p>
            <w:pPr>
              <w:widowControl/>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sz w:val="18"/>
                <w:szCs w:val="18"/>
              </w:rPr>
              <w:t>增加治理设施</w:t>
            </w:r>
          </w:p>
        </w:tc>
        <w:tc>
          <w:tcPr>
            <w:tcW w:w="2264" w:type="dxa"/>
            <w:vAlign w:val="center"/>
          </w:tcPr>
          <w:p>
            <w:pPr>
              <w:widowControl/>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eastAsia="zh-CN"/>
              </w:rPr>
              <w:t>切片过程中会产生少量粉尘，建设单位新增治理设施</w:t>
            </w:r>
          </w:p>
        </w:tc>
        <w:tc>
          <w:tcPr>
            <w:tcW w:w="2791" w:type="dxa"/>
            <w:vAlign w:val="center"/>
          </w:tcPr>
          <w:p>
            <w:pPr>
              <w:widowControl/>
              <w:jc w:val="left"/>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lang w:eastAsia="zh-CN"/>
              </w:rPr>
              <w:t>新增废气治理设施，新增废气排放口，但属于无组织排放改为有组织排放，废气排放口为一般排放口</w:t>
            </w:r>
          </w:p>
        </w:tc>
        <w:tc>
          <w:tcPr>
            <w:tcW w:w="1644" w:type="dxa"/>
            <w:vAlign w:val="center"/>
          </w:tcPr>
          <w:p>
            <w:pPr>
              <w:widowControl/>
              <w:jc w:val="center"/>
              <w:rPr>
                <w:rFonts w:hint="default" w:ascii="Times New Roman" w:hAnsi="Times New Roman" w:cs="Times New Roman"/>
                <w:color w:val="auto"/>
                <w:sz w:val="18"/>
                <w:szCs w:val="18"/>
                <w:lang w:eastAsia="zh-CN"/>
              </w:rPr>
            </w:pPr>
            <w:r>
              <w:rPr>
                <w:rFonts w:hint="default" w:ascii="Times New Roman" w:hAnsi="Times New Roman" w:cs="Times New Roman"/>
                <w:color w:val="auto"/>
                <w:kern w:val="0"/>
                <w:sz w:val="18"/>
                <w:szCs w:val="18"/>
                <w:lang w:val="en-US" w:eastAsia="zh-CN"/>
              </w:rPr>
              <w:t>对照</w:t>
            </w:r>
            <w:r>
              <w:rPr>
                <w:rFonts w:hint="default" w:ascii="Times New Roman" w:hAnsi="Times New Roman" w:cs="Times New Roman"/>
                <w:color w:val="auto"/>
                <w:sz w:val="18"/>
                <w:szCs w:val="18"/>
                <w:lang w:eastAsia="zh-CN"/>
              </w:rPr>
              <w:t>重大变动清单第</w:t>
            </w:r>
            <w:r>
              <w:rPr>
                <w:rFonts w:hint="default" w:ascii="Times New Roman" w:hAnsi="Times New Roman" w:cs="Times New Roman"/>
                <w:color w:val="auto"/>
                <w:sz w:val="18"/>
                <w:szCs w:val="18"/>
                <w:lang w:val="en-US" w:eastAsia="zh-CN"/>
              </w:rPr>
              <w:t>10条，不属于重大变动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581" w:type="dxa"/>
            <w:vMerge w:val="continue"/>
            <w:shd w:val="clear" w:color="auto" w:fill="auto"/>
            <w:vAlign w:val="center"/>
          </w:tcPr>
          <w:p>
            <w:pPr>
              <w:widowControl/>
              <w:jc w:val="center"/>
              <w:rPr>
                <w:rFonts w:hint="default" w:ascii="Times New Roman" w:hAnsi="Times New Roman" w:eastAsia="宋体" w:cs="Times New Roman"/>
                <w:color w:val="auto"/>
                <w:kern w:val="0"/>
                <w:sz w:val="18"/>
                <w:szCs w:val="18"/>
              </w:rPr>
            </w:pPr>
          </w:p>
        </w:tc>
        <w:tc>
          <w:tcPr>
            <w:tcW w:w="437" w:type="dxa"/>
            <w:vMerge w:val="continue"/>
            <w:shd w:val="clear" w:color="auto" w:fill="auto"/>
            <w:vAlign w:val="center"/>
          </w:tcPr>
          <w:p>
            <w:pPr>
              <w:widowControl/>
              <w:jc w:val="center"/>
              <w:rPr>
                <w:rFonts w:hint="default" w:ascii="Times New Roman" w:hAnsi="Times New Roman" w:eastAsia="宋体" w:cs="Times New Roman"/>
                <w:color w:val="auto"/>
                <w:kern w:val="0"/>
                <w:sz w:val="18"/>
                <w:szCs w:val="18"/>
              </w:rPr>
            </w:pPr>
          </w:p>
        </w:tc>
        <w:tc>
          <w:tcPr>
            <w:tcW w:w="771" w:type="dxa"/>
            <w:shd w:val="clear" w:color="auto" w:fill="auto"/>
            <w:vAlign w:val="center"/>
          </w:tcPr>
          <w:p>
            <w:pPr>
              <w:widowControl/>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eastAsia="zh-CN"/>
              </w:rPr>
              <w:t>综合污水处理站</w:t>
            </w:r>
          </w:p>
        </w:tc>
        <w:tc>
          <w:tcPr>
            <w:tcW w:w="660" w:type="dxa"/>
            <w:shd w:val="clear" w:color="auto" w:fill="auto"/>
            <w:vAlign w:val="center"/>
          </w:tcPr>
          <w:p>
            <w:pPr>
              <w:widowControl/>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eastAsia="zh-CN"/>
              </w:rPr>
              <w:t>恶臭</w:t>
            </w:r>
          </w:p>
        </w:tc>
        <w:tc>
          <w:tcPr>
            <w:tcW w:w="2219" w:type="dxa"/>
            <w:shd w:val="clear" w:color="auto" w:fill="auto"/>
            <w:vAlign w:val="center"/>
          </w:tcPr>
          <w:p>
            <w:pPr>
              <w:widowControl/>
              <w:jc w:val="left"/>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3066" w:type="dxa"/>
            <w:vAlign w:val="center"/>
          </w:tcPr>
          <w:p>
            <w:pPr>
              <w:widowControl/>
              <w:jc w:val="left"/>
              <w:rPr>
                <w:rFonts w:hint="default" w:ascii="Times New Roman" w:hAnsi="Times New Roman" w:eastAsia="宋体" w:cs="Times New Roman"/>
                <w:color w:val="auto"/>
                <w:sz w:val="18"/>
                <w:szCs w:val="18"/>
              </w:rPr>
            </w:pPr>
            <w:r>
              <w:rPr>
                <w:rFonts w:hint="default" w:ascii="Times New Roman" w:hAnsi="Times New Roman" w:cs="Times New Roman"/>
                <w:color w:val="auto"/>
                <w:sz w:val="18"/>
                <w:szCs w:val="18"/>
                <w:lang w:val="en-US" w:eastAsia="zh-CN"/>
              </w:rPr>
              <w:t>设置1套除臭系统（碱吸收）治理综合污水处理站恶臭后通过1</w:t>
            </w:r>
            <w:r>
              <w:rPr>
                <w:rFonts w:hint="default" w:ascii="Times New Roman" w:hAnsi="Times New Roman" w:eastAsia="宋体" w:cs="Times New Roman"/>
                <w:color w:val="auto"/>
                <w:sz w:val="18"/>
                <w:szCs w:val="18"/>
                <w:lang w:val="en-US" w:eastAsia="zh-CN"/>
              </w:rPr>
              <w:t>根</w:t>
            </w:r>
            <w:r>
              <w:rPr>
                <w:rFonts w:hint="default" w:ascii="Times New Roman" w:hAnsi="Times New Roman" w:cs="Times New Roman"/>
                <w:color w:val="auto"/>
                <w:sz w:val="18"/>
                <w:szCs w:val="18"/>
                <w:lang w:val="en-US" w:eastAsia="zh-CN"/>
              </w:rPr>
              <w:t>1</w:t>
            </w:r>
            <w:r>
              <w:rPr>
                <w:rFonts w:hint="default" w:ascii="Times New Roman" w:hAnsi="Times New Roman" w:eastAsia="宋体" w:cs="Times New Roman"/>
                <w:color w:val="auto"/>
                <w:sz w:val="18"/>
                <w:szCs w:val="18"/>
                <w:lang w:val="en-US" w:eastAsia="zh-CN"/>
              </w:rPr>
              <w:t>5m高排气筒排放</w:t>
            </w:r>
          </w:p>
        </w:tc>
        <w:tc>
          <w:tcPr>
            <w:tcW w:w="1022" w:type="dxa"/>
            <w:vAlign w:val="center"/>
          </w:tcPr>
          <w:p>
            <w:pPr>
              <w:widowControl/>
              <w:jc w:val="center"/>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rPr>
              <w:t>增加治理设施</w:t>
            </w:r>
          </w:p>
        </w:tc>
        <w:tc>
          <w:tcPr>
            <w:tcW w:w="2264" w:type="dxa"/>
            <w:vAlign w:val="center"/>
          </w:tcPr>
          <w:p>
            <w:pPr>
              <w:widowControl/>
              <w:jc w:val="center"/>
              <w:rPr>
                <w:rFonts w:hint="default" w:ascii="Times New Roman" w:hAnsi="Times New Roman" w:eastAsia="宋体" w:cs="Times New Roman"/>
                <w:color w:val="auto"/>
                <w:kern w:val="0"/>
                <w:sz w:val="18"/>
                <w:szCs w:val="18"/>
                <w:lang w:eastAsia="zh-CN"/>
              </w:rPr>
            </w:pPr>
            <w:r>
              <w:rPr>
                <w:rFonts w:hint="default" w:ascii="Times New Roman" w:hAnsi="Times New Roman" w:cs="Times New Roman"/>
                <w:color w:val="auto"/>
                <w:kern w:val="0"/>
                <w:sz w:val="18"/>
                <w:szCs w:val="18"/>
                <w:lang w:eastAsia="zh-CN"/>
              </w:rPr>
              <w:t>污水处理站废水处理过程中会产生恶臭，建设单位新增治理设施</w:t>
            </w:r>
          </w:p>
        </w:tc>
        <w:tc>
          <w:tcPr>
            <w:tcW w:w="2791" w:type="dxa"/>
            <w:vAlign w:val="center"/>
          </w:tcPr>
          <w:p>
            <w:pPr>
              <w:widowControl/>
              <w:jc w:val="left"/>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eastAsia="zh-CN"/>
              </w:rPr>
              <w:t>新增废气治理设施，新增废气排放口，但属于无组织排放改为有组织排放，废气排放口为一般排放口</w:t>
            </w:r>
          </w:p>
        </w:tc>
        <w:tc>
          <w:tcPr>
            <w:tcW w:w="1644" w:type="dxa"/>
            <w:vAlign w:val="center"/>
          </w:tcPr>
          <w:p>
            <w:pPr>
              <w:widowControl/>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kern w:val="0"/>
                <w:sz w:val="18"/>
                <w:szCs w:val="18"/>
                <w:lang w:val="en-US" w:eastAsia="zh-CN"/>
              </w:rPr>
              <w:t>对照</w:t>
            </w:r>
            <w:r>
              <w:rPr>
                <w:rFonts w:hint="default" w:ascii="Times New Roman" w:hAnsi="Times New Roman" w:cs="Times New Roman"/>
                <w:color w:val="auto"/>
                <w:sz w:val="18"/>
                <w:szCs w:val="18"/>
                <w:lang w:eastAsia="zh-CN"/>
              </w:rPr>
              <w:t>重大变动清单第</w:t>
            </w:r>
            <w:r>
              <w:rPr>
                <w:rFonts w:hint="default" w:ascii="Times New Roman" w:hAnsi="Times New Roman" w:cs="Times New Roman"/>
                <w:color w:val="auto"/>
                <w:sz w:val="18"/>
                <w:szCs w:val="18"/>
                <w:lang w:val="en-US" w:eastAsia="zh-CN"/>
              </w:rPr>
              <w:t>10条，不属于重大变动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581" w:type="dxa"/>
            <w:vMerge w:val="continue"/>
            <w:vAlign w:val="center"/>
          </w:tcPr>
          <w:p>
            <w:pPr>
              <w:widowControl/>
              <w:jc w:val="center"/>
              <w:rPr>
                <w:rFonts w:hint="default" w:ascii="Times New Roman" w:hAnsi="Times New Roman" w:eastAsia="宋体" w:cs="Times New Roman"/>
                <w:color w:val="auto"/>
                <w:kern w:val="0"/>
                <w:sz w:val="18"/>
                <w:szCs w:val="18"/>
              </w:rPr>
            </w:pPr>
          </w:p>
        </w:tc>
        <w:tc>
          <w:tcPr>
            <w:tcW w:w="437" w:type="dxa"/>
            <w:vMerge w:val="restart"/>
            <w:shd w:val="clear" w:color="auto" w:fill="auto"/>
            <w:vAlign w:val="center"/>
          </w:tcPr>
          <w:p>
            <w:pPr>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废水处置措施</w:t>
            </w:r>
          </w:p>
        </w:tc>
        <w:tc>
          <w:tcPr>
            <w:tcW w:w="771" w:type="dxa"/>
            <w:shd w:val="clear" w:color="auto" w:fill="auto"/>
            <w:vAlign w:val="center"/>
          </w:tcPr>
          <w:p>
            <w:pPr>
              <w:widowControl/>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eastAsia="zh-CN"/>
              </w:rPr>
              <w:t>隔油池</w:t>
            </w:r>
          </w:p>
        </w:tc>
        <w:tc>
          <w:tcPr>
            <w:tcW w:w="2879" w:type="dxa"/>
            <w:gridSpan w:val="2"/>
            <w:shd w:val="clear" w:color="auto" w:fill="auto"/>
            <w:vAlign w:val="center"/>
          </w:tcPr>
          <w:p>
            <w:pPr>
              <w:widowControl/>
              <w:jc w:val="left"/>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sz w:val="18"/>
                <w:szCs w:val="18"/>
                <w:lang w:val="en-US" w:eastAsia="zh-CN"/>
              </w:rPr>
              <w:t>设置</w:t>
            </w:r>
            <w:r>
              <w:rPr>
                <w:rFonts w:hint="default" w:ascii="Times New Roman" w:hAnsi="Times New Roman" w:cs="Times New Roman"/>
                <w:color w:val="auto"/>
                <w:sz w:val="18"/>
                <w:szCs w:val="18"/>
                <w:lang w:val="en-US" w:eastAsia="zh-CN"/>
              </w:rPr>
              <w:t>1</w:t>
            </w:r>
            <w:r>
              <w:rPr>
                <w:rFonts w:hint="default" w:ascii="Times New Roman" w:hAnsi="Times New Roman" w:eastAsia="宋体" w:cs="Times New Roman"/>
                <w:color w:val="auto"/>
                <w:sz w:val="18"/>
                <w:szCs w:val="18"/>
                <w:lang w:val="en-US" w:eastAsia="zh-CN"/>
              </w:rPr>
              <w:t>座容积不低于5m</w:t>
            </w:r>
            <w:r>
              <w:rPr>
                <w:rFonts w:hint="default" w:ascii="Times New Roman" w:hAnsi="Times New Roman" w:cs="Times New Roman"/>
                <w:color w:val="auto"/>
                <w:sz w:val="18"/>
                <w:szCs w:val="18"/>
                <w:vertAlign w:val="superscript"/>
                <w:lang w:val="en-US" w:eastAsia="zh-CN"/>
              </w:rPr>
              <w:t>3</w:t>
            </w:r>
            <w:r>
              <w:rPr>
                <w:rFonts w:hint="default" w:ascii="Times New Roman" w:hAnsi="Times New Roman" w:eastAsia="宋体" w:cs="Times New Roman"/>
                <w:color w:val="auto"/>
                <w:sz w:val="18"/>
                <w:szCs w:val="18"/>
                <w:lang w:val="en-US" w:eastAsia="zh-CN"/>
              </w:rPr>
              <w:t>的隔油池处理食堂废水</w:t>
            </w:r>
          </w:p>
        </w:tc>
        <w:tc>
          <w:tcPr>
            <w:tcW w:w="3066" w:type="dxa"/>
            <w:vAlign w:val="center"/>
          </w:tcPr>
          <w:p>
            <w:pPr>
              <w:widowControl/>
              <w:jc w:val="left"/>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sz w:val="18"/>
                <w:szCs w:val="18"/>
                <w:lang w:val="en-US" w:eastAsia="zh-CN"/>
              </w:rPr>
              <w:t>设置</w:t>
            </w:r>
            <w:r>
              <w:rPr>
                <w:rFonts w:hint="default" w:ascii="Times New Roman" w:hAnsi="Times New Roman" w:cs="Times New Roman"/>
                <w:color w:val="auto"/>
                <w:sz w:val="18"/>
                <w:szCs w:val="18"/>
                <w:lang w:val="en-US" w:eastAsia="zh-CN"/>
              </w:rPr>
              <w:t>1</w:t>
            </w:r>
            <w:r>
              <w:rPr>
                <w:rFonts w:hint="default" w:ascii="Times New Roman" w:hAnsi="Times New Roman" w:eastAsia="宋体" w:cs="Times New Roman"/>
                <w:color w:val="auto"/>
                <w:sz w:val="18"/>
                <w:szCs w:val="18"/>
                <w:lang w:val="en-US" w:eastAsia="zh-CN"/>
              </w:rPr>
              <w:t>座容积</w:t>
            </w:r>
            <w:r>
              <w:rPr>
                <w:rFonts w:hint="default" w:ascii="Times New Roman" w:hAnsi="Times New Roman" w:cs="Times New Roman"/>
                <w:color w:val="auto"/>
                <w:sz w:val="18"/>
                <w:szCs w:val="18"/>
                <w:lang w:val="en-US" w:eastAsia="zh-CN"/>
              </w:rPr>
              <w:t>为9.52</w:t>
            </w:r>
            <w:r>
              <w:rPr>
                <w:rFonts w:hint="default" w:ascii="Times New Roman" w:hAnsi="Times New Roman" w:eastAsia="宋体" w:cs="Times New Roman"/>
                <w:color w:val="auto"/>
                <w:sz w:val="18"/>
                <w:szCs w:val="18"/>
                <w:lang w:val="en-US" w:eastAsia="zh-CN"/>
              </w:rPr>
              <w:t>m</w:t>
            </w:r>
            <w:r>
              <w:rPr>
                <w:rFonts w:hint="default" w:ascii="Times New Roman" w:hAnsi="Times New Roman" w:cs="Times New Roman"/>
                <w:color w:val="auto"/>
                <w:sz w:val="18"/>
                <w:szCs w:val="18"/>
                <w:vertAlign w:val="superscript"/>
                <w:lang w:val="en-US" w:eastAsia="zh-CN"/>
              </w:rPr>
              <w:t>3</w:t>
            </w:r>
            <w:r>
              <w:rPr>
                <w:rFonts w:hint="default" w:ascii="Times New Roman" w:hAnsi="Times New Roman" w:eastAsia="宋体" w:cs="Times New Roman"/>
                <w:color w:val="auto"/>
                <w:sz w:val="18"/>
                <w:szCs w:val="18"/>
                <w:lang w:val="en-US" w:eastAsia="zh-CN"/>
              </w:rPr>
              <w:t>的隔油池处理食堂废水</w:t>
            </w:r>
            <w:r>
              <w:rPr>
                <w:rFonts w:hint="default" w:ascii="Times New Roman" w:hAnsi="Times New Roman" w:cs="Times New Roman"/>
                <w:color w:val="auto"/>
                <w:sz w:val="18"/>
                <w:szCs w:val="18"/>
                <w:lang w:val="en-US" w:eastAsia="zh-CN"/>
              </w:rPr>
              <w:t>；</w:t>
            </w:r>
            <w:r>
              <w:rPr>
                <w:rFonts w:hint="default" w:ascii="Times New Roman" w:hAnsi="Times New Roman" w:eastAsia="宋体" w:cs="Times New Roman"/>
                <w:color w:val="auto"/>
                <w:sz w:val="18"/>
                <w:szCs w:val="18"/>
                <w:lang w:val="en-US" w:eastAsia="zh-CN"/>
              </w:rPr>
              <w:t>设置</w:t>
            </w:r>
            <w:r>
              <w:rPr>
                <w:rFonts w:hint="default" w:ascii="Times New Roman" w:hAnsi="Times New Roman" w:cs="Times New Roman"/>
                <w:color w:val="auto"/>
                <w:sz w:val="18"/>
                <w:szCs w:val="18"/>
                <w:lang w:val="en-US" w:eastAsia="zh-CN"/>
              </w:rPr>
              <w:t>1</w:t>
            </w:r>
            <w:r>
              <w:rPr>
                <w:rFonts w:hint="default" w:ascii="Times New Roman" w:hAnsi="Times New Roman" w:eastAsia="宋体" w:cs="Times New Roman"/>
                <w:color w:val="auto"/>
                <w:sz w:val="18"/>
                <w:szCs w:val="18"/>
                <w:lang w:val="en-US" w:eastAsia="zh-CN"/>
              </w:rPr>
              <w:t>座容积</w:t>
            </w:r>
            <w:r>
              <w:rPr>
                <w:rFonts w:hint="default" w:ascii="Times New Roman" w:hAnsi="Times New Roman" w:cs="Times New Roman"/>
                <w:color w:val="auto"/>
                <w:sz w:val="18"/>
                <w:szCs w:val="18"/>
                <w:lang w:val="en-US" w:eastAsia="zh-CN"/>
              </w:rPr>
              <w:t>为10</w:t>
            </w:r>
            <w:r>
              <w:rPr>
                <w:rFonts w:hint="default" w:ascii="Times New Roman" w:hAnsi="Times New Roman" w:eastAsia="宋体" w:cs="Times New Roman"/>
                <w:color w:val="auto"/>
                <w:sz w:val="18"/>
                <w:szCs w:val="18"/>
                <w:lang w:val="en-US" w:eastAsia="zh-CN"/>
              </w:rPr>
              <w:t>m</w:t>
            </w:r>
            <w:r>
              <w:rPr>
                <w:rFonts w:hint="default" w:ascii="Times New Roman" w:hAnsi="Times New Roman" w:cs="Times New Roman"/>
                <w:color w:val="auto"/>
                <w:sz w:val="18"/>
                <w:szCs w:val="18"/>
                <w:vertAlign w:val="superscript"/>
                <w:lang w:val="en-US" w:eastAsia="zh-CN"/>
              </w:rPr>
              <w:t>3</w:t>
            </w:r>
            <w:r>
              <w:rPr>
                <w:rFonts w:hint="default" w:ascii="Times New Roman" w:hAnsi="Times New Roman" w:eastAsia="宋体" w:cs="Times New Roman"/>
                <w:color w:val="auto"/>
                <w:sz w:val="18"/>
                <w:szCs w:val="18"/>
                <w:lang w:val="en-US" w:eastAsia="zh-CN"/>
              </w:rPr>
              <w:t>的隔油池处理</w:t>
            </w:r>
            <w:r>
              <w:rPr>
                <w:rFonts w:hint="default" w:ascii="Times New Roman" w:hAnsi="Times New Roman" w:cs="Times New Roman"/>
                <w:color w:val="auto"/>
                <w:sz w:val="18"/>
                <w:szCs w:val="18"/>
                <w:lang w:val="en-US" w:eastAsia="zh-CN"/>
              </w:rPr>
              <w:t>清真</w:t>
            </w:r>
            <w:r>
              <w:rPr>
                <w:rFonts w:hint="default" w:ascii="Times New Roman" w:hAnsi="Times New Roman" w:eastAsia="宋体" w:cs="Times New Roman"/>
                <w:color w:val="auto"/>
                <w:sz w:val="18"/>
                <w:szCs w:val="18"/>
                <w:lang w:val="en-US" w:eastAsia="zh-CN"/>
              </w:rPr>
              <w:t>食堂废水</w:t>
            </w:r>
          </w:p>
        </w:tc>
        <w:tc>
          <w:tcPr>
            <w:tcW w:w="1022" w:type="dxa"/>
            <w:vAlign w:val="center"/>
          </w:tcPr>
          <w:p>
            <w:pPr>
              <w:widowControl/>
              <w:jc w:val="center"/>
              <w:rPr>
                <w:rFonts w:hint="default" w:ascii="Times New Roman" w:hAnsi="Times New Roman" w:eastAsia="宋体" w:cs="Times New Roman"/>
                <w:color w:val="auto"/>
                <w:kern w:val="0"/>
                <w:sz w:val="18"/>
                <w:szCs w:val="18"/>
              </w:rPr>
            </w:pPr>
            <w:r>
              <w:rPr>
                <w:rFonts w:hint="default" w:ascii="Times New Roman" w:hAnsi="Times New Roman" w:cs="Times New Roman"/>
                <w:color w:val="auto"/>
                <w:kern w:val="0"/>
                <w:sz w:val="18"/>
                <w:szCs w:val="18"/>
                <w:lang w:eastAsia="zh-CN"/>
              </w:rPr>
              <w:t>增加治理设施</w:t>
            </w:r>
          </w:p>
        </w:tc>
        <w:tc>
          <w:tcPr>
            <w:tcW w:w="2264" w:type="dxa"/>
            <w:vAlign w:val="center"/>
          </w:tcPr>
          <w:p>
            <w:pPr>
              <w:widowControl/>
              <w:jc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cs="Times New Roman"/>
                <w:color w:val="auto"/>
                <w:kern w:val="0"/>
                <w:sz w:val="18"/>
                <w:szCs w:val="18"/>
                <w:lang w:eastAsia="zh-CN"/>
              </w:rPr>
              <w:t>新增一个清真食堂，增加隔油池处理食堂废水</w:t>
            </w:r>
          </w:p>
        </w:tc>
        <w:tc>
          <w:tcPr>
            <w:tcW w:w="2791" w:type="dxa"/>
            <w:vAlign w:val="center"/>
          </w:tcPr>
          <w:p>
            <w:pPr>
              <w:widowControl/>
              <w:jc w:val="both"/>
              <w:rPr>
                <w:rFonts w:hint="default" w:ascii="Times New Roman" w:hAnsi="Times New Roman" w:cs="Times New Roman"/>
                <w:color w:val="auto"/>
                <w:kern w:val="0"/>
                <w:sz w:val="18"/>
                <w:szCs w:val="18"/>
                <w:lang w:eastAsia="zh-CN"/>
              </w:rPr>
            </w:pPr>
            <w:r>
              <w:rPr>
                <w:rFonts w:hint="default" w:ascii="Times New Roman" w:hAnsi="Times New Roman" w:cs="Times New Roman"/>
                <w:color w:val="auto"/>
                <w:kern w:val="0"/>
                <w:sz w:val="18"/>
                <w:szCs w:val="18"/>
                <w:lang w:eastAsia="zh-CN"/>
              </w:rPr>
              <w:t>项目区域地表水（青龙河）环境质量不达标，扩大隔油池容积和数量的目的是为了满足后续项目的生产要求，就项目本身而言，废水排放量未增加；</w:t>
            </w:r>
          </w:p>
        </w:tc>
        <w:tc>
          <w:tcPr>
            <w:tcW w:w="1644" w:type="dxa"/>
            <w:vAlign w:val="center"/>
          </w:tcPr>
          <w:p>
            <w:pPr>
              <w:widowControl/>
              <w:jc w:val="center"/>
              <w:rPr>
                <w:rFonts w:hint="default" w:ascii="Times New Roman" w:hAnsi="Times New Roman" w:cs="Times New Roman"/>
                <w:color w:val="auto"/>
                <w:kern w:val="0"/>
                <w:sz w:val="18"/>
                <w:szCs w:val="18"/>
                <w:lang w:eastAsia="zh-CN"/>
              </w:rPr>
            </w:pPr>
            <w:r>
              <w:rPr>
                <w:rFonts w:hint="default" w:ascii="Times New Roman" w:hAnsi="Times New Roman" w:cs="Times New Roman"/>
                <w:color w:val="auto"/>
                <w:kern w:val="0"/>
                <w:sz w:val="18"/>
                <w:szCs w:val="18"/>
                <w:lang w:val="en-US" w:eastAsia="zh-CN"/>
              </w:rPr>
              <w:t>对照</w:t>
            </w:r>
            <w:r>
              <w:rPr>
                <w:rFonts w:hint="default" w:ascii="Times New Roman" w:hAnsi="Times New Roman" w:cs="Times New Roman"/>
                <w:color w:val="auto"/>
                <w:sz w:val="18"/>
                <w:szCs w:val="18"/>
                <w:lang w:eastAsia="zh-CN"/>
              </w:rPr>
              <w:t>重大变动清单第</w:t>
            </w:r>
            <w:r>
              <w:rPr>
                <w:rFonts w:hint="default" w:ascii="Times New Roman" w:hAnsi="Times New Roman" w:cs="Times New Roman"/>
                <w:color w:val="auto"/>
                <w:sz w:val="18"/>
                <w:szCs w:val="18"/>
                <w:lang w:val="en-US" w:eastAsia="zh-CN"/>
              </w:rPr>
              <w:t>6条、第8条，不属于重大变动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581" w:type="dxa"/>
            <w:vMerge w:val="continue"/>
            <w:vAlign w:val="center"/>
          </w:tcPr>
          <w:p>
            <w:pPr>
              <w:widowControl/>
              <w:jc w:val="center"/>
              <w:rPr>
                <w:rFonts w:hint="default" w:ascii="Times New Roman" w:hAnsi="Times New Roman" w:eastAsia="宋体" w:cs="Times New Roman"/>
                <w:color w:val="auto"/>
                <w:kern w:val="0"/>
                <w:sz w:val="18"/>
                <w:szCs w:val="18"/>
              </w:rPr>
            </w:pPr>
          </w:p>
        </w:tc>
        <w:tc>
          <w:tcPr>
            <w:tcW w:w="437" w:type="dxa"/>
            <w:vMerge w:val="continue"/>
            <w:shd w:val="clear" w:color="auto" w:fill="auto"/>
            <w:vAlign w:val="center"/>
          </w:tcPr>
          <w:p>
            <w:pPr>
              <w:jc w:val="center"/>
              <w:rPr>
                <w:rFonts w:hint="default" w:ascii="Times New Roman" w:hAnsi="Times New Roman" w:eastAsia="宋体" w:cs="Times New Roman"/>
                <w:color w:val="auto"/>
                <w:kern w:val="0"/>
                <w:sz w:val="18"/>
                <w:szCs w:val="18"/>
              </w:rPr>
            </w:pPr>
          </w:p>
        </w:tc>
        <w:tc>
          <w:tcPr>
            <w:tcW w:w="771" w:type="dxa"/>
            <w:shd w:val="clear" w:color="auto" w:fill="auto"/>
            <w:vAlign w:val="center"/>
          </w:tcPr>
          <w:p>
            <w:pPr>
              <w:widowControl/>
              <w:jc w:val="left"/>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eastAsia="zh-CN"/>
              </w:rPr>
              <w:t>化粪池</w:t>
            </w:r>
          </w:p>
        </w:tc>
        <w:tc>
          <w:tcPr>
            <w:tcW w:w="2879" w:type="dxa"/>
            <w:gridSpan w:val="2"/>
            <w:shd w:val="clear" w:color="auto" w:fill="auto"/>
            <w:vAlign w:val="center"/>
          </w:tcPr>
          <w:p>
            <w:pPr>
              <w:widowControl/>
              <w:jc w:val="left"/>
              <w:rPr>
                <w:rFonts w:hint="default" w:ascii="Times New Roman" w:hAnsi="Times New Roman" w:eastAsia="宋体" w:cs="Times New Roman"/>
                <w:color w:val="auto"/>
                <w:kern w:val="0"/>
                <w:sz w:val="18"/>
                <w:szCs w:val="18"/>
              </w:rPr>
            </w:pPr>
            <w:r>
              <w:rPr>
                <w:rFonts w:hint="default" w:ascii="Times New Roman" w:hAnsi="Times New Roman" w:cs="Times New Roman"/>
                <w:color w:val="auto"/>
                <w:sz w:val="18"/>
                <w:szCs w:val="18"/>
              </w:rPr>
              <w:t>设置</w:t>
            </w:r>
            <w:r>
              <w:rPr>
                <w:rFonts w:hint="default" w:ascii="Times New Roman" w:hAnsi="Times New Roman" w:cs="Times New Roman"/>
                <w:color w:val="auto"/>
                <w:sz w:val="18"/>
                <w:szCs w:val="18"/>
                <w:lang w:val="en-US" w:eastAsia="zh-CN"/>
              </w:rPr>
              <w:t>1</w:t>
            </w:r>
            <w:r>
              <w:rPr>
                <w:rFonts w:hint="default" w:ascii="Times New Roman" w:hAnsi="Times New Roman" w:cs="Times New Roman"/>
                <w:color w:val="auto"/>
                <w:sz w:val="18"/>
                <w:szCs w:val="18"/>
              </w:rPr>
              <w:t>座容积不低于100m</w:t>
            </w:r>
            <w:r>
              <w:rPr>
                <w:rFonts w:hint="default" w:ascii="Times New Roman" w:hAnsi="Times New Roman" w:cs="Times New Roman"/>
                <w:color w:val="auto"/>
                <w:sz w:val="18"/>
                <w:szCs w:val="18"/>
                <w:vertAlign w:val="superscript"/>
                <w:lang w:val="en-US" w:eastAsia="zh-CN"/>
              </w:rPr>
              <w:t>3</w:t>
            </w:r>
            <w:r>
              <w:rPr>
                <w:rFonts w:hint="default" w:ascii="Times New Roman" w:hAnsi="Times New Roman" w:cs="Times New Roman"/>
                <w:color w:val="auto"/>
                <w:sz w:val="18"/>
                <w:szCs w:val="18"/>
              </w:rPr>
              <w:t>的化粪池处理生活废水</w:t>
            </w:r>
          </w:p>
        </w:tc>
        <w:tc>
          <w:tcPr>
            <w:tcW w:w="3066" w:type="dxa"/>
            <w:vAlign w:val="center"/>
          </w:tcPr>
          <w:p>
            <w:pPr>
              <w:widowControl/>
              <w:jc w:val="left"/>
              <w:rPr>
                <w:rFonts w:hint="default" w:ascii="Times New Roman" w:hAnsi="Times New Roman" w:eastAsia="宋体" w:cs="Times New Roman"/>
                <w:color w:val="auto"/>
                <w:sz w:val="18"/>
                <w:szCs w:val="18"/>
              </w:rPr>
            </w:pPr>
            <w:r>
              <w:rPr>
                <w:rFonts w:hint="default" w:ascii="Times New Roman" w:hAnsi="Times New Roman" w:cs="Times New Roman"/>
                <w:color w:val="auto"/>
                <w:sz w:val="18"/>
                <w:szCs w:val="18"/>
                <w:lang w:eastAsia="zh-CN"/>
              </w:rPr>
              <w:t>厂区</w:t>
            </w:r>
            <w:r>
              <w:rPr>
                <w:rFonts w:hint="default" w:ascii="Times New Roman" w:hAnsi="Times New Roman" w:eastAsia="宋体" w:cs="Times New Roman"/>
                <w:color w:val="auto"/>
                <w:sz w:val="18"/>
                <w:szCs w:val="18"/>
              </w:rPr>
              <w:t>范围内已设置</w:t>
            </w:r>
            <w:r>
              <w:rPr>
                <w:rFonts w:hint="default" w:ascii="Times New Roman" w:hAnsi="Times New Roman" w:cs="Times New Roman"/>
                <w:color w:val="auto"/>
                <w:sz w:val="18"/>
                <w:szCs w:val="18"/>
                <w:lang w:val="en-US" w:eastAsia="zh-CN"/>
              </w:rPr>
              <w:t>9</w:t>
            </w:r>
            <w:r>
              <w:rPr>
                <w:rFonts w:hint="default" w:ascii="Times New Roman" w:hAnsi="Times New Roman" w:eastAsia="宋体" w:cs="Times New Roman"/>
                <w:color w:val="auto"/>
                <w:sz w:val="18"/>
                <w:szCs w:val="18"/>
              </w:rPr>
              <w:t>座总容积为</w:t>
            </w:r>
            <w:r>
              <w:rPr>
                <w:rFonts w:hint="default" w:ascii="Times New Roman" w:hAnsi="Times New Roman" w:cs="Times New Roman"/>
                <w:color w:val="auto"/>
                <w:sz w:val="18"/>
                <w:szCs w:val="18"/>
                <w:lang w:val="en-US" w:eastAsia="zh-CN"/>
              </w:rPr>
              <w:t>2</w:t>
            </w:r>
            <w:r>
              <w:rPr>
                <w:rFonts w:hint="default" w:ascii="Times New Roman" w:hAnsi="Times New Roman" w:eastAsia="宋体" w:cs="Times New Roman"/>
                <w:color w:val="auto"/>
                <w:sz w:val="18"/>
                <w:szCs w:val="18"/>
              </w:rPr>
              <w:t>07.52</w:t>
            </w:r>
            <w:r>
              <w:rPr>
                <w:rFonts w:hint="default" w:ascii="Times New Roman" w:hAnsi="Times New Roman" w:eastAsia="宋体" w:cs="Times New Roman"/>
                <w:color w:val="auto"/>
                <w:kern w:val="0"/>
                <w:sz w:val="18"/>
                <w:szCs w:val="18"/>
              </w:rPr>
              <w:t>m</w:t>
            </w:r>
            <w:r>
              <w:rPr>
                <w:rFonts w:hint="default" w:ascii="Times New Roman" w:hAnsi="Times New Roman" w:eastAsia="宋体" w:cs="Times New Roman"/>
                <w:color w:val="auto"/>
                <w:kern w:val="0"/>
                <w:sz w:val="18"/>
                <w:szCs w:val="18"/>
                <w:vertAlign w:val="superscript"/>
              </w:rPr>
              <w:t>3</w:t>
            </w:r>
            <w:r>
              <w:rPr>
                <w:rFonts w:hint="default" w:ascii="Times New Roman" w:hAnsi="Times New Roman" w:eastAsia="宋体" w:cs="Times New Roman"/>
                <w:color w:val="auto"/>
                <w:sz w:val="18"/>
                <w:szCs w:val="18"/>
              </w:rPr>
              <w:t>的化粪池</w:t>
            </w:r>
          </w:p>
        </w:tc>
        <w:tc>
          <w:tcPr>
            <w:tcW w:w="1022" w:type="dxa"/>
            <w:vAlign w:val="center"/>
          </w:tcPr>
          <w:p>
            <w:pPr>
              <w:widowControl/>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kern w:val="0"/>
                <w:sz w:val="18"/>
                <w:szCs w:val="18"/>
                <w:lang w:eastAsia="zh-CN"/>
              </w:rPr>
              <w:t>增加治理设施</w:t>
            </w:r>
          </w:p>
        </w:tc>
        <w:tc>
          <w:tcPr>
            <w:tcW w:w="2264" w:type="dxa"/>
            <w:vAlign w:val="center"/>
          </w:tcPr>
          <w:p>
            <w:pPr>
              <w:widowControl/>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主要是考虑满足全厂各区域生活废水的处理要求</w:t>
            </w:r>
          </w:p>
        </w:tc>
        <w:tc>
          <w:tcPr>
            <w:tcW w:w="2791" w:type="dxa"/>
            <w:vAlign w:val="center"/>
          </w:tcPr>
          <w:p>
            <w:pPr>
              <w:widowControl/>
              <w:jc w:val="left"/>
              <w:rPr>
                <w:rFonts w:hint="default" w:ascii="Times New Roman" w:hAnsi="Times New Roman" w:cs="Times New Roman"/>
                <w:color w:val="auto"/>
                <w:sz w:val="18"/>
                <w:szCs w:val="18"/>
                <w:lang w:val="en-US" w:eastAsia="zh-CN"/>
              </w:rPr>
            </w:pPr>
            <w:r>
              <w:rPr>
                <w:rFonts w:hint="default" w:ascii="Times New Roman" w:hAnsi="Times New Roman" w:cs="Times New Roman"/>
                <w:color w:val="auto"/>
                <w:kern w:val="0"/>
                <w:sz w:val="18"/>
                <w:szCs w:val="18"/>
                <w:lang w:eastAsia="zh-CN"/>
              </w:rPr>
              <w:t>项目区域地表水（青龙河）环境质量不达标，扩大化粪池容积和数量的目的是为了满足后续项目的生产要求，就项目本身而言，废水排放量未增加；</w:t>
            </w:r>
          </w:p>
        </w:tc>
        <w:tc>
          <w:tcPr>
            <w:tcW w:w="1644" w:type="dxa"/>
            <w:vAlign w:val="center"/>
          </w:tcPr>
          <w:p>
            <w:pPr>
              <w:widowControl/>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kern w:val="0"/>
                <w:sz w:val="18"/>
                <w:szCs w:val="18"/>
                <w:lang w:val="en-US" w:eastAsia="zh-CN"/>
              </w:rPr>
              <w:t>对照</w:t>
            </w:r>
            <w:r>
              <w:rPr>
                <w:rFonts w:hint="default" w:ascii="Times New Roman" w:hAnsi="Times New Roman" w:cs="Times New Roman"/>
                <w:color w:val="auto"/>
                <w:sz w:val="18"/>
                <w:szCs w:val="18"/>
                <w:lang w:eastAsia="zh-CN"/>
              </w:rPr>
              <w:t>重大变动清单第</w:t>
            </w:r>
            <w:r>
              <w:rPr>
                <w:rFonts w:hint="default" w:ascii="Times New Roman" w:hAnsi="Times New Roman" w:cs="Times New Roman"/>
                <w:color w:val="auto"/>
                <w:sz w:val="18"/>
                <w:szCs w:val="18"/>
                <w:lang w:val="en-US" w:eastAsia="zh-CN"/>
              </w:rPr>
              <w:t>6条、第8条，不属于重大变动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581" w:type="dxa"/>
            <w:vMerge w:val="continue"/>
            <w:vAlign w:val="center"/>
          </w:tcPr>
          <w:p>
            <w:pPr>
              <w:widowControl/>
              <w:jc w:val="center"/>
              <w:rPr>
                <w:rFonts w:hint="default" w:ascii="Times New Roman" w:hAnsi="Times New Roman" w:eastAsia="宋体" w:cs="Times New Roman"/>
                <w:color w:val="auto"/>
                <w:kern w:val="0"/>
                <w:sz w:val="18"/>
                <w:szCs w:val="18"/>
              </w:rPr>
            </w:pPr>
          </w:p>
        </w:tc>
        <w:tc>
          <w:tcPr>
            <w:tcW w:w="437" w:type="dxa"/>
            <w:vMerge w:val="continue"/>
            <w:shd w:val="clear" w:color="auto" w:fill="auto"/>
            <w:vAlign w:val="center"/>
          </w:tcPr>
          <w:p>
            <w:pPr>
              <w:widowControl/>
              <w:jc w:val="center"/>
              <w:rPr>
                <w:rFonts w:hint="default" w:ascii="Times New Roman" w:hAnsi="Times New Roman" w:eastAsia="宋体" w:cs="Times New Roman"/>
                <w:color w:val="auto"/>
                <w:kern w:val="0"/>
                <w:sz w:val="18"/>
                <w:szCs w:val="18"/>
              </w:rPr>
            </w:pPr>
          </w:p>
        </w:tc>
        <w:tc>
          <w:tcPr>
            <w:tcW w:w="771" w:type="dxa"/>
            <w:shd w:val="clear" w:color="auto" w:fill="auto"/>
            <w:vAlign w:val="center"/>
          </w:tcPr>
          <w:p>
            <w:pPr>
              <w:widowControl/>
              <w:jc w:val="center"/>
              <w:rPr>
                <w:rFonts w:hint="default" w:ascii="Times New Roman" w:hAnsi="Times New Roman" w:eastAsia="宋体" w:cs="Times New Roman"/>
                <w:color w:val="auto"/>
                <w:kern w:val="0"/>
                <w:sz w:val="18"/>
                <w:szCs w:val="18"/>
                <w:lang w:eastAsia="zh-CN"/>
              </w:rPr>
            </w:pPr>
            <w:r>
              <w:rPr>
                <w:rFonts w:hint="default" w:ascii="Times New Roman" w:hAnsi="Times New Roman" w:cs="Times New Roman"/>
                <w:color w:val="auto"/>
                <w:kern w:val="0"/>
                <w:sz w:val="18"/>
                <w:szCs w:val="18"/>
                <w:lang w:eastAsia="zh-CN"/>
              </w:rPr>
              <w:t>含氟废水处理站</w:t>
            </w:r>
          </w:p>
        </w:tc>
        <w:tc>
          <w:tcPr>
            <w:tcW w:w="2879" w:type="dxa"/>
            <w:gridSpan w:val="2"/>
            <w:shd w:val="clear" w:color="auto" w:fill="auto"/>
            <w:vAlign w:val="center"/>
          </w:tcPr>
          <w:p>
            <w:pPr>
              <w:widowControl/>
              <w:jc w:val="left"/>
              <w:rPr>
                <w:rFonts w:hint="default" w:ascii="Times New Roman" w:hAnsi="Times New Roman" w:eastAsia="宋体" w:cs="Times New Roman"/>
                <w:color w:val="auto"/>
                <w:kern w:val="0"/>
                <w:sz w:val="18"/>
                <w:szCs w:val="18"/>
              </w:rPr>
            </w:pPr>
            <w:r>
              <w:rPr>
                <w:rFonts w:hint="default" w:ascii="Times New Roman" w:hAnsi="Times New Roman" w:cs="Times New Roman"/>
                <w:color w:val="auto"/>
                <w:kern w:val="0"/>
                <w:sz w:val="18"/>
                <w:szCs w:val="18"/>
                <w:lang w:eastAsia="zh-CN"/>
              </w:rPr>
              <w:t>一期</w:t>
            </w:r>
            <w:r>
              <w:rPr>
                <w:rFonts w:hint="default" w:ascii="Times New Roman" w:hAnsi="Times New Roman" w:eastAsia="宋体" w:cs="Times New Roman"/>
                <w:color w:val="auto"/>
                <w:kern w:val="0"/>
                <w:sz w:val="18"/>
                <w:szCs w:val="18"/>
              </w:rPr>
              <w:t>设置1</w:t>
            </w:r>
            <w:r>
              <w:rPr>
                <w:rFonts w:hint="default" w:ascii="Times New Roman" w:hAnsi="Times New Roman" w:cs="Times New Roman"/>
                <w:color w:val="auto"/>
                <w:kern w:val="0"/>
                <w:sz w:val="18"/>
                <w:szCs w:val="18"/>
                <w:lang w:eastAsia="zh-CN"/>
              </w:rPr>
              <w:t>座</w:t>
            </w:r>
            <w:r>
              <w:rPr>
                <w:rFonts w:hint="default" w:ascii="Times New Roman" w:hAnsi="Times New Roman" w:cs="Times New Roman"/>
                <w:color w:val="auto"/>
                <w:kern w:val="0"/>
                <w:sz w:val="18"/>
                <w:szCs w:val="18"/>
                <w:lang w:val="en-US" w:eastAsia="zh-CN"/>
              </w:rPr>
              <w:t>50</w:t>
            </w:r>
            <w:r>
              <w:rPr>
                <w:rFonts w:hint="default" w:ascii="Times New Roman" w:hAnsi="Times New Roman" w:eastAsia="宋体" w:cs="Times New Roman"/>
                <w:color w:val="auto"/>
                <w:kern w:val="0"/>
                <w:sz w:val="18"/>
                <w:szCs w:val="18"/>
              </w:rPr>
              <w:t>m</w:t>
            </w:r>
            <w:r>
              <w:rPr>
                <w:rFonts w:hint="default" w:ascii="Times New Roman" w:hAnsi="Times New Roman" w:eastAsia="宋体" w:cs="Times New Roman"/>
                <w:color w:val="auto"/>
                <w:kern w:val="0"/>
                <w:sz w:val="18"/>
                <w:szCs w:val="18"/>
                <w:vertAlign w:val="superscript"/>
              </w:rPr>
              <w:t>3</w:t>
            </w:r>
            <w:r>
              <w:rPr>
                <w:rFonts w:hint="default" w:ascii="Times New Roman" w:hAnsi="Times New Roman" w:eastAsia="宋体" w:cs="Times New Roman"/>
                <w:color w:val="auto"/>
                <w:kern w:val="0"/>
                <w:sz w:val="18"/>
                <w:szCs w:val="18"/>
              </w:rPr>
              <w:t>/h的含氟废水处理站</w:t>
            </w:r>
            <w:r>
              <w:rPr>
                <w:rFonts w:hint="default" w:ascii="Times New Roman" w:hAnsi="Times New Roman" w:cs="Times New Roman"/>
                <w:color w:val="auto"/>
                <w:kern w:val="0"/>
                <w:sz w:val="18"/>
                <w:szCs w:val="18"/>
                <w:lang w:eastAsia="zh-CN"/>
              </w:rPr>
              <w:t>，二期设置</w:t>
            </w:r>
            <w:r>
              <w:rPr>
                <w:rFonts w:hint="default" w:ascii="Times New Roman" w:hAnsi="Times New Roman" w:cs="Times New Roman"/>
                <w:color w:val="auto"/>
                <w:kern w:val="0"/>
                <w:sz w:val="18"/>
                <w:szCs w:val="18"/>
                <w:lang w:val="en-US" w:eastAsia="zh-CN"/>
              </w:rPr>
              <w:t>1座86m</w:t>
            </w:r>
            <w:r>
              <w:rPr>
                <w:rFonts w:hint="default" w:ascii="Times New Roman" w:hAnsi="Times New Roman" w:cs="Times New Roman"/>
                <w:color w:val="auto"/>
                <w:kern w:val="0"/>
                <w:sz w:val="18"/>
                <w:szCs w:val="18"/>
                <w:vertAlign w:val="superscript"/>
                <w:lang w:val="en-US" w:eastAsia="zh-CN"/>
              </w:rPr>
              <w:t>3</w:t>
            </w:r>
            <w:r>
              <w:rPr>
                <w:rFonts w:hint="default" w:ascii="Times New Roman" w:hAnsi="Times New Roman" w:cs="Times New Roman"/>
                <w:color w:val="auto"/>
                <w:kern w:val="0"/>
                <w:sz w:val="18"/>
                <w:szCs w:val="18"/>
                <w:vertAlign w:val="baseline"/>
                <w:lang w:val="en-US" w:eastAsia="zh-CN"/>
              </w:rPr>
              <w:t>/h的含氟废水处理站</w:t>
            </w:r>
            <w:r>
              <w:rPr>
                <w:rFonts w:hint="default" w:ascii="Times New Roman" w:hAnsi="Times New Roman" w:eastAsia="宋体" w:cs="Times New Roman"/>
                <w:color w:val="auto"/>
                <w:kern w:val="0"/>
                <w:sz w:val="18"/>
                <w:szCs w:val="18"/>
              </w:rPr>
              <w:t>，</w:t>
            </w:r>
            <w:r>
              <w:rPr>
                <w:rFonts w:hint="default" w:ascii="Times New Roman" w:hAnsi="Times New Roman" w:cs="Times New Roman"/>
                <w:color w:val="auto"/>
                <w:kern w:val="0"/>
                <w:sz w:val="18"/>
                <w:szCs w:val="18"/>
                <w:lang w:eastAsia="zh-CN"/>
              </w:rPr>
              <w:t>均</w:t>
            </w:r>
            <w:r>
              <w:rPr>
                <w:rFonts w:hint="default" w:ascii="Times New Roman" w:hAnsi="Times New Roman" w:eastAsia="宋体" w:cs="Times New Roman"/>
                <w:color w:val="auto"/>
                <w:kern w:val="0"/>
                <w:sz w:val="18"/>
                <w:szCs w:val="18"/>
              </w:rPr>
              <w:t>采用混凝沉淀处理工艺</w:t>
            </w:r>
          </w:p>
        </w:tc>
        <w:tc>
          <w:tcPr>
            <w:tcW w:w="3066" w:type="dxa"/>
            <w:vAlign w:val="center"/>
          </w:tcPr>
          <w:p>
            <w:pPr>
              <w:widowControl/>
              <w:jc w:val="left"/>
              <w:rPr>
                <w:rFonts w:hint="default" w:ascii="Times New Roman" w:hAnsi="Times New Roman" w:eastAsia="宋体" w:cs="Times New Roman"/>
                <w:color w:val="auto"/>
                <w:kern w:val="0"/>
                <w:sz w:val="18"/>
                <w:szCs w:val="18"/>
              </w:rPr>
            </w:pPr>
            <w:r>
              <w:rPr>
                <w:rFonts w:hint="default" w:ascii="Times New Roman" w:hAnsi="Times New Roman" w:cs="Times New Roman"/>
                <w:color w:val="auto"/>
                <w:kern w:val="0"/>
                <w:sz w:val="18"/>
                <w:szCs w:val="18"/>
                <w:lang w:eastAsia="zh-CN"/>
              </w:rPr>
              <w:t>共</w:t>
            </w:r>
            <w:r>
              <w:rPr>
                <w:rFonts w:hint="default" w:ascii="Times New Roman" w:hAnsi="Times New Roman" w:eastAsia="宋体" w:cs="Times New Roman"/>
                <w:color w:val="auto"/>
                <w:kern w:val="0"/>
                <w:sz w:val="18"/>
                <w:szCs w:val="18"/>
              </w:rPr>
              <w:t>设置1</w:t>
            </w:r>
            <w:r>
              <w:rPr>
                <w:rFonts w:hint="default" w:ascii="Times New Roman" w:hAnsi="Times New Roman" w:cs="Times New Roman"/>
                <w:color w:val="auto"/>
                <w:kern w:val="0"/>
                <w:sz w:val="18"/>
                <w:szCs w:val="18"/>
                <w:lang w:eastAsia="zh-CN"/>
              </w:rPr>
              <w:t>座</w:t>
            </w:r>
            <w:r>
              <w:rPr>
                <w:rFonts w:hint="default" w:ascii="Times New Roman" w:hAnsi="Times New Roman" w:eastAsia="宋体" w:cs="Times New Roman"/>
                <w:color w:val="auto"/>
                <w:kern w:val="0"/>
                <w:sz w:val="18"/>
                <w:szCs w:val="18"/>
                <w:lang w:val="en-US" w:eastAsia="zh-CN"/>
              </w:rPr>
              <w:t>100</w:t>
            </w:r>
            <w:r>
              <w:rPr>
                <w:rFonts w:hint="default" w:ascii="Times New Roman" w:hAnsi="Times New Roman" w:eastAsia="宋体" w:cs="Times New Roman"/>
                <w:color w:val="auto"/>
                <w:kern w:val="0"/>
                <w:sz w:val="18"/>
                <w:szCs w:val="18"/>
              </w:rPr>
              <w:t>m</w:t>
            </w:r>
            <w:r>
              <w:rPr>
                <w:rFonts w:hint="default" w:ascii="Times New Roman" w:hAnsi="Times New Roman" w:eastAsia="宋体" w:cs="Times New Roman"/>
                <w:color w:val="auto"/>
                <w:kern w:val="0"/>
                <w:sz w:val="18"/>
                <w:szCs w:val="18"/>
                <w:vertAlign w:val="superscript"/>
              </w:rPr>
              <w:t>3</w:t>
            </w:r>
            <w:r>
              <w:rPr>
                <w:rFonts w:hint="default" w:ascii="Times New Roman" w:hAnsi="Times New Roman" w:eastAsia="宋体" w:cs="Times New Roman"/>
                <w:color w:val="auto"/>
                <w:kern w:val="0"/>
                <w:sz w:val="18"/>
                <w:szCs w:val="18"/>
              </w:rPr>
              <w:t>/h的含氟废水处理站处理</w:t>
            </w:r>
            <w:r>
              <w:rPr>
                <w:rFonts w:hint="default" w:ascii="Times New Roman" w:hAnsi="Times New Roman" w:cs="Times New Roman"/>
                <w:color w:val="auto"/>
                <w:kern w:val="0"/>
                <w:sz w:val="18"/>
                <w:szCs w:val="18"/>
                <w:lang w:eastAsia="zh-CN"/>
              </w:rPr>
              <w:t>全厂</w:t>
            </w:r>
            <w:r>
              <w:rPr>
                <w:rFonts w:hint="default" w:ascii="Times New Roman" w:hAnsi="Times New Roman" w:eastAsia="宋体" w:cs="Times New Roman"/>
                <w:color w:val="auto"/>
                <w:kern w:val="0"/>
                <w:sz w:val="18"/>
                <w:szCs w:val="18"/>
              </w:rPr>
              <w:t>含氟废水，</w:t>
            </w:r>
            <w:r>
              <w:rPr>
                <w:rFonts w:hint="default" w:ascii="Times New Roman" w:hAnsi="Times New Roman" w:eastAsia="宋体" w:cs="Times New Roman"/>
                <w:color w:val="auto"/>
                <w:kern w:val="0"/>
                <w:sz w:val="18"/>
                <w:szCs w:val="18"/>
                <w:lang w:eastAsia="zh-CN"/>
              </w:rPr>
              <w:t>采用</w:t>
            </w:r>
            <w:r>
              <w:rPr>
                <w:rFonts w:hint="default" w:ascii="Times New Roman" w:hAnsi="Times New Roman" w:eastAsia="宋体" w:cs="Times New Roman"/>
                <w:color w:val="auto"/>
                <w:kern w:val="0"/>
                <w:sz w:val="18"/>
                <w:szCs w:val="18"/>
              </w:rPr>
              <w:t>“混凝沉淀+AO”处理工艺</w:t>
            </w:r>
          </w:p>
        </w:tc>
        <w:tc>
          <w:tcPr>
            <w:tcW w:w="1022" w:type="dxa"/>
            <w:vAlign w:val="center"/>
          </w:tcPr>
          <w:p>
            <w:pPr>
              <w:widowControl/>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治理设施合并，</w:t>
            </w:r>
            <w:r>
              <w:rPr>
                <w:rFonts w:hint="default" w:ascii="Times New Roman" w:hAnsi="Times New Roman" w:cs="Times New Roman"/>
                <w:color w:val="auto"/>
                <w:kern w:val="0"/>
                <w:sz w:val="18"/>
                <w:szCs w:val="18"/>
                <w:lang w:eastAsia="zh-CN"/>
              </w:rPr>
              <w:t>处理规模减小，</w:t>
            </w:r>
            <w:r>
              <w:rPr>
                <w:rFonts w:hint="default" w:ascii="Times New Roman" w:hAnsi="Times New Roman" w:eastAsia="宋体" w:cs="Times New Roman"/>
                <w:color w:val="auto"/>
                <w:kern w:val="0"/>
                <w:sz w:val="18"/>
                <w:szCs w:val="18"/>
              </w:rPr>
              <w:t>处理工艺改进</w:t>
            </w:r>
          </w:p>
        </w:tc>
        <w:tc>
          <w:tcPr>
            <w:tcW w:w="2264" w:type="dxa"/>
            <w:vAlign w:val="center"/>
          </w:tcPr>
          <w:p>
            <w:pPr>
              <w:widowControl/>
              <w:jc w:val="center"/>
              <w:rPr>
                <w:rFonts w:hint="default" w:ascii="Times New Roman" w:hAnsi="Times New Roman" w:eastAsia="宋体" w:cs="Times New Roman"/>
                <w:color w:val="auto"/>
                <w:kern w:val="0"/>
                <w:sz w:val="18"/>
                <w:szCs w:val="18"/>
                <w:vertAlign w:val="baseline"/>
                <w:lang w:val="en-US"/>
              </w:rPr>
            </w:pPr>
            <w:r>
              <w:rPr>
                <w:rFonts w:hint="default" w:ascii="Times New Roman" w:hAnsi="Times New Roman" w:cs="Times New Roman"/>
                <w:color w:val="auto"/>
                <w:kern w:val="0"/>
                <w:sz w:val="18"/>
                <w:szCs w:val="18"/>
                <w:lang w:eastAsia="zh-CN"/>
              </w:rPr>
              <w:t>根据原项目一期验收数据得知项目含氟废水量远低于环评预测数据，建设单位调整建设方案，将一期已建成含氟废水处理站进行升级改造，扩大处理规模至</w:t>
            </w:r>
            <w:r>
              <w:rPr>
                <w:rFonts w:hint="default" w:ascii="Times New Roman" w:hAnsi="Times New Roman" w:cs="Times New Roman"/>
                <w:color w:val="auto"/>
                <w:kern w:val="0"/>
                <w:sz w:val="18"/>
                <w:szCs w:val="18"/>
                <w:lang w:val="en-US" w:eastAsia="zh-CN"/>
              </w:rPr>
              <w:t>100m</w:t>
            </w:r>
            <w:r>
              <w:rPr>
                <w:rFonts w:hint="default" w:ascii="Times New Roman" w:hAnsi="Times New Roman" w:cs="Times New Roman"/>
                <w:color w:val="auto"/>
                <w:kern w:val="0"/>
                <w:sz w:val="18"/>
                <w:szCs w:val="18"/>
                <w:vertAlign w:val="superscript"/>
                <w:lang w:val="en-US" w:eastAsia="zh-CN"/>
              </w:rPr>
              <w:t>3</w:t>
            </w:r>
            <w:r>
              <w:rPr>
                <w:rFonts w:hint="default" w:ascii="Times New Roman" w:hAnsi="Times New Roman" w:cs="Times New Roman"/>
                <w:color w:val="auto"/>
                <w:kern w:val="0"/>
                <w:sz w:val="18"/>
                <w:szCs w:val="18"/>
                <w:vertAlign w:val="baseline"/>
                <w:lang w:val="en-US" w:eastAsia="zh-CN"/>
              </w:rPr>
              <w:t>/h后可满足全厂含氟废水处理要求</w:t>
            </w:r>
          </w:p>
        </w:tc>
        <w:tc>
          <w:tcPr>
            <w:tcW w:w="2791" w:type="dxa"/>
            <w:vAlign w:val="center"/>
          </w:tcPr>
          <w:p>
            <w:pPr>
              <w:widowControl/>
              <w:jc w:val="left"/>
              <w:rPr>
                <w:rFonts w:hint="default" w:ascii="Times New Roman" w:hAnsi="Times New Roman" w:cs="Times New Roman"/>
                <w:color w:val="auto"/>
                <w:kern w:val="0"/>
                <w:sz w:val="18"/>
                <w:szCs w:val="18"/>
                <w:lang w:eastAsia="zh-CN"/>
              </w:rPr>
            </w:pPr>
            <w:r>
              <w:rPr>
                <w:rFonts w:hint="default" w:ascii="Times New Roman" w:hAnsi="Times New Roman" w:cs="Times New Roman"/>
                <w:color w:val="auto"/>
                <w:kern w:val="0"/>
                <w:sz w:val="18"/>
                <w:szCs w:val="18"/>
                <w:lang w:eastAsia="zh-CN"/>
              </w:rPr>
              <w:t>（</w:t>
            </w:r>
            <w:r>
              <w:rPr>
                <w:rFonts w:hint="default" w:ascii="Times New Roman" w:hAnsi="Times New Roman" w:cs="Times New Roman"/>
                <w:color w:val="auto"/>
                <w:kern w:val="0"/>
                <w:sz w:val="18"/>
                <w:szCs w:val="18"/>
                <w:lang w:val="en-US" w:eastAsia="zh-CN"/>
              </w:rPr>
              <w:t>1</w:t>
            </w:r>
            <w:r>
              <w:rPr>
                <w:rFonts w:hint="default" w:ascii="Times New Roman" w:hAnsi="Times New Roman" w:cs="Times New Roman"/>
                <w:color w:val="auto"/>
                <w:kern w:val="0"/>
                <w:sz w:val="18"/>
                <w:szCs w:val="18"/>
                <w:lang w:eastAsia="zh-CN"/>
              </w:rPr>
              <w:t>）项目区域地表水（青龙河）环境质量不达标，扩大处理规模的目的是为了满足后续项目的生产要求，就项目本身而言，废水排放量未增加；</w:t>
            </w:r>
          </w:p>
          <w:p>
            <w:pPr>
              <w:widowControl/>
              <w:jc w:val="left"/>
              <w:rPr>
                <w:rFonts w:hint="default" w:ascii="Times New Roman" w:hAnsi="Times New Roman" w:cs="Times New Roman"/>
                <w:color w:val="auto"/>
                <w:kern w:val="0"/>
                <w:sz w:val="18"/>
                <w:szCs w:val="18"/>
                <w:lang w:eastAsia="zh-CN"/>
              </w:rPr>
            </w:pPr>
            <w:r>
              <w:rPr>
                <w:rFonts w:hint="default" w:ascii="Times New Roman" w:hAnsi="Times New Roman" w:cs="Times New Roman"/>
                <w:color w:val="auto"/>
                <w:kern w:val="0"/>
                <w:sz w:val="18"/>
                <w:szCs w:val="18"/>
                <w:lang w:eastAsia="zh-CN"/>
              </w:rPr>
              <w:t>（</w:t>
            </w:r>
            <w:r>
              <w:rPr>
                <w:rFonts w:hint="default" w:ascii="Times New Roman" w:hAnsi="Times New Roman" w:cs="Times New Roman"/>
                <w:color w:val="auto"/>
                <w:kern w:val="0"/>
                <w:sz w:val="18"/>
                <w:szCs w:val="18"/>
                <w:lang w:val="en-US" w:eastAsia="zh-CN"/>
              </w:rPr>
              <w:t>2</w:t>
            </w:r>
            <w:r>
              <w:rPr>
                <w:rFonts w:hint="default" w:ascii="Times New Roman" w:hAnsi="Times New Roman" w:cs="Times New Roman"/>
                <w:color w:val="auto"/>
                <w:kern w:val="0"/>
                <w:sz w:val="18"/>
                <w:szCs w:val="18"/>
                <w:lang w:eastAsia="zh-CN"/>
              </w:rPr>
              <w:t>）废水处理工艺改进，属于措施加强</w:t>
            </w:r>
          </w:p>
        </w:tc>
        <w:tc>
          <w:tcPr>
            <w:tcW w:w="1644" w:type="dxa"/>
            <w:vAlign w:val="center"/>
          </w:tcPr>
          <w:p>
            <w:pPr>
              <w:widowControl/>
              <w:jc w:val="center"/>
              <w:rPr>
                <w:rFonts w:hint="default" w:ascii="Times New Roman" w:hAnsi="Times New Roman" w:cs="Times New Roman"/>
                <w:color w:val="auto"/>
                <w:kern w:val="0"/>
                <w:sz w:val="18"/>
                <w:szCs w:val="18"/>
                <w:lang w:eastAsia="zh-CN"/>
              </w:rPr>
            </w:pPr>
            <w:r>
              <w:rPr>
                <w:rFonts w:hint="default" w:ascii="Times New Roman" w:hAnsi="Times New Roman" w:cs="Times New Roman"/>
                <w:color w:val="auto"/>
                <w:kern w:val="0"/>
                <w:sz w:val="18"/>
                <w:szCs w:val="18"/>
                <w:lang w:val="en-US" w:eastAsia="zh-CN"/>
              </w:rPr>
              <w:t>对照</w:t>
            </w:r>
            <w:r>
              <w:rPr>
                <w:rFonts w:hint="default" w:ascii="Times New Roman" w:hAnsi="Times New Roman" w:cs="Times New Roman"/>
                <w:color w:val="auto"/>
                <w:sz w:val="18"/>
                <w:szCs w:val="18"/>
                <w:lang w:eastAsia="zh-CN"/>
              </w:rPr>
              <w:t>重大变动清单第</w:t>
            </w:r>
            <w:r>
              <w:rPr>
                <w:rFonts w:hint="default" w:ascii="Times New Roman" w:hAnsi="Times New Roman" w:cs="Times New Roman"/>
                <w:color w:val="auto"/>
                <w:sz w:val="18"/>
                <w:szCs w:val="18"/>
                <w:lang w:val="en-US" w:eastAsia="zh-CN"/>
              </w:rPr>
              <w:t>6条、第8条，不属于重大变动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581" w:type="dxa"/>
            <w:vMerge w:val="continue"/>
            <w:vAlign w:val="center"/>
          </w:tcPr>
          <w:p>
            <w:pPr>
              <w:widowControl/>
              <w:jc w:val="center"/>
              <w:rPr>
                <w:rFonts w:hint="default" w:ascii="Times New Roman" w:hAnsi="Times New Roman" w:eastAsia="宋体" w:cs="Times New Roman"/>
                <w:color w:val="auto"/>
                <w:kern w:val="0"/>
                <w:sz w:val="18"/>
                <w:szCs w:val="18"/>
              </w:rPr>
            </w:pPr>
          </w:p>
        </w:tc>
        <w:tc>
          <w:tcPr>
            <w:tcW w:w="437" w:type="dxa"/>
            <w:vMerge w:val="continue"/>
            <w:vAlign w:val="center"/>
          </w:tcPr>
          <w:p>
            <w:pPr>
              <w:widowControl/>
              <w:jc w:val="center"/>
              <w:rPr>
                <w:rFonts w:hint="default" w:ascii="Times New Roman" w:hAnsi="Times New Roman" w:eastAsia="宋体" w:cs="Times New Roman"/>
                <w:color w:val="auto"/>
                <w:kern w:val="0"/>
                <w:sz w:val="18"/>
                <w:szCs w:val="18"/>
              </w:rPr>
            </w:pPr>
          </w:p>
        </w:tc>
        <w:tc>
          <w:tcPr>
            <w:tcW w:w="771" w:type="dxa"/>
            <w:shd w:val="clear" w:color="auto" w:fill="auto"/>
            <w:vAlign w:val="center"/>
          </w:tcPr>
          <w:p>
            <w:pPr>
              <w:widowControl/>
              <w:jc w:val="center"/>
              <w:rPr>
                <w:rFonts w:hint="default" w:ascii="Times New Roman" w:hAnsi="Times New Roman" w:eastAsia="宋体" w:cs="Times New Roman"/>
                <w:color w:val="auto"/>
                <w:kern w:val="0"/>
                <w:sz w:val="18"/>
                <w:szCs w:val="18"/>
                <w:lang w:eastAsia="zh-CN"/>
              </w:rPr>
            </w:pPr>
            <w:r>
              <w:rPr>
                <w:rFonts w:hint="default" w:ascii="Times New Roman" w:hAnsi="Times New Roman" w:cs="Times New Roman"/>
                <w:color w:val="auto"/>
                <w:sz w:val="18"/>
                <w:szCs w:val="18"/>
                <w:lang w:eastAsia="zh-CN"/>
              </w:rPr>
              <w:t>切割废水预处理系统</w:t>
            </w:r>
          </w:p>
        </w:tc>
        <w:tc>
          <w:tcPr>
            <w:tcW w:w="2879" w:type="dxa"/>
            <w:gridSpan w:val="2"/>
            <w:shd w:val="clear" w:color="auto" w:fill="auto"/>
            <w:vAlign w:val="center"/>
          </w:tcPr>
          <w:p>
            <w:pPr>
              <w:widowControl/>
              <w:jc w:val="left"/>
              <w:rPr>
                <w:rFonts w:hint="default" w:ascii="Times New Roman" w:hAnsi="Times New Roman" w:eastAsia="宋体" w:cs="Times New Roman"/>
                <w:color w:val="auto"/>
                <w:kern w:val="0"/>
                <w:sz w:val="18"/>
                <w:szCs w:val="18"/>
                <w:lang w:eastAsia="zh-CN"/>
              </w:rPr>
            </w:pPr>
            <w:r>
              <w:rPr>
                <w:rFonts w:hint="default" w:ascii="Times New Roman" w:hAnsi="Times New Roman" w:cs="Times New Roman"/>
                <w:color w:val="auto"/>
                <w:sz w:val="18"/>
                <w:szCs w:val="18"/>
                <w:lang w:eastAsia="zh-CN"/>
              </w:rPr>
              <w:t>设置</w:t>
            </w:r>
            <w:r>
              <w:rPr>
                <w:rFonts w:hint="default" w:ascii="Times New Roman" w:hAnsi="Times New Roman" w:cs="Times New Roman"/>
                <w:color w:val="auto"/>
                <w:sz w:val="18"/>
                <w:szCs w:val="18"/>
              </w:rPr>
              <w:t>1套处理规模为16m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/h的预处理系统处理</w:t>
            </w:r>
            <w:r>
              <w:rPr>
                <w:rFonts w:hint="default" w:ascii="Times New Roman" w:hAnsi="Times New Roman" w:cs="Times New Roman"/>
                <w:color w:val="auto"/>
                <w:sz w:val="18"/>
                <w:szCs w:val="18"/>
                <w:lang w:eastAsia="zh-CN"/>
              </w:rPr>
              <w:t>切割废水</w:t>
            </w:r>
            <w:r>
              <w:rPr>
                <w:rFonts w:hint="default" w:ascii="Times New Roman" w:hAnsi="Times New Roman" w:cs="Times New Roman"/>
                <w:color w:val="auto"/>
                <w:sz w:val="18"/>
                <w:szCs w:val="18"/>
              </w:rPr>
              <w:t>，采用混凝沉淀处理工艺</w:t>
            </w:r>
            <w:r>
              <w:rPr>
                <w:rFonts w:hint="default" w:ascii="Times New Roman" w:hAnsi="Times New Roman" w:cs="Times New Roman"/>
                <w:color w:val="auto"/>
                <w:sz w:val="18"/>
                <w:szCs w:val="18"/>
                <w:lang w:eastAsia="zh-CN"/>
              </w:rPr>
              <w:t>，处理后的废水进入综合污水处理站处理</w:t>
            </w:r>
          </w:p>
        </w:tc>
        <w:tc>
          <w:tcPr>
            <w:tcW w:w="3066" w:type="dxa"/>
            <w:vAlign w:val="center"/>
          </w:tcPr>
          <w:p>
            <w:pPr>
              <w:widowControl/>
              <w:jc w:val="left"/>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设置</w:t>
            </w:r>
            <w:r>
              <w:rPr>
                <w:rFonts w:hint="default" w:ascii="Times New Roman" w:hAnsi="Times New Roman" w:cs="Times New Roman"/>
                <w:color w:val="auto"/>
                <w:sz w:val="18"/>
                <w:szCs w:val="18"/>
                <w:lang w:val="en-US" w:eastAsia="zh-CN"/>
              </w:rPr>
              <w:t>1</w:t>
            </w:r>
            <w:r>
              <w:rPr>
                <w:rFonts w:hint="default" w:ascii="Times New Roman" w:hAnsi="Times New Roman" w:cs="Times New Roman"/>
                <w:color w:val="auto"/>
                <w:sz w:val="18"/>
                <w:szCs w:val="18"/>
              </w:rPr>
              <w:t>1套</w:t>
            </w:r>
            <w:r>
              <w:rPr>
                <w:rFonts w:hint="default" w:ascii="Times New Roman" w:hAnsi="Times New Roman" w:cs="Times New Roman"/>
                <w:color w:val="auto"/>
                <w:sz w:val="18"/>
                <w:szCs w:val="18"/>
                <w:lang w:eastAsia="zh-CN"/>
              </w:rPr>
              <w:t>隔膜板框压滤机（单套处理规模为</w:t>
            </w:r>
            <w:r>
              <w:rPr>
                <w:rFonts w:hint="default" w:ascii="Times New Roman" w:hAnsi="Times New Roman" w:cs="Times New Roman"/>
                <w:color w:val="auto"/>
                <w:sz w:val="18"/>
                <w:szCs w:val="18"/>
                <w:lang w:val="en-US" w:eastAsia="zh-CN"/>
              </w:rPr>
              <w:t>5m</w:t>
            </w:r>
            <w:r>
              <w:rPr>
                <w:rFonts w:hint="default" w:ascii="Times New Roman" w:hAnsi="Times New Roman" w:cs="Times New Roman"/>
                <w:color w:val="auto"/>
                <w:sz w:val="18"/>
                <w:szCs w:val="18"/>
                <w:vertAlign w:val="superscript"/>
                <w:lang w:val="en-US" w:eastAsia="zh-CN"/>
              </w:rPr>
              <w:t>3</w:t>
            </w:r>
            <w:r>
              <w:rPr>
                <w:rFonts w:hint="default" w:ascii="Times New Roman" w:hAnsi="Times New Roman" w:cs="Times New Roman"/>
                <w:color w:val="auto"/>
                <w:sz w:val="18"/>
                <w:szCs w:val="18"/>
                <w:vertAlign w:val="baseline"/>
                <w:lang w:val="en-US" w:eastAsia="zh-CN"/>
              </w:rPr>
              <w:t>/h</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rPr>
              <w:t>进行处理</w:t>
            </w:r>
            <w:r>
              <w:rPr>
                <w:rFonts w:hint="default" w:ascii="Times New Roman" w:hAnsi="Times New Roman" w:cs="Times New Roman"/>
                <w:color w:val="auto"/>
                <w:sz w:val="18"/>
                <w:szCs w:val="18"/>
                <w:lang w:eastAsia="zh-CN"/>
              </w:rPr>
              <w:t>切割废水，采用压滤工艺，处理后的废水进入综合污水处理站处理</w:t>
            </w:r>
          </w:p>
        </w:tc>
        <w:tc>
          <w:tcPr>
            <w:tcW w:w="1022" w:type="dxa"/>
            <w:vAlign w:val="center"/>
          </w:tcPr>
          <w:p>
            <w:pPr>
              <w:widowControl/>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eastAsia="zh-CN"/>
              </w:rPr>
              <w:t>处理工艺改变，处理规模增大</w:t>
            </w:r>
          </w:p>
        </w:tc>
        <w:tc>
          <w:tcPr>
            <w:tcW w:w="2264" w:type="dxa"/>
            <w:vAlign w:val="center"/>
          </w:tcPr>
          <w:p>
            <w:pPr>
              <w:widowControl/>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eastAsia="zh-CN"/>
              </w:rPr>
              <w:t>切割废水中含有大量硅粉，采用混凝沉淀工艺效率低于压滤工艺；建设单位考虑满足切片车间整体生产需求，扩大处理规模</w:t>
            </w:r>
          </w:p>
        </w:tc>
        <w:tc>
          <w:tcPr>
            <w:tcW w:w="2791" w:type="dxa"/>
            <w:vAlign w:val="center"/>
          </w:tcPr>
          <w:p>
            <w:pPr>
              <w:widowControl/>
              <w:jc w:val="left"/>
              <w:rPr>
                <w:rFonts w:hint="default" w:ascii="Times New Roman" w:hAnsi="Times New Roman" w:cs="Times New Roman"/>
                <w:color w:val="auto"/>
                <w:kern w:val="0"/>
                <w:sz w:val="18"/>
                <w:szCs w:val="18"/>
                <w:lang w:eastAsia="zh-CN"/>
              </w:rPr>
            </w:pPr>
            <w:r>
              <w:rPr>
                <w:rFonts w:hint="default" w:ascii="Times New Roman" w:hAnsi="Times New Roman" w:cs="Times New Roman"/>
                <w:color w:val="auto"/>
                <w:kern w:val="0"/>
                <w:sz w:val="18"/>
                <w:szCs w:val="18"/>
                <w:lang w:eastAsia="zh-CN"/>
              </w:rPr>
              <w:t>（</w:t>
            </w:r>
            <w:r>
              <w:rPr>
                <w:rFonts w:hint="default" w:ascii="Times New Roman" w:hAnsi="Times New Roman" w:cs="Times New Roman"/>
                <w:color w:val="auto"/>
                <w:kern w:val="0"/>
                <w:sz w:val="18"/>
                <w:szCs w:val="18"/>
                <w:lang w:val="en-US" w:eastAsia="zh-CN"/>
              </w:rPr>
              <w:t>1</w:t>
            </w:r>
            <w:r>
              <w:rPr>
                <w:rFonts w:hint="default" w:ascii="Times New Roman" w:hAnsi="Times New Roman" w:cs="Times New Roman"/>
                <w:color w:val="auto"/>
                <w:kern w:val="0"/>
                <w:sz w:val="18"/>
                <w:szCs w:val="18"/>
                <w:lang w:eastAsia="zh-CN"/>
              </w:rPr>
              <w:t>）项目区域地表水（青龙河）环境质量不达标，扩大处理规模的目的是为了满足后续项目的生产要求，就项目本身而言，废水排放量未增加；</w:t>
            </w:r>
          </w:p>
          <w:p>
            <w:pPr>
              <w:widowControl/>
              <w:jc w:val="left"/>
              <w:rPr>
                <w:rFonts w:hint="default" w:ascii="Times New Roman" w:hAnsi="Times New Roman" w:cs="Times New Roman"/>
                <w:color w:val="auto"/>
                <w:sz w:val="18"/>
                <w:szCs w:val="18"/>
                <w:lang w:eastAsia="zh-CN"/>
              </w:rPr>
            </w:pPr>
            <w:r>
              <w:rPr>
                <w:rFonts w:hint="default" w:ascii="Times New Roman" w:hAnsi="Times New Roman" w:cs="Times New Roman"/>
                <w:color w:val="auto"/>
                <w:kern w:val="0"/>
                <w:sz w:val="18"/>
                <w:szCs w:val="18"/>
                <w:lang w:eastAsia="zh-CN"/>
              </w:rPr>
              <w:t>（</w:t>
            </w:r>
            <w:r>
              <w:rPr>
                <w:rFonts w:hint="default" w:ascii="Times New Roman" w:hAnsi="Times New Roman" w:cs="Times New Roman"/>
                <w:color w:val="auto"/>
                <w:kern w:val="0"/>
                <w:sz w:val="18"/>
                <w:szCs w:val="18"/>
                <w:lang w:val="en-US" w:eastAsia="zh-CN"/>
              </w:rPr>
              <w:t>2</w:t>
            </w:r>
            <w:r>
              <w:rPr>
                <w:rFonts w:hint="default" w:ascii="Times New Roman" w:hAnsi="Times New Roman" w:cs="Times New Roman"/>
                <w:color w:val="auto"/>
                <w:kern w:val="0"/>
                <w:sz w:val="18"/>
                <w:szCs w:val="18"/>
                <w:lang w:eastAsia="zh-CN"/>
              </w:rPr>
              <w:t>）废水处理工艺改进，属于措施加强</w:t>
            </w:r>
          </w:p>
        </w:tc>
        <w:tc>
          <w:tcPr>
            <w:tcW w:w="1644" w:type="dxa"/>
            <w:vAlign w:val="center"/>
          </w:tcPr>
          <w:p>
            <w:pPr>
              <w:widowControl/>
              <w:jc w:val="center"/>
              <w:rPr>
                <w:rFonts w:hint="default" w:ascii="Times New Roman" w:hAnsi="Times New Roman" w:cs="Times New Roman"/>
                <w:color w:val="auto"/>
                <w:sz w:val="18"/>
                <w:szCs w:val="18"/>
                <w:lang w:eastAsia="zh-CN"/>
              </w:rPr>
            </w:pPr>
            <w:r>
              <w:rPr>
                <w:rFonts w:hint="default" w:ascii="Times New Roman" w:hAnsi="Times New Roman" w:cs="Times New Roman"/>
                <w:color w:val="auto"/>
                <w:kern w:val="0"/>
                <w:sz w:val="18"/>
                <w:szCs w:val="18"/>
                <w:lang w:val="en-US" w:eastAsia="zh-CN"/>
              </w:rPr>
              <w:t>对照</w:t>
            </w:r>
            <w:r>
              <w:rPr>
                <w:rFonts w:hint="default" w:ascii="Times New Roman" w:hAnsi="Times New Roman" w:cs="Times New Roman"/>
                <w:color w:val="auto"/>
                <w:sz w:val="18"/>
                <w:szCs w:val="18"/>
                <w:lang w:eastAsia="zh-CN"/>
              </w:rPr>
              <w:t>重大变动清单第</w:t>
            </w:r>
            <w:r>
              <w:rPr>
                <w:rFonts w:hint="default" w:ascii="Times New Roman" w:hAnsi="Times New Roman" w:cs="Times New Roman"/>
                <w:color w:val="auto"/>
                <w:sz w:val="18"/>
                <w:szCs w:val="18"/>
                <w:lang w:val="en-US" w:eastAsia="zh-CN"/>
              </w:rPr>
              <w:t>6条、第8条，不属于重大变动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 w:hRule="atLeast"/>
          <w:jc w:val="center"/>
        </w:trPr>
        <w:tc>
          <w:tcPr>
            <w:tcW w:w="581" w:type="dxa"/>
            <w:vMerge w:val="continue"/>
            <w:vAlign w:val="center"/>
          </w:tcPr>
          <w:p>
            <w:pPr>
              <w:widowControl/>
              <w:jc w:val="center"/>
              <w:rPr>
                <w:rFonts w:hint="default" w:ascii="Times New Roman" w:hAnsi="Times New Roman" w:eastAsia="宋体" w:cs="Times New Roman"/>
                <w:color w:val="auto"/>
                <w:kern w:val="0"/>
                <w:sz w:val="18"/>
                <w:szCs w:val="18"/>
              </w:rPr>
            </w:pPr>
          </w:p>
        </w:tc>
        <w:tc>
          <w:tcPr>
            <w:tcW w:w="437" w:type="dxa"/>
            <w:vMerge w:val="continue"/>
            <w:vAlign w:val="center"/>
          </w:tcPr>
          <w:p>
            <w:pPr>
              <w:widowControl/>
              <w:jc w:val="center"/>
              <w:rPr>
                <w:rFonts w:hint="default" w:ascii="Times New Roman" w:hAnsi="Times New Roman" w:eastAsia="宋体" w:cs="Times New Roman"/>
                <w:color w:val="auto"/>
                <w:kern w:val="0"/>
                <w:sz w:val="18"/>
                <w:szCs w:val="18"/>
              </w:rPr>
            </w:pPr>
          </w:p>
        </w:tc>
        <w:tc>
          <w:tcPr>
            <w:tcW w:w="771" w:type="dxa"/>
            <w:shd w:val="clear" w:color="auto" w:fill="auto"/>
            <w:vAlign w:val="center"/>
          </w:tcPr>
          <w:p>
            <w:pPr>
              <w:widowControl/>
              <w:jc w:val="center"/>
              <w:rPr>
                <w:rFonts w:hint="default" w:ascii="Times New Roman" w:hAnsi="Times New Roman" w:eastAsia="宋体" w:cs="Times New Roman"/>
                <w:color w:val="auto"/>
                <w:kern w:val="0"/>
                <w:sz w:val="18"/>
                <w:szCs w:val="18"/>
                <w:lang w:eastAsia="zh-CN"/>
              </w:rPr>
            </w:pPr>
            <w:r>
              <w:rPr>
                <w:rFonts w:hint="default" w:ascii="Times New Roman" w:hAnsi="Times New Roman" w:cs="Times New Roman"/>
                <w:color w:val="auto"/>
                <w:kern w:val="0"/>
                <w:sz w:val="18"/>
                <w:szCs w:val="18"/>
                <w:lang w:eastAsia="zh-CN"/>
              </w:rPr>
              <w:t>综合污水处理站</w:t>
            </w:r>
          </w:p>
        </w:tc>
        <w:tc>
          <w:tcPr>
            <w:tcW w:w="2879" w:type="dxa"/>
            <w:gridSpan w:val="2"/>
            <w:shd w:val="clear" w:color="auto" w:fill="auto"/>
            <w:vAlign w:val="center"/>
          </w:tcPr>
          <w:p>
            <w:pPr>
              <w:widowControl/>
              <w:jc w:val="left"/>
              <w:rPr>
                <w:rFonts w:hint="default" w:ascii="Times New Roman" w:hAnsi="Times New Roman" w:eastAsia="宋体" w:cs="Times New Roman"/>
                <w:color w:val="auto"/>
                <w:kern w:val="0"/>
                <w:sz w:val="18"/>
                <w:szCs w:val="18"/>
                <w:lang w:val="en-US" w:eastAsia="zh-CN"/>
              </w:rPr>
            </w:pPr>
            <w:r>
              <w:rPr>
                <w:rFonts w:hint="default" w:ascii="Times New Roman" w:hAnsi="Times New Roman" w:cs="Times New Roman"/>
                <w:color w:val="auto"/>
                <w:kern w:val="0"/>
                <w:sz w:val="18"/>
                <w:szCs w:val="18"/>
                <w:lang w:eastAsia="zh-CN"/>
              </w:rPr>
              <w:t>设置</w:t>
            </w:r>
            <w:r>
              <w:rPr>
                <w:rFonts w:hint="default" w:ascii="Times New Roman" w:hAnsi="Times New Roman" w:cs="Times New Roman"/>
                <w:color w:val="auto"/>
                <w:kern w:val="0"/>
                <w:sz w:val="18"/>
                <w:szCs w:val="18"/>
                <w:lang w:val="en-US" w:eastAsia="zh-CN"/>
              </w:rPr>
              <w:t>1套处理规模为</w:t>
            </w:r>
            <w:r>
              <w:rPr>
                <w:rFonts w:hint="default" w:ascii="Times New Roman" w:hAnsi="Times New Roman" w:cs="Times New Roman"/>
                <w:color w:val="auto"/>
                <w:sz w:val="18"/>
                <w:szCs w:val="18"/>
                <w:lang w:val="en-US" w:eastAsia="zh-CN"/>
              </w:rPr>
              <w:t>8</w:t>
            </w:r>
            <w:r>
              <w:rPr>
                <w:rFonts w:hint="default" w:ascii="Times New Roman" w:hAnsi="Times New Roman" w:cs="Times New Roman"/>
                <w:color w:val="auto"/>
                <w:sz w:val="18"/>
                <w:szCs w:val="18"/>
              </w:rPr>
              <w:t>6m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/h</w:t>
            </w:r>
            <w:r>
              <w:rPr>
                <w:rFonts w:hint="default" w:ascii="Times New Roman" w:hAnsi="Times New Roman" w:cs="Times New Roman"/>
                <w:color w:val="auto"/>
                <w:sz w:val="18"/>
                <w:szCs w:val="18"/>
                <w:lang w:eastAsia="zh-CN"/>
              </w:rPr>
              <w:t>的</w:t>
            </w:r>
            <w:r>
              <w:rPr>
                <w:rFonts w:hint="default" w:ascii="Times New Roman" w:hAnsi="Times New Roman" w:cs="Times New Roman"/>
                <w:color w:val="auto"/>
                <w:kern w:val="0"/>
                <w:sz w:val="18"/>
                <w:szCs w:val="18"/>
                <w:lang w:val="en-US" w:eastAsia="zh-CN"/>
              </w:rPr>
              <w:t>综合污水处理系统处理切片车间清洗废水、切割废水，采用混凝沉淀+水解酸化+AO处理工艺</w:t>
            </w:r>
          </w:p>
        </w:tc>
        <w:tc>
          <w:tcPr>
            <w:tcW w:w="3066" w:type="dxa"/>
            <w:vAlign w:val="center"/>
          </w:tcPr>
          <w:p>
            <w:pPr>
              <w:widowControl/>
              <w:jc w:val="left"/>
              <w:rPr>
                <w:rFonts w:hint="default" w:ascii="Times New Roman" w:hAnsi="Times New Roman" w:eastAsia="宋体" w:cs="Times New Roman"/>
                <w:color w:val="auto"/>
                <w:kern w:val="0"/>
                <w:sz w:val="18"/>
                <w:szCs w:val="18"/>
                <w:vertAlign w:val="baseline"/>
                <w:lang w:val="en-US" w:eastAsia="zh-CN"/>
              </w:rPr>
            </w:pPr>
            <w:r>
              <w:rPr>
                <w:rFonts w:hint="default" w:ascii="Times New Roman" w:hAnsi="Times New Roman" w:cs="Times New Roman"/>
                <w:color w:val="auto"/>
                <w:kern w:val="0"/>
                <w:sz w:val="18"/>
                <w:szCs w:val="18"/>
                <w:lang w:eastAsia="zh-CN"/>
              </w:rPr>
              <w:t>设置</w:t>
            </w:r>
            <w:r>
              <w:rPr>
                <w:rFonts w:hint="default" w:ascii="Times New Roman" w:hAnsi="Times New Roman" w:cs="Times New Roman"/>
                <w:color w:val="auto"/>
                <w:kern w:val="0"/>
                <w:sz w:val="18"/>
                <w:szCs w:val="18"/>
                <w:lang w:val="en-US" w:eastAsia="zh-CN"/>
              </w:rPr>
              <w:t>1套处理规模为353m</w:t>
            </w:r>
            <w:r>
              <w:rPr>
                <w:rFonts w:hint="default" w:ascii="Times New Roman" w:hAnsi="Times New Roman" w:cs="Times New Roman"/>
                <w:color w:val="auto"/>
                <w:kern w:val="0"/>
                <w:sz w:val="18"/>
                <w:szCs w:val="18"/>
                <w:vertAlign w:val="superscript"/>
                <w:lang w:val="en-US" w:eastAsia="zh-CN"/>
              </w:rPr>
              <w:t>3</w:t>
            </w:r>
            <w:r>
              <w:rPr>
                <w:rFonts w:hint="default" w:ascii="Times New Roman" w:hAnsi="Times New Roman" w:cs="Times New Roman"/>
                <w:color w:val="auto"/>
                <w:kern w:val="0"/>
                <w:sz w:val="18"/>
                <w:szCs w:val="18"/>
                <w:vertAlign w:val="baseline"/>
                <w:lang w:val="en-US" w:eastAsia="zh-CN"/>
              </w:rPr>
              <w:t>/h的综合污水处理站处理全厂生产废水和生活废水</w:t>
            </w:r>
            <w:r>
              <w:rPr>
                <w:rFonts w:hint="default" w:ascii="Times New Roman" w:hAnsi="Times New Roman" w:cs="Times New Roman"/>
                <w:color w:val="auto"/>
                <w:kern w:val="0"/>
                <w:sz w:val="18"/>
                <w:szCs w:val="18"/>
                <w:lang w:val="en-US" w:eastAsia="zh-CN"/>
              </w:rPr>
              <w:t>，采用混凝沉淀+水解酸化+AO处理工艺</w:t>
            </w:r>
          </w:p>
        </w:tc>
        <w:tc>
          <w:tcPr>
            <w:tcW w:w="1022" w:type="dxa"/>
            <w:vAlign w:val="center"/>
          </w:tcPr>
          <w:p>
            <w:pPr>
              <w:widowControl/>
              <w:jc w:val="center"/>
              <w:rPr>
                <w:rFonts w:hint="default" w:ascii="Times New Roman" w:hAnsi="Times New Roman" w:eastAsia="宋体" w:cs="Times New Roman"/>
                <w:color w:val="auto"/>
                <w:kern w:val="0"/>
                <w:sz w:val="18"/>
                <w:szCs w:val="18"/>
                <w:lang w:eastAsia="zh-CN"/>
              </w:rPr>
            </w:pPr>
            <w:r>
              <w:rPr>
                <w:rFonts w:hint="default" w:ascii="Times New Roman" w:hAnsi="Times New Roman" w:cs="Times New Roman"/>
                <w:color w:val="auto"/>
                <w:kern w:val="0"/>
                <w:sz w:val="18"/>
                <w:szCs w:val="18"/>
                <w:lang w:eastAsia="zh-CN"/>
              </w:rPr>
              <w:t>废水处理种类增加，处理规模增大</w:t>
            </w:r>
          </w:p>
        </w:tc>
        <w:tc>
          <w:tcPr>
            <w:tcW w:w="2264" w:type="dxa"/>
            <w:vAlign w:val="center"/>
          </w:tcPr>
          <w:p>
            <w:pPr>
              <w:widowControl/>
              <w:jc w:val="center"/>
              <w:rPr>
                <w:rFonts w:hint="default" w:ascii="Times New Roman" w:hAnsi="Times New Roman" w:eastAsia="宋体" w:cs="Times New Roman"/>
                <w:color w:val="auto"/>
                <w:kern w:val="0"/>
                <w:sz w:val="18"/>
                <w:szCs w:val="18"/>
              </w:rPr>
            </w:pPr>
            <w:r>
              <w:rPr>
                <w:rFonts w:hint="default" w:ascii="Times New Roman" w:hAnsi="Times New Roman" w:cs="Times New Roman"/>
                <w:color w:val="auto"/>
                <w:kern w:val="0"/>
                <w:sz w:val="18"/>
                <w:szCs w:val="18"/>
                <w:lang w:eastAsia="zh-CN"/>
              </w:rPr>
              <w:t>建设过程中设计发生调整，考虑收集全厂废水进行二次处理，因此增大了综合污水处理站处理规模</w:t>
            </w:r>
          </w:p>
        </w:tc>
        <w:tc>
          <w:tcPr>
            <w:tcW w:w="2791" w:type="dxa"/>
            <w:vAlign w:val="center"/>
          </w:tcPr>
          <w:p>
            <w:pPr>
              <w:widowControl/>
              <w:jc w:val="left"/>
              <w:rPr>
                <w:rFonts w:hint="default" w:ascii="Times New Roman" w:hAnsi="Times New Roman" w:cs="Times New Roman"/>
                <w:color w:val="auto"/>
                <w:kern w:val="0"/>
                <w:sz w:val="18"/>
                <w:szCs w:val="18"/>
                <w:lang w:eastAsia="zh-CN"/>
              </w:rPr>
            </w:pPr>
            <w:r>
              <w:rPr>
                <w:rFonts w:hint="default" w:ascii="Times New Roman" w:hAnsi="Times New Roman" w:cs="Times New Roman"/>
                <w:color w:val="auto"/>
                <w:kern w:val="0"/>
                <w:sz w:val="18"/>
                <w:szCs w:val="18"/>
                <w:lang w:eastAsia="zh-CN"/>
              </w:rPr>
              <w:t>项目区域地表水（青龙河）环境质量不达标，扩大处理规模的目的是为了满足后续项目的生产要求，就项目本身而言，废水排放量未增加；</w:t>
            </w:r>
          </w:p>
        </w:tc>
        <w:tc>
          <w:tcPr>
            <w:tcW w:w="1644" w:type="dxa"/>
            <w:vAlign w:val="center"/>
          </w:tcPr>
          <w:p>
            <w:pPr>
              <w:widowControl/>
              <w:jc w:val="center"/>
              <w:rPr>
                <w:rFonts w:hint="default" w:ascii="Times New Roman" w:hAnsi="Times New Roman" w:cs="Times New Roman"/>
                <w:color w:val="auto"/>
                <w:kern w:val="0"/>
                <w:sz w:val="18"/>
                <w:szCs w:val="18"/>
                <w:lang w:eastAsia="zh-CN"/>
              </w:rPr>
            </w:pPr>
            <w:r>
              <w:rPr>
                <w:rFonts w:hint="default" w:ascii="Times New Roman" w:hAnsi="Times New Roman" w:cs="Times New Roman"/>
                <w:color w:val="auto"/>
                <w:kern w:val="0"/>
                <w:sz w:val="18"/>
                <w:szCs w:val="18"/>
                <w:lang w:val="en-US" w:eastAsia="zh-CN"/>
              </w:rPr>
              <w:t>对照</w:t>
            </w:r>
            <w:r>
              <w:rPr>
                <w:rFonts w:hint="default" w:ascii="Times New Roman" w:hAnsi="Times New Roman" w:cs="Times New Roman"/>
                <w:color w:val="auto"/>
                <w:sz w:val="18"/>
                <w:szCs w:val="18"/>
                <w:lang w:eastAsia="zh-CN"/>
              </w:rPr>
              <w:t>重大变动清单第</w:t>
            </w:r>
            <w:r>
              <w:rPr>
                <w:rFonts w:hint="default" w:ascii="Times New Roman" w:hAnsi="Times New Roman" w:cs="Times New Roman"/>
                <w:color w:val="auto"/>
                <w:sz w:val="18"/>
                <w:szCs w:val="18"/>
                <w:lang w:val="en-US" w:eastAsia="zh-CN"/>
              </w:rPr>
              <w:t>6条、第8条，不属于重大变动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581" w:type="dxa"/>
            <w:vMerge w:val="continue"/>
            <w:vAlign w:val="center"/>
          </w:tcPr>
          <w:p>
            <w:pPr>
              <w:widowControl/>
              <w:jc w:val="center"/>
              <w:rPr>
                <w:rFonts w:hint="default" w:ascii="Times New Roman" w:hAnsi="Times New Roman" w:eastAsia="宋体" w:cs="Times New Roman"/>
                <w:color w:val="auto"/>
                <w:kern w:val="0"/>
                <w:sz w:val="18"/>
                <w:szCs w:val="18"/>
              </w:rPr>
            </w:pPr>
          </w:p>
        </w:tc>
        <w:tc>
          <w:tcPr>
            <w:tcW w:w="437" w:type="dxa"/>
            <w:vMerge w:val="continue"/>
            <w:vAlign w:val="center"/>
          </w:tcPr>
          <w:p>
            <w:pPr>
              <w:widowControl/>
              <w:jc w:val="center"/>
              <w:rPr>
                <w:rFonts w:hint="default" w:ascii="Times New Roman" w:hAnsi="Times New Roman" w:eastAsia="宋体" w:cs="Times New Roman"/>
                <w:color w:val="auto"/>
                <w:kern w:val="0"/>
                <w:sz w:val="18"/>
                <w:szCs w:val="18"/>
              </w:rPr>
            </w:pPr>
          </w:p>
        </w:tc>
        <w:tc>
          <w:tcPr>
            <w:tcW w:w="771" w:type="dxa"/>
            <w:shd w:val="clear" w:color="auto" w:fill="auto"/>
            <w:vAlign w:val="center"/>
          </w:tcPr>
          <w:p>
            <w:pPr>
              <w:widowControl/>
              <w:jc w:val="center"/>
              <w:rPr>
                <w:rFonts w:hint="default" w:ascii="Times New Roman" w:hAnsi="Times New Roman" w:eastAsia="宋体" w:cs="Times New Roman"/>
                <w:b/>
                <w:color w:val="auto"/>
                <w:kern w:val="0"/>
                <w:sz w:val="18"/>
                <w:szCs w:val="18"/>
                <w:lang w:eastAsia="zh-CN"/>
              </w:rPr>
            </w:pPr>
            <w:r>
              <w:rPr>
                <w:rFonts w:hint="default" w:ascii="Times New Roman" w:hAnsi="Times New Roman" w:cs="Times New Roman"/>
                <w:color w:val="auto"/>
                <w:kern w:val="0"/>
                <w:sz w:val="18"/>
                <w:szCs w:val="18"/>
                <w:lang w:eastAsia="zh-CN"/>
              </w:rPr>
              <w:t>初期雨水收集池</w:t>
            </w:r>
          </w:p>
        </w:tc>
        <w:tc>
          <w:tcPr>
            <w:tcW w:w="2879" w:type="dxa"/>
            <w:gridSpan w:val="2"/>
            <w:shd w:val="clear" w:color="auto" w:fill="auto"/>
            <w:vAlign w:val="center"/>
          </w:tcPr>
          <w:p>
            <w:pPr>
              <w:widowControl/>
              <w:jc w:val="left"/>
              <w:rPr>
                <w:rFonts w:hint="default" w:ascii="Times New Roman" w:hAnsi="Times New Roman" w:eastAsia="宋体" w:cs="Times New Roman"/>
                <w:color w:val="auto"/>
                <w:kern w:val="0"/>
                <w:sz w:val="18"/>
                <w:szCs w:val="18"/>
              </w:rPr>
            </w:pPr>
            <w:r>
              <w:rPr>
                <w:rFonts w:hint="default" w:ascii="Times New Roman" w:hAnsi="Times New Roman" w:cs="Times New Roman"/>
                <w:color w:val="auto"/>
                <w:kern w:val="0"/>
                <w:sz w:val="18"/>
                <w:szCs w:val="18"/>
                <w:lang w:eastAsia="zh-CN"/>
              </w:rPr>
              <w:t>设置</w:t>
            </w:r>
            <w:r>
              <w:rPr>
                <w:rFonts w:hint="default" w:ascii="Times New Roman" w:hAnsi="Times New Roman" w:cs="Times New Roman"/>
                <w:color w:val="auto"/>
                <w:kern w:val="0"/>
                <w:sz w:val="18"/>
                <w:szCs w:val="18"/>
                <w:lang w:val="en-US" w:eastAsia="zh-CN"/>
              </w:rPr>
              <w:t>1</w:t>
            </w:r>
            <w:r>
              <w:rPr>
                <w:rFonts w:hint="default" w:ascii="Times New Roman" w:hAnsi="Times New Roman" w:eastAsia="宋体" w:cs="Times New Roman"/>
                <w:color w:val="auto"/>
                <w:kern w:val="0"/>
                <w:sz w:val="18"/>
                <w:szCs w:val="18"/>
              </w:rPr>
              <w:t>座150m</w:t>
            </w:r>
            <w:r>
              <w:rPr>
                <w:rFonts w:hint="default" w:ascii="Times New Roman" w:hAnsi="Times New Roman" w:eastAsia="宋体" w:cs="Times New Roman"/>
                <w:color w:val="auto"/>
                <w:kern w:val="0"/>
                <w:sz w:val="18"/>
                <w:szCs w:val="18"/>
                <w:vertAlign w:val="superscript"/>
              </w:rPr>
              <w:t>3</w:t>
            </w:r>
            <w:r>
              <w:rPr>
                <w:rFonts w:hint="default" w:ascii="Times New Roman" w:hAnsi="Times New Roman" w:eastAsia="宋体" w:cs="Times New Roman"/>
                <w:color w:val="auto"/>
                <w:kern w:val="0"/>
                <w:sz w:val="18"/>
                <w:szCs w:val="18"/>
              </w:rPr>
              <w:t>初期雨水收集池，初期雨水收集后进入</w:t>
            </w:r>
            <w:r>
              <w:rPr>
                <w:rFonts w:hint="default" w:ascii="Times New Roman" w:hAnsi="Times New Roman" w:cs="Times New Roman"/>
                <w:color w:val="auto"/>
                <w:kern w:val="0"/>
                <w:sz w:val="18"/>
                <w:szCs w:val="18"/>
                <w:lang w:eastAsia="zh-CN"/>
              </w:rPr>
              <w:t>含氟废水处理站</w:t>
            </w:r>
            <w:r>
              <w:rPr>
                <w:rFonts w:hint="default" w:ascii="Times New Roman" w:hAnsi="Times New Roman" w:eastAsia="宋体" w:cs="Times New Roman"/>
                <w:color w:val="auto"/>
                <w:kern w:val="0"/>
                <w:sz w:val="18"/>
                <w:szCs w:val="18"/>
              </w:rPr>
              <w:t>进行处理</w:t>
            </w:r>
          </w:p>
        </w:tc>
        <w:tc>
          <w:tcPr>
            <w:tcW w:w="3066" w:type="dxa"/>
            <w:vAlign w:val="center"/>
          </w:tcPr>
          <w:p>
            <w:pPr>
              <w:widowControl/>
              <w:jc w:val="left"/>
              <w:rPr>
                <w:rFonts w:hint="default" w:ascii="Times New Roman" w:hAnsi="Times New Roman" w:eastAsia="宋体" w:cs="Times New Roman"/>
                <w:color w:val="auto"/>
                <w:kern w:val="0"/>
                <w:sz w:val="18"/>
                <w:szCs w:val="18"/>
              </w:rPr>
            </w:pPr>
            <w:r>
              <w:rPr>
                <w:rFonts w:hint="default" w:ascii="Times New Roman" w:hAnsi="Times New Roman" w:cs="Times New Roman"/>
                <w:color w:val="auto"/>
                <w:kern w:val="0"/>
                <w:sz w:val="18"/>
                <w:szCs w:val="18"/>
                <w:lang w:eastAsia="zh-CN"/>
              </w:rPr>
              <w:t>设置</w:t>
            </w:r>
            <w:r>
              <w:rPr>
                <w:rFonts w:hint="default" w:ascii="Times New Roman" w:hAnsi="Times New Roman" w:cs="Times New Roman"/>
                <w:color w:val="auto"/>
                <w:kern w:val="0"/>
                <w:sz w:val="18"/>
                <w:szCs w:val="18"/>
                <w:lang w:val="en-US" w:eastAsia="zh-CN"/>
              </w:rPr>
              <w:t>1</w:t>
            </w:r>
            <w:r>
              <w:rPr>
                <w:rFonts w:hint="default" w:ascii="Times New Roman" w:hAnsi="Times New Roman" w:eastAsia="宋体" w:cs="Times New Roman"/>
                <w:color w:val="auto"/>
                <w:kern w:val="0"/>
                <w:sz w:val="18"/>
                <w:szCs w:val="18"/>
              </w:rPr>
              <w:t>座150m</w:t>
            </w:r>
            <w:r>
              <w:rPr>
                <w:rFonts w:hint="default" w:ascii="Times New Roman" w:hAnsi="Times New Roman" w:eastAsia="宋体" w:cs="Times New Roman"/>
                <w:color w:val="auto"/>
                <w:kern w:val="0"/>
                <w:sz w:val="18"/>
                <w:szCs w:val="18"/>
                <w:vertAlign w:val="superscript"/>
              </w:rPr>
              <w:t>3</w:t>
            </w:r>
            <w:r>
              <w:rPr>
                <w:rFonts w:hint="default" w:ascii="Times New Roman" w:hAnsi="Times New Roman" w:eastAsia="宋体" w:cs="Times New Roman"/>
                <w:color w:val="auto"/>
                <w:kern w:val="0"/>
                <w:sz w:val="18"/>
                <w:szCs w:val="18"/>
              </w:rPr>
              <w:t>初期雨水收集池，初期雨水收集后进入</w:t>
            </w:r>
            <w:r>
              <w:rPr>
                <w:rFonts w:hint="default" w:ascii="Times New Roman" w:hAnsi="Times New Roman" w:cs="Times New Roman"/>
                <w:color w:val="auto"/>
                <w:kern w:val="0"/>
                <w:sz w:val="18"/>
                <w:szCs w:val="18"/>
                <w:lang w:eastAsia="zh-CN"/>
              </w:rPr>
              <w:t>含氟废水处理站</w:t>
            </w:r>
            <w:r>
              <w:rPr>
                <w:rFonts w:hint="default" w:ascii="Times New Roman" w:hAnsi="Times New Roman" w:eastAsia="宋体" w:cs="Times New Roman"/>
                <w:color w:val="auto"/>
                <w:kern w:val="0"/>
                <w:sz w:val="18"/>
                <w:szCs w:val="18"/>
              </w:rPr>
              <w:t>进行处理</w:t>
            </w:r>
          </w:p>
        </w:tc>
        <w:tc>
          <w:tcPr>
            <w:tcW w:w="1022" w:type="dxa"/>
            <w:vAlign w:val="center"/>
          </w:tcPr>
          <w:p>
            <w:pPr>
              <w:widowControl/>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未发生改变</w:t>
            </w:r>
          </w:p>
        </w:tc>
        <w:tc>
          <w:tcPr>
            <w:tcW w:w="2264" w:type="dxa"/>
            <w:vAlign w:val="center"/>
          </w:tcPr>
          <w:p>
            <w:pPr>
              <w:widowControl/>
              <w:jc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w:t>
            </w:r>
          </w:p>
        </w:tc>
        <w:tc>
          <w:tcPr>
            <w:tcW w:w="2791" w:type="dxa"/>
            <w:vAlign w:val="center"/>
          </w:tcPr>
          <w:p>
            <w:pPr>
              <w:widowControl/>
              <w:jc w:val="center"/>
              <w:rPr>
                <w:rFonts w:hint="default" w:ascii="Times New Roman" w:hAnsi="Times New Roman"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w:t>
            </w:r>
          </w:p>
        </w:tc>
        <w:tc>
          <w:tcPr>
            <w:tcW w:w="1644" w:type="dxa"/>
            <w:vAlign w:val="center"/>
          </w:tcPr>
          <w:p>
            <w:pPr>
              <w:widowControl/>
              <w:jc w:val="center"/>
              <w:rPr>
                <w:rFonts w:hint="default" w:ascii="Times New Roman" w:hAnsi="Times New Roman"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81" w:type="dxa"/>
            <w:vMerge w:val="continue"/>
            <w:vAlign w:val="center"/>
          </w:tcPr>
          <w:p>
            <w:pPr>
              <w:widowControl/>
              <w:jc w:val="center"/>
              <w:rPr>
                <w:rFonts w:hint="default" w:ascii="Times New Roman" w:hAnsi="Times New Roman" w:eastAsia="宋体" w:cs="Times New Roman"/>
                <w:color w:val="auto"/>
                <w:kern w:val="0"/>
                <w:sz w:val="18"/>
                <w:szCs w:val="18"/>
              </w:rPr>
            </w:pPr>
          </w:p>
        </w:tc>
        <w:tc>
          <w:tcPr>
            <w:tcW w:w="437" w:type="dxa"/>
            <w:vMerge w:val="continue"/>
            <w:vAlign w:val="center"/>
          </w:tcPr>
          <w:p>
            <w:pPr>
              <w:widowControl/>
              <w:jc w:val="center"/>
              <w:rPr>
                <w:rFonts w:hint="default" w:ascii="Times New Roman" w:hAnsi="Times New Roman" w:eastAsia="宋体" w:cs="Times New Roman"/>
                <w:color w:val="auto"/>
                <w:kern w:val="0"/>
                <w:sz w:val="18"/>
                <w:szCs w:val="18"/>
              </w:rPr>
            </w:pPr>
          </w:p>
        </w:tc>
        <w:tc>
          <w:tcPr>
            <w:tcW w:w="771" w:type="dxa"/>
            <w:shd w:val="clear" w:color="auto" w:fill="auto"/>
            <w:vAlign w:val="center"/>
          </w:tcPr>
          <w:p>
            <w:pPr>
              <w:widowControl/>
              <w:jc w:val="center"/>
              <w:rPr>
                <w:rFonts w:hint="default" w:ascii="Times New Roman" w:hAnsi="Times New Roman" w:eastAsia="宋体" w:cs="Times New Roman"/>
                <w:color w:val="auto"/>
                <w:kern w:val="0"/>
                <w:sz w:val="18"/>
                <w:szCs w:val="18"/>
                <w:lang w:eastAsia="zh-CN"/>
              </w:rPr>
            </w:pPr>
            <w:r>
              <w:rPr>
                <w:rFonts w:hint="default" w:ascii="Times New Roman" w:hAnsi="Times New Roman" w:cs="Times New Roman"/>
                <w:color w:val="auto"/>
                <w:kern w:val="0"/>
                <w:sz w:val="18"/>
                <w:szCs w:val="18"/>
                <w:lang w:eastAsia="zh-CN"/>
              </w:rPr>
              <w:t>事故水池</w:t>
            </w:r>
          </w:p>
        </w:tc>
        <w:tc>
          <w:tcPr>
            <w:tcW w:w="2879" w:type="dxa"/>
            <w:gridSpan w:val="2"/>
            <w:shd w:val="clear" w:color="auto" w:fill="auto"/>
            <w:vAlign w:val="center"/>
          </w:tcPr>
          <w:p>
            <w:pPr>
              <w:widowControl/>
              <w:jc w:val="left"/>
              <w:rPr>
                <w:rFonts w:hint="default" w:ascii="Times New Roman" w:hAnsi="Times New Roman" w:eastAsia="宋体" w:cs="Times New Roman"/>
                <w:color w:val="auto"/>
                <w:kern w:val="0"/>
                <w:sz w:val="18"/>
                <w:szCs w:val="18"/>
              </w:rPr>
            </w:pPr>
            <w:r>
              <w:rPr>
                <w:rFonts w:hint="default" w:ascii="Times New Roman" w:hAnsi="Times New Roman" w:cs="Times New Roman"/>
                <w:color w:val="auto"/>
                <w:kern w:val="0"/>
                <w:sz w:val="18"/>
                <w:szCs w:val="18"/>
                <w:lang w:eastAsia="zh-CN"/>
              </w:rPr>
              <w:t>设置</w:t>
            </w:r>
            <w:r>
              <w:rPr>
                <w:rFonts w:hint="default" w:ascii="Times New Roman" w:hAnsi="Times New Roman" w:cs="Times New Roman"/>
                <w:color w:val="auto"/>
                <w:kern w:val="0"/>
                <w:sz w:val="18"/>
                <w:szCs w:val="18"/>
                <w:lang w:val="en-US" w:eastAsia="zh-CN"/>
              </w:rPr>
              <w:t>1</w:t>
            </w:r>
            <w:r>
              <w:rPr>
                <w:rFonts w:hint="default" w:ascii="Times New Roman" w:hAnsi="Times New Roman" w:eastAsia="宋体" w:cs="Times New Roman"/>
                <w:color w:val="auto"/>
                <w:kern w:val="0"/>
                <w:sz w:val="18"/>
                <w:szCs w:val="18"/>
              </w:rPr>
              <w:t>座容积为7</w:t>
            </w:r>
            <w:r>
              <w:rPr>
                <w:rFonts w:hint="default" w:ascii="Times New Roman" w:hAnsi="Times New Roman" w:eastAsia="宋体" w:cs="Times New Roman"/>
                <w:color w:val="auto"/>
                <w:kern w:val="0"/>
                <w:sz w:val="18"/>
                <w:szCs w:val="18"/>
                <w:lang w:val="en-US" w:eastAsia="zh-CN"/>
              </w:rPr>
              <w:t>2</w:t>
            </w:r>
            <w:r>
              <w:rPr>
                <w:rFonts w:hint="default" w:ascii="Times New Roman" w:hAnsi="Times New Roman" w:eastAsia="宋体" w:cs="Times New Roman"/>
                <w:color w:val="auto"/>
                <w:kern w:val="0"/>
                <w:sz w:val="18"/>
                <w:szCs w:val="18"/>
              </w:rPr>
              <w:t>0m</w:t>
            </w:r>
            <w:r>
              <w:rPr>
                <w:rFonts w:hint="default" w:ascii="Times New Roman" w:hAnsi="Times New Roman" w:eastAsia="宋体" w:cs="Times New Roman"/>
                <w:color w:val="auto"/>
                <w:kern w:val="0"/>
                <w:sz w:val="18"/>
                <w:szCs w:val="18"/>
                <w:vertAlign w:val="superscript"/>
              </w:rPr>
              <w:t>3</w:t>
            </w:r>
            <w:r>
              <w:rPr>
                <w:rFonts w:hint="default" w:ascii="Times New Roman" w:hAnsi="Times New Roman" w:eastAsia="宋体" w:cs="Times New Roman"/>
                <w:color w:val="auto"/>
                <w:kern w:val="0"/>
                <w:sz w:val="18"/>
                <w:szCs w:val="18"/>
              </w:rPr>
              <w:t>的事故水池，事故废水收集后进入</w:t>
            </w:r>
            <w:r>
              <w:rPr>
                <w:rFonts w:hint="default" w:ascii="Times New Roman" w:hAnsi="Times New Roman" w:cs="Times New Roman"/>
                <w:color w:val="auto"/>
                <w:kern w:val="0"/>
                <w:sz w:val="18"/>
                <w:szCs w:val="18"/>
                <w:lang w:eastAsia="zh-CN"/>
              </w:rPr>
              <w:t>含氟废水处理站</w:t>
            </w:r>
            <w:r>
              <w:rPr>
                <w:rFonts w:hint="default" w:ascii="Times New Roman" w:hAnsi="Times New Roman" w:eastAsia="宋体" w:cs="Times New Roman"/>
                <w:color w:val="auto"/>
                <w:kern w:val="0"/>
                <w:sz w:val="18"/>
                <w:szCs w:val="18"/>
              </w:rPr>
              <w:t>进行处理</w:t>
            </w:r>
          </w:p>
        </w:tc>
        <w:tc>
          <w:tcPr>
            <w:tcW w:w="3066" w:type="dxa"/>
            <w:vAlign w:val="center"/>
          </w:tcPr>
          <w:p>
            <w:pPr>
              <w:widowControl/>
              <w:jc w:val="left"/>
              <w:rPr>
                <w:rFonts w:hint="default" w:ascii="Times New Roman" w:hAnsi="Times New Roman" w:eastAsia="宋体" w:cs="Times New Roman"/>
                <w:color w:val="auto"/>
                <w:kern w:val="0"/>
                <w:sz w:val="18"/>
                <w:szCs w:val="18"/>
              </w:rPr>
            </w:pPr>
            <w:r>
              <w:rPr>
                <w:rFonts w:hint="default" w:ascii="Times New Roman" w:hAnsi="Times New Roman" w:cs="Times New Roman"/>
                <w:color w:val="auto"/>
                <w:kern w:val="0"/>
                <w:sz w:val="18"/>
                <w:szCs w:val="18"/>
                <w:lang w:eastAsia="zh-CN"/>
              </w:rPr>
              <w:t>共有</w:t>
            </w:r>
            <w:r>
              <w:rPr>
                <w:rFonts w:hint="default" w:ascii="Times New Roman" w:hAnsi="Times New Roman" w:cs="Times New Roman"/>
                <w:color w:val="auto"/>
                <w:kern w:val="0"/>
                <w:sz w:val="18"/>
                <w:szCs w:val="18"/>
                <w:lang w:val="en-US" w:eastAsia="zh-CN"/>
              </w:rPr>
              <w:t>2座事故水池，</w:t>
            </w:r>
            <w:r>
              <w:rPr>
                <w:rFonts w:hint="default" w:ascii="Times New Roman" w:hAnsi="Times New Roman" w:eastAsia="宋体" w:cs="Times New Roman"/>
                <w:color w:val="auto"/>
                <w:kern w:val="0"/>
                <w:sz w:val="18"/>
                <w:szCs w:val="18"/>
                <w:lang w:val="en-US" w:eastAsia="zh-CN"/>
              </w:rPr>
              <w:t>1</w:t>
            </w:r>
            <w:r>
              <w:rPr>
                <w:rFonts w:hint="default" w:ascii="Times New Roman" w:hAnsi="Times New Roman" w:eastAsia="宋体" w:cs="Times New Roman"/>
                <w:color w:val="auto"/>
                <w:kern w:val="0"/>
                <w:sz w:val="18"/>
                <w:szCs w:val="18"/>
              </w:rPr>
              <w:t>座容积为7</w:t>
            </w:r>
            <w:r>
              <w:rPr>
                <w:rFonts w:hint="default" w:ascii="Times New Roman" w:hAnsi="Times New Roman" w:eastAsia="宋体" w:cs="Times New Roman"/>
                <w:color w:val="auto"/>
                <w:kern w:val="0"/>
                <w:sz w:val="18"/>
                <w:szCs w:val="18"/>
                <w:lang w:val="en-US" w:eastAsia="zh-CN"/>
              </w:rPr>
              <w:t>2</w:t>
            </w:r>
            <w:r>
              <w:rPr>
                <w:rFonts w:hint="default" w:ascii="Times New Roman" w:hAnsi="Times New Roman" w:eastAsia="宋体" w:cs="Times New Roman"/>
                <w:color w:val="auto"/>
                <w:kern w:val="0"/>
                <w:sz w:val="18"/>
                <w:szCs w:val="18"/>
              </w:rPr>
              <w:t>0m</w:t>
            </w:r>
            <w:r>
              <w:rPr>
                <w:rFonts w:hint="default" w:ascii="Times New Roman" w:hAnsi="Times New Roman" w:eastAsia="宋体" w:cs="Times New Roman"/>
                <w:color w:val="auto"/>
                <w:kern w:val="0"/>
                <w:sz w:val="18"/>
                <w:szCs w:val="18"/>
                <w:vertAlign w:val="superscript"/>
              </w:rPr>
              <w:t>3</w:t>
            </w:r>
            <w:r>
              <w:rPr>
                <w:rFonts w:hint="default" w:ascii="Times New Roman" w:hAnsi="Times New Roman" w:eastAsia="宋体" w:cs="Times New Roman"/>
                <w:color w:val="auto"/>
                <w:kern w:val="0"/>
                <w:sz w:val="18"/>
                <w:szCs w:val="18"/>
                <w:lang w:eastAsia="zh-CN"/>
              </w:rPr>
              <w:t>，</w:t>
            </w:r>
            <w:r>
              <w:rPr>
                <w:rFonts w:hint="default" w:ascii="Times New Roman" w:hAnsi="Times New Roman" w:eastAsia="宋体" w:cs="Times New Roman"/>
                <w:color w:val="auto"/>
                <w:kern w:val="0"/>
                <w:sz w:val="18"/>
                <w:szCs w:val="18"/>
                <w:lang w:val="en-US" w:eastAsia="zh-CN"/>
              </w:rPr>
              <w:t>1座容积为3000</w:t>
            </w:r>
            <w:r>
              <w:rPr>
                <w:rFonts w:hint="default" w:ascii="Times New Roman" w:hAnsi="Times New Roman" w:eastAsia="宋体" w:cs="Times New Roman"/>
                <w:color w:val="auto"/>
                <w:kern w:val="0"/>
                <w:sz w:val="18"/>
                <w:szCs w:val="18"/>
              </w:rPr>
              <w:t>m</w:t>
            </w:r>
            <w:r>
              <w:rPr>
                <w:rFonts w:hint="default" w:ascii="Times New Roman" w:hAnsi="Times New Roman" w:eastAsia="宋体" w:cs="Times New Roman"/>
                <w:color w:val="auto"/>
                <w:kern w:val="0"/>
                <w:sz w:val="18"/>
                <w:szCs w:val="18"/>
                <w:vertAlign w:val="superscript"/>
              </w:rPr>
              <w:t>3</w:t>
            </w:r>
            <w:r>
              <w:rPr>
                <w:rFonts w:hint="default" w:ascii="Times New Roman" w:hAnsi="Times New Roman" w:eastAsia="宋体" w:cs="Times New Roman"/>
                <w:color w:val="auto"/>
                <w:kern w:val="0"/>
                <w:sz w:val="18"/>
                <w:szCs w:val="18"/>
                <w:lang w:eastAsia="zh-CN"/>
              </w:rPr>
              <w:t>，</w:t>
            </w:r>
            <w:r>
              <w:rPr>
                <w:rFonts w:hint="default" w:ascii="Times New Roman" w:hAnsi="Times New Roman" w:eastAsia="宋体" w:cs="Times New Roman"/>
                <w:color w:val="auto"/>
                <w:kern w:val="0"/>
                <w:sz w:val="18"/>
                <w:szCs w:val="18"/>
              </w:rPr>
              <w:t>事故废水收集后进入</w:t>
            </w:r>
            <w:r>
              <w:rPr>
                <w:rFonts w:hint="default" w:ascii="Times New Roman" w:hAnsi="Times New Roman" w:cs="Times New Roman"/>
                <w:color w:val="auto"/>
                <w:kern w:val="0"/>
                <w:sz w:val="18"/>
                <w:szCs w:val="18"/>
                <w:lang w:eastAsia="zh-CN"/>
              </w:rPr>
              <w:t>综合污水处理站</w:t>
            </w:r>
            <w:r>
              <w:rPr>
                <w:rFonts w:hint="default" w:ascii="Times New Roman" w:hAnsi="Times New Roman" w:eastAsia="宋体" w:cs="Times New Roman"/>
                <w:color w:val="auto"/>
                <w:kern w:val="0"/>
                <w:sz w:val="18"/>
                <w:szCs w:val="18"/>
              </w:rPr>
              <w:t>进行处理</w:t>
            </w:r>
          </w:p>
        </w:tc>
        <w:tc>
          <w:tcPr>
            <w:tcW w:w="1022" w:type="dxa"/>
            <w:vAlign w:val="center"/>
          </w:tcPr>
          <w:p>
            <w:pPr>
              <w:widowControl/>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事故水池</w:t>
            </w:r>
            <w:r>
              <w:rPr>
                <w:rFonts w:hint="default" w:ascii="Times New Roman" w:hAnsi="Times New Roman" w:cs="Times New Roman"/>
                <w:color w:val="auto"/>
                <w:kern w:val="0"/>
                <w:sz w:val="18"/>
                <w:szCs w:val="18"/>
                <w:lang w:eastAsia="zh-CN"/>
              </w:rPr>
              <w:t>数量增加，</w:t>
            </w:r>
            <w:r>
              <w:rPr>
                <w:rFonts w:hint="default" w:ascii="Times New Roman" w:hAnsi="Times New Roman" w:eastAsia="宋体" w:cs="Times New Roman"/>
                <w:color w:val="auto"/>
                <w:kern w:val="0"/>
                <w:sz w:val="18"/>
                <w:szCs w:val="18"/>
              </w:rPr>
              <w:t>容积增加</w:t>
            </w:r>
          </w:p>
        </w:tc>
        <w:tc>
          <w:tcPr>
            <w:tcW w:w="2264" w:type="dxa"/>
            <w:vAlign w:val="center"/>
          </w:tcPr>
          <w:p>
            <w:pPr>
              <w:widowControl/>
              <w:jc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cs="Times New Roman"/>
                <w:color w:val="auto"/>
                <w:kern w:val="0"/>
                <w:sz w:val="18"/>
                <w:szCs w:val="18"/>
                <w:lang w:eastAsia="zh-CN"/>
              </w:rPr>
              <w:t>主要是考虑满足全厂</w:t>
            </w:r>
            <w:r>
              <w:rPr>
                <w:rFonts w:hint="default" w:ascii="Times New Roman" w:hAnsi="Times New Roman" w:cs="Times New Roman"/>
                <w:color w:val="auto"/>
                <w:kern w:val="0"/>
                <w:sz w:val="18"/>
                <w:szCs w:val="18"/>
                <w:lang w:val="en-US" w:eastAsia="zh-CN"/>
              </w:rPr>
              <w:t>的事故废水收集要求</w:t>
            </w:r>
          </w:p>
        </w:tc>
        <w:tc>
          <w:tcPr>
            <w:tcW w:w="2791" w:type="dxa"/>
            <w:vAlign w:val="center"/>
          </w:tcPr>
          <w:p>
            <w:pPr>
              <w:widowControl/>
              <w:jc w:val="left"/>
              <w:rPr>
                <w:rFonts w:hint="default" w:ascii="Times New Roman" w:hAnsi="Times New Roman" w:cs="Times New Roman"/>
                <w:color w:val="auto"/>
                <w:kern w:val="0"/>
                <w:sz w:val="18"/>
                <w:szCs w:val="18"/>
                <w:lang w:eastAsia="zh-CN"/>
              </w:rPr>
            </w:pPr>
            <w:r>
              <w:rPr>
                <w:rFonts w:hint="default" w:ascii="Times New Roman" w:hAnsi="Times New Roman" w:cs="Times New Roman"/>
                <w:color w:val="auto"/>
                <w:kern w:val="0"/>
                <w:sz w:val="18"/>
                <w:szCs w:val="18"/>
                <w:lang w:eastAsia="zh-CN"/>
              </w:rPr>
              <w:t>项目区域地表水（青龙河）环境质量不达标，扩大事故水池容积和数量的目的是为了满足后续项目的生产要求，没有导致环境风险防范能力弱化或降低；</w:t>
            </w:r>
          </w:p>
        </w:tc>
        <w:tc>
          <w:tcPr>
            <w:tcW w:w="1644" w:type="dxa"/>
            <w:vAlign w:val="center"/>
          </w:tcPr>
          <w:p>
            <w:pPr>
              <w:widowControl/>
              <w:jc w:val="center"/>
              <w:rPr>
                <w:rFonts w:hint="default" w:ascii="Times New Roman" w:hAnsi="Times New Roman" w:cs="Times New Roman"/>
                <w:color w:val="auto"/>
                <w:kern w:val="0"/>
                <w:sz w:val="18"/>
                <w:szCs w:val="18"/>
                <w:lang w:eastAsia="zh-CN"/>
              </w:rPr>
            </w:pPr>
            <w:r>
              <w:rPr>
                <w:rFonts w:hint="default" w:ascii="Times New Roman" w:hAnsi="Times New Roman" w:cs="Times New Roman"/>
                <w:color w:val="auto"/>
                <w:kern w:val="0"/>
                <w:sz w:val="18"/>
                <w:szCs w:val="18"/>
                <w:lang w:val="en-US" w:eastAsia="zh-CN"/>
              </w:rPr>
              <w:t>对照</w:t>
            </w:r>
            <w:r>
              <w:rPr>
                <w:rFonts w:hint="default" w:ascii="Times New Roman" w:hAnsi="Times New Roman" w:cs="Times New Roman"/>
                <w:color w:val="auto"/>
                <w:sz w:val="18"/>
                <w:szCs w:val="18"/>
                <w:lang w:eastAsia="zh-CN"/>
              </w:rPr>
              <w:t>重大变动清单第</w:t>
            </w:r>
            <w:r>
              <w:rPr>
                <w:rFonts w:hint="default" w:ascii="Times New Roman" w:hAnsi="Times New Roman" w:cs="Times New Roman"/>
                <w:color w:val="auto"/>
                <w:sz w:val="18"/>
                <w:szCs w:val="18"/>
                <w:lang w:val="en-US" w:eastAsia="zh-CN"/>
              </w:rPr>
              <w:t>13条，不属于重大变动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581" w:type="dxa"/>
            <w:vMerge w:val="continue"/>
            <w:vAlign w:val="center"/>
          </w:tcPr>
          <w:p>
            <w:pPr>
              <w:widowControl/>
              <w:jc w:val="center"/>
              <w:rPr>
                <w:rFonts w:hint="default" w:ascii="Times New Roman" w:hAnsi="Times New Roman" w:eastAsia="宋体" w:cs="Times New Roman"/>
                <w:color w:val="auto"/>
                <w:kern w:val="0"/>
                <w:sz w:val="18"/>
                <w:szCs w:val="18"/>
              </w:rPr>
            </w:pPr>
          </w:p>
        </w:tc>
        <w:tc>
          <w:tcPr>
            <w:tcW w:w="1208" w:type="dxa"/>
            <w:gridSpan w:val="2"/>
            <w:vAlign w:val="center"/>
          </w:tcPr>
          <w:p>
            <w:pPr>
              <w:widowControl/>
              <w:jc w:val="center"/>
              <w:rPr>
                <w:rFonts w:hint="default" w:ascii="Times New Roman" w:hAnsi="Times New Roman" w:eastAsia="宋体" w:cs="Times New Roman"/>
                <w:color w:val="auto"/>
                <w:kern w:val="0"/>
                <w:sz w:val="18"/>
                <w:szCs w:val="18"/>
                <w:lang w:eastAsia="zh-CN"/>
              </w:rPr>
            </w:pPr>
            <w:r>
              <w:rPr>
                <w:rFonts w:hint="default" w:ascii="Times New Roman" w:hAnsi="Times New Roman" w:cs="Times New Roman"/>
                <w:color w:val="auto"/>
                <w:kern w:val="0"/>
                <w:sz w:val="18"/>
                <w:szCs w:val="18"/>
                <w:lang w:eastAsia="zh-CN"/>
              </w:rPr>
              <w:t>固废库</w:t>
            </w:r>
          </w:p>
        </w:tc>
        <w:tc>
          <w:tcPr>
            <w:tcW w:w="2879" w:type="dxa"/>
            <w:gridSpan w:val="2"/>
            <w:shd w:val="clear" w:color="auto" w:fill="auto"/>
            <w:vAlign w:val="center"/>
          </w:tcPr>
          <w:p>
            <w:pPr>
              <w:pStyle w:val="167"/>
              <w:jc w:val="left"/>
              <w:rPr>
                <w:rFonts w:hint="default" w:ascii="Times New Roman" w:hAnsi="Times New Roman" w:eastAsia="宋体" w:cs="Times New Roman"/>
                <w:color w:val="auto"/>
                <w:kern w:val="0"/>
                <w:sz w:val="18"/>
                <w:szCs w:val="18"/>
              </w:rPr>
            </w:pPr>
            <w:r>
              <w:rPr>
                <w:rFonts w:hint="default" w:ascii="Times New Roman" w:hAnsi="Times New Roman" w:cs="Times New Roman"/>
                <w:color w:val="auto"/>
                <w:sz w:val="18"/>
                <w:szCs w:val="18"/>
              </w:rPr>
              <w:t>在成品仓库内设置1间200</w:t>
            </w:r>
            <w:r>
              <w:rPr>
                <w:rFonts w:hint="default" w:ascii="Times New Roman" w:hAnsi="Times New Roman" w:cs="Times New Roman"/>
                <w:color w:val="auto"/>
                <w:sz w:val="18"/>
                <w:szCs w:val="18"/>
                <w:lang w:val="en-US" w:eastAsia="zh-CN"/>
              </w:rPr>
              <w:t>m</w:t>
            </w:r>
            <w:r>
              <w:rPr>
                <w:rFonts w:hint="default" w:ascii="Times New Roman" w:hAnsi="Times New Roman" w:cs="Times New Roman"/>
                <w:color w:val="auto"/>
                <w:sz w:val="18"/>
                <w:szCs w:val="18"/>
                <w:vertAlign w:val="superscript"/>
                <w:lang w:val="en-US" w:eastAsia="zh-CN"/>
              </w:rPr>
              <w:t>2</w:t>
            </w:r>
            <w:r>
              <w:rPr>
                <w:rFonts w:hint="default" w:ascii="Times New Roman" w:hAnsi="Times New Roman" w:cs="Times New Roman"/>
                <w:color w:val="auto"/>
                <w:sz w:val="18"/>
                <w:szCs w:val="18"/>
              </w:rPr>
              <w:t>一般固体废物贮存库，存放破碎后的废坩埚碎片、废石墨件等。</w:t>
            </w:r>
          </w:p>
        </w:tc>
        <w:tc>
          <w:tcPr>
            <w:tcW w:w="3066" w:type="dxa"/>
            <w:vAlign w:val="center"/>
          </w:tcPr>
          <w:p>
            <w:pPr>
              <w:widowControl/>
              <w:jc w:val="left"/>
              <w:rPr>
                <w:rFonts w:hint="default" w:ascii="Times New Roman" w:hAnsi="Times New Roman" w:eastAsia="宋体" w:cs="Times New Roman"/>
                <w:color w:val="auto"/>
                <w:kern w:val="0"/>
                <w:sz w:val="18"/>
                <w:szCs w:val="18"/>
                <w:lang w:val="en-US" w:eastAsia="zh-CN"/>
              </w:rPr>
            </w:pPr>
            <w:r>
              <w:rPr>
                <w:rFonts w:hint="default" w:ascii="Times New Roman" w:hAnsi="Times New Roman" w:cs="Times New Roman"/>
                <w:color w:val="auto"/>
                <w:sz w:val="18"/>
                <w:szCs w:val="18"/>
                <w:lang w:eastAsia="zh-CN"/>
              </w:rPr>
              <w:t>设置</w:t>
            </w:r>
            <w:r>
              <w:rPr>
                <w:rFonts w:hint="default" w:ascii="Times New Roman" w:hAnsi="Times New Roman" w:cs="Times New Roman"/>
                <w:color w:val="auto"/>
                <w:sz w:val="18"/>
                <w:szCs w:val="18"/>
              </w:rPr>
              <w:t>1栋占地面积为</w:t>
            </w:r>
            <w:r>
              <w:rPr>
                <w:rFonts w:hint="default" w:ascii="Times New Roman" w:hAnsi="Times New Roman" w:cs="Times New Roman"/>
                <w:color w:val="auto"/>
                <w:sz w:val="18"/>
                <w:szCs w:val="18"/>
                <w:lang w:eastAsia="zh-CN"/>
              </w:rPr>
              <w:t>4874.36</w:t>
            </w:r>
            <w:r>
              <w:rPr>
                <w:rFonts w:hint="default" w:ascii="Times New Roman" w:hAnsi="Times New Roman" w:cs="Times New Roman"/>
                <w:color w:val="auto"/>
                <w:sz w:val="18"/>
                <w:szCs w:val="18"/>
              </w:rPr>
              <w:t>m</w:t>
            </w:r>
            <w:r>
              <w:rPr>
                <w:rFonts w:hint="default" w:ascii="Times New Roman" w:hAnsi="Times New Roman" w:cs="Times New Roman"/>
                <w:color w:val="auto"/>
                <w:sz w:val="18"/>
                <w:szCs w:val="18"/>
                <w:vertAlign w:val="superscript"/>
              </w:rPr>
              <w:t>2</w:t>
            </w:r>
            <w:r>
              <w:rPr>
                <w:rFonts w:hint="default" w:ascii="Times New Roman" w:hAnsi="Times New Roman" w:cs="Times New Roman"/>
                <w:color w:val="auto"/>
                <w:sz w:val="18"/>
                <w:szCs w:val="18"/>
              </w:rPr>
              <w:t>的硅泥库暂存</w:t>
            </w:r>
            <w:r>
              <w:rPr>
                <w:rFonts w:hint="default" w:ascii="Times New Roman" w:hAnsi="Times New Roman" w:cs="Times New Roman"/>
                <w:color w:val="auto"/>
                <w:sz w:val="18"/>
                <w:szCs w:val="18"/>
                <w:lang w:eastAsia="zh-CN"/>
              </w:rPr>
              <w:t>全厂产生的一般工业固废、硅泥、污泥</w:t>
            </w:r>
          </w:p>
        </w:tc>
        <w:tc>
          <w:tcPr>
            <w:tcW w:w="1022" w:type="dxa"/>
            <w:vAlign w:val="center"/>
          </w:tcPr>
          <w:p>
            <w:pPr>
              <w:widowControl/>
              <w:jc w:val="center"/>
              <w:rPr>
                <w:rFonts w:hint="default" w:ascii="Times New Roman" w:hAnsi="Times New Roman" w:eastAsia="宋体" w:cs="Times New Roman"/>
                <w:color w:val="auto"/>
                <w:kern w:val="0"/>
                <w:sz w:val="18"/>
                <w:szCs w:val="18"/>
                <w:lang w:eastAsia="zh-CN"/>
              </w:rPr>
            </w:pPr>
            <w:r>
              <w:rPr>
                <w:rFonts w:hint="default" w:ascii="Times New Roman" w:hAnsi="Times New Roman" w:cs="Times New Roman"/>
                <w:color w:val="auto"/>
                <w:kern w:val="0"/>
                <w:sz w:val="18"/>
                <w:szCs w:val="18"/>
                <w:lang w:eastAsia="zh-CN"/>
              </w:rPr>
              <w:t>暂存设施变动</w:t>
            </w:r>
          </w:p>
        </w:tc>
        <w:tc>
          <w:tcPr>
            <w:tcW w:w="2264" w:type="dxa"/>
            <w:vAlign w:val="center"/>
          </w:tcPr>
          <w:p>
            <w:pPr>
              <w:widowControl/>
              <w:jc w:val="center"/>
              <w:rPr>
                <w:rFonts w:hint="default" w:ascii="Times New Roman" w:hAnsi="Times New Roman" w:eastAsia="宋体" w:cs="Times New Roman"/>
                <w:color w:val="auto"/>
                <w:kern w:val="0"/>
                <w:sz w:val="18"/>
                <w:szCs w:val="18"/>
                <w:lang w:eastAsia="zh-CN"/>
              </w:rPr>
            </w:pPr>
            <w:r>
              <w:rPr>
                <w:rFonts w:hint="default" w:ascii="Times New Roman" w:hAnsi="Times New Roman" w:cs="Times New Roman"/>
                <w:color w:val="auto"/>
                <w:kern w:val="0"/>
                <w:sz w:val="18"/>
                <w:szCs w:val="18"/>
                <w:lang w:eastAsia="zh-CN"/>
              </w:rPr>
              <w:t>主要是考虑满足全厂</w:t>
            </w:r>
            <w:r>
              <w:rPr>
                <w:rFonts w:hint="default" w:ascii="Times New Roman" w:hAnsi="Times New Roman" w:cs="Times New Roman"/>
                <w:color w:val="auto"/>
                <w:kern w:val="0"/>
                <w:sz w:val="18"/>
                <w:szCs w:val="18"/>
                <w:lang w:val="en-US" w:eastAsia="zh-CN"/>
              </w:rPr>
              <w:t>固废暂存要求</w:t>
            </w:r>
          </w:p>
        </w:tc>
        <w:tc>
          <w:tcPr>
            <w:tcW w:w="2791" w:type="dxa"/>
            <w:vAlign w:val="center"/>
          </w:tcPr>
          <w:p>
            <w:pPr>
              <w:widowControl/>
              <w:jc w:val="left"/>
              <w:rPr>
                <w:rFonts w:hint="default" w:ascii="Times New Roman" w:hAnsi="Times New Roman" w:cs="Times New Roman"/>
                <w:color w:val="auto"/>
                <w:kern w:val="0"/>
                <w:sz w:val="18"/>
                <w:szCs w:val="18"/>
                <w:lang w:eastAsia="zh-CN"/>
              </w:rPr>
            </w:pPr>
            <w:r>
              <w:rPr>
                <w:rFonts w:hint="default" w:ascii="Times New Roman" w:hAnsi="Times New Roman" w:cs="Times New Roman"/>
                <w:color w:val="auto"/>
                <w:kern w:val="0"/>
                <w:sz w:val="18"/>
                <w:szCs w:val="18"/>
                <w:lang w:eastAsia="zh-CN"/>
              </w:rPr>
              <w:t>固废处置方式均为委外处置，没有发生改变，没有导致不利环境影响加重</w:t>
            </w:r>
          </w:p>
        </w:tc>
        <w:tc>
          <w:tcPr>
            <w:tcW w:w="1644" w:type="dxa"/>
            <w:vAlign w:val="center"/>
          </w:tcPr>
          <w:p>
            <w:pPr>
              <w:widowControl/>
              <w:jc w:val="center"/>
              <w:rPr>
                <w:rFonts w:hint="default" w:ascii="Times New Roman" w:hAnsi="Times New Roman" w:cs="Times New Roman"/>
                <w:color w:val="auto"/>
                <w:kern w:val="0"/>
                <w:sz w:val="18"/>
                <w:szCs w:val="18"/>
                <w:lang w:eastAsia="zh-CN"/>
              </w:rPr>
            </w:pPr>
            <w:r>
              <w:rPr>
                <w:rFonts w:hint="default" w:ascii="Times New Roman" w:hAnsi="Times New Roman" w:cs="Times New Roman"/>
                <w:color w:val="auto"/>
                <w:kern w:val="0"/>
                <w:sz w:val="18"/>
                <w:szCs w:val="18"/>
                <w:lang w:val="en-US" w:eastAsia="zh-CN"/>
              </w:rPr>
              <w:t>对照</w:t>
            </w:r>
            <w:r>
              <w:rPr>
                <w:rFonts w:hint="default" w:ascii="Times New Roman" w:hAnsi="Times New Roman" w:cs="Times New Roman"/>
                <w:color w:val="auto"/>
                <w:sz w:val="18"/>
                <w:szCs w:val="18"/>
                <w:lang w:eastAsia="zh-CN"/>
              </w:rPr>
              <w:t>重大变动清单第</w:t>
            </w:r>
            <w:r>
              <w:rPr>
                <w:rFonts w:hint="default" w:ascii="Times New Roman" w:hAnsi="Times New Roman" w:cs="Times New Roman"/>
                <w:color w:val="auto"/>
                <w:sz w:val="18"/>
                <w:szCs w:val="18"/>
                <w:lang w:val="en-US" w:eastAsia="zh-CN"/>
              </w:rPr>
              <w:t>12条，不属于重大变动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581" w:type="dxa"/>
            <w:vMerge w:val="continue"/>
            <w:vAlign w:val="center"/>
          </w:tcPr>
          <w:p>
            <w:pPr>
              <w:widowControl/>
              <w:jc w:val="center"/>
              <w:rPr>
                <w:rFonts w:hint="default" w:ascii="Times New Roman" w:hAnsi="Times New Roman" w:eastAsia="宋体" w:cs="Times New Roman"/>
                <w:color w:val="auto"/>
                <w:kern w:val="0"/>
                <w:sz w:val="18"/>
                <w:szCs w:val="18"/>
              </w:rPr>
            </w:pPr>
          </w:p>
        </w:tc>
        <w:tc>
          <w:tcPr>
            <w:tcW w:w="1208" w:type="dxa"/>
            <w:gridSpan w:val="2"/>
            <w:shd w:val="clear" w:color="auto" w:fill="auto"/>
            <w:vAlign w:val="center"/>
          </w:tcPr>
          <w:p>
            <w:pPr>
              <w:widowControl/>
              <w:jc w:val="center"/>
              <w:rPr>
                <w:rFonts w:hint="default" w:ascii="Times New Roman" w:hAnsi="Times New Roman" w:eastAsia="宋体" w:cs="Times New Roman"/>
                <w:color w:val="auto"/>
                <w:kern w:val="0"/>
                <w:sz w:val="18"/>
                <w:szCs w:val="18"/>
                <w:lang w:eastAsia="zh-CN"/>
              </w:rPr>
            </w:pPr>
            <w:r>
              <w:rPr>
                <w:rFonts w:hint="default" w:ascii="Times New Roman" w:hAnsi="Times New Roman" w:cs="Times New Roman"/>
                <w:color w:val="auto"/>
                <w:kern w:val="0"/>
                <w:sz w:val="18"/>
                <w:szCs w:val="18"/>
                <w:lang w:eastAsia="zh-CN"/>
              </w:rPr>
              <w:t>硅泥库</w:t>
            </w:r>
          </w:p>
        </w:tc>
        <w:tc>
          <w:tcPr>
            <w:tcW w:w="2879" w:type="dxa"/>
            <w:gridSpan w:val="2"/>
            <w:shd w:val="clear" w:color="auto" w:fill="auto"/>
            <w:vAlign w:val="center"/>
          </w:tcPr>
          <w:p>
            <w:pPr>
              <w:widowControl/>
              <w:jc w:val="left"/>
              <w:rPr>
                <w:rFonts w:hint="default" w:ascii="Times New Roman" w:hAnsi="Times New Roman" w:eastAsia="宋体" w:cs="Times New Roman"/>
                <w:color w:val="auto"/>
                <w:kern w:val="0"/>
                <w:sz w:val="18"/>
                <w:szCs w:val="18"/>
                <w:lang w:eastAsia="zh-CN"/>
              </w:rPr>
            </w:pPr>
            <w:r>
              <w:rPr>
                <w:rFonts w:hint="default" w:ascii="Times New Roman" w:hAnsi="Times New Roman" w:cs="Times New Roman"/>
                <w:color w:val="auto"/>
                <w:sz w:val="18"/>
                <w:szCs w:val="18"/>
              </w:rPr>
              <w:t>在</w:t>
            </w:r>
            <w:r>
              <w:rPr>
                <w:rFonts w:hint="default" w:ascii="Times New Roman" w:hAnsi="Times New Roman" w:cs="Times New Roman"/>
                <w:color w:val="auto"/>
                <w:sz w:val="18"/>
                <w:szCs w:val="18"/>
                <w:lang w:eastAsia="zh-CN"/>
              </w:rPr>
              <w:t>含氟废水处理站</w:t>
            </w:r>
            <w:r>
              <w:rPr>
                <w:rFonts w:hint="default" w:ascii="Times New Roman" w:hAnsi="Times New Roman" w:cs="Times New Roman"/>
                <w:color w:val="auto"/>
                <w:sz w:val="18"/>
                <w:szCs w:val="18"/>
              </w:rPr>
              <w:t>西侧建设一污泥暂存设施，占地50m</w:t>
            </w:r>
            <w:r>
              <w:rPr>
                <w:rFonts w:hint="default" w:ascii="Times New Roman" w:hAnsi="Times New Roman" w:cs="Times New Roman"/>
                <w:color w:val="auto"/>
                <w:sz w:val="18"/>
                <w:szCs w:val="18"/>
                <w:vertAlign w:val="superscript"/>
              </w:rPr>
              <w:t>2</w:t>
            </w:r>
            <w:r>
              <w:rPr>
                <w:rFonts w:hint="default" w:ascii="Times New Roman" w:hAnsi="Times New Roman" w:cs="Times New Roman"/>
                <w:color w:val="auto"/>
                <w:sz w:val="18"/>
                <w:szCs w:val="18"/>
              </w:rPr>
              <w:t>，主要用于暂存污泥。</w:t>
            </w:r>
          </w:p>
        </w:tc>
        <w:tc>
          <w:tcPr>
            <w:tcW w:w="3066" w:type="dxa"/>
            <w:vAlign w:val="center"/>
          </w:tcPr>
          <w:p>
            <w:pPr>
              <w:widowControl/>
              <w:jc w:val="left"/>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cs="Times New Roman"/>
                <w:color w:val="auto"/>
                <w:sz w:val="18"/>
                <w:szCs w:val="18"/>
                <w:lang w:eastAsia="zh-CN"/>
              </w:rPr>
              <w:t>设置</w:t>
            </w:r>
            <w:r>
              <w:rPr>
                <w:rFonts w:hint="default" w:ascii="Times New Roman" w:hAnsi="Times New Roman" w:cs="Times New Roman"/>
                <w:color w:val="auto"/>
                <w:sz w:val="18"/>
                <w:szCs w:val="18"/>
              </w:rPr>
              <w:t>1栋占地面积为</w:t>
            </w:r>
            <w:r>
              <w:rPr>
                <w:rFonts w:hint="default" w:ascii="Times New Roman" w:hAnsi="Times New Roman" w:cs="Times New Roman"/>
                <w:color w:val="auto"/>
                <w:sz w:val="18"/>
                <w:szCs w:val="18"/>
                <w:lang w:eastAsia="zh-CN"/>
              </w:rPr>
              <w:t>4874.36</w:t>
            </w:r>
            <w:r>
              <w:rPr>
                <w:rFonts w:hint="default" w:ascii="Times New Roman" w:hAnsi="Times New Roman" w:cs="Times New Roman"/>
                <w:color w:val="auto"/>
                <w:sz w:val="18"/>
                <w:szCs w:val="18"/>
              </w:rPr>
              <w:t>m</w:t>
            </w:r>
            <w:r>
              <w:rPr>
                <w:rFonts w:hint="default" w:ascii="Times New Roman" w:hAnsi="Times New Roman" w:cs="Times New Roman"/>
                <w:color w:val="auto"/>
                <w:sz w:val="18"/>
                <w:szCs w:val="18"/>
                <w:vertAlign w:val="superscript"/>
              </w:rPr>
              <w:t>2</w:t>
            </w:r>
            <w:r>
              <w:rPr>
                <w:rFonts w:hint="default" w:ascii="Times New Roman" w:hAnsi="Times New Roman" w:cs="Times New Roman"/>
                <w:color w:val="auto"/>
                <w:sz w:val="18"/>
                <w:szCs w:val="18"/>
              </w:rPr>
              <w:t>的硅泥库暂存</w:t>
            </w:r>
            <w:r>
              <w:rPr>
                <w:rFonts w:hint="default" w:ascii="Times New Roman" w:hAnsi="Times New Roman" w:cs="Times New Roman"/>
                <w:color w:val="auto"/>
                <w:sz w:val="18"/>
                <w:szCs w:val="18"/>
                <w:lang w:eastAsia="zh-CN"/>
              </w:rPr>
              <w:t>全厂产生的一般工业固废、硅泥、污泥</w:t>
            </w:r>
          </w:p>
        </w:tc>
        <w:tc>
          <w:tcPr>
            <w:tcW w:w="1022" w:type="dxa"/>
            <w:vAlign w:val="center"/>
          </w:tcPr>
          <w:p>
            <w:pPr>
              <w:widowControl/>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kern w:val="0"/>
                <w:sz w:val="18"/>
                <w:szCs w:val="18"/>
                <w:lang w:eastAsia="zh-CN"/>
              </w:rPr>
              <w:t>暂存设施变动</w:t>
            </w:r>
          </w:p>
        </w:tc>
        <w:tc>
          <w:tcPr>
            <w:tcW w:w="2264" w:type="dxa"/>
            <w:vAlign w:val="center"/>
          </w:tcPr>
          <w:p>
            <w:pPr>
              <w:widowControl/>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kern w:val="0"/>
                <w:sz w:val="18"/>
                <w:szCs w:val="18"/>
                <w:lang w:eastAsia="zh-CN"/>
              </w:rPr>
              <w:t>主要是考虑满足全厂</w:t>
            </w:r>
            <w:r>
              <w:rPr>
                <w:rFonts w:hint="default" w:ascii="Times New Roman" w:hAnsi="Times New Roman" w:cs="Times New Roman"/>
                <w:color w:val="auto"/>
                <w:kern w:val="0"/>
                <w:sz w:val="18"/>
                <w:szCs w:val="18"/>
                <w:lang w:val="en-US" w:eastAsia="zh-CN"/>
              </w:rPr>
              <w:t>硅泥、污泥暂存要求</w:t>
            </w:r>
          </w:p>
        </w:tc>
        <w:tc>
          <w:tcPr>
            <w:tcW w:w="2791" w:type="dxa"/>
            <w:vAlign w:val="center"/>
          </w:tcPr>
          <w:p>
            <w:pPr>
              <w:widowControl/>
              <w:jc w:val="left"/>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eastAsia="zh-CN"/>
              </w:rPr>
              <w:t>固废处置方式均为委外处置，没有发生改变，没有导致不利环境影响加重</w:t>
            </w:r>
          </w:p>
        </w:tc>
        <w:tc>
          <w:tcPr>
            <w:tcW w:w="1644" w:type="dxa"/>
            <w:vAlign w:val="center"/>
          </w:tcPr>
          <w:p>
            <w:pPr>
              <w:widowControl/>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rPr>
              <w:t>对照</w:t>
            </w:r>
            <w:r>
              <w:rPr>
                <w:rFonts w:hint="default" w:ascii="Times New Roman" w:hAnsi="Times New Roman" w:cs="Times New Roman"/>
                <w:color w:val="auto"/>
                <w:sz w:val="18"/>
                <w:szCs w:val="18"/>
                <w:lang w:eastAsia="zh-CN"/>
              </w:rPr>
              <w:t>重大变动清单第</w:t>
            </w:r>
            <w:r>
              <w:rPr>
                <w:rFonts w:hint="default" w:ascii="Times New Roman" w:hAnsi="Times New Roman" w:cs="Times New Roman"/>
                <w:color w:val="auto"/>
                <w:sz w:val="18"/>
                <w:szCs w:val="18"/>
                <w:lang w:val="en-US" w:eastAsia="zh-CN"/>
              </w:rPr>
              <w:t>12条，不属于重大变动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581" w:type="dxa"/>
            <w:vMerge w:val="continue"/>
            <w:vAlign w:val="center"/>
          </w:tcPr>
          <w:p>
            <w:pPr>
              <w:widowControl/>
              <w:jc w:val="center"/>
              <w:rPr>
                <w:rFonts w:hint="default" w:ascii="Times New Roman" w:hAnsi="Times New Roman" w:eastAsia="宋体" w:cs="Times New Roman"/>
                <w:color w:val="auto"/>
                <w:kern w:val="0"/>
                <w:sz w:val="18"/>
                <w:szCs w:val="18"/>
              </w:rPr>
            </w:pPr>
          </w:p>
        </w:tc>
        <w:tc>
          <w:tcPr>
            <w:tcW w:w="1208" w:type="dxa"/>
            <w:gridSpan w:val="2"/>
            <w:shd w:val="clear" w:color="auto" w:fill="auto"/>
            <w:vAlign w:val="center"/>
          </w:tcPr>
          <w:p>
            <w:pPr>
              <w:widowControl/>
              <w:jc w:val="center"/>
              <w:rPr>
                <w:rFonts w:hint="default" w:ascii="Times New Roman" w:hAnsi="Times New Roman" w:eastAsia="宋体" w:cs="Times New Roman"/>
                <w:color w:val="auto"/>
                <w:kern w:val="0"/>
                <w:sz w:val="18"/>
                <w:szCs w:val="18"/>
                <w:lang w:eastAsia="zh-CN"/>
              </w:rPr>
            </w:pPr>
            <w:r>
              <w:rPr>
                <w:rFonts w:hint="default" w:ascii="Times New Roman" w:hAnsi="Times New Roman" w:cs="Times New Roman"/>
                <w:color w:val="auto"/>
                <w:kern w:val="0"/>
                <w:sz w:val="18"/>
                <w:szCs w:val="18"/>
                <w:lang w:eastAsia="zh-CN"/>
              </w:rPr>
              <w:t>危废库</w:t>
            </w:r>
          </w:p>
        </w:tc>
        <w:tc>
          <w:tcPr>
            <w:tcW w:w="2879" w:type="dxa"/>
            <w:gridSpan w:val="2"/>
            <w:shd w:val="clear" w:color="auto" w:fill="auto"/>
            <w:vAlign w:val="center"/>
          </w:tcPr>
          <w:p>
            <w:pPr>
              <w:widowControl/>
              <w:jc w:val="left"/>
              <w:rPr>
                <w:rFonts w:hint="default" w:ascii="Times New Roman" w:hAnsi="Times New Roman" w:eastAsia="宋体" w:cs="Times New Roman"/>
                <w:color w:val="auto"/>
                <w:kern w:val="0"/>
                <w:sz w:val="18"/>
                <w:szCs w:val="18"/>
                <w:lang w:eastAsia="zh-CN"/>
              </w:rPr>
            </w:pPr>
            <w:r>
              <w:rPr>
                <w:rFonts w:hint="default" w:ascii="Times New Roman" w:hAnsi="Times New Roman" w:cs="Times New Roman"/>
                <w:color w:val="auto"/>
                <w:sz w:val="18"/>
                <w:szCs w:val="18"/>
              </w:rPr>
              <w:t>在化学品库内设置1间50</w:t>
            </w:r>
            <w:r>
              <w:rPr>
                <w:rFonts w:hint="default" w:ascii="Times New Roman" w:hAnsi="Times New Roman" w:cs="Times New Roman"/>
                <w:color w:val="auto"/>
                <w:sz w:val="18"/>
                <w:szCs w:val="18"/>
                <w:lang w:val="en-US" w:eastAsia="zh-CN"/>
              </w:rPr>
              <w:t>m</w:t>
            </w:r>
            <w:r>
              <w:rPr>
                <w:rFonts w:hint="default" w:ascii="Times New Roman" w:hAnsi="Times New Roman" w:cs="Times New Roman"/>
                <w:color w:val="auto"/>
                <w:sz w:val="18"/>
                <w:szCs w:val="18"/>
                <w:vertAlign w:val="superscript"/>
                <w:lang w:val="en-US" w:eastAsia="zh-CN"/>
              </w:rPr>
              <w:t>2</w:t>
            </w:r>
            <w:r>
              <w:rPr>
                <w:rFonts w:hint="default" w:ascii="Times New Roman" w:hAnsi="Times New Roman" w:cs="Times New Roman"/>
                <w:color w:val="auto"/>
                <w:sz w:val="18"/>
                <w:szCs w:val="18"/>
              </w:rPr>
              <w:t>的危废</w:t>
            </w:r>
            <w:r>
              <w:rPr>
                <w:rFonts w:hint="default" w:ascii="Times New Roman" w:hAnsi="Times New Roman" w:cs="Times New Roman"/>
                <w:color w:val="auto"/>
                <w:sz w:val="18"/>
                <w:szCs w:val="18"/>
                <w:lang w:eastAsia="zh-CN"/>
              </w:rPr>
              <w:t>暂存间</w:t>
            </w:r>
            <w:r>
              <w:rPr>
                <w:rFonts w:hint="default" w:ascii="Times New Roman" w:hAnsi="Times New Roman" w:cs="Times New Roman"/>
                <w:color w:val="auto"/>
                <w:sz w:val="18"/>
                <w:szCs w:val="18"/>
              </w:rPr>
              <w:t>，存放废机油等危险废物</w:t>
            </w:r>
          </w:p>
        </w:tc>
        <w:tc>
          <w:tcPr>
            <w:tcW w:w="3066" w:type="dxa"/>
            <w:vAlign w:val="center"/>
          </w:tcPr>
          <w:p>
            <w:pPr>
              <w:widowControl/>
              <w:jc w:val="left"/>
              <w:rPr>
                <w:rFonts w:hint="default" w:ascii="Times New Roman" w:hAnsi="Times New Roman" w:eastAsia="宋体" w:cs="Times New Roman"/>
                <w:color w:val="auto"/>
                <w:kern w:val="0"/>
                <w:sz w:val="18"/>
                <w:szCs w:val="18"/>
                <w:lang w:eastAsia="zh-CN"/>
              </w:rPr>
            </w:pPr>
            <w:r>
              <w:rPr>
                <w:rFonts w:hint="default" w:ascii="Times New Roman" w:hAnsi="Times New Roman" w:cs="Times New Roman"/>
                <w:color w:val="auto"/>
                <w:sz w:val="18"/>
                <w:szCs w:val="18"/>
                <w:lang w:eastAsia="zh-CN"/>
              </w:rPr>
              <w:t>设置</w:t>
            </w:r>
            <w:r>
              <w:rPr>
                <w:rFonts w:hint="default" w:ascii="Times New Roman" w:hAnsi="Times New Roman" w:cs="Times New Roman"/>
                <w:color w:val="auto"/>
                <w:sz w:val="18"/>
                <w:szCs w:val="18"/>
              </w:rPr>
              <w:t>1栋占地面积为</w:t>
            </w:r>
            <w:r>
              <w:rPr>
                <w:rFonts w:hint="default" w:ascii="Times New Roman" w:hAnsi="Times New Roman" w:cs="Times New Roman"/>
                <w:color w:val="auto"/>
                <w:sz w:val="18"/>
                <w:szCs w:val="18"/>
                <w:lang w:eastAsia="zh-CN"/>
              </w:rPr>
              <w:t>345.56m</w:t>
            </w:r>
            <w:r>
              <w:rPr>
                <w:rFonts w:hint="default" w:ascii="Times New Roman" w:hAnsi="Times New Roman" w:cs="Times New Roman"/>
                <w:color w:val="auto"/>
                <w:sz w:val="18"/>
                <w:szCs w:val="18"/>
                <w:vertAlign w:val="superscript"/>
              </w:rPr>
              <w:t>2</w:t>
            </w:r>
            <w:r>
              <w:rPr>
                <w:rFonts w:hint="default" w:ascii="Times New Roman" w:hAnsi="Times New Roman" w:cs="Times New Roman"/>
                <w:color w:val="auto"/>
                <w:sz w:val="18"/>
                <w:szCs w:val="18"/>
              </w:rPr>
              <w:t>的危废库用于暂存</w:t>
            </w:r>
            <w:r>
              <w:rPr>
                <w:rFonts w:hint="default" w:ascii="Times New Roman" w:hAnsi="Times New Roman" w:cs="Times New Roman"/>
                <w:color w:val="auto"/>
                <w:sz w:val="18"/>
                <w:szCs w:val="18"/>
                <w:lang w:eastAsia="zh-CN"/>
              </w:rPr>
              <w:t>全厂产生的</w:t>
            </w:r>
            <w:r>
              <w:rPr>
                <w:rFonts w:hint="default" w:ascii="Times New Roman" w:hAnsi="Times New Roman" w:cs="Times New Roman"/>
                <w:color w:val="auto"/>
                <w:sz w:val="18"/>
                <w:szCs w:val="18"/>
              </w:rPr>
              <w:t>危险废物</w:t>
            </w:r>
          </w:p>
        </w:tc>
        <w:tc>
          <w:tcPr>
            <w:tcW w:w="1022" w:type="dxa"/>
            <w:vAlign w:val="center"/>
          </w:tcPr>
          <w:p>
            <w:pPr>
              <w:widowControl/>
              <w:jc w:val="center"/>
              <w:rPr>
                <w:rFonts w:hint="default" w:ascii="Times New Roman" w:hAnsi="Times New Roman" w:eastAsia="宋体" w:cs="Times New Roman"/>
                <w:color w:val="auto"/>
                <w:kern w:val="0"/>
                <w:sz w:val="18"/>
                <w:szCs w:val="18"/>
              </w:rPr>
            </w:pPr>
            <w:r>
              <w:rPr>
                <w:rFonts w:hint="default" w:ascii="Times New Roman" w:hAnsi="Times New Roman" w:cs="Times New Roman"/>
                <w:color w:val="auto"/>
                <w:kern w:val="0"/>
                <w:sz w:val="18"/>
                <w:szCs w:val="18"/>
                <w:lang w:eastAsia="zh-CN"/>
              </w:rPr>
              <w:t>暂存设施变动</w:t>
            </w:r>
          </w:p>
        </w:tc>
        <w:tc>
          <w:tcPr>
            <w:tcW w:w="2264" w:type="dxa"/>
            <w:vAlign w:val="center"/>
          </w:tcPr>
          <w:p>
            <w:pPr>
              <w:widowControl/>
              <w:jc w:val="center"/>
              <w:rPr>
                <w:rFonts w:hint="default" w:ascii="Times New Roman" w:hAnsi="Times New Roman" w:eastAsia="宋体" w:cs="Times New Roman"/>
                <w:color w:val="auto"/>
                <w:kern w:val="0"/>
                <w:sz w:val="18"/>
                <w:szCs w:val="18"/>
              </w:rPr>
            </w:pPr>
            <w:r>
              <w:rPr>
                <w:rFonts w:hint="default" w:ascii="Times New Roman" w:hAnsi="Times New Roman" w:cs="Times New Roman"/>
                <w:color w:val="auto"/>
                <w:kern w:val="0"/>
                <w:sz w:val="18"/>
                <w:szCs w:val="18"/>
                <w:lang w:eastAsia="zh-CN"/>
              </w:rPr>
              <w:t>主要是考虑满足全厂</w:t>
            </w:r>
            <w:r>
              <w:rPr>
                <w:rFonts w:hint="default" w:ascii="Times New Roman" w:hAnsi="Times New Roman" w:cs="Times New Roman"/>
                <w:color w:val="auto"/>
                <w:kern w:val="0"/>
                <w:sz w:val="18"/>
                <w:szCs w:val="18"/>
                <w:lang w:val="en-US" w:eastAsia="zh-CN"/>
              </w:rPr>
              <w:t>危废暂存要求</w:t>
            </w:r>
          </w:p>
        </w:tc>
        <w:tc>
          <w:tcPr>
            <w:tcW w:w="2791" w:type="dxa"/>
            <w:vAlign w:val="center"/>
          </w:tcPr>
          <w:p>
            <w:pPr>
              <w:widowControl/>
              <w:jc w:val="left"/>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eastAsia="zh-CN"/>
              </w:rPr>
              <w:t>固废处置方式均为委外处置，没有发生改变，没有导致不利环境影响加重</w:t>
            </w:r>
          </w:p>
        </w:tc>
        <w:tc>
          <w:tcPr>
            <w:tcW w:w="1644" w:type="dxa"/>
            <w:vAlign w:val="center"/>
          </w:tcPr>
          <w:p>
            <w:pPr>
              <w:widowControl/>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rPr>
              <w:t>对照</w:t>
            </w:r>
            <w:r>
              <w:rPr>
                <w:rFonts w:hint="default" w:ascii="Times New Roman" w:hAnsi="Times New Roman" w:cs="Times New Roman"/>
                <w:color w:val="auto"/>
                <w:sz w:val="18"/>
                <w:szCs w:val="18"/>
                <w:lang w:eastAsia="zh-CN"/>
              </w:rPr>
              <w:t>重大变动清单第</w:t>
            </w:r>
            <w:r>
              <w:rPr>
                <w:rFonts w:hint="default" w:ascii="Times New Roman" w:hAnsi="Times New Roman" w:cs="Times New Roman"/>
                <w:color w:val="auto"/>
                <w:sz w:val="18"/>
                <w:szCs w:val="18"/>
                <w:lang w:val="en-US" w:eastAsia="zh-CN"/>
              </w:rPr>
              <w:t>12条，不属于重大变动</w:t>
            </w:r>
          </w:p>
        </w:tc>
      </w:tr>
    </w:tbl>
    <w:p>
      <w:pPr>
        <w:pStyle w:val="133"/>
        <w:widowControl w:val="0"/>
        <w:numPr>
          <w:ilvl w:val="0"/>
          <w:numId w:val="0"/>
        </w:numPr>
        <w:spacing w:line="360" w:lineRule="auto"/>
        <w:jc w:val="center"/>
        <w:rPr>
          <w:rFonts w:hint="default" w:ascii="Times New Roman" w:hAnsi="Times New Roman" w:cs="Times New Roman"/>
          <w:b/>
          <w:color w:val="auto"/>
        </w:rPr>
      </w:pPr>
    </w:p>
    <w:p>
      <w:pPr>
        <w:pStyle w:val="133"/>
        <w:widowControl w:val="0"/>
        <w:numPr>
          <w:ilvl w:val="0"/>
          <w:numId w:val="0"/>
        </w:numPr>
        <w:spacing w:line="360" w:lineRule="auto"/>
        <w:jc w:val="center"/>
        <w:rPr>
          <w:rFonts w:hint="default" w:ascii="Times New Roman" w:hAnsi="Times New Roman" w:cs="Times New Roman"/>
          <w:b/>
          <w:color w:val="auto"/>
        </w:rPr>
      </w:pPr>
    </w:p>
    <w:p>
      <w:pPr>
        <w:pStyle w:val="4"/>
        <w:spacing w:beforeLines="50" w:after="0" w:line="360" w:lineRule="auto"/>
        <w:rPr>
          <w:rFonts w:hint="default" w:ascii="Times New Roman" w:hAnsi="Times New Roman" w:eastAsia="宋体" w:cs="Times New Roman"/>
          <w:color w:val="auto"/>
          <w:sz w:val="28"/>
          <w:szCs w:val="28"/>
        </w:rPr>
        <w:sectPr>
          <w:pgSz w:w="16838" w:h="11906" w:orient="landscape"/>
          <w:pgMar w:top="1797" w:right="1440" w:bottom="1797" w:left="1440" w:header="851" w:footer="992" w:gutter="0"/>
          <w:pgBorders>
            <w:top w:val="none" w:sz="0" w:space="0"/>
            <w:left w:val="none" w:sz="0" w:space="0"/>
            <w:bottom w:val="none" w:sz="0" w:space="0"/>
            <w:right w:val="none" w:sz="0" w:space="0"/>
          </w:pgBorders>
          <w:cols w:space="720" w:num="1"/>
          <w:docGrid w:linePitch="312" w:charSpace="0"/>
        </w:sectPr>
      </w:pPr>
      <w:bookmarkStart w:id="266" w:name="_Toc69114943"/>
    </w:p>
    <w:p>
      <w:pPr>
        <w:spacing w:line="360" w:lineRule="auto"/>
        <w:ind w:firstLine="480" w:firstLineChars="200"/>
        <w:jc w:val="left"/>
        <w:rPr>
          <w:rFonts w:hint="default" w:ascii="Times New Roman" w:hAnsi="Times New Roman" w:cs="Times New Roman"/>
          <w:color w:val="auto"/>
        </w:rPr>
      </w:pPr>
      <w:r>
        <w:rPr>
          <w:rFonts w:hint="default" w:ascii="Times New Roman" w:hAnsi="Times New Roman" w:cs="Times New Roman"/>
          <w:color w:val="auto"/>
        </w:rPr>
        <w:t>根据</w:t>
      </w:r>
      <w:r>
        <w:rPr>
          <w:rFonts w:hint="default" w:ascii="Times New Roman" w:hAnsi="Times New Roman" w:cs="Times New Roman"/>
          <w:color w:val="auto"/>
          <w:lang w:eastAsia="zh-CN"/>
        </w:rPr>
        <w:t>上表</w:t>
      </w:r>
      <w:r>
        <w:rPr>
          <w:rFonts w:hint="default" w:ascii="Times New Roman" w:hAnsi="Times New Roman" w:cs="Times New Roman"/>
          <w:color w:val="auto"/>
        </w:rPr>
        <w:t>对照分析结果，</w:t>
      </w:r>
      <w:r>
        <w:rPr>
          <w:rFonts w:hint="default" w:ascii="Times New Roman" w:hAnsi="Times New Roman" w:cs="Times New Roman"/>
          <w:color w:val="auto"/>
          <w:lang w:eastAsia="zh-CN"/>
        </w:rPr>
        <w:t>厂区实际建设情况</w:t>
      </w:r>
      <w:r>
        <w:rPr>
          <w:rFonts w:hint="default" w:ascii="Times New Roman" w:hAnsi="Times New Roman" w:cs="Times New Roman"/>
          <w:color w:val="auto"/>
        </w:rPr>
        <w:t>与环境影响报告书及其批复相比，总图布置进行了调整，环境保护措施发生了变化，但尚未构成重大变动。</w:t>
      </w: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color w:val="auto"/>
          <w:sz w:val="28"/>
          <w:szCs w:val="28"/>
        </w:rPr>
      </w:pPr>
      <w:bookmarkStart w:id="267" w:name="_Toc3374"/>
      <w:bookmarkStart w:id="268" w:name="_Toc79144646"/>
      <w:r>
        <w:rPr>
          <w:rFonts w:hint="default" w:ascii="Times New Roman" w:hAnsi="Times New Roman" w:eastAsia="宋体" w:cs="Times New Roman"/>
          <w:color w:val="auto"/>
          <w:sz w:val="28"/>
          <w:szCs w:val="28"/>
        </w:rPr>
        <w:t>2.3</w:t>
      </w:r>
      <w:r>
        <w:rPr>
          <w:rFonts w:hint="default" w:ascii="Times New Roman" w:hAnsi="Times New Roman" w:eastAsia="宋体" w:cs="Times New Roman"/>
          <w:color w:val="auto"/>
          <w:sz w:val="28"/>
          <w:szCs w:val="28"/>
          <w:lang w:eastAsia="zh-CN"/>
        </w:rPr>
        <w:t>已批复</w:t>
      </w:r>
      <w:r>
        <w:rPr>
          <w:rFonts w:hint="default" w:ascii="Times New Roman" w:hAnsi="Times New Roman" w:eastAsia="宋体" w:cs="Times New Roman"/>
          <w:color w:val="auto"/>
          <w:sz w:val="28"/>
          <w:szCs w:val="28"/>
        </w:rPr>
        <w:t>项目生产工艺</w:t>
      </w:r>
      <w:bookmarkEnd w:id="266"/>
      <w:bookmarkEnd w:id="267"/>
      <w:bookmarkEnd w:id="268"/>
    </w:p>
    <w:p>
      <w:pPr>
        <w:spacing w:line="360" w:lineRule="auto"/>
        <w:ind w:firstLine="480" w:firstLineChars="200"/>
        <w:rPr>
          <w:rFonts w:hint="default" w:ascii="Times New Roman" w:hAnsi="Times New Roman" w:cs="Times New Roman"/>
          <w:color w:val="auto"/>
          <w:lang w:eastAsia="zh-CN"/>
        </w:rPr>
      </w:pPr>
      <w:bookmarkStart w:id="269" w:name="_Toc79144647"/>
      <w:r>
        <w:rPr>
          <w:rFonts w:hint="default" w:ascii="Times New Roman" w:hAnsi="Times New Roman" w:cs="Times New Roman"/>
          <w:color w:val="auto"/>
          <w:lang w:eastAsia="zh-CN"/>
        </w:rPr>
        <w:t>本项目涉及的生产工艺主要为单晶硅切片，单晶硅棒生产工艺与本项目无关，不再赘述。</w:t>
      </w:r>
    </w:p>
    <w:bookmarkEnd w:id="269"/>
    <w:p>
      <w:pPr>
        <w:pStyle w:val="55"/>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根据原环评及批复，项目单晶硅切片生产工艺及产污节点如下所示：</w:t>
      </w:r>
    </w:p>
    <w:p>
      <w:pPr>
        <w:ind w:firstLine="480"/>
        <w:jc w:val="left"/>
        <w:rPr>
          <w:rFonts w:hint="default" w:ascii="Times New Roman" w:hAnsi="Times New Roman" w:cs="Times New Roman"/>
          <w:color w:val="auto"/>
        </w:rPr>
      </w:pPr>
      <w:r>
        <w:rPr>
          <w:rFonts w:hint="default" w:ascii="Times New Roman" w:hAnsi="Times New Roman" w:cs="Times New Roman"/>
          <w:color w:val="auto"/>
          <w:szCs w:val="21"/>
        </w:rPr>
        <mc:AlternateContent>
          <mc:Choice Requires="wpc">
            <w:drawing>
              <wp:inline distT="0" distB="0" distL="114300" distR="114300">
                <wp:extent cx="4018915" cy="3924935"/>
                <wp:effectExtent l="0" t="0" r="635" b="18415"/>
                <wp:docPr id="59" name="画布 5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 name="文本框 3"/>
                        <wps:cNvSpPr txBox="1"/>
                        <wps:spPr>
                          <a:xfrm>
                            <a:off x="1476375" y="3594100"/>
                            <a:ext cx="977900" cy="330835"/>
                          </a:xfrm>
                          <a:prstGeom prst="rect">
                            <a:avLst/>
                          </a:prstGeom>
                          <a:solidFill>
                            <a:srgbClr val="FFFFFF"/>
                          </a:solidFill>
                          <a:ln>
                            <a:noFill/>
                          </a:ln>
                        </wps:spPr>
                        <wps:txbx>
                          <w:txbxContent>
                            <w:p>
                              <w:pPr>
                                <w:ind w:firstLine="0" w:firstLineChars="0"/>
                                <w:rPr>
                                  <w:rFonts w:hint="eastAsia"/>
                                  <w:szCs w:val="21"/>
                                </w:rPr>
                              </w:pPr>
                              <w:r>
                                <w:rPr>
                                  <w:rFonts w:hint="eastAsia" w:ascii="宋体" w:hAnsi="宋体"/>
                                  <w:color w:val="000000"/>
                                  <w:sz w:val="18"/>
                                  <w:szCs w:val="18"/>
                                </w:rPr>
                                <w:t>产品包装入库</w:t>
                              </w:r>
                            </w:p>
                          </w:txbxContent>
                        </wps:txbx>
                        <wps:bodyPr upright="1"/>
                      </wps:wsp>
                      <wps:wsp>
                        <wps:cNvPr id="14" name="文本框 14"/>
                        <wps:cNvSpPr txBox="1"/>
                        <wps:spPr>
                          <a:xfrm>
                            <a:off x="1459230" y="525145"/>
                            <a:ext cx="1053465" cy="3536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ind w:firstLine="0" w:firstLineChars="0"/>
                                <w:jc w:val="center"/>
                                <w:rPr>
                                  <w:rFonts w:hint="eastAsia"/>
                                  <w:sz w:val="21"/>
                                  <w:szCs w:val="21"/>
                                </w:rPr>
                              </w:pPr>
                              <w:r>
                                <w:rPr>
                                  <w:rFonts w:hint="eastAsia"/>
                                  <w:sz w:val="21"/>
                                  <w:szCs w:val="21"/>
                                </w:rPr>
                                <w:t>粘棒</w:t>
                              </w:r>
                            </w:p>
                          </w:txbxContent>
                        </wps:txbx>
                        <wps:bodyPr upright="1"/>
                      </wps:wsp>
                      <wps:wsp>
                        <wps:cNvPr id="15" name="文本框 15"/>
                        <wps:cNvSpPr txBox="1"/>
                        <wps:spPr>
                          <a:xfrm>
                            <a:off x="1435100" y="1712595"/>
                            <a:ext cx="1114425" cy="3644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ind w:firstLine="0" w:firstLineChars="0"/>
                                <w:jc w:val="center"/>
                                <w:rPr>
                                  <w:rFonts w:hint="eastAsia"/>
                                  <w:sz w:val="21"/>
                                  <w:szCs w:val="21"/>
                                </w:rPr>
                              </w:pPr>
                              <w:r>
                                <w:rPr>
                                  <w:rFonts w:hint="eastAsia"/>
                                  <w:sz w:val="21"/>
                                  <w:szCs w:val="21"/>
                                </w:rPr>
                                <w:t>脱胶</w:t>
                              </w:r>
                            </w:p>
                          </w:txbxContent>
                        </wps:txbx>
                        <wps:bodyPr upright="1"/>
                      </wps:wsp>
                      <wps:wsp>
                        <wps:cNvPr id="16" name="直接连接符 16"/>
                        <wps:cNvCnPr/>
                        <wps:spPr>
                          <a:xfrm>
                            <a:off x="1964690" y="1415415"/>
                            <a:ext cx="1270" cy="297815"/>
                          </a:xfrm>
                          <a:prstGeom prst="line">
                            <a:avLst/>
                          </a:prstGeom>
                          <a:ln w="9525" cap="flat" cmpd="sng">
                            <a:solidFill>
                              <a:srgbClr val="000000"/>
                            </a:solidFill>
                            <a:prstDash val="solid"/>
                            <a:headEnd type="none" w="med" len="med"/>
                            <a:tailEnd type="triangle" w="med" len="med"/>
                          </a:ln>
                        </wps:spPr>
                        <wps:bodyPr upright="1"/>
                      </wps:wsp>
                      <wps:wsp>
                        <wps:cNvPr id="17" name="直接连接符 17"/>
                        <wps:cNvCnPr/>
                        <wps:spPr>
                          <a:xfrm>
                            <a:off x="1993265" y="2088515"/>
                            <a:ext cx="635" cy="297180"/>
                          </a:xfrm>
                          <a:prstGeom prst="line">
                            <a:avLst/>
                          </a:prstGeom>
                          <a:ln w="9525" cap="flat" cmpd="sng">
                            <a:solidFill>
                              <a:srgbClr val="000000"/>
                            </a:solidFill>
                            <a:prstDash val="solid"/>
                            <a:headEnd type="none" w="med" len="med"/>
                            <a:tailEnd type="triangle" w="med" len="med"/>
                          </a:ln>
                        </wps:spPr>
                        <wps:bodyPr upright="1"/>
                      </wps:wsp>
                      <wps:wsp>
                        <wps:cNvPr id="18" name="文本框 18"/>
                        <wps:cNvSpPr txBox="1"/>
                        <wps:spPr>
                          <a:xfrm>
                            <a:off x="2962275" y="1102360"/>
                            <a:ext cx="1046480" cy="545465"/>
                          </a:xfrm>
                          <a:prstGeom prst="rect">
                            <a:avLst/>
                          </a:prstGeom>
                          <a:solidFill>
                            <a:srgbClr val="FFFFFF"/>
                          </a:solidFill>
                          <a:ln>
                            <a:noFill/>
                          </a:ln>
                        </wps:spPr>
                        <wps:txbx>
                          <w:txbxContent>
                            <w:p>
                              <w:pPr>
                                <w:spacing w:line="240" w:lineRule="auto"/>
                                <w:ind w:firstLine="0" w:firstLineChars="0"/>
                                <w:rPr>
                                  <w:rFonts w:hint="eastAsia"/>
                                  <w:kern w:val="0"/>
                                  <w:sz w:val="18"/>
                                  <w:szCs w:val="18"/>
                                </w:rPr>
                              </w:pPr>
                              <w:r>
                                <w:rPr>
                                  <w:rFonts w:hint="eastAsia"/>
                                  <w:kern w:val="0"/>
                                  <w:sz w:val="18"/>
                                  <w:szCs w:val="18"/>
                                </w:rPr>
                                <w:t>切割固废</w:t>
                              </w:r>
                            </w:p>
                            <w:p>
                              <w:pPr>
                                <w:spacing w:line="240" w:lineRule="auto"/>
                                <w:ind w:firstLine="0" w:firstLineChars="0"/>
                                <w:rPr>
                                  <w:rFonts w:hint="eastAsia"/>
                                  <w:sz w:val="18"/>
                                  <w:szCs w:val="18"/>
                                </w:rPr>
                              </w:pPr>
                              <w:r>
                                <w:rPr>
                                  <w:rFonts w:hint="eastAsia"/>
                                  <w:kern w:val="0"/>
                                  <w:sz w:val="18"/>
                                  <w:szCs w:val="18"/>
                                </w:rPr>
                                <w:t>噪声、废水</w:t>
                              </w:r>
                            </w:p>
                          </w:txbxContent>
                        </wps:txbx>
                        <wps:bodyPr upright="1"/>
                      </wps:wsp>
                      <wps:wsp>
                        <wps:cNvPr id="19" name="直接连接符 19"/>
                        <wps:cNvCnPr/>
                        <wps:spPr>
                          <a:xfrm>
                            <a:off x="2541270" y="1247775"/>
                            <a:ext cx="430530" cy="1905"/>
                          </a:xfrm>
                          <a:prstGeom prst="line">
                            <a:avLst/>
                          </a:prstGeom>
                          <a:ln w="9525" cap="flat" cmpd="sng">
                            <a:solidFill>
                              <a:srgbClr val="000000"/>
                            </a:solidFill>
                            <a:prstDash val="dash"/>
                            <a:headEnd type="none" w="med" len="med"/>
                            <a:tailEnd type="triangle" w="med" len="lg"/>
                          </a:ln>
                        </wps:spPr>
                        <wps:bodyPr upright="1"/>
                      </wps:wsp>
                      <wps:wsp>
                        <wps:cNvPr id="20" name="文本框 20"/>
                        <wps:cNvSpPr txBox="1"/>
                        <wps:spPr>
                          <a:xfrm>
                            <a:off x="1537970" y="0"/>
                            <a:ext cx="1232535" cy="339725"/>
                          </a:xfrm>
                          <a:prstGeom prst="rect">
                            <a:avLst/>
                          </a:prstGeom>
                          <a:solidFill>
                            <a:srgbClr val="FFFFFF"/>
                          </a:solidFill>
                          <a:ln>
                            <a:noFill/>
                          </a:ln>
                        </wps:spPr>
                        <wps:txbx>
                          <w:txbxContent>
                            <w:p>
                              <w:pPr>
                                <w:spacing w:line="240" w:lineRule="auto"/>
                                <w:ind w:firstLine="0" w:firstLineChars="0"/>
                                <w:rPr>
                                  <w:rFonts w:hint="eastAsia"/>
                                  <w:sz w:val="21"/>
                                  <w:szCs w:val="21"/>
                                </w:rPr>
                              </w:pPr>
                              <w:r>
                                <w:rPr>
                                  <w:rFonts w:hint="eastAsia" w:ascii="宋体" w:hAnsi="宋体"/>
                                  <w:color w:val="000000"/>
                                  <w:sz w:val="21"/>
                                  <w:szCs w:val="21"/>
                                </w:rPr>
                                <w:t>单晶硅棒</w:t>
                              </w:r>
                            </w:p>
                          </w:txbxContent>
                        </wps:txbx>
                        <wps:bodyPr upright="1"/>
                      </wps:wsp>
                      <wps:wsp>
                        <wps:cNvPr id="25" name="直接连接符 25"/>
                        <wps:cNvCnPr/>
                        <wps:spPr>
                          <a:xfrm flipH="1">
                            <a:off x="1935480" y="293370"/>
                            <a:ext cx="8255" cy="222885"/>
                          </a:xfrm>
                          <a:prstGeom prst="line">
                            <a:avLst/>
                          </a:prstGeom>
                          <a:ln w="9525" cap="flat" cmpd="sng">
                            <a:solidFill>
                              <a:srgbClr val="000000"/>
                            </a:solidFill>
                            <a:prstDash val="solid"/>
                            <a:headEnd type="none" w="med" len="med"/>
                            <a:tailEnd type="triangle" w="med" len="med"/>
                          </a:ln>
                        </wps:spPr>
                        <wps:bodyPr upright="1"/>
                      </wps:wsp>
                      <wps:wsp>
                        <wps:cNvPr id="29" name="直接连接符 29"/>
                        <wps:cNvCnPr/>
                        <wps:spPr>
                          <a:xfrm>
                            <a:off x="1964690" y="897890"/>
                            <a:ext cx="1270" cy="220345"/>
                          </a:xfrm>
                          <a:prstGeom prst="line">
                            <a:avLst/>
                          </a:prstGeom>
                          <a:ln w="9525" cap="flat" cmpd="sng">
                            <a:solidFill>
                              <a:srgbClr val="000000"/>
                            </a:solidFill>
                            <a:prstDash val="solid"/>
                            <a:headEnd type="none" w="med" len="med"/>
                            <a:tailEnd type="triangle" w="med" len="med"/>
                          </a:ln>
                        </wps:spPr>
                        <wps:bodyPr upright="1"/>
                      </wps:wsp>
                      <wps:wsp>
                        <wps:cNvPr id="30" name="流程图: 过程 30"/>
                        <wps:cNvSpPr/>
                        <wps:spPr>
                          <a:xfrm>
                            <a:off x="1459230" y="1118870"/>
                            <a:ext cx="1053465" cy="33337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ind w:firstLine="0" w:firstLineChars="0"/>
                                <w:jc w:val="center"/>
                                <w:rPr>
                                  <w:rFonts w:hint="eastAsia"/>
                                  <w:sz w:val="21"/>
                                  <w:szCs w:val="21"/>
                                </w:rPr>
                              </w:pPr>
                              <w:r>
                                <w:rPr>
                                  <w:rFonts w:hint="eastAsia"/>
                                  <w:sz w:val="21"/>
                                  <w:szCs w:val="21"/>
                                </w:rPr>
                                <w:t>切片</w:t>
                              </w:r>
                            </w:p>
                          </w:txbxContent>
                        </wps:txbx>
                        <wps:bodyPr upright="1"/>
                      </wps:wsp>
                      <wps:wsp>
                        <wps:cNvPr id="31" name="直接连接符 31"/>
                        <wps:cNvCnPr/>
                        <wps:spPr>
                          <a:xfrm>
                            <a:off x="2600325" y="2572385"/>
                            <a:ext cx="429895" cy="635"/>
                          </a:xfrm>
                          <a:prstGeom prst="line">
                            <a:avLst/>
                          </a:prstGeom>
                          <a:ln w="9525" cap="flat" cmpd="sng">
                            <a:solidFill>
                              <a:srgbClr val="000000"/>
                            </a:solidFill>
                            <a:prstDash val="dash"/>
                            <a:headEnd type="none" w="med" len="med"/>
                            <a:tailEnd type="triangle" w="med" len="lg"/>
                          </a:ln>
                        </wps:spPr>
                        <wps:bodyPr upright="1"/>
                      </wps:wsp>
                      <wps:wsp>
                        <wps:cNvPr id="32" name="文本框 32"/>
                        <wps:cNvSpPr txBox="1"/>
                        <wps:spPr>
                          <a:xfrm>
                            <a:off x="3037840" y="2388870"/>
                            <a:ext cx="521970" cy="340995"/>
                          </a:xfrm>
                          <a:prstGeom prst="rect">
                            <a:avLst/>
                          </a:prstGeom>
                          <a:solidFill>
                            <a:srgbClr val="FFFFFF"/>
                          </a:solidFill>
                          <a:ln>
                            <a:noFill/>
                          </a:ln>
                        </wps:spPr>
                        <wps:txbx>
                          <w:txbxContent>
                            <w:p>
                              <w:pPr>
                                <w:ind w:firstLine="0" w:firstLineChars="0"/>
                                <w:rPr>
                                  <w:rFonts w:hint="eastAsia"/>
                                  <w:sz w:val="21"/>
                                  <w:szCs w:val="21"/>
                                </w:rPr>
                              </w:pPr>
                              <w:r>
                                <w:rPr>
                                  <w:rFonts w:hint="eastAsia" w:ascii="宋体" w:hAnsi="宋体"/>
                                  <w:color w:val="000000"/>
                                  <w:sz w:val="21"/>
                                  <w:szCs w:val="21"/>
                                </w:rPr>
                                <w:t>废水</w:t>
                              </w:r>
                            </w:p>
                          </w:txbxContent>
                        </wps:txbx>
                        <wps:bodyPr upright="1"/>
                      </wps:wsp>
                      <wps:wsp>
                        <wps:cNvPr id="33" name="直接连接符 33"/>
                        <wps:cNvCnPr/>
                        <wps:spPr>
                          <a:xfrm>
                            <a:off x="1056640" y="714375"/>
                            <a:ext cx="419100" cy="0"/>
                          </a:xfrm>
                          <a:prstGeom prst="line">
                            <a:avLst/>
                          </a:prstGeom>
                          <a:ln w="9525" cap="flat" cmpd="sng">
                            <a:solidFill>
                              <a:srgbClr val="000000"/>
                            </a:solidFill>
                            <a:prstDash val="solid"/>
                            <a:headEnd type="none" w="med" len="med"/>
                            <a:tailEnd type="triangle" w="med" len="lg"/>
                          </a:ln>
                        </wps:spPr>
                        <wps:bodyPr upright="1"/>
                      </wps:wsp>
                      <wps:wsp>
                        <wps:cNvPr id="34" name="直接连接符 34"/>
                        <wps:cNvCnPr/>
                        <wps:spPr>
                          <a:xfrm>
                            <a:off x="2541270" y="1390650"/>
                            <a:ext cx="419100" cy="0"/>
                          </a:xfrm>
                          <a:prstGeom prst="line">
                            <a:avLst/>
                          </a:prstGeom>
                          <a:ln w="9525" cap="flat" cmpd="sng">
                            <a:solidFill>
                              <a:srgbClr val="000000"/>
                            </a:solidFill>
                            <a:prstDash val="dash"/>
                            <a:headEnd type="none" w="med" len="med"/>
                            <a:tailEnd type="triangle" w="med" len="lg"/>
                          </a:ln>
                        </wps:spPr>
                        <wps:bodyPr upright="1"/>
                      </wps:wsp>
                      <wps:wsp>
                        <wps:cNvPr id="35" name="直接连接符 35"/>
                        <wps:cNvCnPr/>
                        <wps:spPr>
                          <a:xfrm>
                            <a:off x="2560320" y="1895475"/>
                            <a:ext cx="419100" cy="0"/>
                          </a:xfrm>
                          <a:prstGeom prst="line">
                            <a:avLst/>
                          </a:prstGeom>
                          <a:ln w="9525" cap="flat" cmpd="sng">
                            <a:solidFill>
                              <a:srgbClr val="000000"/>
                            </a:solidFill>
                            <a:prstDash val="dash"/>
                            <a:headEnd type="none" w="med" len="med"/>
                            <a:tailEnd type="triangle" w="med" len="lg"/>
                          </a:ln>
                        </wps:spPr>
                        <wps:bodyPr upright="1"/>
                      </wps:wsp>
                      <wps:wsp>
                        <wps:cNvPr id="36" name="文本框 36"/>
                        <wps:cNvSpPr txBox="1"/>
                        <wps:spPr>
                          <a:xfrm>
                            <a:off x="2977515" y="1696720"/>
                            <a:ext cx="1041400" cy="316865"/>
                          </a:xfrm>
                          <a:prstGeom prst="rect">
                            <a:avLst/>
                          </a:prstGeom>
                          <a:solidFill>
                            <a:srgbClr val="FFFFFF"/>
                          </a:solidFill>
                          <a:ln>
                            <a:noFill/>
                          </a:ln>
                        </wps:spPr>
                        <wps:txbx>
                          <w:txbxContent>
                            <w:p>
                              <w:pPr>
                                <w:ind w:firstLine="0" w:firstLineChars="0"/>
                                <w:rPr>
                                  <w:rFonts w:hint="eastAsia"/>
                                  <w:sz w:val="18"/>
                                  <w:szCs w:val="18"/>
                                </w:rPr>
                              </w:pPr>
                              <w:r>
                                <w:rPr>
                                  <w:rFonts w:hint="eastAsia"/>
                                  <w:kern w:val="0"/>
                                  <w:sz w:val="18"/>
                                  <w:szCs w:val="18"/>
                                </w:rPr>
                                <w:t>清洗废水</w:t>
                              </w:r>
                            </w:p>
                          </w:txbxContent>
                        </wps:txbx>
                        <wps:bodyPr upright="1"/>
                      </wps:wsp>
                      <wps:wsp>
                        <wps:cNvPr id="37" name="文本框 37"/>
                        <wps:cNvSpPr txBox="1"/>
                        <wps:spPr>
                          <a:xfrm>
                            <a:off x="465455" y="545465"/>
                            <a:ext cx="607060" cy="316865"/>
                          </a:xfrm>
                          <a:prstGeom prst="rect">
                            <a:avLst/>
                          </a:prstGeom>
                          <a:solidFill>
                            <a:srgbClr val="FFFFFF"/>
                          </a:solidFill>
                          <a:ln>
                            <a:noFill/>
                          </a:ln>
                        </wps:spPr>
                        <wps:txbx>
                          <w:txbxContent>
                            <w:p>
                              <w:pPr>
                                <w:spacing w:line="240" w:lineRule="auto"/>
                                <w:ind w:firstLine="0" w:firstLineChars="0"/>
                                <w:rPr>
                                  <w:rFonts w:hint="eastAsia"/>
                                  <w:sz w:val="18"/>
                                  <w:szCs w:val="18"/>
                                </w:rPr>
                              </w:pPr>
                              <w:r>
                                <w:rPr>
                                  <w:rFonts w:hint="eastAsia" w:ascii="宋体" w:hAnsi="宋体" w:cs="宋体"/>
                                  <w:sz w:val="18"/>
                                  <w:szCs w:val="18"/>
                                </w:rPr>
                                <w:t>粘接剂</w:t>
                              </w:r>
                            </w:p>
                          </w:txbxContent>
                        </wps:txbx>
                        <wps:bodyPr upright="1"/>
                      </wps:wsp>
                      <wps:wsp>
                        <wps:cNvPr id="38" name="直接连接符 38"/>
                        <wps:cNvCnPr/>
                        <wps:spPr>
                          <a:xfrm>
                            <a:off x="981075" y="2515870"/>
                            <a:ext cx="419100" cy="0"/>
                          </a:xfrm>
                          <a:prstGeom prst="line">
                            <a:avLst/>
                          </a:prstGeom>
                          <a:ln w="9525" cap="flat" cmpd="sng">
                            <a:solidFill>
                              <a:srgbClr val="000000"/>
                            </a:solidFill>
                            <a:prstDash val="solid"/>
                            <a:headEnd type="none" w="med" len="med"/>
                            <a:tailEnd type="triangle" w="med" len="lg"/>
                          </a:ln>
                        </wps:spPr>
                        <wps:bodyPr upright="1"/>
                      </wps:wsp>
                      <wps:wsp>
                        <wps:cNvPr id="39" name="文本框 39"/>
                        <wps:cNvSpPr txBox="1"/>
                        <wps:spPr>
                          <a:xfrm>
                            <a:off x="88900" y="2370455"/>
                            <a:ext cx="902335" cy="549275"/>
                          </a:xfrm>
                          <a:prstGeom prst="rect">
                            <a:avLst/>
                          </a:prstGeom>
                          <a:solidFill>
                            <a:srgbClr val="FFFFFF"/>
                          </a:solidFill>
                          <a:ln>
                            <a:noFill/>
                          </a:ln>
                        </wps:spPr>
                        <wps:txbx>
                          <w:txbxContent>
                            <w:p>
                              <w:pPr>
                                <w:spacing w:line="240" w:lineRule="auto"/>
                                <w:ind w:firstLine="0" w:firstLineChars="0"/>
                                <w:jc w:val="right"/>
                                <w:rPr>
                                  <w:rFonts w:hint="eastAsia" w:ascii="宋体" w:hAnsi="宋体" w:cs="宋体"/>
                                  <w:sz w:val="18"/>
                                  <w:szCs w:val="18"/>
                                </w:rPr>
                              </w:pPr>
                              <w:r>
                                <w:rPr>
                                  <w:rFonts w:hint="eastAsia" w:ascii="宋体" w:hAnsi="宋体" w:cs="宋体"/>
                                  <w:sz w:val="18"/>
                                  <w:szCs w:val="18"/>
                                </w:rPr>
                                <w:t>清洗液</w:t>
                              </w:r>
                            </w:p>
                            <w:p>
                              <w:pPr>
                                <w:spacing w:line="240" w:lineRule="auto"/>
                                <w:ind w:firstLine="0" w:firstLineChars="0"/>
                                <w:jc w:val="right"/>
                                <w:rPr>
                                  <w:rFonts w:hint="eastAsia"/>
                                  <w:sz w:val="18"/>
                                  <w:szCs w:val="18"/>
                                </w:rPr>
                              </w:pPr>
                              <w:r>
                                <w:rPr>
                                  <w:rFonts w:hint="eastAsia" w:ascii="宋体" w:hAnsi="宋体" w:cs="宋体"/>
                                  <w:sz w:val="18"/>
                                  <w:szCs w:val="18"/>
                                </w:rPr>
                                <w:t>自来水、软水</w:t>
                              </w:r>
                            </w:p>
                          </w:txbxContent>
                        </wps:txbx>
                        <wps:bodyPr upright="1"/>
                      </wps:wsp>
                      <wps:wsp>
                        <wps:cNvPr id="40" name="文本框 40"/>
                        <wps:cNvSpPr txBox="1"/>
                        <wps:spPr>
                          <a:xfrm>
                            <a:off x="396240" y="1156335"/>
                            <a:ext cx="654685" cy="316865"/>
                          </a:xfrm>
                          <a:prstGeom prst="rect">
                            <a:avLst/>
                          </a:prstGeom>
                          <a:solidFill>
                            <a:srgbClr val="FFFFFF"/>
                          </a:solidFill>
                          <a:ln>
                            <a:noFill/>
                          </a:ln>
                        </wps:spPr>
                        <wps:txbx>
                          <w:txbxContent>
                            <w:p>
                              <w:pPr>
                                <w:spacing w:line="240" w:lineRule="auto"/>
                                <w:ind w:firstLine="0" w:firstLineChars="0"/>
                                <w:rPr>
                                  <w:rFonts w:hint="eastAsia"/>
                                  <w:sz w:val="18"/>
                                  <w:szCs w:val="18"/>
                                </w:rPr>
                              </w:pPr>
                              <w:r>
                                <w:rPr>
                                  <w:rFonts w:hint="eastAsia" w:ascii="宋体" w:hAnsi="宋体" w:cs="宋体"/>
                                  <w:sz w:val="18"/>
                                  <w:szCs w:val="18"/>
                                </w:rPr>
                                <w:t>切割原液</w:t>
                              </w:r>
                            </w:p>
                          </w:txbxContent>
                        </wps:txbx>
                        <wps:bodyPr upright="1"/>
                      </wps:wsp>
                      <wps:wsp>
                        <wps:cNvPr id="41" name="直接连接符 41"/>
                        <wps:cNvCnPr/>
                        <wps:spPr>
                          <a:xfrm>
                            <a:off x="1057910" y="1304290"/>
                            <a:ext cx="418465" cy="0"/>
                          </a:xfrm>
                          <a:prstGeom prst="line">
                            <a:avLst/>
                          </a:prstGeom>
                          <a:ln w="9525" cap="flat" cmpd="sng">
                            <a:solidFill>
                              <a:srgbClr val="000000"/>
                            </a:solidFill>
                            <a:prstDash val="solid"/>
                            <a:headEnd type="none" w="med" len="med"/>
                            <a:tailEnd type="triangle" w="med" len="lg"/>
                          </a:ln>
                        </wps:spPr>
                        <wps:bodyPr upright="1"/>
                      </wps:wsp>
                      <wps:wsp>
                        <wps:cNvPr id="42" name="直接连接符 42"/>
                        <wps:cNvCnPr/>
                        <wps:spPr>
                          <a:xfrm flipH="1">
                            <a:off x="1971675" y="2737485"/>
                            <a:ext cx="0" cy="292100"/>
                          </a:xfrm>
                          <a:prstGeom prst="line">
                            <a:avLst/>
                          </a:prstGeom>
                          <a:ln w="9525" cap="flat" cmpd="sng">
                            <a:solidFill>
                              <a:srgbClr val="000000"/>
                            </a:solidFill>
                            <a:prstDash val="solid"/>
                            <a:headEnd type="none" w="med" len="med"/>
                            <a:tailEnd type="triangle" w="med" len="med"/>
                          </a:ln>
                        </wps:spPr>
                        <wps:bodyPr upright="1"/>
                      </wps:wsp>
                      <wps:wsp>
                        <wps:cNvPr id="43" name="直接连接符 43"/>
                        <wps:cNvCnPr/>
                        <wps:spPr>
                          <a:xfrm>
                            <a:off x="2512695" y="715010"/>
                            <a:ext cx="418465" cy="0"/>
                          </a:xfrm>
                          <a:prstGeom prst="line">
                            <a:avLst/>
                          </a:prstGeom>
                          <a:ln w="9525" cap="flat" cmpd="sng">
                            <a:solidFill>
                              <a:srgbClr val="000000"/>
                            </a:solidFill>
                            <a:prstDash val="dash"/>
                            <a:headEnd type="none" w="med" len="med"/>
                            <a:tailEnd type="triangle" w="med" len="lg"/>
                          </a:ln>
                        </wps:spPr>
                        <wps:bodyPr upright="1"/>
                      </wps:wsp>
                      <wps:wsp>
                        <wps:cNvPr id="44" name="文本框 44"/>
                        <wps:cNvSpPr txBox="1"/>
                        <wps:spPr>
                          <a:xfrm>
                            <a:off x="2924810" y="532130"/>
                            <a:ext cx="1041400" cy="317500"/>
                          </a:xfrm>
                          <a:prstGeom prst="rect">
                            <a:avLst/>
                          </a:prstGeom>
                          <a:solidFill>
                            <a:srgbClr val="FFFFFF"/>
                          </a:solidFill>
                          <a:ln>
                            <a:noFill/>
                          </a:ln>
                        </wps:spPr>
                        <wps:txbx>
                          <w:txbxContent>
                            <w:p>
                              <w:pPr>
                                <w:ind w:firstLine="0" w:firstLineChars="0"/>
                                <w:rPr>
                                  <w:rFonts w:hint="eastAsia"/>
                                  <w:sz w:val="18"/>
                                  <w:szCs w:val="18"/>
                                </w:rPr>
                              </w:pPr>
                              <w:r>
                                <w:rPr>
                                  <w:rFonts w:hint="eastAsia"/>
                                  <w:kern w:val="0"/>
                                  <w:sz w:val="18"/>
                                  <w:szCs w:val="18"/>
                                </w:rPr>
                                <w:t>有机废气</w:t>
                              </w:r>
                            </w:p>
                          </w:txbxContent>
                        </wps:txbx>
                        <wps:bodyPr upright="1"/>
                      </wps:wsp>
                      <wps:wsp>
                        <wps:cNvPr id="54" name="文本框 54"/>
                        <wps:cNvSpPr txBox="1"/>
                        <wps:spPr>
                          <a:xfrm>
                            <a:off x="1411605" y="2388870"/>
                            <a:ext cx="1181100" cy="3556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ind w:firstLine="0" w:firstLineChars="0"/>
                                <w:jc w:val="center"/>
                                <w:rPr>
                                  <w:rFonts w:hint="eastAsia"/>
                                  <w:sz w:val="21"/>
                                  <w:szCs w:val="21"/>
                                </w:rPr>
                              </w:pPr>
                              <w:r>
                                <w:rPr>
                                  <w:rFonts w:hint="eastAsia" w:ascii="宋体" w:hAnsi="宋体" w:cs="宋体"/>
                                  <w:sz w:val="21"/>
                                  <w:szCs w:val="21"/>
                                </w:rPr>
                                <w:t>超声波清洗烘干</w:t>
                              </w:r>
                            </w:p>
                          </w:txbxContent>
                        </wps:txbx>
                        <wps:bodyPr upright="1"/>
                      </wps:wsp>
                      <wps:wsp>
                        <wps:cNvPr id="55" name="直接连接符 55"/>
                        <wps:cNvCnPr/>
                        <wps:spPr>
                          <a:xfrm>
                            <a:off x="991235" y="2705735"/>
                            <a:ext cx="419100" cy="0"/>
                          </a:xfrm>
                          <a:prstGeom prst="line">
                            <a:avLst/>
                          </a:prstGeom>
                          <a:ln w="9525" cap="flat" cmpd="sng">
                            <a:solidFill>
                              <a:srgbClr val="000000"/>
                            </a:solidFill>
                            <a:prstDash val="solid"/>
                            <a:headEnd type="none" w="med" len="med"/>
                            <a:tailEnd type="triangle" w="med" len="lg"/>
                          </a:ln>
                        </wps:spPr>
                        <wps:bodyPr upright="1"/>
                      </wps:wsp>
                      <wps:wsp>
                        <wps:cNvPr id="56" name="文本框 56"/>
                        <wps:cNvSpPr txBox="1"/>
                        <wps:spPr>
                          <a:xfrm>
                            <a:off x="1374140" y="3036570"/>
                            <a:ext cx="1181100" cy="3556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ind w:firstLine="0" w:firstLineChars="0"/>
                                <w:jc w:val="center"/>
                                <w:rPr>
                                  <w:rFonts w:hint="eastAsia"/>
                                  <w:sz w:val="21"/>
                                  <w:szCs w:val="21"/>
                                </w:rPr>
                              </w:pPr>
                              <w:r>
                                <w:rPr>
                                  <w:rFonts w:hint="eastAsia" w:ascii="宋体" w:hAnsi="宋体" w:cs="宋体"/>
                                  <w:sz w:val="21"/>
                                  <w:szCs w:val="21"/>
                                </w:rPr>
                                <w:t>检验</w:t>
                              </w:r>
                            </w:p>
                          </w:txbxContent>
                        </wps:txbx>
                        <wps:bodyPr upright="1"/>
                      </wps:wsp>
                      <wps:wsp>
                        <wps:cNvPr id="58" name="直接连接符 58"/>
                        <wps:cNvCnPr/>
                        <wps:spPr>
                          <a:xfrm flipH="1">
                            <a:off x="1945640" y="3383915"/>
                            <a:ext cx="635" cy="292735"/>
                          </a:xfrm>
                          <a:prstGeom prst="line">
                            <a:avLst/>
                          </a:prstGeom>
                          <a:ln w="9525" cap="flat" cmpd="sng">
                            <a:solidFill>
                              <a:srgbClr val="000000"/>
                            </a:solidFill>
                            <a:prstDash val="solid"/>
                            <a:headEnd type="none" w="med" len="med"/>
                            <a:tailEnd type="triangle" w="med" len="med"/>
                          </a:ln>
                        </wps:spPr>
                        <wps:bodyPr upright="1"/>
                      </wps:wsp>
                    </wpc:wpc>
                  </a:graphicData>
                </a:graphic>
              </wp:inline>
            </w:drawing>
          </mc:Choice>
          <mc:Fallback>
            <w:pict>
              <v:group id="_x0000_s1026" o:spid="_x0000_s1026" o:spt="203" style="height:309.05pt;width:316.45pt;" coordsize="4018915,3924935" editas="canvas" o:gfxdata="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">
                <o:lock v:ext="edit" aspectratio="f"/>
                <v:shape id="_x0000_s1026" o:spid="_x0000_s1026" style="position:absolute;left:0;top:0;height:3924935;width:4018915;" filled="f" stroked="f" coordsize="21600,21600" o:gfxdata="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">
                  <v:fill on="f" focussize="0,0"/>
                  <v:stroke on="f"/>
                  <v:imagedata o:title=""/>
                  <o:lock v:ext="edit" aspectratio="t"/>
                </v:shape>
                <v:shape id="_x0000_s1026" o:spid="_x0000_s1026" o:spt="202" type="#_x0000_t202" style="position:absolute;left:1476375;top:3594100;height:330835;width:977900;" fillcolor="#FFFFFF" filled="t" stroked="f" coordsize="21600,21600" o:gfxdata="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7Akde1AAAAAUBAAAPAAAAAAAAAAEAIAAAACIAAABkcnMvZG93&#10;bnJldi54bWxQSwECFAAUAAAACACHTuJAN+ZxcssBAACCAwAADgAAAAAAAAABACAAAAAjAQAAZHJz&#10;L2Uyb0RvYy54bWxQSwUGAAAAAAYABgBZAQAAYAUAAAAA&#10;">
                  <v:fill on="t" focussize="0,0"/>
                  <v:stroke on="f"/>
                  <v:imagedata o:title=""/>
                  <o:lock v:ext="edit" aspectratio="f"/>
                  <v:textbox>
                    <w:txbxContent>
                      <w:p>
                        <w:pPr>
                          <w:ind w:firstLine="0" w:firstLineChars="0"/>
                          <w:rPr>
                            <w:rFonts w:hint="eastAsia"/>
                            <w:szCs w:val="21"/>
                          </w:rPr>
                        </w:pPr>
                        <w:r>
                          <w:rPr>
                            <w:rFonts w:hint="eastAsia" w:ascii="宋体" w:hAnsi="宋体"/>
                            <w:color w:val="000000"/>
                            <w:sz w:val="18"/>
                            <w:szCs w:val="18"/>
                          </w:rPr>
                          <w:t>产品包装入库</w:t>
                        </w:r>
                      </w:p>
                    </w:txbxContent>
                  </v:textbox>
                </v:shape>
                <v:shape id="_x0000_s1026" o:spid="_x0000_s1026" o:spt="202" type="#_x0000_t202" style="position:absolute;left:1459230;top:525145;height:353695;width:1053465;" fillcolor="#FFFFFF" filled="t" stroked="t" coordsize="21600,21600" o:gfxdata="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1SQBp1QAAAAUBAAAPAAAAAAAA&#10;AAEAIAAAACIAAABkcnMvZG93bnJldi54bWxQSwECFAAUAAAACACHTuJAkplUyhUCAABDBAAADgAA&#10;AAAAAAABACAAAAAkAQAAZHJzL2Uyb0RvYy54bWxQSwUGAAAAAAYABgBZAQAAqwUAAAAA&#10;">
                  <v:fill on="t" focussize="0,0"/>
                  <v:stroke color="#000000" joinstyle="miter"/>
                  <v:imagedata o:title=""/>
                  <o:lock v:ext="edit" aspectratio="f"/>
                  <v:textbox>
                    <w:txbxContent>
                      <w:p>
                        <w:pPr>
                          <w:spacing w:line="240" w:lineRule="auto"/>
                          <w:ind w:firstLine="0" w:firstLineChars="0"/>
                          <w:jc w:val="center"/>
                          <w:rPr>
                            <w:rFonts w:hint="eastAsia"/>
                            <w:sz w:val="21"/>
                            <w:szCs w:val="21"/>
                          </w:rPr>
                        </w:pPr>
                        <w:r>
                          <w:rPr>
                            <w:rFonts w:hint="eastAsia"/>
                            <w:sz w:val="21"/>
                            <w:szCs w:val="21"/>
                          </w:rPr>
                          <w:t>粘棒</w:t>
                        </w:r>
                      </w:p>
                    </w:txbxContent>
                  </v:textbox>
                </v:shape>
                <v:shape id="_x0000_s1026" o:spid="_x0000_s1026" o:spt="202" type="#_x0000_t202" style="position:absolute;left:1435100;top:1712595;height:364490;width:1114425;" fillcolor="#FFFFFF" filled="t" stroked="t" coordsize="21600,21600" o:gfxdata="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HVJAGnVAAAABQEAAA8AAAAA&#10;AAAAAQAgAAAAIgAAAGRycy9kb3ducmV2LnhtbFBLAQIUABQAAAAIAIdO4kDez/ZBFwIAAEQEAAAO&#10;AAAAAAAAAAEAIAAAACQBAABkcnMvZTJvRG9jLnhtbFBLBQYAAAAABgAGAFkBAACtBQAAAAA=&#10;">
                  <v:fill on="t" focussize="0,0"/>
                  <v:stroke color="#000000" joinstyle="miter"/>
                  <v:imagedata o:title=""/>
                  <o:lock v:ext="edit" aspectratio="f"/>
                  <v:textbox>
                    <w:txbxContent>
                      <w:p>
                        <w:pPr>
                          <w:spacing w:line="240" w:lineRule="auto"/>
                          <w:ind w:firstLine="0" w:firstLineChars="0"/>
                          <w:jc w:val="center"/>
                          <w:rPr>
                            <w:rFonts w:hint="eastAsia"/>
                            <w:sz w:val="21"/>
                            <w:szCs w:val="21"/>
                          </w:rPr>
                        </w:pPr>
                        <w:r>
                          <w:rPr>
                            <w:rFonts w:hint="eastAsia"/>
                            <w:sz w:val="21"/>
                            <w:szCs w:val="21"/>
                          </w:rPr>
                          <w:t>脱胶</w:t>
                        </w:r>
                      </w:p>
                    </w:txbxContent>
                  </v:textbox>
                </v:shape>
                <v:line id="_x0000_s1026" o:spid="_x0000_s1026" o:spt="20" style="position:absolute;left:1964690;top:1415415;height:297815;width:1270;" filled="f" stroked="t" coordsize="21600,21600" o:gfxdata="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fVuAnWAAAABQEAAA8AAAAAAAAAAQAgAAAAIgAA&#10;AGRycy9kb3ducmV2LnhtbFBLAQIUABQAAAAIAIdO4kApZsSXCgIAAPgDAAAOAAAAAAAAAAEAIAAA&#10;ACUBAABkcnMvZTJvRG9jLnhtbFBLBQYAAAAABgAGAFkBAAChBQAAAAA=&#10;">
                  <v:fill on="f" focussize="0,0"/>
                  <v:stroke color="#000000" joinstyle="round" endarrow="block"/>
                  <v:imagedata o:title=""/>
                  <o:lock v:ext="edit" aspectratio="f"/>
                </v:line>
                <v:line id="_x0000_s1026" o:spid="_x0000_s1026" o:spt="20" style="position:absolute;left:1993265;top:2088515;height:297180;width:635;" filled="f" stroked="t" coordsize="21600,21600" o:gfxdata="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p9W4CdYAAAAFAQAADwAAAAAAAAABACAAAAAi&#10;AAAAZHJzL2Rvd25yZXYueG1sUEsBAhQAFAAAAAgAh07iQNSDLq0MAgAA9wMAAA4AAAAAAAAAAQAg&#10;AAAAJQEAAGRycy9lMm9Eb2MueG1sUEsFBgAAAAAGAAYAWQEAAKMFAAAAAA==&#10;">
                  <v:fill on="f" focussize="0,0"/>
                  <v:stroke color="#000000" joinstyle="round" endarrow="block"/>
                  <v:imagedata o:title=""/>
                  <o:lock v:ext="edit" aspectratio="f"/>
                </v:line>
                <v:shape id="_x0000_s1026" o:spid="_x0000_s1026" o:spt="202" type="#_x0000_t202" style="position:absolute;left:2962275;top:1102360;height:545465;width:1046480;" fillcolor="#FFFFFF" filled="t" stroked="f" coordsize="21600,21600" o:gfxdata="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HsCR17UAAAABQEAAA8AAAAAAAAAAQAgAAAAIgAAAGRycy9kb3du&#10;cmV2LnhtbFBLAQIUABQAAAAIAIdO4kDh8ds5ygEAAIUDAAAOAAAAAAAAAAEAIAAAACMBAABkcnMv&#10;ZTJvRG9jLnhtbFBLBQYAAAAABgAGAFkBAABfBQAAAAA=&#10;">
                  <v:fill on="t" focussize="0,0"/>
                  <v:stroke on="f"/>
                  <v:imagedata o:title=""/>
                  <o:lock v:ext="edit" aspectratio="f"/>
                  <v:textbox>
                    <w:txbxContent>
                      <w:p>
                        <w:pPr>
                          <w:spacing w:line="240" w:lineRule="auto"/>
                          <w:ind w:firstLine="0" w:firstLineChars="0"/>
                          <w:rPr>
                            <w:rFonts w:hint="eastAsia"/>
                            <w:kern w:val="0"/>
                            <w:sz w:val="18"/>
                            <w:szCs w:val="18"/>
                          </w:rPr>
                        </w:pPr>
                        <w:r>
                          <w:rPr>
                            <w:rFonts w:hint="eastAsia"/>
                            <w:kern w:val="0"/>
                            <w:sz w:val="18"/>
                            <w:szCs w:val="18"/>
                          </w:rPr>
                          <w:t>切割固废</w:t>
                        </w:r>
                      </w:p>
                      <w:p>
                        <w:pPr>
                          <w:spacing w:line="240" w:lineRule="auto"/>
                          <w:ind w:firstLine="0" w:firstLineChars="0"/>
                          <w:rPr>
                            <w:rFonts w:hint="eastAsia"/>
                            <w:sz w:val="18"/>
                            <w:szCs w:val="18"/>
                          </w:rPr>
                        </w:pPr>
                        <w:r>
                          <w:rPr>
                            <w:rFonts w:hint="eastAsia"/>
                            <w:kern w:val="0"/>
                            <w:sz w:val="18"/>
                            <w:szCs w:val="18"/>
                          </w:rPr>
                          <w:t>噪声、废水</w:t>
                        </w:r>
                      </w:p>
                    </w:txbxContent>
                  </v:textbox>
                </v:shape>
                <v:line id="_x0000_s1026" o:spid="_x0000_s1026" o:spt="20" style="position:absolute;left:2541270;top:1247775;height:1905;width:430530;" filled="f" stroked="t" coordsize="21600,21600" o:gfxdata="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vOrR/WAAAABQEAAA8AAAAAAAAAAQAgAAAA&#10;IgAAAGRycy9kb3ducmV2LnhtbFBLAQIUABQAAAAIAIdO4kAPpIcaDQIAAPYDAAAOAAAAAAAAAAEA&#10;IAAAACUBAABkcnMvZTJvRG9jLnhtbFBLBQYAAAAABgAGAFkBAACkBQAAAAA=&#10;">
                  <v:fill on="f" focussize="0,0"/>
                  <v:stroke color="#000000" joinstyle="round" dashstyle="dash" endarrow="block" endarrowlength="long"/>
                  <v:imagedata o:title=""/>
                  <o:lock v:ext="edit" aspectratio="f"/>
                </v:line>
                <v:shape id="_x0000_s1026" o:spid="_x0000_s1026" o:spt="202" type="#_x0000_t202" style="position:absolute;left:1537970;top:0;height:339725;width:1232535;" fillcolor="#FFFFFF" filled="t" stroked="f" coordsize="21600,21600" o:gfxdata="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7Akde1AAAAAUBAAAPAAAAAAAAAAEAIAAAACIAAABkcnMvZG93bnJldi54&#10;bWxQSwECFAAUAAAACACHTuJAdtPgucUBAAB/AwAADgAAAAAAAAABACAAAAAjAQAAZHJzL2Uyb0Rv&#10;Yy54bWxQSwUGAAAAAAYABgBZAQAAWgUAAAAA&#10;">
                  <v:fill on="t" focussize="0,0"/>
                  <v:stroke on="f"/>
                  <v:imagedata o:title=""/>
                  <o:lock v:ext="edit" aspectratio="f"/>
                  <v:textbox>
                    <w:txbxContent>
                      <w:p>
                        <w:pPr>
                          <w:spacing w:line="240" w:lineRule="auto"/>
                          <w:ind w:firstLine="0" w:firstLineChars="0"/>
                          <w:rPr>
                            <w:rFonts w:hint="eastAsia"/>
                            <w:sz w:val="21"/>
                            <w:szCs w:val="21"/>
                          </w:rPr>
                        </w:pPr>
                        <w:r>
                          <w:rPr>
                            <w:rFonts w:hint="eastAsia" w:ascii="宋体" w:hAnsi="宋体"/>
                            <w:color w:val="000000"/>
                            <w:sz w:val="21"/>
                            <w:szCs w:val="21"/>
                          </w:rPr>
                          <w:t>单晶硅棒</w:t>
                        </w:r>
                      </w:p>
                    </w:txbxContent>
                  </v:textbox>
                </v:shape>
                <v:line id="_x0000_s1026" o:spid="_x0000_s1026" o:spt="20" style="position:absolute;left:1935480;top:293370;flip:x;height:222885;width:8255;" filled="f" stroked="t" coordsize="21600,21600" o:gfxdata="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b70tWtYAAAAFAQAADwAAAAAAAAAB&#10;ACAAAAAiAAAAZHJzL2Rvd25yZXYueG1sUEsBAhQAFAAAAAgAh07iQFoZ5/ESAgAAAQQAAA4AAAAA&#10;AAAAAQAgAAAAJQEAAGRycy9lMm9Eb2MueG1sUEsFBgAAAAAGAAYAWQEAAKkFAAAAAA==&#10;">
                  <v:fill on="f" focussize="0,0"/>
                  <v:stroke color="#000000" joinstyle="round" endarrow="block"/>
                  <v:imagedata o:title=""/>
                  <o:lock v:ext="edit" aspectratio="f"/>
                </v:line>
                <v:line id="_x0000_s1026" o:spid="_x0000_s1026" o:spt="20" style="position:absolute;left:1964690;top:897890;height:220345;width:1270;" filled="f" stroked="t" coordsize="21600,21600" o:gfxdata="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p9W4CdYAAAAFAQAADwAAAAAAAAABACAAAAAiAAAA&#10;ZHJzL2Rvd25yZXYueG1sUEsBAhQAFAAAAAgAh07iQFz6B9UJAgAA9wMAAA4AAAAAAAAAAQAgAAAA&#10;JQEAAGRycy9lMm9Eb2MueG1sUEsFBgAAAAAGAAYAWQEAAKAFAAAAAA==&#10;">
                  <v:fill on="f" focussize="0,0"/>
                  <v:stroke color="#000000" joinstyle="round" endarrow="block"/>
                  <v:imagedata o:title=""/>
                  <o:lock v:ext="edit" aspectratio="f"/>
                </v:line>
                <v:shape id="_x0000_s1026" o:spid="_x0000_s1026" o:spt="109" type="#_x0000_t109" style="position:absolute;left:1459230;top:1118870;height:333375;width:1053465;" fillcolor="#FFFFFF" filled="t" stroked="t" coordsize="21600,21600" o:gfxdata="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DLvvRfW&#10;AAAABQEAAA8AAAAAAAAAAQAgAAAAIgAAAGRycy9kb3ducmV2LnhtbFBLAQIUABQAAAAIAIdO4kAW&#10;zPrZIgIAAE4EAAAOAAAAAAAAAAEAIAAAACUBAABkcnMvZTJvRG9jLnhtbFBLBQYAAAAABgAGAFkB&#10;AAC5BQAAAAA=&#10;">
                  <v:fill on="t" focussize="0,0"/>
                  <v:stroke color="#000000" joinstyle="miter"/>
                  <v:imagedata o:title=""/>
                  <o:lock v:ext="edit" aspectratio="f"/>
                  <v:textbox>
                    <w:txbxContent>
                      <w:p>
                        <w:pPr>
                          <w:spacing w:line="240" w:lineRule="auto"/>
                          <w:ind w:firstLine="0" w:firstLineChars="0"/>
                          <w:jc w:val="center"/>
                          <w:rPr>
                            <w:rFonts w:hint="eastAsia"/>
                            <w:sz w:val="21"/>
                            <w:szCs w:val="21"/>
                          </w:rPr>
                        </w:pPr>
                        <w:r>
                          <w:rPr>
                            <w:rFonts w:hint="eastAsia"/>
                            <w:sz w:val="21"/>
                            <w:szCs w:val="21"/>
                          </w:rPr>
                          <w:t>切片</w:t>
                        </w:r>
                      </w:p>
                    </w:txbxContent>
                  </v:textbox>
                </v:shape>
                <v:line id="_x0000_s1026" o:spid="_x0000_s1026" o:spt="20" style="position:absolute;left:2600325;top:2572385;height:635;width:429895;" filled="f" stroked="t" coordsize="21600,21600" o:gfxdata="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vOrR/WAAAABQEAAA8AAAAAAAAAAQAgAAAA&#10;IgAAAGRycy9kb3ducmV2LnhtbFBLAQIUABQAAAAIAIdO4kAFZ6ZIDQIAAPUDAAAOAAAAAAAAAAEA&#10;IAAAACUBAABkcnMvZTJvRG9jLnhtbFBLBQYAAAAABgAGAFkBAACkBQAAAAA=&#10;">
                  <v:fill on="f" focussize="0,0"/>
                  <v:stroke color="#000000" joinstyle="round" dashstyle="dash" endarrow="block" endarrowlength="long"/>
                  <v:imagedata o:title=""/>
                  <o:lock v:ext="edit" aspectratio="f"/>
                </v:line>
                <v:shape id="_x0000_s1026" o:spid="_x0000_s1026" o:spt="202" type="#_x0000_t202" style="position:absolute;left:3037840;top:2388870;height:340995;width:521970;" fillcolor="#FFFFFF" filled="t" stroked="f" coordsize="21600,21600" o:gfxdata="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HsCR17UAAAABQEAAA8AAAAAAAAAAQAgAAAAIgAAAGRycy9k&#10;b3ducmV2LnhtbFBLAQIUABQAAAAIAIdO4kBuKQRezQEAAIQDAAAOAAAAAAAAAAEAIAAAACMBAABk&#10;cnMvZTJvRG9jLnhtbFBLBQYAAAAABgAGAFkBAABiBQAAAAA=&#10;">
                  <v:fill on="t" focussize="0,0"/>
                  <v:stroke on="f"/>
                  <v:imagedata o:title=""/>
                  <o:lock v:ext="edit" aspectratio="f"/>
                  <v:textbox>
                    <w:txbxContent>
                      <w:p>
                        <w:pPr>
                          <w:ind w:firstLine="0" w:firstLineChars="0"/>
                          <w:rPr>
                            <w:rFonts w:hint="eastAsia"/>
                            <w:sz w:val="21"/>
                            <w:szCs w:val="21"/>
                          </w:rPr>
                        </w:pPr>
                        <w:r>
                          <w:rPr>
                            <w:rFonts w:hint="eastAsia" w:ascii="宋体" w:hAnsi="宋体"/>
                            <w:color w:val="000000"/>
                            <w:sz w:val="21"/>
                            <w:szCs w:val="21"/>
                          </w:rPr>
                          <w:t>废水</w:t>
                        </w:r>
                      </w:p>
                    </w:txbxContent>
                  </v:textbox>
                </v:shape>
                <v:line id="_x0000_s1026" o:spid="_x0000_s1026" o:spt="20" style="position:absolute;left:1056640;top:714375;height:0;width:419100;" filled="f" stroked="t" coordsize="21600,21600" o:gfxdata="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9VryH9QAAAAFAQAADwAAAAAAAAABACAAAAAiAAAA&#10;ZHJzL2Rvd25yZXYueG1sUEsBAhQAFAAAAAgAh07iQDFzSYQLAgAA8wMAAA4AAAAAAAAAAQAgAAAA&#10;IwEAAGRycy9lMm9Eb2MueG1sUEsFBgAAAAAGAAYAWQEAAKAFAAAAAA==&#10;">
                  <v:fill on="f" focussize="0,0"/>
                  <v:stroke color="#000000" joinstyle="round" endarrow="block" endarrowlength="long"/>
                  <v:imagedata o:title=""/>
                  <o:lock v:ext="edit" aspectratio="f"/>
                </v:line>
                <v:line id="_x0000_s1026" o:spid="_x0000_s1026" o:spt="20" style="position:absolute;left:2541270;top:1390650;height:0;width:419100;" filled="f" stroked="t" coordsize="21600,21600" o:gfxdata="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q86tH9YAAAAFAQAADwAAAAAAAAABACAAAAAi&#10;AAAAZHJzL2Rvd25yZXYueG1sUEsBAhQAFAAAAAgAh07iQB9gt70MAgAA8wMAAA4AAAAAAAAAAQAg&#10;AAAAJQEAAGRycy9lMm9Eb2MueG1sUEsFBgAAAAAGAAYAWQEAAKMFAAAAAA==&#10;">
                  <v:fill on="f" focussize="0,0"/>
                  <v:stroke color="#000000" joinstyle="round" dashstyle="dash" endarrow="block" endarrowlength="long"/>
                  <v:imagedata o:title=""/>
                  <o:lock v:ext="edit" aspectratio="f"/>
                </v:line>
                <v:line id="_x0000_s1026" o:spid="_x0000_s1026" o:spt="20" style="position:absolute;left:2560320;top:1895475;height:0;width:419100;" filled="f" stroked="t" coordsize="21600,21600" o:gfxdata="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vOrR/WAAAABQEAAA8AAAAAAAAAAQAgAAAA&#10;IgAAAGRycy9kb3ducmV2LnhtbFBLAQIUABQAAAAIAIdO4kDk0XKhDQIAAPMDAAAOAAAAAAAAAAEA&#10;IAAAACUBAABkcnMvZTJvRG9jLnhtbFBLBQYAAAAABgAGAFkBAACkBQAAAAA=&#10;">
                  <v:fill on="f" focussize="0,0"/>
                  <v:stroke color="#000000" joinstyle="round" dashstyle="dash" endarrow="block" endarrowlength="long"/>
                  <v:imagedata o:title=""/>
                  <o:lock v:ext="edit" aspectratio="f"/>
                </v:line>
                <v:shape id="_x0000_s1026" o:spid="_x0000_s1026" o:spt="202" type="#_x0000_t202" style="position:absolute;left:2977515;top:1696720;height:316865;width:1041400;" fillcolor="#FFFFFF" filled="t" stroked="f" coordsize="21600,21600" o:gfxdata="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7Akde1AAAAAUBAAAPAAAAAAAAAAEAIAAAACIAAABkcnMv&#10;ZG93bnJldi54bWxQSwECFAAUAAAACACHTuJA4FVChc4BAACFAwAADgAAAAAAAAABACAAAAAjAQAA&#10;ZHJzL2Uyb0RvYy54bWxQSwUGAAAAAAYABgBZAQAAYwUAAAAA&#10;">
                  <v:fill on="t" focussize="0,0"/>
                  <v:stroke on="f"/>
                  <v:imagedata o:title=""/>
                  <o:lock v:ext="edit" aspectratio="f"/>
                  <v:textbox>
                    <w:txbxContent>
                      <w:p>
                        <w:pPr>
                          <w:ind w:firstLine="0" w:firstLineChars="0"/>
                          <w:rPr>
                            <w:rFonts w:hint="eastAsia"/>
                            <w:sz w:val="18"/>
                            <w:szCs w:val="18"/>
                          </w:rPr>
                        </w:pPr>
                        <w:r>
                          <w:rPr>
                            <w:rFonts w:hint="eastAsia"/>
                            <w:kern w:val="0"/>
                            <w:sz w:val="18"/>
                            <w:szCs w:val="18"/>
                          </w:rPr>
                          <w:t>清洗废水</w:t>
                        </w:r>
                      </w:p>
                    </w:txbxContent>
                  </v:textbox>
                </v:shape>
                <v:shape id="_x0000_s1026" o:spid="_x0000_s1026" o:spt="202" type="#_x0000_t202" style="position:absolute;left:465455;top:545465;height:316865;width:607060;" fillcolor="#FFFFFF" filled="t" stroked="f" coordsize="21600,21600" o:gfxdata="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7Akde1AAAAAUBAAAPAAAAAAAAAAEAIAAAACIAAABkcnMvZG93&#10;bnJldi54bWxQSwECFAAUAAAACACHTuJAj7j1xcsBAACCAwAADgAAAAAAAAABACAAAAAjAQAAZHJz&#10;L2Uyb0RvYy54bWxQSwUGAAAAAAYABgBZAQAAYAUAAAAA&#10;">
                  <v:fill on="t" focussize="0,0"/>
                  <v:stroke on="f"/>
                  <v:imagedata o:title=""/>
                  <o:lock v:ext="edit" aspectratio="f"/>
                  <v:textbox>
                    <w:txbxContent>
                      <w:p>
                        <w:pPr>
                          <w:spacing w:line="240" w:lineRule="auto"/>
                          <w:ind w:firstLine="0" w:firstLineChars="0"/>
                          <w:rPr>
                            <w:rFonts w:hint="eastAsia"/>
                            <w:sz w:val="18"/>
                            <w:szCs w:val="18"/>
                          </w:rPr>
                        </w:pPr>
                        <w:r>
                          <w:rPr>
                            <w:rFonts w:hint="eastAsia" w:ascii="宋体" w:hAnsi="宋体" w:cs="宋体"/>
                            <w:sz w:val="18"/>
                            <w:szCs w:val="18"/>
                          </w:rPr>
                          <w:t>粘接剂</w:t>
                        </w:r>
                      </w:p>
                    </w:txbxContent>
                  </v:textbox>
                </v:shape>
                <v:line id="_x0000_s1026" o:spid="_x0000_s1026" o:spt="20" style="position:absolute;left:981075;top:2515870;height:0;width:419100;" filled="f" stroked="t" coordsize="21600,21600" o:gfxdata="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&#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1WvIf1AAAAAUBAAAPAAAAAAAAAAEAIAAAACIAAABk&#10;cnMvZG93bnJldi54bWxQSwECFAAUAAAACACHTuJA6rsocAoCAADzAwAADgAAAAAAAAABACAAAAAj&#10;AQAAZHJzL2Uyb0RvYy54bWxQSwUGAAAAAAYABgBZAQAAnwUAAAAA&#10;">
                  <v:fill on="f" focussize="0,0"/>
                  <v:stroke color="#000000" joinstyle="round" endarrow="block" endarrowlength="long"/>
                  <v:imagedata o:title=""/>
                  <o:lock v:ext="edit" aspectratio="f"/>
                </v:line>
                <v:shape id="_x0000_s1026" o:spid="_x0000_s1026" o:spt="202" type="#_x0000_t202" style="position:absolute;left:88900;top:2370455;height:549275;width:902335;" fillcolor="#FFFFFF" filled="t" stroked="f" coordsize="21600,21600" o:gfxdata="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ewJHXtQAAAAFAQAADwAAAAAAAAABACAAAAAiAAAAZHJz&#10;L2Rvd25yZXYueG1sUEsBAhQAFAAAAAgAh07iQD7ILnfPAQAAggMAAA4AAAAAAAAAAQAgAAAAIwEA&#10;AGRycy9lMm9Eb2MueG1sUEsFBgAAAAAGAAYAWQEAAGQFAAAAAA==&#10;">
                  <v:fill on="t" focussize="0,0"/>
                  <v:stroke on="f"/>
                  <v:imagedata o:title=""/>
                  <o:lock v:ext="edit" aspectratio="f"/>
                  <v:textbox>
                    <w:txbxContent>
                      <w:p>
                        <w:pPr>
                          <w:spacing w:line="240" w:lineRule="auto"/>
                          <w:ind w:firstLine="0" w:firstLineChars="0"/>
                          <w:jc w:val="right"/>
                          <w:rPr>
                            <w:rFonts w:hint="eastAsia" w:ascii="宋体" w:hAnsi="宋体" w:cs="宋体"/>
                            <w:sz w:val="18"/>
                            <w:szCs w:val="18"/>
                          </w:rPr>
                        </w:pPr>
                        <w:r>
                          <w:rPr>
                            <w:rFonts w:hint="eastAsia" w:ascii="宋体" w:hAnsi="宋体" w:cs="宋体"/>
                            <w:sz w:val="18"/>
                            <w:szCs w:val="18"/>
                          </w:rPr>
                          <w:t>清洗液</w:t>
                        </w:r>
                      </w:p>
                      <w:p>
                        <w:pPr>
                          <w:spacing w:line="240" w:lineRule="auto"/>
                          <w:ind w:firstLine="0" w:firstLineChars="0"/>
                          <w:jc w:val="right"/>
                          <w:rPr>
                            <w:rFonts w:hint="eastAsia"/>
                            <w:sz w:val="18"/>
                            <w:szCs w:val="18"/>
                          </w:rPr>
                        </w:pPr>
                        <w:r>
                          <w:rPr>
                            <w:rFonts w:hint="eastAsia" w:ascii="宋体" w:hAnsi="宋体" w:cs="宋体"/>
                            <w:sz w:val="18"/>
                            <w:szCs w:val="18"/>
                          </w:rPr>
                          <w:t>自来水、软水</w:t>
                        </w:r>
                      </w:p>
                    </w:txbxContent>
                  </v:textbox>
                </v:shape>
                <v:shape id="_x0000_s1026" o:spid="_x0000_s1026" o:spt="202" type="#_x0000_t202" style="position:absolute;left:396240;top:1156335;height:316865;width:654685;" fillcolor="#FFFFFF" filled="t" stroked="f" coordsize="21600,21600" o:gfxdata="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HsCR17UAAAABQEAAA8AAAAAAAAAAQAgAAAAIgAAAGRycy9k&#10;b3ducmV2LnhtbFBLAQIUABQAAAAIAIdO4kAzCk18zQEAAIMDAAAOAAAAAAAAAAEAIAAAACMBAABk&#10;cnMvZTJvRG9jLnhtbFBLBQYAAAAABgAGAFkBAABiBQAAAAA=&#10;">
                  <v:fill on="t" focussize="0,0"/>
                  <v:stroke on="f"/>
                  <v:imagedata o:title=""/>
                  <o:lock v:ext="edit" aspectratio="f"/>
                  <v:textbox>
                    <w:txbxContent>
                      <w:p>
                        <w:pPr>
                          <w:spacing w:line="240" w:lineRule="auto"/>
                          <w:ind w:firstLine="0" w:firstLineChars="0"/>
                          <w:rPr>
                            <w:rFonts w:hint="eastAsia"/>
                            <w:sz w:val="18"/>
                            <w:szCs w:val="18"/>
                          </w:rPr>
                        </w:pPr>
                        <w:r>
                          <w:rPr>
                            <w:rFonts w:hint="eastAsia" w:ascii="宋体" w:hAnsi="宋体" w:cs="宋体"/>
                            <w:sz w:val="18"/>
                            <w:szCs w:val="18"/>
                          </w:rPr>
                          <w:t>切割原液</w:t>
                        </w:r>
                      </w:p>
                    </w:txbxContent>
                  </v:textbox>
                </v:shape>
                <v:line id="_x0000_s1026" o:spid="_x0000_s1026" o:spt="20" style="position:absolute;left:1057910;top:1304290;height:0;width:418465;" filled="f" stroked="t" coordsize="21600,21600" o:gfxdata="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1WvIf1AAAAAUBAAAPAAAAAAAAAAEAIAAAACIAAABk&#10;cnMvZG93bnJldi54bWxQSwECFAAUAAAACACHTuJAgRGcwwoCAAD0AwAADgAAAAAAAAABACAAAAAj&#10;AQAAZHJzL2Uyb0RvYy54bWxQSwUGAAAAAAYABgBZAQAAnwUAAAAA&#10;">
                  <v:fill on="f" focussize="0,0"/>
                  <v:stroke color="#000000" joinstyle="round" endarrow="block" endarrowlength="long"/>
                  <v:imagedata o:title=""/>
                  <o:lock v:ext="edit" aspectratio="f"/>
                </v:line>
                <v:line id="_x0000_s1026" o:spid="_x0000_s1026" o:spt="20" style="position:absolute;left:1971675;top:2737485;flip:x;height:292100;width:0;" filled="f" stroked="t" coordsize="21600,21600" o:gfxdata="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vvS1a1gAAAAUBAAAPAAAAAAAA&#10;AAEAIAAAACIAAABkcnMvZG93bnJldi54bWxQSwECFAAUAAAACACHTuJAOX7yqhQCAAD/AwAADgAA&#10;AAAAAAABACAAAAAlAQAAZHJzL2Uyb0RvYy54bWxQSwUGAAAAAAYABgBZAQAAqwUAAAAA&#10;">
                  <v:fill on="f" focussize="0,0"/>
                  <v:stroke color="#000000" joinstyle="round" endarrow="block"/>
                  <v:imagedata o:title=""/>
                  <o:lock v:ext="edit" aspectratio="f"/>
                </v:line>
                <v:line id="_x0000_s1026" o:spid="_x0000_s1026" o:spt="20" style="position:absolute;left:2512695;top:715010;height:0;width:418465;" filled="f" stroked="t" coordsize="21600,21600" o:gfxdata="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vOrR/WAAAABQEAAA8AAAAAAAAAAQAgAAAAIgAA&#10;AGRycy9kb3ducmV2LnhtbFBLAQIUABQAAAAIAIdO4kDyVkqQCgIAAPIDAAAOAAAAAAAAAAEAIAAA&#10;ACUBAABkcnMvZTJvRG9jLnhtbFBLBQYAAAAABgAGAFkBAAChBQAAAAA=&#10;">
                  <v:fill on="f" focussize="0,0"/>
                  <v:stroke color="#000000" joinstyle="round" dashstyle="dash" endarrow="block" endarrowlength="long"/>
                  <v:imagedata o:title=""/>
                  <o:lock v:ext="edit" aspectratio="f"/>
                </v:line>
                <v:shape id="_x0000_s1026" o:spid="_x0000_s1026" o:spt="202" type="#_x0000_t202" style="position:absolute;left:2924810;top:532130;height:317500;width:1041400;" fillcolor="#FFFFFF" filled="t" stroked="f" coordsize="21600,21600" o:gfxdata="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7Akde1AAAAAUBAAAPAAAAAAAAAAEAIAAAACIAAABkcnMvZG93&#10;bnJldi54bWxQSwECFAAUAAAACACHTuJATHHae8sBAACEAwAADgAAAAAAAAABACAAAAAjAQAAZHJz&#10;L2Uyb0RvYy54bWxQSwUGAAAAAAYABgBZAQAAYAUAAAAA&#10;">
                  <v:fill on="t" focussize="0,0"/>
                  <v:stroke on="f"/>
                  <v:imagedata o:title=""/>
                  <o:lock v:ext="edit" aspectratio="f"/>
                  <v:textbox>
                    <w:txbxContent>
                      <w:p>
                        <w:pPr>
                          <w:ind w:firstLine="0" w:firstLineChars="0"/>
                          <w:rPr>
                            <w:rFonts w:hint="eastAsia"/>
                            <w:sz w:val="18"/>
                            <w:szCs w:val="18"/>
                          </w:rPr>
                        </w:pPr>
                        <w:r>
                          <w:rPr>
                            <w:rFonts w:hint="eastAsia"/>
                            <w:kern w:val="0"/>
                            <w:sz w:val="18"/>
                            <w:szCs w:val="18"/>
                          </w:rPr>
                          <w:t>有机废气</w:t>
                        </w:r>
                      </w:p>
                    </w:txbxContent>
                  </v:textbox>
                </v:shape>
                <v:shape id="_x0000_s1026" o:spid="_x0000_s1026" o:spt="202" type="#_x0000_t202" style="position:absolute;left:1411605;top:2388870;height:355600;width:1181100;" fillcolor="#FFFFFF" filled="t" stroked="t" coordsize="21600,21600" o:gfxdata="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dUkAadUAAAAFAQAADwAAAAAA&#10;AAABACAAAAAiAAAAZHJzL2Rvd25yZXYueG1sUEsBAhQAFAAAAAgAh07iQJ0Yh7UWAgAARAQAAA4A&#10;AAAAAAAAAQAgAAAAJAEAAGRycy9lMm9Eb2MueG1sUEsFBgAAAAAGAAYAWQEAAKwFAAAAAA==&#10;">
                  <v:fill on="t" focussize="0,0"/>
                  <v:stroke color="#000000" joinstyle="miter"/>
                  <v:imagedata o:title=""/>
                  <o:lock v:ext="edit" aspectratio="f"/>
                  <v:textbox>
                    <w:txbxContent>
                      <w:p>
                        <w:pPr>
                          <w:spacing w:line="240" w:lineRule="auto"/>
                          <w:ind w:firstLine="0" w:firstLineChars="0"/>
                          <w:jc w:val="center"/>
                          <w:rPr>
                            <w:rFonts w:hint="eastAsia"/>
                            <w:sz w:val="21"/>
                            <w:szCs w:val="21"/>
                          </w:rPr>
                        </w:pPr>
                        <w:r>
                          <w:rPr>
                            <w:rFonts w:hint="eastAsia" w:ascii="宋体" w:hAnsi="宋体" w:cs="宋体"/>
                            <w:sz w:val="21"/>
                            <w:szCs w:val="21"/>
                          </w:rPr>
                          <w:t>超声波清洗烘干</w:t>
                        </w:r>
                      </w:p>
                    </w:txbxContent>
                  </v:textbox>
                </v:shape>
                <v:line id="_x0000_s1026" o:spid="_x0000_s1026" o:spt="20" style="position:absolute;left:991235;top:2705735;height:0;width:419100;" filled="f" stroked="t" coordsize="21600,21600" o:gfxdata="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Va8h/UAAAABQEAAA8AAAAAAAAAAQAgAAAAIgAAAGRy&#10;cy9kb3ducmV2LnhtbFBLAQIUABQAAAAIAIdO4kA1jBGnCQIAAPMDAAAOAAAAAAAAAAEAIAAAACMB&#10;AABkcnMvZTJvRG9jLnhtbFBLBQYAAAAABgAGAFkBAACeBQAAAAA=&#10;">
                  <v:fill on="f" focussize="0,0"/>
                  <v:stroke color="#000000" joinstyle="round" endarrow="block" endarrowlength="long"/>
                  <v:imagedata o:title=""/>
                  <o:lock v:ext="edit" aspectratio="f"/>
                </v:line>
                <v:shape id="_x0000_s1026" o:spid="_x0000_s1026" o:spt="202" type="#_x0000_t202" style="position:absolute;left:1374140;top:3036570;height:355600;width:1181100;" fillcolor="#FFFFFF" filled="t" stroked="t" coordsize="21600,21600" o:gfxdata="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1SQBp1QAAAAUBAAAPAAAAAAAA&#10;AAEAIAAAACIAAABkcnMvZG93bnJldi54bWxQSwECFAAUAAAACACHTuJAGo8hWBUCAABEBAAADgAA&#10;AAAAAAABACAAAAAkAQAAZHJzL2Uyb0RvYy54bWxQSwUGAAAAAAYABgBZAQAAqwUAAAAA&#10;">
                  <v:fill on="t" focussize="0,0"/>
                  <v:stroke color="#000000" joinstyle="miter"/>
                  <v:imagedata o:title=""/>
                  <o:lock v:ext="edit" aspectratio="f"/>
                  <v:textbox>
                    <w:txbxContent>
                      <w:p>
                        <w:pPr>
                          <w:spacing w:line="240" w:lineRule="auto"/>
                          <w:ind w:firstLine="0" w:firstLineChars="0"/>
                          <w:jc w:val="center"/>
                          <w:rPr>
                            <w:rFonts w:hint="eastAsia"/>
                            <w:sz w:val="21"/>
                            <w:szCs w:val="21"/>
                          </w:rPr>
                        </w:pPr>
                        <w:r>
                          <w:rPr>
                            <w:rFonts w:hint="eastAsia" w:ascii="宋体" w:hAnsi="宋体" w:cs="宋体"/>
                            <w:sz w:val="21"/>
                            <w:szCs w:val="21"/>
                          </w:rPr>
                          <w:t>检验</w:t>
                        </w:r>
                      </w:p>
                    </w:txbxContent>
                  </v:textbox>
                </v:shape>
                <v:line id="_x0000_s1026" o:spid="_x0000_s1026" o:spt="20" style="position:absolute;left:1945640;top:3383915;flip:x;height:292735;width:635;" filled="f" stroked="t" coordsize="21600,21600" o:gfxdata="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9LVrWAAAABQEAAA8AAAAAAAAA&#10;AQAgAAAAIgAAAGRycy9kb3ducmV2LnhtbFBLAQIUABQAAAAIAIdO4kAJN92FEwIAAAEEAAAOAAAA&#10;AAAAAAEAIAAAACUBAABkcnMvZTJvRG9jLnhtbFBLBQYAAAAABgAGAFkBAACqBQAAAAA=&#10;">
                  <v:fill on="f" focussize="0,0"/>
                  <v:stroke color="#000000" joinstyle="round" endarrow="block"/>
                  <v:imagedata o:title=""/>
                  <o:lock v:ext="edit" aspectratio="f"/>
                </v:line>
                <w10:wrap type="none"/>
                <w10:anchorlock/>
              </v:group>
            </w:pict>
          </mc:Fallback>
        </mc:AlternateContent>
      </w:r>
    </w:p>
    <w:p>
      <w:pPr>
        <w:pStyle w:val="133"/>
        <w:widowControl/>
        <w:numPr>
          <w:ilvl w:val="0"/>
          <w:numId w:val="10"/>
        </w:numPr>
        <w:spacing w:line="360" w:lineRule="auto"/>
        <w:ind w:left="420" w:leftChars="0" w:hanging="420" w:firstLineChars="0"/>
        <w:jc w:val="center"/>
        <w:rPr>
          <w:rFonts w:hint="default" w:ascii="Times New Roman" w:hAnsi="Times New Roman" w:cs="Times New Roman"/>
          <w:b/>
          <w:bCs/>
          <w:color w:val="auto"/>
        </w:rPr>
      </w:pPr>
      <w:r>
        <w:rPr>
          <w:rFonts w:hint="default" w:ascii="Times New Roman" w:hAnsi="Times New Roman" w:cs="Times New Roman"/>
          <w:b/>
          <w:bCs/>
          <w:color w:val="auto"/>
          <w:lang w:eastAsia="zh-CN"/>
        </w:rPr>
        <w:t>已批复项目</w:t>
      </w:r>
      <w:r>
        <w:rPr>
          <w:rFonts w:hint="default" w:ascii="Times New Roman" w:hAnsi="Times New Roman" w:cs="Times New Roman"/>
          <w:b/>
          <w:bCs/>
          <w:color w:val="auto"/>
        </w:rPr>
        <w:t>单晶硅切片生产工艺流程及产污节点图</w:t>
      </w:r>
    </w:p>
    <w:p>
      <w:pPr>
        <w:snapToGrid w:val="0"/>
        <w:spacing w:line="360" w:lineRule="auto"/>
        <w:ind w:firstLine="482" w:firstLineChars="200"/>
        <w:rPr>
          <w:rFonts w:hint="default" w:ascii="Times New Roman" w:hAnsi="Times New Roman" w:cs="Times New Roman"/>
          <w:b/>
          <w:color w:val="auto"/>
        </w:rPr>
      </w:pPr>
      <w:r>
        <w:rPr>
          <w:rFonts w:hint="default" w:ascii="Times New Roman" w:hAnsi="Times New Roman" w:cs="Times New Roman"/>
          <w:b/>
          <w:color w:val="auto"/>
          <w:lang w:eastAsia="zh-CN"/>
        </w:rPr>
        <w:t>已批复</w:t>
      </w:r>
      <w:r>
        <w:rPr>
          <w:rFonts w:hint="default" w:ascii="Times New Roman" w:hAnsi="Times New Roman" w:cs="Times New Roman"/>
          <w:b/>
          <w:color w:val="auto"/>
        </w:rPr>
        <w:t>生产工艺简述</w:t>
      </w:r>
      <w:r>
        <w:rPr>
          <w:rFonts w:hint="default" w:ascii="Times New Roman" w:hAnsi="Times New Roman" w:cs="Times New Roman"/>
          <w:b/>
          <w:color w:val="auto"/>
          <w:lang w:eastAsia="zh-CN"/>
        </w:rPr>
        <w:t>如下</w:t>
      </w:r>
      <w:r>
        <w:rPr>
          <w:rFonts w:hint="default" w:ascii="Times New Roman" w:hAnsi="Times New Roman" w:cs="Times New Roman"/>
          <w:b/>
          <w:color w:val="auto"/>
        </w:rPr>
        <w:t>：</w:t>
      </w:r>
    </w:p>
    <w:p>
      <w:pPr>
        <w:spacing w:line="360" w:lineRule="auto"/>
        <w:ind w:firstLine="480" w:firstLineChars="200"/>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1、</w:t>
      </w:r>
      <w:r>
        <w:rPr>
          <w:rFonts w:hint="default" w:ascii="Times New Roman" w:hAnsi="Times New Roman" w:cs="Times New Roman"/>
          <w:color w:val="auto"/>
          <w:lang w:eastAsia="zh-CN"/>
        </w:rPr>
        <w:t>晶棒粘接：将准方形的单晶硅方棒用粘接剂粘接在固定专用树脂板上。并将树脂板用水煮胶粘贴固定到铁板制具上，保证后续硅片切割的完整性和高效性，在粘棒完成后，去除单晶硅棒边角多余的胶水。</w:t>
      </w:r>
    </w:p>
    <w:p>
      <w:pPr>
        <w:spacing w:line="360" w:lineRule="auto"/>
        <w:ind w:firstLine="480" w:firstLineChars="200"/>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2、</w:t>
      </w:r>
      <w:r>
        <w:rPr>
          <w:rFonts w:hint="default" w:ascii="Times New Roman" w:hAnsi="Times New Roman" w:cs="Times New Roman"/>
          <w:color w:val="auto"/>
          <w:lang w:eastAsia="zh-CN"/>
        </w:rPr>
        <w:t>金刚线多线切割：采用高效、节能的金刚线切割工艺，通过金刚线的高速运动，将单晶硅棒切割成具有精确几何尺寸的薄硅片。切割期间切割原液（聚乙二醇）与纯水按1：</w:t>
      </w:r>
      <w:r>
        <w:rPr>
          <w:rFonts w:hint="default" w:ascii="Times New Roman" w:hAnsi="Times New Roman" w:cs="Times New Roman"/>
          <w:color w:val="auto"/>
          <w:lang w:val="en-US" w:eastAsia="zh-CN"/>
        </w:rPr>
        <w:t>4</w:t>
      </w:r>
      <w:r>
        <w:rPr>
          <w:rFonts w:hint="default" w:ascii="Times New Roman" w:hAnsi="Times New Roman" w:cs="Times New Roman"/>
          <w:color w:val="auto"/>
          <w:lang w:eastAsia="zh-CN"/>
        </w:rPr>
        <w:t>00配置使用，用于冷却润滑。</w:t>
      </w:r>
    </w:p>
    <w:p>
      <w:pPr>
        <w:spacing w:line="360" w:lineRule="auto"/>
        <w:ind w:firstLine="480" w:firstLineChars="200"/>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3、</w:t>
      </w:r>
      <w:r>
        <w:rPr>
          <w:rFonts w:hint="default" w:ascii="Times New Roman" w:hAnsi="Times New Roman" w:cs="Times New Roman"/>
          <w:color w:val="auto"/>
          <w:lang w:eastAsia="zh-CN"/>
        </w:rPr>
        <w:t>硅片脱胶：切片后的单晶硅片由于粘接剂作用粘在模板上，需要用热水进行脱胶，将模板浸入温度50--60℃的热水箱10分钟，将单晶硅片剥离模板，铁板、树脂胶分离。</w:t>
      </w:r>
    </w:p>
    <w:p>
      <w:pPr>
        <w:spacing w:line="360" w:lineRule="auto"/>
        <w:ind w:firstLine="480" w:firstLineChars="200"/>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4、</w:t>
      </w:r>
      <w:r>
        <w:rPr>
          <w:rFonts w:hint="default" w:ascii="Times New Roman" w:hAnsi="Times New Roman" w:cs="Times New Roman"/>
          <w:color w:val="auto"/>
          <w:lang w:eastAsia="zh-CN"/>
        </w:rPr>
        <w:t>超声波清洗烘干：硅片切片后，表面有大量的沾污物。为了能对硅片进行检查，需进行清洗以除去大部分的颗粒。清洗方法是在切片后用自来水、纯水、NaOH、硅片清洗液进行6道清洗。超声波清洗机内设6个槽，第一、二槽未自来水，采用逆流清洗方式；第三、四槽为自来水，同时加热至60℃；第五、六槽为软水。</w:t>
      </w:r>
    </w:p>
    <w:p>
      <w:pPr>
        <w:spacing w:line="360" w:lineRule="auto"/>
        <w:ind w:firstLine="480" w:firstLineChars="200"/>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5、</w:t>
      </w:r>
      <w:r>
        <w:rPr>
          <w:rFonts w:hint="default" w:ascii="Times New Roman" w:hAnsi="Times New Roman" w:cs="Times New Roman"/>
          <w:color w:val="auto"/>
          <w:lang w:eastAsia="zh-CN"/>
        </w:rPr>
        <w:t>检验：经过清洗之后进行检验。在检验过程中，表面电阻率、翘曲度、总厚度超差和平整度等都要测试。所有这些测量参数都要用无接触方法测试。</w:t>
      </w:r>
    </w:p>
    <w:p>
      <w:pPr>
        <w:spacing w:line="360" w:lineRule="auto"/>
        <w:ind w:firstLine="480" w:firstLineChars="200"/>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6、</w:t>
      </w:r>
      <w:r>
        <w:rPr>
          <w:rFonts w:hint="default" w:ascii="Times New Roman" w:hAnsi="Times New Roman" w:cs="Times New Roman"/>
          <w:color w:val="auto"/>
          <w:lang w:eastAsia="zh-CN"/>
        </w:rPr>
        <w:t>包装入库：将检测合格的产品进行电阻率分档，按规格、数量进行包装。　</w:t>
      </w:r>
    </w:p>
    <w:p>
      <w:pPr>
        <w:snapToGrid w:val="0"/>
        <w:spacing w:line="360" w:lineRule="auto"/>
        <w:ind w:firstLine="480" w:firstLineChars="200"/>
        <w:rPr>
          <w:rFonts w:hint="default" w:ascii="Times New Roman" w:hAnsi="Times New Roman" w:eastAsia="宋体" w:cs="Times New Roman"/>
          <w:b/>
          <w:color w:val="auto"/>
          <w:lang w:eastAsia="zh-CN"/>
        </w:rPr>
      </w:pPr>
      <w:r>
        <w:rPr>
          <w:rFonts w:hint="default" w:ascii="Times New Roman" w:hAnsi="Times New Roman" w:cs="Times New Roman"/>
          <w:b w:val="0"/>
          <w:bCs/>
          <w:color w:val="auto"/>
          <w:lang w:eastAsia="zh-CN"/>
        </w:rPr>
        <w:t>根据</w:t>
      </w:r>
      <w:r>
        <w:rPr>
          <w:rFonts w:hint="default" w:ascii="Times New Roman" w:hAnsi="Times New Roman" w:cs="Times New Roman"/>
          <w:b w:val="0"/>
          <w:bCs/>
          <w:color w:val="auto"/>
          <w:lang w:eastAsia="zh-CN"/>
        </w:rPr>
        <w:t>建设单位提供资料</w:t>
      </w:r>
      <w:r>
        <w:rPr>
          <w:rFonts w:hint="default" w:ascii="Times New Roman" w:hAnsi="Times New Roman" w:cs="Times New Roman"/>
          <w:b w:val="0"/>
          <w:bCs/>
          <w:color w:val="auto"/>
          <w:lang w:eastAsia="zh-CN"/>
        </w:rPr>
        <w:t>，</w:t>
      </w:r>
      <w:r>
        <w:rPr>
          <w:rFonts w:hint="default" w:ascii="Times New Roman" w:hAnsi="Times New Roman" w:cs="Times New Roman"/>
          <w:b w:val="0"/>
          <w:bCs/>
          <w:color w:val="auto"/>
          <w:lang w:eastAsia="zh-CN"/>
        </w:rPr>
        <w:t>现</w:t>
      </w:r>
      <w:r>
        <w:rPr>
          <w:rFonts w:hint="default" w:ascii="Times New Roman" w:hAnsi="Times New Roman" w:cs="Times New Roman"/>
          <w:b w:val="0"/>
          <w:bCs/>
          <w:color w:val="auto"/>
          <w:lang w:eastAsia="zh-CN"/>
        </w:rPr>
        <w:t>单晶硅切片生产工艺较原环评及批复有进一步细化，</w:t>
      </w:r>
      <w:r>
        <w:rPr>
          <w:rFonts w:hint="default" w:ascii="Times New Roman" w:hAnsi="Times New Roman" w:cs="Times New Roman"/>
          <w:b w:val="0"/>
          <w:bCs/>
          <w:color w:val="auto"/>
          <w:lang w:eastAsia="zh-CN"/>
        </w:rPr>
        <w:t>但主要生产工艺、产污节点、原辅料未发生改变，</w:t>
      </w:r>
      <w:r>
        <w:rPr>
          <w:rFonts w:hint="default" w:ascii="Times New Roman" w:hAnsi="Times New Roman" w:cs="Times New Roman"/>
          <w:b w:val="0"/>
          <w:bCs/>
          <w:color w:val="auto"/>
          <w:lang w:eastAsia="zh-CN"/>
        </w:rPr>
        <w:t>现有单晶硅切片生产工艺流程及产污节点</w:t>
      </w:r>
      <w:r>
        <w:rPr>
          <w:rFonts w:hint="default" w:ascii="Times New Roman" w:hAnsi="Times New Roman" w:cs="Times New Roman"/>
          <w:b w:val="0"/>
          <w:bCs/>
          <w:color w:val="auto"/>
          <w:lang w:eastAsia="zh-CN"/>
        </w:rPr>
        <w:t>详第三章见图</w:t>
      </w:r>
      <w:r>
        <w:rPr>
          <w:rFonts w:hint="default" w:ascii="Times New Roman" w:hAnsi="Times New Roman" w:cs="Times New Roman"/>
          <w:b w:val="0"/>
          <w:bCs/>
          <w:color w:val="auto"/>
          <w:lang w:val="en-US" w:eastAsia="zh-CN"/>
        </w:rPr>
        <w:t>3-2</w:t>
      </w:r>
      <w:r>
        <w:rPr>
          <w:rFonts w:hint="default" w:ascii="Times New Roman" w:hAnsi="Times New Roman" w:cs="Times New Roman"/>
          <w:b w:val="0"/>
          <w:bCs/>
          <w:color w:val="auto"/>
          <w:lang w:eastAsia="zh-CN"/>
        </w:rPr>
        <w:t>。</w:t>
      </w:r>
    </w:p>
    <w:p>
      <w:pPr>
        <w:pStyle w:val="4"/>
        <w:spacing w:before="0" w:after="0" w:line="360" w:lineRule="auto"/>
        <w:rPr>
          <w:rFonts w:hint="default" w:ascii="Times New Roman" w:hAnsi="Times New Roman" w:eastAsia="宋体" w:cs="Times New Roman"/>
          <w:color w:val="auto"/>
          <w:sz w:val="28"/>
          <w:szCs w:val="28"/>
        </w:rPr>
      </w:pPr>
      <w:bookmarkStart w:id="270" w:name="_Toc5500"/>
      <w:bookmarkStart w:id="271" w:name="_Toc79144652"/>
      <w:r>
        <w:rPr>
          <w:rFonts w:hint="default" w:ascii="Times New Roman" w:hAnsi="Times New Roman" w:eastAsia="宋体" w:cs="Times New Roman"/>
          <w:color w:val="auto"/>
          <w:sz w:val="28"/>
          <w:szCs w:val="28"/>
        </w:rPr>
        <w:t>2.</w:t>
      </w:r>
      <w:r>
        <w:rPr>
          <w:rFonts w:hint="default" w:ascii="Times New Roman" w:hAnsi="Times New Roman" w:eastAsia="宋体" w:cs="Times New Roman"/>
          <w:color w:val="auto"/>
          <w:sz w:val="28"/>
          <w:szCs w:val="28"/>
          <w:lang w:val="en-US" w:eastAsia="zh-CN"/>
        </w:rPr>
        <w:t>4</w:t>
      </w:r>
      <w:r>
        <w:rPr>
          <w:rFonts w:hint="default" w:ascii="Times New Roman" w:hAnsi="Times New Roman" w:eastAsia="宋体" w:cs="Times New Roman"/>
          <w:color w:val="auto"/>
          <w:sz w:val="28"/>
          <w:szCs w:val="28"/>
        </w:rPr>
        <w:t>已批复项目污染物产排情况</w:t>
      </w:r>
      <w:bookmarkEnd w:id="270"/>
      <w:bookmarkEnd w:id="271"/>
    </w:p>
    <w:p>
      <w:pPr>
        <w:spacing w:line="360" w:lineRule="auto"/>
        <w:ind w:firstLine="480" w:firstLineChars="200"/>
        <w:rPr>
          <w:rFonts w:hint="default" w:ascii="Times New Roman" w:hAnsi="Times New Roman" w:cs="Times New Roman"/>
          <w:color w:val="auto"/>
          <w:lang w:val="en-US" w:eastAsia="zh-CN"/>
        </w:rPr>
      </w:pPr>
      <w:bookmarkStart w:id="272" w:name="_Toc79144654"/>
      <w:bookmarkStart w:id="273" w:name="_Toc22877"/>
      <w:r>
        <w:rPr>
          <w:rFonts w:hint="default" w:ascii="Times New Roman" w:hAnsi="Times New Roman" w:cs="Times New Roman"/>
          <w:color w:val="auto"/>
        </w:rPr>
        <w:t>“宇泽半导体（云南）有限公司年产5GW单晶硅拉棒及3GW切片生产线项目”</w:t>
      </w:r>
      <w:r>
        <w:rPr>
          <w:rFonts w:hint="default" w:ascii="Times New Roman" w:hAnsi="Times New Roman" w:cs="Times New Roman"/>
          <w:color w:val="auto"/>
          <w:lang w:eastAsia="zh-CN"/>
        </w:rPr>
        <w:t>和</w:t>
      </w:r>
      <w:r>
        <w:rPr>
          <w:rFonts w:hint="default" w:ascii="Times New Roman" w:hAnsi="Times New Roman" w:cs="Times New Roman"/>
          <w:color w:val="auto"/>
          <w:lang w:val="en-US" w:eastAsia="zh-CN"/>
        </w:rPr>
        <w:t>“</w:t>
      </w:r>
      <w:r>
        <w:rPr>
          <w:rFonts w:hint="default" w:ascii="Times New Roman" w:hAnsi="Times New Roman" w:eastAsia="宋体" w:cs="Times New Roman"/>
          <w:color w:val="auto"/>
          <w:kern w:val="0"/>
        </w:rPr>
        <w:t>年产5GW单晶硅</w:t>
      </w:r>
      <w:r>
        <w:rPr>
          <w:rFonts w:hint="default" w:ascii="Times New Roman" w:hAnsi="Times New Roman" w:eastAsia="宋体" w:cs="Times New Roman"/>
          <w:color w:val="auto"/>
          <w:kern w:val="0"/>
          <w:lang w:eastAsia="zh-CN"/>
        </w:rPr>
        <w:t>拉</w:t>
      </w:r>
      <w:r>
        <w:rPr>
          <w:rFonts w:hint="default" w:ascii="Times New Roman" w:hAnsi="Times New Roman" w:eastAsia="宋体" w:cs="Times New Roman"/>
          <w:color w:val="auto"/>
          <w:kern w:val="0"/>
        </w:rPr>
        <w:t>棒及</w:t>
      </w:r>
      <w:r>
        <w:rPr>
          <w:rFonts w:hint="default" w:ascii="Times New Roman" w:hAnsi="Times New Roman" w:eastAsia="宋体" w:cs="Times New Roman"/>
          <w:color w:val="auto"/>
          <w:kern w:val="0"/>
          <w:lang w:val="en-US" w:eastAsia="zh-CN"/>
        </w:rPr>
        <w:t>2</w:t>
      </w:r>
      <w:r>
        <w:rPr>
          <w:rFonts w:hint="default" w:ascii="Times New Roman" w:hAnsi="Times New Roman" w:eastAsia="宋体" w:cs="Times New Roman"/>
          <w:color w:val="auto"/>
          <w:kern w:val="0"/>
        </w:rPr>
        <w:t>GW切片项目</w:t>
      </w:r>
      <w:r>
        <w:rPr>
          <w:rFonts w:hint="default" w:ascii="Times New Roman" w:hAnsi="Times New Roman" w:cs="Times New Roman"/>
          <w:color w:val="auto"/>
          <w:lang w:val="en-US" w:eastAsia="zh-CN"/>
        </w:rPr>
        <w:t>”</w:t>
      </w:r>
      <w:r>
        <w:rPr>
          <w:rFonts w:hint="default" w:ascii="Times New Roman" w:hAnsi="Times New Roman" w:cs="Times New Roman"/>
          <w:color w:val="auto"/>
          <w:lang w:val="en-US" w:eastAsia="zh-CN"/>
        </w:rPr>
        <w:t>均涉及单晶硅切片，但上述两项目单晶硅切片生产线目前均未建成投产，无验收监测数据，污染物产排情况引用原环评数据。</w:t>
      </w:r>
    </w:p>
    <w:p>
      <w:pPr>
        <w:pStyle w:val="133"/>
        <w:numPr>
          <w:ilvl w:val="0"/>
          <w:numId w:val="9"/>
        </w:numPr>
        <w:spacing w:line="360" w:lineRule="auto"/>
        <w:ind w:left="0" w:firstLine="0" w:firstLineChars="0"/>
        <w:jc w:val="center"/>
        <w:rPr>
          <w:rFonts w:hint="default" w:ascii="Times New Roman" w:hAnsi="Times New Roman" w:cs="Times New Roman"/>
          <w:b/>
          <w:bCs/>
          <w:color w:val="auto"/>
          <w:lang w:eastAsia="zh-CN"/>
        </w:rPr>
      </w:pPr>
      <w:r>
        <w:rPr>
          <w:rFonts w:hint="default" w:ascii="Times New Roman" w:hAnsi="Times New Roman" w:cs="Times New Roman"/>
          <w:b/>
          <w:bCs/>
          <w:color w:val="auto"/>
          <w:lang w:eastAsia="zh-CN"/>
        </w:rPr>
        <w:t>宇泽半导体（云南）有限公司年产5GW单晶硅拉棒及3GW切片生产线项目</w:t>
      </w:r>
      <w:r>
        <w:rPr>
          <w:rFonts w:hint="default" w:ascii="Times New Roman" w:hAnsi="Times New Roman" w:cs="Times New Roman"/>
          <w:b/>
          <w:bCs/>
          <w:color w:val="auto"/>
          <w:lang w:eastAsia="zh-CN"/>
        </w:rPr>
        <w:t>污染物产排情况统计表</w:t>
      </w:r>
    </w:p>
    <w:bookmarkEnd w:id="272"/>
    <w:bookmarkEnd w:id="273"/>
    <w:tbl>
      <w:tblPr>
        <w:tblStyle w:val="45"/>
        <w:tblW w:w="83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2"/>
        <w:gridCol w:w="731"/>
        <w:gridCol w:w="876"/>
        <w:gridCol w:w="877"/>
        <w:gridCol w:w="1694"/>
        <w:gridCol w:w="1463"/>
        <w:gridCol w:w="19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9" w:type="dxa"/>
            <w:gridSpan w:val="3"/>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污染物</w:t>
            </w:r>
          </w:p>
        </w:tc>
        <w:tc>
          <w:tcPr>
            <w:tcW w:w="877" w:type="dxa"/>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单位</w:t>
            </w:r>
          </w:p>
        </w:tc>
        <w:tc>
          <w:tcPr>
            <w:tcW w:w="1694" w:type="dxa"/>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产生量</w:t>
            </w:r>
          </w:p>
        </w:tc>
        <w:tc>
          <w:tcPr>
            <w:tcW w:w="1463" w:type="dxa"/>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削减量</w:t>
            </w:r>
          </w:p>
        </w:tc>
        <w:tc>
          <w:tcPr>
            <w:tcW w:w="1967" w:type="dxa"/>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12" w:type="dxa"/>
            <w:vMerge w:val="restart"/>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废气</w:t>
            </w:r>
          </w:p>
        </w:tc>
        <w:tc>
          <w:tcPr>
            <w:tcW w:w="731" w:type="dxa"/>
            <w:vMerge w:val="restart"/>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有机废气</w:t>
            </w:r>
          </w:p>
        </w:tc>
        <w:tc>
          <w:tcPr>
            <w:tcW w:w="876" w:type="dxa"/>
            <w:vAlign w:val="center"/>
          </w:tcPr>
          <w:p>
            <w:pPr>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废气量</w:t>
            </w:r>
          </w:p>
        </w:tc>
        <w:tc>
          <w:tcPr>
            <w:tcW w:w="877"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eastAsia="zh-CN"/>
              </w:rPr>
              <w:t>万</w:t>
            </w:r>
            <w:r>
              <w:rPr>
                <w:rFonts w:hint="default" w:ascii="Times New Roman" w:hAnsi="Times New Roman" w:cs="Times New Roman"/>
                <w:color w:val="auto"/>
                <w:sz w:val="21"/>
                <w:szCs w:val="21"/>
                <w:lang w:val="en-US" w:eastAsia="zh-CN"/>
              </w:rPr>
              <w:t>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vertAlign w:val="baseline"/>
                <w:lang w:val="en-US" w:eastAsia="zh-CN"/>
              </w:rPr>
              <w:t>/a</w:t>
            </w:r>
          </w:p>
        </w:tc>
        <w:tc>
          <w:tcPr>
            <w:tcW w:w="1694" w:type="dxa"/>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11520</w:t>
            </w:r>
          </w:p>
        </w:tc>
        <w:tc>
          <w:tcPr>
            <w:tcW w:w="1463" w:type="dxa"/>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c>
          <w:tcPr>
            <w:tcW w:w="1967"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11520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2" w:type="dxa"/>
            <w:vMerge w:val="continue"/>
            <w:vAlign w:val="center"/>
          </w:tcPr>
          <w:p>
            <w:pPr>
              <w:jc w:val="center"/>
              <w:rPr>
                <w:rFonts w:hint="default" w:ascii="Times New Roman" w:hAnsi="Times New Roman" w:eastAsia="宋体" w:cs="Times New Roman"/>
                <w:color w:val="auto"/>
                <w:sz w:val="21"/>
                <w:szCs w:val="21"/>
                <w:lang w:eastAsia="zh-CN"/>
              </w:rPr>
            </w:pPr>
          </w:p>
        </w:tc>
        <w:tc>
          <w:tcPr>
            <w:tcW w:w="731" w:type="dxa"/>
            <w:vMerge w:val="continue"/>
            <w:vAlign w:val="center"/>
          </w:tcPr>
          <w:p>
            <w:pPr>
              <w:jc w:val="center"/>
              <w:rPr>
                <w:rFonts w:hint="default" w:ascii="Times New Roman" w:hAnsi="Times New Roman" w:cs="Times New Roman"/>
                <w:color w:val="auto"/>
                <w:sz w:val="21"/>
                <w:szCs w:val="21"/>
              </w:rPr>
            </w:pPr>
          </w:p>
        </w:tc>
        <w:tc>
          <w:tcPr>
            <w:tcW w:w="876" w:type="dxa"/>
            <w:vAlign w:val="center"/>
          </w:tcPr>
          <w:p>
            <w:pPr>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有组织</w:t>
            </w:r>
          </w:p>
        </w:tc>
        <w:tc>
          <w:tcPr>
            <w:tcW w:w="877"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t/a</w:t>
            </w:r>
          </w:p>
        </w:tc>
        <w:tc>
          <w:tcPr>
            <w:tcW w:w="1694" w:type="dxa"/>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4.61</w:t>
            </w:r>
          </w:p>
        </w:tc>
        <w:tc>
          <w:tcPr>
            <w:tcW w:w="1463" w:type="dxa"/>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4.149</w:t>
            </w:r>
          </w:p>
        </w:tc>
        <w:tc>
          <w:tcPr>
            <w:tcW w:w="1967"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0.461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2" w:type="dxa"/>
            <w:vMerge w:val="continue"/>
            <w:vAlign w:val="center"/>
          </w:tcPr>
          <w:p>
            <w:pPr>
              <w:jc w:val="center"/>
              <w:rPr>
                <w:rFonts w:hint="default" w:ascii="Times New Roman" w:hAnsi="Times New Roman" w:cs="Times New Roman"/>
                <w:color w:val="auto"/>
                <w:sz w:val="21"/>
                <w:szCs w:val="21"/>
                <w:lang w:eastAsia="zh-CN"/>
              </w:rPr>
            </w:pPr>
          </w:p>
        </w:tc>
        <w:tc>
          <w:tcPr>
            <w:tcW w:w="731" w:type="dxa"/>
            <w:vMerge w:val="continue"/>
            <w:vAlign w:val="center"/>
          </w:tcPr>
          <w:p>
            <w:pPr>
              <w:jc w:val="center"/>
              <w:rPr>
                <w:rFonts w:hint="default" w:ascii="Times New Roman" w:hAnsi="Times New Roman" w:cs="Times New Roman"/>
                <w:color w:val="auto"/>
                <w:sz w:val="21"/>
                <w:szCs w:val="21"/>
                <w:lang w:eastAsia="zh-CN"/>
              </w:rPr>
            </w:pPr>
          </w:p>
        </w:tc>
        <w:tc>
          <w:tcPr>
            <w:tcW w:w="876" w:type="dxa"/>
            <w:vAlign w:val="center"/>
          </w:tcPr>
          <w:p>
            <w:pPr>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无组织</w:t>
            </w:r>
          </w:p>
        </w:tc>
        <w:tc>
          <w:tcPr>
            <w:tcW w:w="877"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t/a</w:t>
            </w:r>
          </w:p>
        </w:tc>
        <w:tc>
          <w:tcPr>
            <w:tcW w:w="1694"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0.23</w:t>
            </w:r>
          </w:p>
        </w:tc>
        <w:tc>
          <w:tcPr>
            <w:tcW w:w="1463" w:type="dxa"/>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c>
          <w:tcPr>
            <w:tcW w:w="1967"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2" w:type="dxa"/>
            <w:vMerge w:val="restart"/>
            <w:vAlign w:val="center"/>
          </w:tcPr>
          <w:p>
            <w:pPr>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废水</w:t>
            </w:r>
          </w:p>
        </w:tc>
        <w:tc>
          <w:tcPr>
            <w:tcW w:w="1607" w:type="dxa"/>
            <w:gridSpan w:val="2"/>
            <w:vAlign w:val="center"/>
          </w:tcPr>
          <w:p>
            <w:pPr>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废水量</w:t>
            </w:r>
          </w:p>
        </w:tc>
        <w:tc>
          <w:tcPr>
            <w:tcW w:w="877"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eastAsia="zh-CN"/>
              </w:rPr>
              <w:t>万</w:t>
            </w:r>
            <w:r>
              <w:rPr>
                <w:rFonts w:hint="default" w:ascii="Times New Roman" w:hAnsi="Times New Roman" w:cs="Times New Roman"/>
                <w:color w:val="auto"/>
                <w:sz w:val="21"/>
                <w:szCs w:val="21"/>
                <w:lang w:val="en-US" w:eastAsia="zh-CN"/>
              </w:rPr>
              <w:t>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vertAlign w:val="baseline"/>
                <w:lang w:val="en-US" w:eastAsia="zh-CN"/>
              </w:rPr>
              <w:t>/a</w:t>
            </w:r>
          </w:p>
        </w:tc>
        <w:tc>
          <w:tcPr>
            <w:tcW w:w="1694"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187.5</w:t>
            </w:r>
          </w:p>
        </w:tc>
        <w:tc>
          <w:tcPr>
            <w:tcW w:w="1463"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c>
          <w:tcPr>
            <w:tcW w:w="1967"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187.5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2" w:type="dxa"/>
            <w:vMerge w:val="continue"/>
            <w:vAlign w:val="center"/>
          </w:tcPr>
          <w:p>
            <w:pPr>
              <w:jc w:val="center"/>
              <w:rPr>
                <w:rFonts w:hint="default" w:ascii="Times New Roman" w:hAnsi="Times New Roman" w:cs="Times New Roman"/>
                <w:color w:val="auto"/>
                <w:sz w:val="21"/>
                <w:szCs w:val="21"/>
                <w:lang w:eastAsia="zh-CN"/>
              </w:rPr>
            </w:pPr>
          </w:p>
        </w:tc>
        <w:tc>
          <w:tcPr>
            <w:tcW w:w="1607" w:type="dxa"/>
            <w:gridSpan w:val="2"/>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COD</w:t>
            </w:r>
          </w:p>
        </w:tc>
        <w:tc>
          <w:tcPr>
            <w:tcW w:w="877"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t/a</w:t>
            </w:r>
          </w:p>
        </w:tc>
        <w:tc>
          <w:tcPr>
            <w:tcW w:w="1694"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744.825</w:t>
            </w:r>
          </w:p>
        </w:tc>
        <w:tc>
          <w:tcPr>
            <w:tcW w:w="1463"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524.13</w:t>
            </w:r>
          </w:p>
        </w:tc>
        <w:tc>
          <w:tcPr>
            <w:tcW w:w="1967"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220.695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2" w:type="dxa"/>
            <w:vMerge w:val="continue"/>
            <w:vAlign w:val="center"/>
          </w:tcPr>
          <w:p>
            <w:pPr>
              <w:jc w:val="center"/>
              <w:rPr>
                <w:rFonts w:hint="default" w:ascii="Times New Roman" w:hAnsi="Times New Roman" w:cs="Times New Roman"/>
                <w:color w:val="auto"/>
                <w:sz w:val="21"/>
                <w:szCs w:val="21"/>
                <w:lang w:eastAsia="zh-CN"/>
              </w:rPr>
            </w:pPr>
          </w:p>
        </w:tc>
        <w:tc>
          <w:tcPr>
            <w:tcW w:w="1607" w:type="dxa"/>
            <w:gridSpan w:val="2"/>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BOD</w:t>
            </w:r>
          </w:p>
        </w:tc>
        <w:tc>
          <w:tcPr>
            <w:tcW w:w="877"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t/a</w:t>
            </w:r>
          </w:p>
        </w:tc>
        <w:tc>
          <w:tcPr>
            <w:tcW w:w="1694"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260.4</w:t>
            </w:r>
          </w:p>
        </w:tc>
        <w:tc>
          <w:tcPr>
            <w:tcW w:w="1463"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212.26</w:t>
            </w:r>
          </w:p>
        </w:tc>
        <w:tc>
          <w:tcPr>
            <w:tcW w:w="1967"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48.140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2" w:type="dxa"/>
            <w:vMerge w:val="continue"/>
            <w:vAlign w:val="center"/>
          </w:tcPr>
          <w:p>
            <w:pPr>
              <w:jc w:val="center"/>
              <w:rPr>
                <w:rFonts w:hint="default" w:ascii="Times New Roman" w:hAnsi="Times New Roman" w:cs="Times New Roman"/>
                <w:color w:val="auto"/>
                <w:sz w:val="21"/>
                <w:szCs w:val="21"/>
                <w:lang w:eastAsia="zh-CN"/>
              </w:rPr>
            </w:pPr>
          </w:p>
        </w:tc>
        <w:tc>
          <w:tcPr>
            <w:tcW w:w="1607" w:type="dxa"/>
            <w:gridSpan w:val="2"/>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SS</w:t>
            </w:r>
          </w:p>
        </w:tc>
        <w:tc>
          <w:tcPr>
            <w:tcW w:w="877"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t/a</w:t>
            </w:r>
          </w:p>
        </w:tc>
        <w:tc>
          <w:tcPr>
            <w:tcW w:w="1694"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1121.038</w:t>
            </w:r>
          </w:p>
        </w:tc>
        <w:tc>
          <w:tcPr>
            <w:tcW w:w="1463"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900.307</w:t>
            </w:r>
          </w:p>
        </w:tc>
        <w:tc>
          <w:tcPr>
            <w:tcW w:w="1967"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220.731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2" w:type="dxa"/>
            <w:vMerge w:val="continue"/>
            <w:vAlign w:val="center"/>
          </w:tcPr>
          <w:p>
            <w:pPr>
              <w:jc w:val="center"/>
              <w:rPr>
                <w:rFonts w:hint="default" w:ascii="Times New Roman" w:hAnsi="Times New Roman" w:cs="Times New Roman"/>
                <w:color w:val="auto"/>
                <w:sz w:val="21"/>
                <w:szCs w:val="21"/>
                <w:lang w:eastAsia="zh-CN"/>
              </w:rPr>
            </w:pPr>
          </w:p>
        </w:tc>
        <w:tc>
          <w:tcPr>
            <w:tcW w:w="1607" w:type="dxa"/>
            <w:gridSpan w:val="2"/>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氨氮</w:t>
            </w:r>
          </w:p>
        </w:tc>
        <w:tc>
          <w:tcPr>
            <w:tcW w:w="877"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t/a</w:t>
            </w:r>
          </w:p>
        </w:tc>
        <w:tc>
          <w:tcPr>
            <w:tcW w:w="1694"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43.177</w:t>
            </w:r>
          </w:p>
        </w:tc>
        <w:tc>
          <w:tcPr>
            <w:tcW w:w="1463"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18.324</w:t>
            </w:r>
          </w:p>
        </w:tc>
        <w:tc>
          <w:tcPr>
            <w:tcW w:w="1967"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24.853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2" w:type="dxa"/>
            <w:vMerge w:val="continue"/>
            <w:vAlign w:val="center"/>
          </w:tcPr>
          <w:p>
            <w:pPr>
              <w:jc w:val="center"/>
              <w:rPr>
                <w:rFonts w:hint="default" w:ascii="Times New Roman" w:hAnsi="Times New Roman" w:cs="Times New Roman"/>
                <w:color w:val="auto"/>
                <w:sz w:val="21"/>
                <w:szCs w:val="21"/>
                <w:lang w:eastAsia="zh-CN"/>
              </w:rPr>
            </w:pPr>
          </w:p>
        </w:tc>
        <w:tc>
          <w:tcPr>
            <w:tcW w:w="1607" w:type="dxa"/>
            <w:gridSpan w:val="2"/>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氟化物</w:t>
            </w:r>
          </w:p>
        </w:tc>
        <w:tc>
          <w:tcPr>
            <w:tcW w:w="877"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t/a</w:t>
            </w:r>
          </w:p>
        </w:tc>
        <w:tc>
          <w:tcPr>
            <w:tcW w:w="1694"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110.94</w:t>
            </w:r>
          </w:p>
        </w:tc>
        <w:tc>
          <w:tcPr>
            <w:tcW w:w="1463"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105.411</w:t>
            </w:r>
          </w:p>
        </w:tc>
        <w:tc>
          <w:tcPr>
            <w:tcW w:w="1967"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5.529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2" w:type="dxa"/>
            <w:vMerge w:val="restart"/>
            <w:vAlign w:val="center"/>
          </w:tcPr>
          <w:p>
            <w:pPr>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固废</w:t>
            </w:r>
          </w:p>
        </w:tc>
        <w:tc>
          <w:tcPr>
            <w:tcW w:w="1607" w:type="dxa"/>
            <w:gridSpan w:val="2"/>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一般工业固废</w:t>
            </w:r>
          </w:p>
        </w:tc>
        <w:tc>
          <w:tcPr>
            <w:tcW w:w="877"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t/a</w:t>
            </w:r>
          </w:p>
        </w:tc>
        <w:tc>
          <w:tcPr>
            <w:tcW w:w="1694"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11544.71</w:t>
            </w:r>
          </w:p>
        </w:tc>
        <w:tc>
          <w:tcPr>
            <w:tcW w:w="1463" w:type="dxa"/>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11544.71</w:t>
            </w:r>
          </w:p>
        </w:tc>
        <w:tc>
          <w:tcPr>
            <w:tcW w:w="1967"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12" w:type="dxa"/>
            <w:vMerge w:val="continue"/>
            <w:vAlign w:val="center"/>
          </w:tcPr>
          <w:p>
            <w:pPr>
              <w:jc w:val="center"/>
              <w:rPr>
                <w:rFonts w:hint="default" w:ascii="Times New Roman" w:hAnsi="Times New Roman" w:cs="Times New Roman"/>
                <w:color w:val="auto"/>
                <w:sz w:val="21"/>
                <w:szCs w:val="21"/>
                <w:lang w:eastAsia="zh-CN"/>
              </w:rPr>
            </w:pPr>
          </w:p>
        </w:tc>
        <w:tc>
          <w:tcPr>
            <w:tcW w:w="1607" w:type="dxa"/>
            <w:gridSpan w:val="2"/>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危险废物</w:t>
            </w:r>
          </w:p>
        </w:tc>
        <w:tc>
          <w:tcPr>
            <w:tcW w:w="877"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t/a</w:t>
            </w:r>
          </w:p>
        </w:tc>
        <w:tc>
          <w:tcPr>
            <w:tcW w:w="1694"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10.5</w:t>
            </w:r>
          </w:p>
        </w:tc>
        <w:tc>
          <w:tcPr>
            <w:tcW w:w="1463" w:type="dxa"/>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10.5</w:t>
            </w:r>
          </w:p>
        </w:tc>
        <w:tc>
          <w:tcPr>
            <w:tcW w:w="1967"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2" w:type="dxa"/>
            <w:vMerge w:val="continue"/>
            <w:vAlign w:val="center"/>
          </w:tcPr>
          <w:p>
            <w:pPr>
              <w:jc w:val="center"/>
              <w:rPr>
                <w:rFonts w:hint="default" w:ascii="Times New Roman" w:hAnsi="Times New Roman" w:cs="Times New Roman"/>
                <w:color w:val="auto"/>
                <w:sz w:val="21"/>
                <w:szCs w:val="21"/>
                <w:lang w:eastAsia="zh-CN"/>
              </w:rPr>
            </w:pPr>
          </w:p>
        </w:tc>
        <w:tc>
          <w:tcPr>
            <w:tcW w:w="1607" w:type="dxa"/>
            <w:gridSpan w:val="2"/>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生活垃圾</w:t>
            </w:r>
          </w:p>
        </w:tc>
        <w:tc>
          <w:tcPr>
            <w:tcW w:w="877"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t/a</w:t>
            </w:r>
          </w:p>
        </w:tc>
        <w:tc>
          <w:tcPr>
            <w:tcW w:w="1694"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510</w:t>
            </w:r>
          </w:p>
        </w:tc>
        <w:tc>
          <w:tcPr>
            <w:tcW w:w="1463" w:type="dxa"/>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510</w:t>
            </w:r>
          </w:p>
        </w:tc>
        <w:tc>
          <w:tcPr>
            <w:tcW w:w="1967"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r>
    </w:tbl>
    <w:p>
      <w:pPr>
        <w:spacing w:line="360" w:lineRule="auto"/>
        <w:ind w:firstLine="480" w:firstLineChars="200"/>
        <w:rPr>
          <w:rFonts w:hint="default" w:ascii="Times New Roman" w:hAnsi="Times New Roman" w:cs="Times New Roman"/>
          <w:color w:val="auto"/>
          <w:lang w:eastAsia="zh-CN"/>
        </w:rPr>
      </w:pPr>
    </w:p>
    <w:p>
      <w:pPr>
        <w:pStyle w:val="2"/>
        <w:rPr>
          <w:rFonts w:hint="default" w:ascii="Times New Roman" w:hAnsi="Times New Roman" w:cs="Times New Roman"/>
          <w:color w:val="auto"/>
          <w:lang w:eastAsia="zh-CN"/>
        </w:rPr>
      </w:pPr>
    </w:p>
    <w:p>
      <w:pPr>
        <w:rPr>
          <w:rFonts w:hint="default" w:ascii="Times New Roman" w:hAnsi="Times New Roman" w:cs="Times New Roman"/>
          <w:color w:val="auto"/>
          <w:lang w:eastAsia="zh-CN"/>
        </w:rPr>
      </w:pPr>
    </w:p>
    <w:p>
      <w:pPr>
        <w:pStyle w:val="133"/>
        <w:numPr>
          <w:ilvl w:val="0"/>
          <w:numId w:val="9"/>
        </w:numPr>
        <w:spacing w:line="360" w:lineRule="auto"/>
        <w:ind w:left="0" w:firstLine="0" w:firstLineChars="0"/>
        <w:jc w:val="center"/>
        <w:rPr>
          <w:rFonts w:hint="default" w:ascii="Times New Roman" w:hAnsi="Times New Roman" w:cs="Times New Roman"/>
          <w:b/>
          <w:bCs/>
          <w:color w:val="auto"/>
          <w:lang w:eastAsia="zh-CN"/>
        </w:rPr>
      </w:pPr>
      <w:r>
        <w:rPr>
          <w:rFonts w:hint="default" w:ascii="Times New Roman" w:hAnsi="Times New Roman" w:cs="Times New Roman"/>
          <w:b/>
          <w:bCs/>
          <w:color w:val="auto"/>
          <w:lang w:eastAsia="zh-CN"/>
        </w:rPr>
        <w:t>年产5GW单晶硅拉棒及</w:t>
      </w:r>
      <w:r>
        <w:rPr>
          <w:rFonts w:hint="default" w:ascii="Times New Roman" w:hAnsi="Times New Roman" w:cs="Times New Roman"/>
          <w:b/>
          <w:bCs/>
          <w:color w:val="auto"/>
          <w:lang w:val="en-US" w:eastAsia="zh-CN"/>
        </w:rPr>
        <w:t>2</w:t>
      </w:r>
      <w:r>
        <w:rPr>
          <w:rFonts w:hint="default" w:ascii="Times New Roman" w:hAnsi="Times New Roman" w:cs="Times New Roman"/>
          <w:b/>
          <w:bCs/>
          <w:color w:val="auto"/>
          <w:lang w:eastAsia="zh-CN"/>
        </w:rPr>
        <w:t>GW切片项目</w:t>
      </w:r>
      <w:r>
        <w:rPr>
          <w:rFonts w:hint="default" w:ascii="Times New Roman" w:hAnsi="Times New Roman" w:cs="Times New Roman"/>
          <w:b/>
          <w:bCs/>
          <w:color w:val="auto"/>
          <w:lang w:eastAsia="zh-CN"/>
        </w:rPr>
        <w:t>污染物产排情况统计表</w:t>
      </w:r>
    </w:p>
    <w:p>
      <w:pPr>
        <w:spacing w:line="360" w:lineRule="auto"/>
        <w:ind w:firstLine="480" w:firstLineChars="200"/>
        <w:rPr>
          <w:rFonts w:hint="default" w:ascii="Times New Roman" w:hAnsi="Times New Roman" w:cs="Times New Roman"/>
          <w:color w:val="auto"/>
          <w:lang w:eastAsia="zh-CN"/>
        </w:rPr>
      </w:pPr>
    </w:p>
    <w:tbl>
      <w:tblPr>
        <w:tblStyle w:val="45"/>
        <w:tblW w:w="83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2"/>
        <w:gridCol w:w="731"/>
        <w:gridCol w:w="876"/>
        <w:gridCol w:w="877"/>
        <w:gridCol w:w="1682"/>
        <w:gridCol w:w="1475"/>
        <w:gridCol w:w="19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9" w:type="dxa"/>
            <w:gridSpan w:val="3"/>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污染物</w:t>
            </w:r>
          </w:p>
        </w:tc>
        <w:tc>
          <w:tcPr>
            <w:tcW w:w="877" w:type="dxa"/>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单位</w:t>
            </w:r>
          </w:p>
        </w:tc>
        <w:tc>
          <w:tcPr>
            <w:tcW w:w="1682" w:type="dxa"/>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产生量</w:t>
            </w:r>
          </w:p>
        </w:tc>
        <w:tc>
          <w:tcPr>
            <w:tcW w:w="1475" w:type="dxa"/>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削减量</w:t>
            </w:r>
          </w:p>
        </w:tc>
        <w:tc>
          <w:tcPr>
            <w:tcW w:w="1967" w:type="dxa"/>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12" w:type="dxa"/>
            <w:vMerge w:val="restart"/>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废气</w:t>
            </w:r>
          </w:p>
        </w:tc>
        <w:tc>
          <w:tcPr>
            <w:tcW w:w="731" w:type="dxa"/>
            <w:vMerge w:val="restart"/>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有机废气</w:t>
            </w:r>
          </w:p>
        </w:tc>
        <w:tc>
          <w:tcPr>
            <w:tcW w:w="876" w:type="dxa"/>
            <w:vAlign w:val="center"/>
          </w:tcPr>
          <w:p>
            <w:pPr>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废气量</w:t>
            </w:r>
          </w:p>
        </w:tc>
        <w:tc>
          <w:tcPr>
            <w:tcW w:w="877"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eastAsia="zh-CN"/>
              </w:rPr>
              <w:t>万</w:t>
            </w:r>
            <w:r>
              <w:rPr>
                <w:rFonts w:hint="default" w:ascii="Times New Roman" w:hAnsi="Times New Roman" w:cs="Times New Roman"/>
                <w:color w:val="auto"/>
                <w:sz w:val="21"/>
                <w:szCs w:val="21"/>
                <w:lang w:val="en-US" w:eastAsia="zh-CN"/>
              </w:rPr>
              <w:t>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vertAlign w:val="baseline"/>
                <w:lang w:val="en-US" w:eastAsia="zh-CN"/>
              </w:rPr>
              <w:t>/a</w:t>
            </w:r>
          </w:p>
        </w:tc>
        <w:tc>
          <w:tcPr>
            <w:tcW w:w="1682" w:type="dxa"/>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12672</w:t>
            </w:r>
          </w:p>
        </w:tc>
        <w:tc>
          <w:tcPr>
            <w:tcW w:w="1475" w:type="dxa"/>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c>
          <w:tcPr>
            <w:tcW w:w="1967"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12672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2" w:type="dxa"/>
            <w:vMerge w:val="continue"/>
            <w:vAlign w:val="center"/>
          </w:tcPr>
          <w:p>
            <w:pPr>
              <w:jc w:val="center"/>
              <w:rPr>
                <w:rFonts w:hint="default" w:ascii="Times New Roman" w:hAnsi="Times New Roman" w:eastAsia="宋体" w:cs="Times New Roman"/>
                <w:color w:val="auto"/>
                <w:sz w:val="21"/>
                <w:szCs w:val="21"/>
                <w:lang w:eastAsia="zh-CN"/>
              </w:rPr>
            </w:pPr>
          </w:p>
        </w:tc>
        <w:tc>
          <w:tcPr>
            <w:tcW w:w="731" w:type="dxa"/>
            <w:vMerge w:val="continue"/>
            <w:vAlign w:val="center"/>
          </w:tcPr>
          <w:p>
            <w:pPr>
              <w:jc w:val="center"/>
              <w:rPr>
                <w:rFonts w:hint="default" w:ascii="Times New Roman" w:hAnsi="Times New Roman" w:cs="Times New Roman"/>
                <w:color w:val="auto"/>
                <w:sz w:val="21"/>
                <w:szCs w:val="21"/>
              </w:rPr>
            </w:pPr>
          </w:p>
        </w:tc>
        <w:tc>
          <w:tcPr>
            <w:tcW w:w="876" w:type="dxa"/>
            <w:vAlign w:val="center"/>
          </w:tcPr>
          <w:p>
            <w:pPr>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有组织</w:t>
            </w:r>
          </w:p>
        </w:tc>
        <w:tc>
          <w:tcPr>
            <w:tcW w:w="877"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t/a</w:t>
            </w:r>
          </w:p>
        </w:tc>
        <w:tc>
          <w:tcPr>
            <w:tcW w:w="1682"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kern w:val="0"/>
                <w:sz w:val="21"/>
                <w:szCs w:val="21"/>
              </w:rPr>
              <w:t>0.905</w:t>
            </w:r>
          </w:p>
        </w:tc>
        <w:tc>
          <w:tcPr>
            <w:tcW w:w="1475"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kern w:val="0"/>
                <w:sz w:val="21"/>
                <w:szCs w:val="21"/>
              </w:rPr>
              <w:t>0.543</w:t>
            </w:r>
          </w:p>
        </w:tc>
        <w:tc>
          <w:tcPr>
            <w:tcW w:w="1967" w:type="dxa"/>
            <w:vAlign w:val="center"/>
          </w:tcPr>
          <w:p>
            <w:pPr>
              <w:widowControl/>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kern w:val="0"/>
                <w:sz w:val="21"/>
                <w:szCs w:val="21"/>
              </w:rPr>
              <w:t>0.362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12" w:type="dxa"/>
            <w:vMerge w:val="continue"/>
            <w:vAlign w:val="center"/>
          </w:tcPr>
          <w:p>
            <w:pPr>
              <w:jc w:val="center"/>
              <w:rPr>
                <w:rFonts w:hint="default" w:ascii="Times New Roman" w:hAnsi="Times New Roman" w:cs="Times New Roman"/>
                <w:color w:val="auto"/>
                <w:sz w:val="21"/>
                <w:szCs w:val="21"/>
                <w:lang w:eastAsia="zh-CN"/>
              </w:rPr>
            </w:pPr>
          </w:p>
        </w:tc>
        <w:tc>
          <w:tcPr>
            <w:tcW w:w="731" w:type="dxa"/>
            <w:vMerge w:val="continue"/>
            <w:vAlign w:val="center"/>
          </w:tcPr>
          <w:p>
            <w:pPr>
              <w:jc w:val="center"/>
              <w:rPr>
                <w:rFonts w:hint="default" w:ascii="Times New Roman" w:hAnsi="Times New Roman" w:cs="Times New Roman"/>
                <w:color w:val="auto"/>
                <w:sz w:val="21"/>
                <w:szCs w:val="21"/>
                <w:lang w:eastAsia="zh-CN"/>
              </w:rPr>
            </w:pPr>
          </w:p>
        </w:tc>
        <w:tc>
          <w:tcPr>
            <w:tcW w:w="876" w:type="dxa"/>
            <w:vAlign w:val="center"/>
          </w:tcPr>
          <w:p>
            <w:pPr>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无组织</w:t>
            </w:r>
          </w:p>
        </w:tc>
        <w:tc>
          <w:tcPr>
            <w:tcW w:w="877"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t/a</w:t>
            </w:r>
          </w:p>
        </w:tc>
        <w:tc>
          <w:tcPr>
            <w:tcW w:w="1682" w:type="dxa"/>
            <w:vAlign w:val="center"/>
          </w:tcPr>
          <w:p>
            <w:pPr>
              <w:widowControl/>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kern w:val="0"/>
                <w:sz w:val="21"/>
                <w:szCs w:val="21"/>
              </w:rPr>
              <w:t>0.101</w:t>
            </w:r>
          </w:p>
        </w:tc>
        <w:tc>
          <w:tcPr>
            <w:tcW w:w="1475"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kern w:val="0"/>
                <w:sz w:val="21"/>
                <w:szCs w:val="21"/>
              </w:rPr>
              <w:t>0</w:t>
            </w:r>
          </w:p>
        </w:tc>
        <w:tc>
          <w:tcPr>
            <w:tcW w:w="1967" w:type="dxa"/>
            <w:vAlign w:val="center"/>
          </w:tcPr>
          <w:p>
            <w:pPr>
              <w:widowControl/>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kern w:val="0"/>
                <w:sz w:val="21"/>
                <w:szCs w:val="21"/>
              </w:rPr>
              <w:t>0.101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2" w:type="dxa"/>
            <w:vMerge w:val="restart"/>
            <w:vAlign w:val="center"/>
          </w:tcPr>
          <w:p>
            <w:pPr>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废水</w:t>
            </w:r>
          </w:p>
        </w:tc>
        <w:tc>
          <w:tcPr>
            <w:tcW w:w="1607" w:type="dxa"/>
            <w:gridSpan w:val="2"/>
            <w:vAlign w:val="center"/>
          </w:tcPr>
          <w:p>
            <w:pPr>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废水量</w:t>
            </w:r>
          </w:p>
        </w:tc>
        <w:tc>
          <w:tcPr>
            <w:tcW w:w="877"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eastAsia="zh-CN"/>
              </w:rPr>
              <w:t>万</w:t>
            </w:r>
            <w:r>
              <w:rPr>
                <w:rFonts w:hint="default" w:ascii="Times New Roman" w:hAnsi="Times New Roman" w:cs="Times New Roman"/>
                <w:color w:val="auto"/>
                <w:sz w:val="21"/>
                <w:szCs w:val="21"/>
                <w:lang w:val="en-US" w:eastAsia="zh-CN"/>
              </w:rPr>
              <w:t>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vertAlign w:val="baseline"/>
                <w:lang w:val="en-US" w:eastAsia="zh-CN"/>
              </w:rPr>
              <w:t>/a</w:t>
            </w:r>
          </w:p>
        </w:tc>
        <w:tc>
          <w:tcPr>
            <w:tcW w:w="1682"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148.32</w:t>
            </w:r>
          </w:p>
        </w:tc>
        <w:tc>
          <w:tcPr>
            <w:tcW w:w="1475"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0</w:t>
            </w:r>
          </w:p>
        </w:tc>
        <w:tc>
          <w:tcPr>
            <w:tcW w:w="1967"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148.32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12" w:type="dxa"/>
            <w:vMerge w:val="continue"/>
            <w:vAlign w:val="center"/>
          </w:tcPr>
          <w:p>
            <w:pPr>
              <w:jc w:val="center"/>
              <w:rPr>
                <w:rFonts w:hint="default" w:ascii="Times New Roman" w:hAnsi="Times New Roman" w:cs="Times New Roman"/>
                <w:color w:val="auto"/>
                <w:sz w:val="21"/>
                <w:szCs w:val="21"/>
                <w:lang w:eastAsia="zh-CN"/>
              </w:rPr>
            </w:pPr>
          </w:p>
        </w:tc>
        <w:tc>
          <w:tcPr>
            <w:tcW w:w="1607" w:type="dxa"/>
            <w:gridSpan w:val="2"/>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COD</w:t>
            </w:r>
          </w:p>
        </w:tc>
        <w:tc>
          <w:tcPr>
            <w:tcW w:w="877"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t/a</w:t>
            </w:r>
          </w:p>
        </w:tc>
        <w:tc>
          <w:tcPr>
            <w:tcW w:w="1682"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1597.9</w:t>
            </w:r>
          </w:p>
        </w:tc>
        <w:tc>
          <w:tcPr>
            <w:tcW w:w="1475"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1440.82</w:t>
            </w:r>
          </w:p>
        </w:tc>
        <w:tc>
          <w:tcPr>
            <w:tcW w:w="1967"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157.08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2" w:type="dxa"/>
            <w:vMerge w:val="continue"/>
            <w:vAlign w:val="center"/>
          </w:tcPr>
          <w:p>
            <w:pPr>
              <w:jc w:val="center"/>
              <w:rPr>
                <w:rFonts w:hint="default" w:ascii="Times New Roman" w:hAnsi="Times New Roman" w:cs="Times New Roman"/>
                <w:color w:val="auto"/>
                <w:sz w:val="21"/>
                <w:szCs w:val="21"/>
                <w:lang w:eastAsia="zh-CN"/>
              </w:rPr>
            </w:pPr>
          </w:p>
        </w:tc>
        <w:tc>
          <w:tcPr>
            <w:tcW w:w="1607" w:type="dxa"/>
            <w:gridSpan w:val="2"/>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BOD</w:t>
            </w:r>
          </w:p>
        </w:tc>
        <w:tc>
          <w:tcPr>
            <w:tcW w:w="877"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t/a</w:t>
            </w:r>
          </w:p>
        </w:tc>
        <w:tc>
          <w:tcPr>
            <w:tcW w:w="1682"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592.71</w:t>
            </w:r>
          </w:p>
        </w:tc>
        <w:tc>
          <w:tcPr>
            <w:tcW w:w="1475"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532.83</w:t>
            </w:r>
          </w:p>
        </w:tc>
        <w:tc>
          <w:tcPr>
            <w:tcW w:w="1967"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59.88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12" w:type="dxa"/>
            <w:vMerge w:val="continue"/>
            <w:vAlign w:val="center"/>
          </w:tcPr>
          <w:p>
            <w:pPr>
              <w:jc w:val="center"/>
              <w:rPr>
                <w:rFonts w:hint="default" w:ascii="Times New Roman" w:hAnsi="Times New Roman" w:cs="Times New Roman"/>
                <w:color w:val="auto"/>
                <w:sz w:val="21"/>
                <w:szCs w:val="21"/>
                <w:lang w:eastAsia="zh-CN"/>
              </w:rPr>
            </w:pPr>
          </w:p>
        </w:tc>
        <w:tc>
          <w:tcPr>
            <w:tcW w:w="1607" w:type="dxa"/>
            <w:gridSpan w:val="2"/>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SS</w:t>
            </w:r>
          </w:p>
        </w:tc>
        <w:tc>
          <w:tcPr>
            <w:tcW w:w="877"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t/a</w:t>
            </w:r>
          </w:p>
        </w:tc>
        <w:tc>
          <w:tcPr>
            <w:tcW w:w="1682"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1437.58</w:t>
            </w:r>
          </w:p>
        </w:tc>
        <w:tc>
          <w:tcPr>
            <w:tcW w:w="1475"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1402.29</w:t>
            </w:r>
          </w:p>
        </w:tc>
        <w:tc>
          <w:tcPr>
            <w:tcW w:w="1967"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35.29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2" w:type="dxa"/>
            <w:vMerge w:val="continue"/>
            <w:vAlign w:val="center"/>
          </w:tcPr>
          <w:p>
            <w:pPr>
              <w:jc w:val="center"/>
              <w:rPr>
                <w:rFonts w:hint="default" w:ascii="Times New Roman" w:hAnsi="Times New Roman" w:cs="Times New Roman"/>
                <w:color w:val="auto"/>
                <w:sz w:val="21"/>
                <w:szCs w:val="21"/>
                <w:lang w:eastAsia="zh-CN"/>
              </w:rPr>
            </w:pPr>
          </w:p>
        </w:tc>
        <w:tc>
          <w:tcPr>
            <w:tcW w:w="1607" w:type="dxa"/>
            <w:gridSpan w:val="2"/>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氨氮</w:t>
            </w:r>
          </w:p>
        </w:tc>
        <w:tc>
          <w:tcPr>
            <w:tcW w:w="877"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t/a</w:t>
            </w:r>
          </w:p>
        </w:tc>
        <w:tc>
          <w:tcPr>
            <w:tcW w:w="1682"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7.31</w:t>
            </w:r>
          </w:p>
        </w:tc>
        <w:tc>
          <w:tcPr>
            <w:tcW w:w="1475"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3.74</w:t>
            </w:r>
          </w:p>
        </w:tc>
        <w:tc>
          <w:tcPr>
            <w:tcW w:w="1967"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3.57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12" w:type="dxa"/>
            <w:vMerge w:val="continue"/>
            <w:vAlign w:val="center"/>
          </w:tcPr>
          <w:p>
            <w:pPr>
              <w:jc w:val="center"/>
              <w:rPr>
                <w:rFonts w:hint="default" w:ascii="Times New Roman" w:hAnsi="Times New Roman" w:cs="Times New Roman"/>
                <w:color w:val="auto"/>
                <w:sz w:val="21"/>
                <w:szCs w:val="21"/>
                <w:lang w:eastAsia="zh-CN"/>
              </w:rPr>
            </w:pPr>
          </w:p>
        </w:tc>
        <w:tc>
          <w:tcPr>
            <w:tcW w:w="1607" w:type="dxa"/>
            <w:gridSpan w:val="2"/>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氟化物</w:t>
            </w:r>
          </w:p>
        </w:tc>
        <w:tc>
          <w:tcPr>
            <w:tcW w:w="877"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t/a</w:t>
            </w:r>
          </w:p>
        </w:tc>
        <w:tc>
          <w:tcPr>
            <w:tcW w:w="1682"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53.49</w:t>
            </w:r>
          </w:p>
        </w:tc>
        <w:tc>
          <w:tcPr>
            <w:tcW w:w="1475"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48.11</w:t>
            </w:r>
          </w:p>
        </w:tc>
        <w:tc>
          <w:tcPr>
            <w:tcW w:w="1967"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5.38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2" w:type="dxa"/>
            <w:vMerge w:val="restart"/>
            <w:vAlign w:val="center"/>
          </w:tcPr>
          <w:p>
            <w:pPr>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固废</w:t>
            </w:r>
          </w:p>
        </w:tc>
        <w:tc>
          <w:tcPr>
            <w:tcW w:w="1607" w:type="dxa"/>
            <w:gridSpan w:val="2"/>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一般工业固废</w:t>
            </w:r>
          </w:p>
        </w:tc>
        <w:tc>
          <w:tcPr>
            <w:tcW w:w="877"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t/a</w:t>
            </w:r>
          </w:p>
        </w:tc>
        <w:tc>
          <w:tcPr>
            <w:tcW w:w="1682" w:type="dxa"/>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14793.09</w:t>
            </w:r>
          </w:p>
        </w:tc>
        <w:tc>
          <w:tcPr>
            <w:tcW w:w="1475" w:type="dxa"/>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14793.09</w:t>
            </w:r>
          </w:p>
        </w:tc>
        <w:tc>
          <w:tcPr>
            <w:tcW w:w="1967"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12" w:type="dxa"/>
            <w:vMerge w:val="continue"/>
            <w:vAlign w:val="center"/>
          </w:tcPr>
          <w:p>
            <w:pPr>
              <w:jc w:val="center"/>
              <w:rPr>
                <w:rFonts w:hint="default" w:ascii="Times New Roman" w:hAnsi="Times New Roman" w:cs="Times New Roman"/>
                <w:color w:val="auto"/>
                <w:sz w:val="21"/>
                <w:szCs w:val="21"/>
                <w:lang w:eastAsia="zh-CN"/>
              </w:rPr>
            </w:pPr>
          </w:p>
        </w:tc>
        <w:tc>
          <w:tcPr>
            <w:tcW w:w="1607" w:type="dxa"/>
            <w:gridSpan w:val="2"/>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危险废物</w:t>
            </w:r>
          </w:p>
        </w:tc>
        <w:tc>
          <w:tcPr>
            <w:tcW w:w="877"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t/a</w:t>
            </w:r>
          </w:p>
        </w:tc>
        <w:tc>
          <w:tcPr>
            <w:tcW w:w="1682"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49.64</w:t>
            </w:r>
          </w:p>
        </w:tc>
        <w:tc>
          <w:tcPr>
            <w:tcW w:w="1475"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49.64</w:t>
            </w:r>
          </w:p>
        </w:tc>
        <w:tc>
          <w:tcPr>
            <w:tcW w:w="1967"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2" w:type="dxa"/>
            <w:vMerge w:val="continue"/>
            <w:vAlign w:val="center"/>
          </w:tcPr>
          <w:p>
            <w:pPr>
              <w:jc w:val="center"/>
              <w:rPr>
                <w:rFonts w:hint="default" w:ascii="Times New Roman" w:hAnsi="Times New Roman" w:cs="Times New Roman"/>
                <w:color w:val="auto"/>
                <w:sz w:val="21"/>
                <w:szCs w:val="21"/>
                <w:lang w:eastAsia="zh-CN"/>
              </w:rPr>
            </w:pPr>
          </w:p>
        </w:tc>
        <w:tc>
          <w:tcPr>
            <w:tcW w:w="1607" w:type="dxa"/>
            <w:gridSpan w:val="2"/>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生活垃圾</w:t>
            </w:r>
          </w:p>
        </w:tc>
        <w:tc>
          <w:tcPr>
            <w:tcW w:w="877"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t/a</w:t>
            </w:r>
          </w:p>
        </w:tc>
        <w:tc>
          <w:tcPr>
            <w:tcW w:w="1682"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146</w:t>
            </w:r>
          </w:p>
        </w:tc>
        <w:tc>
          <w:tcPr>
            <w:tcW w:w="1475"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146</w:t>
            </w:r>
          </w:p>
        </w:tc>
        <w:tc>
          <w:tcPr>
            <w:tcW w:w="1967"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r>
    </w:tbl>
    <w:p>
      <w:pPr>
        <w:pStyle w:val="4"/>
        <w:keepNext/>
        <w:keepLines/>
        <w:pageBreakBefore w:val="0"/>
        <w:widowControl w:val="0"/>
        <w:kinsoku/>
        <w:wordWrap/>
        <w:overflowPunct/>
        <w:topLinePunct w:val="0"/>
        <w:autoSpaceDE/>
        <w:autoSpaceDN/>
        <w:bidi w:val="0"/>
        <w:adjustRightInd/>
        <w:snapToGrid/>
        <w:spacing w:beforeLines="50" w:after="0" w:line="360" w:lineRule="auto"/>
        <w:textAlignment w:val="auto"/>
        <w:rPr>
          <w:rFonts w:hint="default" w:ascii="Times New Roman" w:hAnsi="Times New Roman" w:eastAsia="宋体" w:cs="Times New Roman"/>
          <w:color w:val="auto"/>
          <w:sz w:val="28"/>
          <w:szCs w:val="28"/>
        </w:rPr>
      </w:pPr>
      <w:bookmarkStart w:id="274" w:name="_Toc79144657"/>
      <w:bookmarkStart w:id="275" w:name="_Toc2406"/>
      <w:r>
        <w:rPr>
          <w:rFonts w:hint="default" w:ascii="Times New Roman" w:hAnsi="Times New Roman" w:eastAsia="宋体" w:cs="Times New Roman"/>
          <w:color w:val="auto"/>
          <w:sz w:val="28"/>
          <w:szCs w:val="28"/>
        </w:rPr>
        <w:t>2.</w:t>
      </w:r>
      <w:r>
        <w:rPr>
          <w:rFonts w:hint="default" w:ascii="Times New Roman" w:hAnsi="Times New Roman" w:eastAsia="宋体" w:cs="Times New Roman"/>
          <w:color w:val="auto"/>
          <w:sz w:val="28"/>
          <w:szCs w:val="28"/>
          <w:lang w:val="en-US" w:eastAsia="zh-CN"/>
        </w:rPr>
        <w:t>5</w:t>
      </w:r>
      <w:r>
        <w:rPr>
          <w:rFonts w:hint="default" w:ascii="Times New Roman" w:hAnsi="Times New Roman" w:eastAsia="宋体" w:cs="Times New Roman"/>
          <w:color w:val="auto"/>
          <w:sz w:val="28"/>
          <w:szCs w:val="28"/>
        </w:rPr>
        <w:t>原有项目存在的环境问题</w:t>
      </w:r>
      <w:bookmarkEnd w:id="274"/>
      <w:bookmarkEnd w:id="275"/>
    </w:p>
    <w:p>
      <w:pPr>
        <w:spacing w:line="360" w:lineRule="auto"/>
        <w:ind w:firstLine="480" w:firstLineChars="200"/>
        <w:rPr>
          <w:rFonts w:hint="default" w:ascii="Times New Roman" w:hAnsi="Times New Roman" w:eastAsia="宋体" w:cs="Times New Roman"/>
          <w:color w:val="auto"/>
          <w:lang w:eastAsia="zh-CN"/>
        </w:rPr>
      </w:pPr>
      <w:r>
        <w:rPr>
          <w:rFonts w:hint="default" w:ascii="Times New Roman" w:hAnsi="Times New Roman" w:cs="Times New Roman"/>
          <w:color w:val="auto"/>
        </w:rPr>
        <w:t>从</w:t>
      </w:r>
      <w:r>
        <w:rPr>
          <w:rFonts w:hint="default" w:ascii="Times New Roman" w:hAnsi="Times New Roman" w:cs="Times New Roman"/>
          <w:color w:val="auto"/>
          <w:lang w:eastAsia="zh-CN"/>
        </w:rPr>
        <w:t>项目厂区现状实际建成情况看，由于项目建设过程中多次调整主体工程建设方案，导致实际建成</w:t>
      </w:r>
      <w:r>
        <w:rPr>
          <w:rFonts w:hint="default" w:ascii="Times New Roman" w:hAnsi="Times New Roman" w:cs="Times New Roman"/>
          <w:color w:val="auto"/>
        </w:rPr>
        <w:t>环保设施与原环评及批复的环保设施存在较多变化。通过对照《关于印发&lt;污染影响类建设项目重大变动清单（试行）&gt;的通知》（环办环评函〔2020〕688号）逐条分析看，</w:t>
      </w:r>
      <w:r>
        <w:rPr>
          <w:rFonts w:hint="default" w:ascii="Times New Roman" w:hAnsi="Times New Roman" w:cs="Times New Roman"/>
          <w:color w:val="auto"/>
          <w:lang w:eastAsia="zh-CN"/>
        </w:rPr>
        <w:t>以上变动不属于重大变动</w:t>
      </w:r>
      <w:r>
        <w:rPr>
          <w:rFonts w:hint="default" w:ascii="Times New Roman" w:hAnsi="Times New Roman" w:cs="Times New Roman"/>
          <w:color w:val="auto"/>
        </w:rPr>
        <w:t>。</w:t>
      </w:r>
      <w:r>
        <w:rPr>
          <w:rFonts w:hint="default" w:ascii="Times New Roman" w:hAnsi="Times New Roman" w:cs="Times New Roman"/>
          <w:color w:val="auto"/>
          <w:lang w:eastAsia="zh-CN"/>
        </w:rPr>
        <w:t>环评认为项目厂区污染治理设施建设较为完善，对环境影响的程度在可接受范围内。</w:t>
      </w:r>
    </w:p>
    <w:p>
      <w:pPr>
        <w:rPr>
          <w:rFonts w:hint="default" w:ascii="Times New Roman" w:hAnsi="Times New Roman" w:cs="Times New Roman"/>
          <w:color w:val="auto"/>
          <w:lang w:val="en-US" w:eastAsia="zh-CN"/>
        </w:rPr>
        <w:sectPr>
          <w:headerReference r:id="rId7" w:type="default"/>
          <w:pgSz w:w="11906" w:h="16838"/>
          <w:pgMar w:top="1440" w:right="1797" w:bottom="1440" w:left="1797" w:header="851" w:footer="992" w:gutter="0"/>
          <w:pgBorders>
            <w:top w:val="none" w:sz="0" w:space="0"/>
            <w:left w:val="none" w:sz="0" w:space="0"/>
            <w:bottom w:val="none" w:sz="0" w:space="0"/>
            <w:right w:val="none" w:sz="0" w:space="0"/>
          </w:pgBorders>
          <w:cols w:space="720" w:num="1"/>
          <w:docGrid w:linePitch="312" w:charSpace="0"/>
        </w:sectPr>
      </w:pPr>
    </w:p>
    <w:p>
      <w:pPr>
        <w:pStyle w:val="3"/>
        <w:spacing w:beforeLines="0" w:afterLines="100"/>
        <w:jc w:val="center"/>
        <w:rPr>
          <w:rFonts w:hint="default" w:ascii="Times New Roman" w:hAnsi="Times New Roman" w:cs="Times New Roman"/>
          <w:color w:val="auto"/>
        </w:rPr>
      </w:pPr>
      <w:bookmarkStart w:id="276" w:name="_Toc12735"/>
      <w:r>
        <w:rPr>
          <w:rFonts w:hint="default" w:ascii="Times New Roman" w:hAnsi="Times New Roman" w:cs="Times New Roman"/>
          <w:color w:val="auto"/>
          <w:lang w:val="en-US" w:eastAsia="zh-CN"/>
        </w:rPr>
        <w:t>3</w:t>
      </w:r>
      <w:r>
        <w:rPr>
          <w:rFonts w:hint="default" w:ascii="Times New Roman" w:hAnsi="Times New Roman" w:cs="Times New Roman"/>
          <w:color w:val="auto"/>
        </w:rPr>
        <w:t>建设项目概况及工程分析</w:t>
      </w:r>
      <w:bookmarkEnd w:id="276"/>
    </w:p>
    <w:p>
      <w:pPr>
        <w:pStyle w:val="4"/>
        <w:spacing w:before="0" w:after="0" w:line="360" w:lineRule="auto"/>
        <w:rPr>
          <w:rFonts w:hint="default" w:ascii="Times New Roman" w:hAnsi="Times New Roman" w:eastAsia="宋体" w:cs="Times New Roman"/>
          <w:color w:val="auto"/>
          <w:sz w:val="28"/>
          <w:szCs w:val="28"/>
        </w:rPr>
      </w:pPr>
    </w:p>
    <w:p>
      <w:pPr>
        <w:pStyle w:val="4"/>
        <w:spacing w:before="0" w:after="0" w:line="360" w:lineRule="auto"/>
        <w:rPr>
          <w:rFonts w:hint="default" w:ascii="Times New Roman" w:hAnsi="Times New Roman" w:eastAsia="宋体" w:cs="Times New Roman"/>
          <w:color w:val="auto"/>
          <w:sz w:val="28"/>
          <w:szCs w:val="28"/>
          <w:lang w:eastAsia="zh-CN"/>
        </w:rPr>
      </w:pPr>
      <w:bookmarkStart w:id="277" w:name="_Toc8440"/>
      <w:r>
        <w:rPr>
          <w:rFonts w:hint="default" w:ascii="Times New Roman" w:hAnsi="Times New Roman" w:eastAsia="宋体" w:cs="Times New Roman"/>
          <w:color w:val="auto"/>
          <w:sz w:val="28"/>
          <w:szCs w:val="28"/>
          <w:lang w:val="en-US" w:eastAsia="zh-CN"/>
        </w:rPr>
        <w:t>3</w:t>
      </w:r>
      <w:r>
        <w:rPr>
          <w:rFonts w:hint="default" w:ascii="Times New Roman" w:hAnsi="Times New Roman" w:eastAsia="宋体" w:cs="Times New Roman"/>
          <w:color w:val="auto"/>
          <w:sz w:val="28"/>
          <w:szCs w:val="28"/>
        </w:rPr>
        <w:t>.1建设项目</w:t>
      </w:r>
      <w:r>
        <w:rPr>
          <w:rFonts w:hint="default" w:ascii="Times New Roman" w:hAnsi="Times New Roman" w:eastAsia="宋体" w:cs="Times New Roman"/>
          <w:color w:val="auto"/>
          <w:sz w:val="28"/>
          <w:szCs w:val="28"/>
          <w:lang w:eastAsia="zh-CN"/>
        </w:rPr>
        <w:t>概况</w:t>
      </w:r>
      <w:bookmarkEnd w:id="277"/>
    </w:p>
    <w:p>
      <w:pPr>
        <w:pStyle w:val="6"/>
        <w:spacing w:before="0" w:after="0" w:line="360" w:lineRule="auto"/>
        <w:rPr>
          <w:rFonts w:hint="default" w:ascii="Times New Roman" w:hAnsi="Times New Roman" w:eastAsia="宋体" w:cs="Times New Roman"/>
          <w:color w:val="auto"/>
          <w:szCs w:val="28"/>
          <w:lang w:eastAsia="zh-CN"/>
        </w:rPr>
      </w:pPr>
      <w:bookmarkStart w:id="278" w:name="_Toc176"/>
      <w:r>
        <w:rPr>
          <w:rFonts w:hint="default" w:ascii="Times New Roman" w:hAnsi="Times New Roman" w:cs="Times New Roman"/>
          <w:color w:val="auto"/>
          <w:szCs w:val="28"/>
          <w:lang w:val="en-US" w:eastAsia="zh-CN"/>
        </w:rPr>
        <w:t>3</w:t>
      </w:r>
      <w:r>
        <w:rPr>
          <w:rFonts w:hint="default" w:ascii="Times New Roman" w:hAnsi="Times New Roman" w:cs="Times New Roman"/>
          <w:color w:val="auto"/>
          <w:szCs w:val="28"/>
        </w:rPr>
        <w:t>.1.1建设项目</w:t>
      </w:r>
      <w:r>
        <w:rPr>
          <w:rFonts w:hint="default" w:ascii="Times New Roman" w:hAnsi="Times New Roman" w:cs="Times New Roman"/>
          <w:color w:val="auto"/>
          <w:szCs w:val="28"/>
          <w:lang w:eastAsia="zh-CN"/>
        </w:rPr>
        <w:t>基本信息</w:t>
      </w:r>
      <w:bookmarkEnd w:id="278"/>
    </w:p>
    <w:p>
      <w:pPr>
        <w:spacing w:line="360" w:lineRule="auto"/>
        <w:ind w:firstLine="482" w:firstLineChars="200"/>
        <w:rPr>
          <w:rFonts w:hint="default" w:ascii="Times New Roman" w:hAnsi="Times New Roman" w:eastAsia="宋体" w:cs="Times New Roman"/>
          <w:color w:val="auto"/>
          <w:lang w:eastAsia="zh-CN"/>
        </w:rPr>
      </w:pPr>
      <w:r>
        <w:rPr>
          <w:rFonts w:hint="default" w:ascii="Times New Roman" w:hAnsi="Times New Roman" w:cs="Times New Roman"/>
          <w:b/>
          <w:color w:val="auto"/>
        </w:rPr>
        <w:t>项目名称：</w:t>
      </w:r>
      <w:r>
        <w:rPr>
          <w:rFonts w:hint="default" w:ascii="Times New Roman" w:hAnsi="Times New Roman" w:cs="Times New Roman"/>
          <w:color w:val="auto"/>
          <w:lang w:eastAsia="zh-CN"/>
        </w:rPr>
        <w:t>年产</w:t>
      </w:r>
      <w:r>
        <w:rPr>
          <w:rFonts w:hint="default" w:ascii="Times New Roman" w:hAnsi="Times New Roman" w:cs="Times New Roman"/>
          <w:color w:val="auto"/>
          <w:lang w:val="en-US" w:eastAsia="zh-CN"/>
        </w:rPr>
        <w:t>3GW单晶硅片生产线</w:t>
      </w:r>
      <w:r>
        <w:rPr>
          <w:rFonts w:hint="default" w:ascii="Times New Roman" w:hAnsi="Times New Roman" w:cs="Times New Roman"/>
          <w:color w:val="auto"/>
        </w:rPr>
        <w:t>项目</w:t>
      </w:r>
    </w:p>
    <w:p>
      <w:pPr>
        <w:spacing w:line="360" w:lineRule="auto"/>
        <w:ind w:firstLine="482" w:firstLineChars="200"/>
        <w:rPr>
          <w:rFonts w:hint="default" w:ascii="Times New Roman" w:hAnsi="Times New Roman" w:cs="Times New Roman"/>
          <w:color w:val="auto"/>
        </w:rPr>
      </w:pPr>
      <w:r>
        <w:rPr>
          <w:rFonts w:hint="default" w:ascii="Times New Roman" w:hAnsi="Times New Roman" w:cs="Times New Roman"/>
          <w:b/>
          <w:color w:val="auto"/>
        </w:rPr>
        <w:t>建设单位：</w:t>
      </w:r>
      <w:r>
        <w:rPr>
          <w:rFonts w:hint="default" w:ascii="Times New Roman" w:hAnsi="Times New Roman" w:cs="Times New Roman"/>
          <w:color w:val="auto"/>
        </w:rPr>
        <w:t>云南宇泽半导体有限公司</w:t>
      </w:r>
    </w:p>
    <w:p>
      <w:pPr>
        <w:spacing w:line="360" w:lineRule="auto"/>
        <w:ind w:firstLine="482" w:firstLineChars="200"/>
        <w:rPr>
          <w:rFonts w:hint="default" w:ascii="Times New Roman" w:hAnsi="Times New Roman" w:cs="Times New Roman"/>
          <w:color w:val="auto"/>
        </w:rPr>
      </w:pPr>
      <w:r>
        <w:rPr>
          <w:rFonts w:hint="default" w:ascii="Times New Roman" w:hAnsi="Times New Roman" w:cs="Times New Roman"/>
          <w:b/>
          <w:color w:val="auto"/>
        </w:rPr>
        <w:t>建设性质：</w:t>
      </w:r>
      <w:r>
        <w:rPr>
          <w:rFonts w:hint="default" w:ascii="Times New Roman" w:hAnsi="Times New Roman" w:cs="Times New Roman"/>
          <w:color w:val="auto"/>
        </w:rPr>
        <w:t>新建</w:t>
      </w:r>
    </w:p>
    <w:p>
      <w:pPr>
        <w:spacing w:line="360" w:lineRule="auto"/>
        <w:ind w:firstLine="482" w:firstLineChars="200"/>
        <w:rPr>
          <w:rFonts w:hint="default" w:ascii="Times New Roman" w:hAnsi="Times New Roman" w:cs="Times New Roman"/>
          <w:b/>
          <w:color w:val="auto"/>
        </w:rPr>
      </w:pPr>
      <w:r>
        <w:rPr>
          <w:rFonts w:hint="default" w:ascii="Times New Roman" w:hAnsi="Times New Roman" w:cs="Times New Roman"/>
          <w:b/>
          <w:color w:val="auto"/>
        </w:rPr>
        <w:t>建设地点：</w:t>
      </w:r>
      <w:r>
        <w:rPr>
          <w:rFonts w:hint="default" w:ascii="Times New Roman" w:hAnsi="Times New Roman" w:cs="Times New Roman"/>
          <w:color w:val="auto"/>
        </w:rPr>
        <w:t>楚雄市富民工业园区</w:t>
      </w:r>
    </w:p>
    <w:p>
      <w:pPr>
        <w:spacing w:line="360" w:lineRule="auto"/>
        <w:ind w:firstLine="482" w:firstLineChars="200"/>
        <w:rPr>
          <w:rFonts w:hint="default" w:ascii="Times New Roman" w:hAnsi="Times New Roman" w:eastAsia="宋体" w:cs="Times New Roman"/>
          <w:color w:val="auto"/>
          <w:vertAlign w:val="baseline"/>
          <w:lang w:val="en-US" w:eastAsia="zh-CN"/>
        </w:rPr>
      </w:pPr>
      <w:r>
        <w:rPr>
          <w:rFonts w:hint="default" w:ascii="Times New Roman" w:hAnsi="Times New Roman" w:cs="Times New Roman"/>
          <w:b/>
          <w:color w:val="auto"/>
        </w:rPr>
        <w:t>占地面积：</w:t>
      </w:r>
      <w:r>
        <w:rPr>
          <w:rFonts w:hint="default" w:ascii="Times New Roman" w:hAnsi="Times New Roman" w:cs="Times New Roman"/>
          <w:color w:val="auto"/>
          <w:lang w:val="en-US" w:eastAsia="zh-CN"/>
        </w:rPr>
        <w:t>0hm</w:t>
      </w:r>
      <w:r>
        <w:rPr>
          <w:rFonts w:hint="default" w:ascii="Times New Roman" w:hAnsi="Times New Roman" w:cs="Times New Roman"/>
          <w:color w:val="auto"/>
          <w:vertAlign w:val="superscript"/>
          <w:lang w:val="en-US" w:eastAsia="zh-CN"/>
        </w:rPr>
        <w:t>2</w:t>
      </w:r>
      <w:r>
        <w:rPr>
          <w:rFonts w:hint="default" w:ascii="Times New Roman" w:hAnsi="Times New Roman" w:cs="Times New Roman"/>
          <w:color w:val="auto"/>
          <w:vertAlign w:val="baseline"/>
          <w:lang w:val="en-US" w:eastAsia="zh-CN"/>
        </w:rPr>
        <w:t>（依托已建成的项目）</w:t>
      </w:r>
    </w:p>
    <w:p>
      <w:pPr>
        <w:spacing w:line="360" w:lineRule="auto"/>
        <w:ind w:firstLine="482" w:firstLineChars="200"/>
        <w:rPr>
          <w:rFonts w:hint="default" w:ascii="Times New Roman" w:hAnsi="Times New Roman" w:eastAsia="宋体" w:cs="Times New Roman"/>
          <w:color w:val="auto"/>
          <w:lang w:val="en-US" w:eastAsia="zh-CN"/>
        </w:rPr>
      </w:pPr>
      <w:r>
        <w:rPr>
          <w:rFonts w:hint="default" w:ascii="Times New Roman" w:hAnsi="Times New Roman" w:cs="Times New Roman"/>
          <w:b/>
          <w:color w:val="auto"/>
        </w:rPr>
        <w:t>建设</w:t>
      </w:r>
      <w:r>
        <w:rPr>
          <w:rFonts w:hint="default" w:ascii="Times New Roman" w:hAnsi="Times New Roman" w:cs="Times New Roman"/>
          <w:b/>
          <w:color w:val="auto"/>
          <w:lang w:eastAsia="zh-CN"/>
        </w:rPr>
        <w:t>内容及</w:t>
      </w:r>
      <w:r>
        <w:rPr>
          <w:rFonts w:hint="default" w:ascii="Times New Roman" w:hAnsi="Times New Roman" w:cs="Times New Roman"/>
          <w:b/>
          <w:color w:val="auto"/>
        </w:rPr>
        <w:t>规模：</w:t>
      </w:r>
      <w:r>
        <w:rPr>
          <w:rFonts w:hint="default" w:ascii="Times New Roman" w:hAnsi="Times New Roman" w:cs="Times New Roman"/>
          <w:b w:val="0"/>
          <w:bCs/>
          <w:color w:val="auto"/>
          <w:lang w:eastAsia="zh-CN"/>
        </w:rPr>
        <w:t>建设</w:t>
      </w:r>
      <w:r>
        <w:rPr>
          <w:rFonts w:hint="default" w:ascii="Times New Roman" w:hAnsi="Times New Roman" w:cs="Times New Roman"/>
          <w:b w:val="0"/>
          <w:bCs/>
          <w:color w:val="auto"/>
          <w:lang w:val="en-US" w:eastAsia="zh-CN"/>
        </w:rPr>
        <w:t>3GW单晶硅切片生产线</w:t>
      </w:r>
    </w:p>
    <w:p>
      <w:pPr>
        <w:spacing w:line="360" w:lineRule="auto"/>
        <w:ind w:firstLine="482" w:firstLineChars="200"/>
        <w:rPr>
          <w:rFonts w:hint="default" w:ascii="Times New Roman" w:hAnsi="Times New Roman" w:cs="Times New Roman"/>
          <w:b/>
          <w:bCs/>
          <w:color w:val="auto"/>
          <w:sz w:val="28"/>
          <w:szCs w:val="28"/>
        </w:rPr>
      </w:pPr>
      <w:r>
        <w:rPr>
          <w:rFonts w:hint="default" w:ascii="Times New Roman" w:hAnsi="Times New Roman" w:cs="Times New Roman"/>
          <w:b/>
          <w:color w:val="auto"/>
        </w:rPr>
        <w:t>项目投资：</w:t>
      </w:r>
      <w:r>
        <w:rPr>
          <w:rFonts w:hint="default" w:ascii="Times New Roman" w:hAnsi="Times New Roman" w:cs="Times New Roman"/>
          <w:color w:val="auto"/>
          <w:lang w:val="en-US" w:eastAsia="zh-CN"/>
        </w:rPr>
        <w:t>18</w:t>
      </w:r>
      <w:r>
        <w:rPr>
          <w:rFonts w:hint="default" w:ascii="Times New Roman" w:hAnsi="Times New Roman" w:cs="Times New Roman"/>
          <w:color w:val="auto"/>
        </w:rPr>
        <w:t>000万元</w:t>
      </w:r>
    </w:p>
    <w:p>
      <w:pPr>
        <w:pStyle w:val="6"/>
        <w:spacing w:before="0" w:after="0" w:line="360" w:lineRule="auto"/>
        <w:rPr>
          <w:rFonts w:hint="default" w:ascii="Times New Roman" w:hAnsi="Times New Roman" w:cs="Times New Roman"/>
          <w:color w:val="auto"/>
          <w:szCs w:val="28"/>
        </w:rPr>
      </w:pPr>
      <w:bookmarkStart w:id="279" w:name="_Toc26314"/>
      <w:r>
        <w:rPr>
          <w:rFonts w:hint="default" w:ascii="Times New Roman" w:hAnsi="Times New Roman" w:cs="Times New Roman"/>
          <w:color w:val="auto"/>
          <w:szCs w:val="28"/>
          <w:lang w:val="en-US" w:eastAsia="zh-CN"/>
        </w:rPr>
        <w:t>3</w:t>
      </w:r>
      <w:r>
        <w:rPr>
          <w:rFonts w:hint="default" w:ascii="Times New Roman" w:hAnsi="Times New Roman" w:cs="Times New Roman"/>
          <w:color w:val="auto"/>
          <w:szCs w:val="28"/>
        </w:rPr>
        <w:t>.1.2主要建设内容</w:t>
      </w:r>
      <w:bookmarkEnd w:id="279"/>
    </w:p>
    <w:p>
      <w:pPr>
        <w:spacing w:line="360" w:lineRule="auto"/>
        <w:ind w:firstLine="480" w:firstLineChars="200"/>
        <w:rPr>
          <w:rFonts w:hint="default" w:ascii="Times New Roman" w:hAnsi="Times New Roman" w:cs="Times New Roman"/>
          <w:bCs/>
          <w:color w:val="auto"/>
          <w:sz w:val="28"/>
          <w:szCs w:val="28"/>
        </w:rPr>
      </w:pPr>
      <w:r>
        <w:rPr>
          <w:rFonts w:hint="default" w:ascii="Times New Roman" w:hAnsi="Times New Roman" w:cs="Times New Roman"/>
          <w:color w:val="auto"/>
        </w:rPr>
        <w:t>本项目主要建设内容为</w:t>
      </w:r>
      <w:r>
        <w:rPr>
          <w:rFonts w:hint="default" w:ascii="Times New Roman" w:hAnsi="Times New Roman" w:cs="Times New Roman"/>
          <w:color w:val="auto"/>
          <w:lang w:eastAsia="zh-CN"/>
        </w:rPr>
        <w:t>在原有切片车间内新增</w:t>
      </w:r>
      <w:r>
        <w:rPr>
          <w:rFonts w:hint="default" w:ascii="Times New Roman" w:hAnsi="Times New Roman" w:cs="Times New Roman"/>
          <w:color w:val="auto"/>
          <w:lang w:val="en-US" w:eastAsia="zh-CN"/>
        </w:rPr>
        <w:t>3GW单晶硅切片生产线，新增吸杂生产线，新增1套四级氢氧化钠洗涤塔及15m排气筒，其他基础设施全部依托现状已建成设施，</w:t>
      </w:r>
      <w:r>
        <w:rPr>
          <w:rFonts w:hint="default" w:ascii="Times New Roman" w:hAnsi="Times New Roman" w:cs="Times New Roman"/>
          <w:color w:val="auto"/>
        </w:rPr>
        <w:t>具体项目</w:t>
      </w:r>
      <w:r>
        <w:rPr>
          <w:rFonts w:hint="default" w:ascii="Times New Roman" w:hAnsi="Times New Roman" w:cs="Times New Roman"/>
          <w:color w:val="auto"/>
          <w:lang w:eastAsia="zh-CN"/>
        </w:rPr>
        <w:t>建设内容</w:t>
      </w:r>
      <w:r>
        <w:rPr>
          <w:rFonts w:hint="default" w:ascii="Times New Roman" w:hAnsi="Times New Roman" w:cs="Times New Roman"/>
          <w:color w:val="auto"/>
        </w:rPr>
        <w:t>详见下表。</w:t>
      </w:r>
    </w:p>
    <w:p>
      <w:pPr>
        <w:pStyle w:val="133"/>
        <w:numPr>
          <w:ilvl w:val="0"/>
          <w:numId w:val="11"/>
        </w:numPr>
        <w:spacing w:line="360" w:lineRule="auto"/>
        <w:ind w:left="0" w:leftChars="0" w:firstLine="0" w:firstLineChars="0"/>
        <w:jc w:val="center"/>
        <w:rPr>
          <w:rFonts w:hint="default" w:ascii="Times New Roman" w:hAnsi="Times New Roman" w:cs="Times New Roman"/>
          <w:b/>
          <w:bCs/>
          <w:color w:val="auto"/>
        </w:rPr>
      </w:pPr>
      <w:r>
        <w:rPr>
          <w:rFonts w:hint="default" w:ascii="Times New Roman" w:hAnsi="Times New Roman" w:cs="Times New Roman"/>
          <w:b/>
          <w:bCs/>
          <w:color w:val="auto"/>
        </w:rPr>
        <w:t>项目建设内容一览表</w:t>
      </w:r>
    </w:p>
    <w:tbl>
      <w:tblPr>
        <w:tblStyle w:val="44"/>
        <w:tblW w:w="87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6"/>
        <w:gridCol w:w="450"/>
        <w:gridCol w:w="737"/>
        <w:gridCol w:w="800"/>
        <w:gridCol w:w="4075"/>
        <w:gridCol w:w="20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93" w:type="dxa"/>
            <w:gridSpan w:val="4"/>
            <w:shd w:val="clear" w:color="auto" w:fill="auto"/>
            <w:vAlign w:val="center"/>
          </w:tcPr>
          <w:p>
            <w:pPr>
              <w:widowControl/>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工程名称</w:t>
            </w:r>
          </w:p>
        </w:tc>
        <w:tc>
          <w:tcPr>
            <w:tcW w:w="4075" w:type="dxa"/>
            <w:shd w:val="clear" w:color="auto" w:fill="auto"/>
            <w:vAlign w:val="center"/>
          </w:tcPr>
          <w:p>
            <w:pPr>
              <w:widowControl/>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lang w:eastAsia="zh-CN"/>
              </w:rPr>
              <w:t>厂区现状已建成内容</w:t>
            </w:r>
          </w:p>
        </w:tc>
        <w:tc>
          <w:tcPr>
            <w:tcW w:w="2038" w:type="dxa"/>
            <w:vAlign w:val="center"/>
          </w:tcPr>
          <w:p>
            <w:pPr>
              <w:widowControl/>
              <w:jc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cs="Times New Roman"/>
                <w:color w:val="auto"/>
                <w:kern w:val="0"/>
                <w:sz w:val="18"/>
                <w:szCs w:val="18"/>
                <w:lang w:eastAsia="zh-CN"/>
              </w:rPr>
              <w:t>与本项目之间的关系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06" w:type="dxa"/>
            <w:shd w:val="clear" w:color="auto" w:fill="auto"/>
            <w:vAlign w:val="center"/>
          </w:tcPr>
          <w:p>
            <w:pPr>
              <w:widowControl/>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主体工程</w:t>
            </w:r>
          </w:p>
        </w:tc>
        <w:tc>
          <w:tcPr>
            <w:tcW w:w="1987" w:type="dxa"/>
            <w:gridSpan w:val="3"/>
            <w:shd w:val="clear" w:color="auto" w:fill="auto"/>
            <w:vAlign w:val="center"/>
          </w:tcPr>
          <w:p>
            <w:pPr>
              <w:widowControl/>
              <w:jc w:val="center"/>
              <w:rPr>
                <w:rFonts w:hint="default" w:ascii="Times New Roman" w:hAnsi="Times New Roman" w:eastAsia="宋体" w:cs="Times New Roman"/>
                <w:color w:val="auto"/>
                <w:kern w:val="0"/>
                <w:sz w:val="18"/>
                <w:szCs w:val="18"/>
                <w:lang w:eastAsia="zh-CN"/>
              </w:rPr>
            </w:pPr>
            <w:r>
              <w:rPr>
                <w:rFonts w:hint="default" w:ascii="Times New Roman" w:hAnsi="Times New Roman" w:cs="Times New Roman"/>
                <w:color w:val="auto"/>
                <w:kern w:val="0"/>
                <w:sz w:val="18"/>
                <w:szCs w:val="18"/>
                <w:lang w:eastAsia="zh-CN"/>
              </w:rPr>
              <w:t>切片车间</w:t>
            </w:r>
          </w:p>
        </w:tc>
        <w:tc>
          <w:tcPr>
            <w:tcW w:w="4075" w:type="dxa"/>
            <w:shd w:val="clear" w:color="auto" w:fill="auto"/>
            <w:vAlign w:val="center"/>
          </w:tcPr>
          <w:p>
            <w:pPr>
              <w:widowControl/>
              <w:jc w:val="left"/>
              <w:rPr>
                <w:rFonts w:hint="default" w:ascii="Times New Roman" w:hAnsi="Times New Roman" w:eastAsia="宋体" w:cs="Times New Roman"/>
                <w:color w:val="auto"/>
                <w:sz w:val="18"/>
                <w:szCs w:val="18"/>
              </w:rPr>
            </w:pPr>
            <w:r>
              <w:rPr>
                <w:rFonts w:hint="default" w:ascii="Times New Roman" w:hAnsi="Times New Roman" w:cs="Times New Roman"/>
                <w:color w:val="auto"/>
                <w:sz w:val="18"/>
                <w:szCs w:val="18"/>
              </w:rPr>
              <w:t>1栋1层，框架及门式钢架结构，占地面积27938m</w:t>
            </w:r>
            <w:r>
              <w:rPr>
                <w:rFonts w:hint="default" w:ascii="Times New Roman" w:hAnsi="Times New Roman" w:cs="Times New Roman"/>
                <w:color w:val="auto"/>
                <w:sz w:val="18"/>
                <w:szCs w:val="18"/>
                <w:vertAlign w:val="superscript"/>
              </w:rPr>
              <w:t>2</w:t>
            </w:r>
            <w:r>
              <w:rPr>
                <w:rFonts w:hint="default" w:ascii="Times New Roman" w:hAnsi="Times New Roman" w:cs="Times New Roman"/>
                <w:color w:val="auto"/>
                <w:sz w:val="18"/>
                <w:szCs w:val="18"/>
              </w:rPr>
              <w:t>，建筑面积27938m</w:t>
            </w:r>
            <w:r>
              <w:rPr>
                <w:rFonts w:hint="default" w:ascii="Times New Roman" w:hAnsi="Times New Roman" w:cs="Times New Roman"/>
                <w:color w:val="auto"/>
                <w:sz w:val="18"/>
                <w:szCs w:val="18"/>
                <w:vertAlign w:val="superscript"/>
              </w:rPr>
              <w:t>2</w:t>
            </w:r>
            <w:r>
              <w:rPr>
                <w:rFonts w:hint="default" w:ascii="Times New Roman" w:hAnsi="Times New Roman" w:cs="Times New Roman"/>
                <w:color w:val="auto"/>
                <w:sz w:val="18"/>
                <w:szCs w:val="18"/>
              </w:rPr>
              <w:t>，位于厂区西侧，主要功能为对单晶硅棒进行切片</w:t>
            </w:r>
            <w:r>
              <w:rPr>
                <w:rFonts w:hint="default" w:ascii="Times New Roman" w:hAnsi="Times New Roman" w:cs="Times New Roman"/>
                <w:color w:val="auto"/>
                <w:sz w:val="18"/>
                <w:szCs w:val="18"/>
                <w:lang w:eastAsia="zh-CN"/>
              </w:rPr>
              <w:t>加工</w:t>
            </w:r>
          </w:p>
        </w:tc>
        <w:tc>
          <w:tcPr>
            <w:tcW w:w="2038" w:type="dxa"/>
            <w:vAlign w:val="center"/>
          </w:tcPr>
          <w:p>
            <w:pPr>
              <w:widowControl/>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kern w:val="0"/>
                <w:sz w:val="18"/>
                <w:szCs w:val="18"/>
                <w:lang w:eastAsia="zh-CN"/>
              </w:rPr>
              <w:t>本项目依托已建成切片车间基础设施，新增</w:t>
            </w:r>
            <w:r>
              <w:rPr>
                <w:rFonts w:hint="default" w:ascii="Times New Roman" w:hAnsi="Times New Roman" w:cs="Times New Roman"/>
                <w:color w:val="auto"/>
                <w:kern w:val="0"/>
                <w:sz w:val="18"/>
                <w:szCs w:val="18"/>
                <w:lang w:val="en-US" w:eastAsia="zh-CN"/>
              </w:rPr>
              <w:t>3GW切片生产线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606" w:type="dxa"/>
            <w:vMerge w:val="restart"/>
            <w:shd w:val="clear" w:color="auto" w:fill="auto"/>
            <w:vAlign w:val="center"/>
          </w:tcPr>
          <w:p>
            <w:pPr>
              <w:widowControl/>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辅助工程</w:t>
            </w:r>
          </w:p>
        </w:tc>
        <w:tc>
          <w:tcPr>
            <w:tcW w:w="1987" w:type="dxa"/>
            <w:gridSpan w:val="3"/>
            <w:shd w:val="clear" w:color="auto" w:fill="auto"/>
            <w:vAlign w:val="center"/>
          </w:tcPr>
          <w:p>
            <w:pPr>
              <w:widowControl/>
              <w:jc w:val="center"/>
              <w:rPr>
                <w:rFonts w:hint="default" w:ascii="Times New Roman" w:hAnsi="Times New Roman" w:cs="Times New Roman"/>
                <w:color w:val="auto"/>
                <w:kern w:val="0"/>
                <w:sz w:val="18"/>
                <w:szCs w:val="18"/>
                <w:lang w:eastAsia="zh-CN"/>
              </w:rPr>
            </w:pPr>
            <w:r>
              <w:rPr>
                <w:rFonts w:hint="default" w:ascii="Times New Roman" w:hAnsi="Times New Roman" w:cs="Times New Roman"/>
                <w:color w:val="auto"/>
                <w:kern w:val="0"/>
                <w:sz w:val="18"/>
                <w:szCs w:val="18"/>
                <w:lang w:eastAsia="zh-CN"/>
              </w:rPr>
              <w:t>吸杂车间</w:t>
            </w:r>
          </w:p>
        </w:tc>
        <w:tc>
          <w:tcPr>
            <w:tcW w:w="4075" w:type="dxa"/>
            <w:shd w:val="clear" w:color="auto" w:fill="auto"/>
            <w:vAlign w:val="center"/>
          </w:tcPr>
          <w:p>
            <w:pPr>
              <w:widowControl/>
              <w:jc w:val="left"/>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lang w:eastAsia="zh-CN"/>
              </w:rPr>
              <w:t>设置在切片车间内，主要对检测不合格的单晶硅片再次进行酸洗（使用盐酸、氢氟酸）除杂，降低废片率。</w:t>
            </w:r>
          </w:p>
        </w:tc>
        <w:tc>
          <w:tcPr>
            <w:tcW w:w="2038" w:type="dxa"/>
            <w:vAlign w:val="center"/>
          </w:tcPr>
          <w:p>
            <w:pPr>
              <w:widowControl/>
              <w:jc w:val="center"/>
              <w:rPr>
                <w:rFonts w:hint="default" w:ascii="Times New Roman" w:hAnsi="Times New Roman" w:cs="Times New Roman"/>
                <w:color w:val="auto"/>
                <w:kern w:val="0"/>
                <w:sz w:val="18"/>
                <w:szCs w:val="18"/>
                <w:lang w:eastAsia="zh-CN"/>
              </w:rPr>
            </w:pPr>
            <w:r>
              <w:rPr>
                <w:rFonts w:hint="default" w:ascii="Times New Roman" w:hAnsi="Times New Roman" w:cs="Times New Roman"/>
                <w:color w:val="auto"/>
                <w:kern w:val="0"/>
                <w:sz w:val="18"/>
                <w:szCs w:val="18"/>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606" w:type="dxa"/>
            <w:vMerge w:val="continue"/>
            <w:shd w:val="clear" w:color="auto" w:fill="auto"/>
            <w:vAlign w:val="center"/>
          </w:tcPr>
          <w:p>
            <w:pPr>
              <w:widowControl/>
              <w:jc w:val="center"/>
              <w:rPr>
                <w:rFonts w:hint="default" w:ascii="Times New Roman" w:hAnsi="Times New Roman" w:eastAsia="宋体" w:cs="Times New Roman"/>
                <w:color w:val="auto"/>
                <w:kern w:val="0"/>
                <w:sz w:val="18"/>
                <w:szCs w:val="18"/>
              </w:rPr>
            </w:pPr>
          </w:p>
        </w:tc>
        <w:tc>
          <w:tcPr>
            <w:tcW w:w="1987" w:type="dxa"/>
            <w:gridSpan w:val="3"/>
            <w:shd w:val="clear" w:color="auto" w:fill="auto"/>
            <w:vAlign w:val="center"/>
          </w:tcPr>
          <w:p>
            <w:pPr>
              <w:widowControl/>
              <w:jc w:val="center"/>
              <w:rPr>
                <w:rFonts w:hint="default" w:ascii="Times New Roman" w:hAnsi="Times New Roman" w:eastAsia="宋体" w:cs="Times New Roman"/>
                <w:color w:val="auto"/>
                <w:kern w:val="0"/>
                <w:sz w:val="18"/>
                <w:szCs w:val="18"/>
              </w:rPr>
            </w:pPr>
            <w:r>
              <w:rPr>
                <w:rFonts w:hint="default" w:ascii="Times New Roman" w:hAnsi="Times New Roman" w:cs="Times New Roman"/>
                <w:color w:val="auto"/>
                <w:kern w:val="0"/>
                <w:sz w:val="18"/>
                <w:szCs w:val="18"/>
                <w:lang w:eastAsia="zh-CN"/>
              </w:rPr>
              <w:t>切片车间纯水站</w:t>
            </w:r>
          </w:p>
        </w:tc>
        <w:tc>
          <w:tcPr>
            <w:tcW w:w="4075" w:type="dxa"/>
            <w:shd w:val="clear" w:color="auto" w:fill="auto"/>
            <w:vAlign w:val="center"/>
          </w:tcPr>
          <w:p>
            <w:pPr>
              <w:widowControl/>
              <w:jc w:val="left"/>
              <w:rPr>
                <w:rFonts w:hint="default" w:ascii="Times New Roman" w:hAnsi="Times New Roman" w:eastAsia="宋体" w:cs="Times New Roman"/>
                <w:color w:val="auto"/>
                <w:kern w:val="0"/>
                <w:sz w:val="18"/>
                <w:szCs w:val="18"/>
                <w:lang w:val="en-US" w:eastAsia="zh-CN"/>
              </w:rPr>
            </w:pPr>
            <w:r>
              <w:rPr>
                <w:rFonts w:hint="default" w:ascii="Times New Roman" w:hAnsi="Times New Roman" w:cs="Times New Roman"/>
                <w:color w:val="auto"/>
                <w:sz w:val="18"/>
                <w:szCs w:val="18"/>
                <w:lang w:eastAsia="zh-CN"/>
              </w:rPr>
              <w:t>切片车间单独建设</w:t>
            </w:r>
            <w:r>
              <w:rPr>
                <w:rFonts w:hint="default" w:ascii="Times New Roman" w:hAnsi="Times New Roman" w:cs="Times New Roman"/>
                <w:color w:val="auto"/>
                <w:sz w:val="18"/>
                <w:szCs w:val="18"/>
                <w:lang w:val="en-US" w:eastAsia="zh-CN"/>
              </w:rPr>
              <w:t>1套纯水站，供切片车间使用，纯水制备规模为120m</w:t>
            </w:r>
            <w:r>
              <w:rPr>
                <w:rFonts w:hint="default" w:ascii="Times New Roman" w:hAnsi="Times New Roman" w:cs="Times New Roman"/>
                <w:color w:val="auto"/>
                <w:sz w:val="18"/>
                <w:szCs w:val="18"/>
                <w:vertAlign w:val="superscript"/>
                <w:lang w:val="en-US" w:eastAsia="zh-CN"/>
              </w:rPr>
              <w:t>3</w:t>
            </w:r>
            <w:r>
              <w:rPr>
                <w:rFonts w:hint="default" w:ascii="Times New Roman" w:hAnsi="Times New Roman" w:cs="Times New Roman"/>
                <w:color w:val="auto"/>
                <w:sz w:val="18"/>
                <w:szCs w:val="18"/>
                <w:vertAlign w:val="baseline"/>
                <w:lang w:val="en-US" w:eastAsia="zh-CN"/>
              </w:rPr>
              <w:t>/h，</w:t>
            </w:r>
            <w:r>
              <w:rPr>
                <w:rFonts w:hint="default" w:ascii="Times New Roman" w:hAnsi="Times New Roman" w:eastAsia="宋体" w:cs="Times New Roman"/>
                <w:color w:val="auto"/>
                <w:sz w:val="18"/>
                <w:szCs w:val="18"/>
              </w:rPr>
              <w:t>采用沉淀+反渗透+钠型阳离子树脂交换法工艺</w:t>
            </w:r>
          </w:p>
        </w:tc>
        <w:tc>
          <w:tcPr>
            <w:tcW w:w="2038" w:type="dxa"/>
            <w:vAlign w:val="center"/>
          </w:tcPr>
          <w:p>
            <w:pPr>
              <w:widowControl/>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kern w:val="0"/>
                <w:sz w:val="18"/>
                <w:szCs w:val="18"/>
                <w:lang w:eastAsia="zh-CN"/>
              </w:rPr>
              <w:t>本项目所需纯水依托该纯水站制备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606" w:type="dxa"/>
            <w:vMerge w:val="continue"/>
            <w:shd w:val="clear" w:color="auto" w:fill="auto"/>
            <w:vAlign w:val="center"/>
          </w:tcPr>
          <w:p>
            <w:pPr>
              <w:widowControl/>
              <w:jc w:val="center"/>
              <w:rPr>
                <w:rFonts w:hint="default" w:ascii="Times New Roman" w:hAnsi="Times New Roman" w:eastAsia="宋体" w:cs="Times New Roman"/>
                <w:color w:val="auto"/>
                <w:kern w:val="0"/>
                <w:sz w:val="18"/>
                <w:szCs w:val="18"/>
              </w:rPr>
            </w:pPr>
          </w:p>
        </w:tc>
        <w:tc>
          <w:tcPr>
            <w:tcW w:w="1987" w:type="dxa"/>
            <w:gridSpan w:val="3"/>
            <w:shd w:val="clear" w:color="auto" w:fill="auto"/>
            <w:vAlign w:val="center"/>
          </w:tcPr>
          <w:p>
            <w:pPr>
              <w:widowControl/>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lang w:eastAsia="zh-CN"/>
              </w:rPr>
              <w:t>食堂</w:t>
            </w:r>
          </w:p>
        </w:tc>
        <w:tc>
          <w:tcPr>
            <w:tcW w:w="4075" w:type="dxa"/>
            <w:shd w:val="clear" w:color="auto" w:fill="auto"/>
            <w:vAlign w:val="center"/>
          </w:tcPr>
          <w:p>
            <w:pPr>
              <w:widowControl/>
              <w:jc w:val="left"/>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1栋2层，占地面积约1488.4m</w:t>
            </w:r>
            <w:r>
              <w:rPr>
                <w:rFonts w:hint="default" w:ascii="Times New Roman" w:hAnsi="Times New Roman" w:eastAsia="宋体" w:cs="Times New Roman"/>
                <w:color w:val="auto"/>
                <w:kern w:val="0"/>
                <w:sz w:val="18"/>
                <w:szCs w:val="18"/>
                <w:vertAlign w:val="superscript"/>
              </w:rPr>
              <w:t>2</w:t>
            </w:r>
            <w:r>
              <w:rPr>
                <w:rFonts w:hint="default" w:ascii="Times New Roman" w:hAnsi="Times New Roman" w:eastAsia="宋体" w:cs="Times New Roman"/>
                <w:color w:val="auto"/>
                <w:kern w:val="0"/>
                <w:sz w:val="18"/>
                <w:szCs w:val="18"/>
              </w:rPr>
              <w:t>，建筑面积约2816.6m</w:t>
            </w:r>
            <w:r>
              <w:rPr>
                <w:rFonts w:hint="default" w:ascii="Times New Roman" w:hAnsi="Times New Roman" w:eastAsia="宋体" w:cs="Times New Roman"/>
                <w:color w:val="auto"/>
                <w:kern w:val="0"/>
                <w:sz w:val="18"/>
                <w:szCs w:val="18"/>
                <w:vertAlign w:val="superscript"/>
              </w:rPr>
              <w:t>2</w:t>
            </w:r>
            <w:r>
              <w:rPr>
                <w:rFonts w:hint="default" w:ascii="Times New Roman" w:hAnsi="Times New Roman" w:eastAsia="宋体" w:cs="Times New Roman"/>
                <w:color w:val="auto"/>
                <w:kern w:val="0"/>
                <w:sz w:val="18"/>
                <w:szCs w:val="18"/>
              </w:rPr>
              <w:t>,主要作为职工食堂</w:t>
            </w:r>
          </w:p>
        </w:tc>
        <w:tc>
          <w:tcPr>
            <w:tcW w:w="2038" w:type="dxa"/>
            <w:vAlign w:val="center"/>
          </w:tcPr>
          <w:p>
            <w:pPr>
              <w:widowControl/>
              <w:jc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本项目新增员工餐食依托该食堂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606" w:type="dxa"/>
            <w:vMerge w:val="continue"/>
            <w:shd w:val="clear" w:color="auto" w:fill="auto"/>
            <w:vAlign w:val="center"/>
          </w:tcPr>
          <w:p>
            <w:pPr>
              <w:widowControl/>
              <w:jc w:val="center"/>
              <w:rPr>
                <w:rFonts w:hint="default" w:ascii="Times New Roman" w:hAnsi="Times New Roman" w:eastAsia="宋体" w:cs="Times New Roman"/>
                <w:color w:val="auto"/>
                <w:kern w:val="0"/>
                <w:sz w:val="18"/>
                <w:szCs w:val="18"/>
              </w:rPr>
            </w:pPr>
          </w:p>
        </w:tc>
        <w:tc>
          <w:tcPr>
            <w:tcW w:w="1987" w:type="dxa"/>
            <w:gridSpan w:val="3"/>
            <w:shd w:val="clear" w:color="auto" w:fill="auto"/>
            <w:vAlign w:val="center"/>
          </w:tcPr>
          <w:p>
            <w:pPr>
              <w:widowControl/>
              <w:jc w:val="center"/>
              <w:rPr>
                <w:rFonts w:hint="default" w:ascii="Times New Roman" w:hAnsi="Times New Roman" w:eastAsia="宋体" w:cs="Times New Roman"/>
                <w:color w:val="auto"/>
                <w:kern w:val="0"/>
                <w:sz w:val="18"/>
                <w:szCs w:val="18"/>
                <w:lang w:eastAsia="zh-CN"/>
              </w:rPr>
            </w:pPr>
            <w:r>
              <w:rPr>
                <w:rFonts w:hint="default" w:ascii="Times New Roman" w:hAnsi="Times New Roman" w:cs="Times New Roman"/>
                <w:color w:val="auto"/>
                <w:kern w:val="0"/>
                <w:sz w:val="18"/>
                <w:szCs w:val="18"/>
                <w:lang w:eastAsia="zh-CN"/>
              </w:rPr>
              <w:t>清真食堂</w:t>
            </w:r>
          </w:p>
        </w:tc>
        <w:tc>
          <w:tcPr>
            <w:tcW w:w="4075" w:type="dxa"/>
            <w:shd w:val="clear" w:color="auto" w:fill="auto"/>
            <w:vAlign w:val="center"/>
          </w:tcPr>
          <w:p>
            <w:pPr>
              <w:widowControl/>
              <w:jc w:val="left"/>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cs="Times New Roman"/>
                <w:color w:val="auto"/>
                <w:sz w:val="18"/>
                <w:szCs w:val="18"/>
                <w:lang w:val="en-US" w:eastAsia="zh-CN"/>
              </w:rPr>
              <w:t>1栋2层，</w:t>
            </w:r>
            <w:r>
              <w:rPr>
                <w:rFonts w:hint="default" w:ascii="Times New Roman" w:hAnsi="Times New Roman" w:eastAsia="宋体" w:cs="Times New Roman"/>
                <w:color w:val="auto"/>
                <w:kern w:val="0"/>
                <w:sz w:val="18"/>
                <w:szCs w:val="18"/>
              </w:rPr>
              <w:t>占地面积约1</w:t>
            </w:r>
            <w:r>
              <w:rPr>
                <w:rFonts w:hint="default" w:ascii="Times New Roman" w:hAnsi="Times New Roman" w:cs="Times New Roman"/>
                <w:color w:val="auto"/>
                <w:kern w:val="0"/>
                <w:sz w:val="18"/>
                <w:szCs w:val="18"/>
                <w:lang w:val="en-US" w:eastAsia="zh-CN"/>
              </w:rPr>
              <w:t>144.48</w:t>
            </w:r>
            <w:r>
              <w:rPr>
                <w:rFonts w:hint="default" w:ascii="Times New Roman" w:hAnsi="Times New Roman" w:eastAsia="宋体" w:cs="Times New Roman"/>
                <w:color w:val="auto"/>
                <w:kern w:val="0"/>
                <w:sz w:val="18"/>
                <w:szCs w:val="18"/>
              </w:rPr>
              <w:t>m</w:t>
            </w:r>
            <w:r>
              <w:rPr>
                <w:rFonts w:hint="default" w:ascii="Times New Roman" w:hAnsi="Times New Roman" w:eastAsia="宋体" w:cs="Times New Roman"/>
                <w:color w:val="auto"/>
                <w:kern w:val="0"/>
                <w:sz w:val="18"/>
                <w:szCs w:val="18"/>
                <w:vertAlign w:val="superscript"/>
              </w:rPr>
              <w:t>2</w:t>
            </w:r>
            <w:r>
              <w:rPr>
                <w:rFonts w:hint="default" w:ascii="Times New Roman" w:hAnsi="Times New Roman" w:eastAsia="宋体" w:cs="Times New Roman"/>
                <w:color w:val="auto"/>
                <w:kern w:val="0"/>
                <w:sz w:val="18"/>
                <w:szCs w:val="18"/>
              </w:rPr>
              <w:t>，建筑面积约</w:t>
            </w:r>
            <w:r>
              <w:rPr>
                <w:rFonts w:hint="default" w:ascii="Times New Roman" w:hAnsi="Times New Roman" w:cs="Times New Roman"/>
                <w:color w:val="auto"/>
                <w:kern w:val="0"/>
                <w:sz w:val="18"/>
                <w:szCs w:val="18"/>
                <w:lang w:val="en-US" w:eastAsia="zh-CN"/>
              </w:rPr>
              <w:t>2288.96</w:t>
            </w:r>
            <w:r>
              <w:rPr>
                <w:rFonts w:hint="default" w:ascii="Times New Roman" w:hAnsi="Times New Roman" w:eastAsia="宋体" w:cs="Times New Roman"/>
                <w:color w:val="auto"/>
                <w:kern w:val="0"/>
                <w:sz w:val="18"/>
                <w:szCs w:val="18"/>
              </w:rPr>
              <w:t>m</w:t>
            </w:r>
            <w:r>
              <w:rPr>
                <w:rFonts w:hint="default" w:ascii="Times New Roman" w:hAnsi="Times New Roman" w:eastAsia="宋体" w:cs="Times New Roman"/>
                <w:color w:val="auto"/>
                <w:kern w:val="0"/>
                <w:sz w:val="18"/>
                <w:szCs w:val="18"/>
                <w:vertAlign w:val="superscript"/>
              </w:rPr>
              <w:t>2</w:t>
            </w:r>
            <w:r>
              <w:rPr>
                <w:rFonts w:hint="default" w:ascii="Times New Roman" w:hAnsi="Times New Roman" w:eastAsia="宋体" w:cs="Times New Roman"/>
                <w:color w:val="auto"/>
                <w:kern w:val="0"/>
                <w:sz w:val="18"/>
                <w:szCs w:val="18"/>
              </w:rPr>
              <w:t>,主要作为职工食堂</w:t>
            </w:r>
          </w:p>
        </w:tc>
        <w:tc>
          <w:tcPr>
            <w:tcW w:w="2038" w:type="dxa"/>
            <w:vAlign w:val="center"/>
          </w:tcPr>
          <w:p>
            <w:pPr>
              <w:widowControl/>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kern w:val="0"/>
                <w:sz w:val="18"/>
                <w:szCs w:val="18"/>
                <w:lang w:val="en-US" w:eastAsia="zh-CN"/>
              </w:rPr>
              <w:t>本项目新增员工餐食依托该食堂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606" w:type="dxa"/>
            <w:vMerge w:val="continue"/>
            <w:shd w:val="clear" w:color="auto" w:fill="auto"/>
            <w:vAlign w:val="center"/>
          </w:tcPr>
          <w:p>
            <w:pPr>
              <w:widowControl/>
              <w:jc w:val="center"/>
              <w:rPr>
                <w:rFonts w:hint="default" w:ascii="Times New Roman" w:hAnsi="Times New Roman" w:eastAsia="宋体" w:cs="Times New Roman"/>
                <w:color w:val="auto"/>
                <w:kern w:val="0"/>
                <w:sz w:val="18"/>
                <w:szCs w:val="18"/>
              </w:rPr>
            </w:pPr>
          </w:p>
        </w:tc>
        <w:tc>
          <w:tcPr>
            <w:tcW w:w="1987" w:type="dxa"/>
            <w:gridSpan w:val="3"/>
            <w:shd w:val="clear" w:color="auto" w:fill="auto"/>
            <w:vAlign w:val="center"/>
          </w:tcPr>
          <w:p>
            <w:pPr>
              <w:widowControl/>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rPr>
              <w:t>办公楼</w:t>
            </w:r>
          </w:p>
        </w:tc>
        <w:tc>
          <w:tcPr>
            <w:tcW w:w="4075" w:type="dxa"/>
            <w:shd w:val="clear" w:color="auto" w:fill="auto"/>
            <w:vAlign w:val="center"/>
          </w:tcPr>
          <w:p>
            <w:pPr>
              <w:widowControl/>
              <w:jc w:val="left"/>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sz w:val="18"/>
                <w:szCs w:val="18"/>
              </w:rPr>
              <w:t>1栋</w:t>
            </w:r>
            <w:r>
              <w:rPr>
                <w:rFonts w:hint="default" w:ascii="Times New Roman" w:hAnsi="Times New Roman" w:cs="Times New Roman"/>
                <w:color w:val="auto"/>
                <w:sz w:val="18"/>
                <w:szCs w:val="18"/>
                <w:lang w:val="en-US" w:eastAsia="zh-CN"/>
              </w:rPr>
              <w:t>4</w:t>
            </w:r>
            <w:r>
              <w:rPr>
                <w:rFonts w:hint="default" w:ascii="Times New Roman" w:hAnsi="Times New Roman" w:eastAsia="宋体" w:cs="Times New Roman"/>
                <w:color w:val="auto"/>
                <w:sz w:val="18"/>
                <w:szCs w:val="18"/>
              </w:rPr>
              <w:t>层，占地面积约</w:t>
            </w:r>
            <w:r>
              <w:rPr>
                <w:rFonts w:hint="default" w:ascii="Times New Roman" w:hAnsi="Times New Roman" w:cs="Times New Roman"/>
                <w:color w:val="auto"/>
                <w:sz w:val="18"/>
                <w:szCs w:val="18"/>
                <w:lang w:val="en-US" w:eastAsia="zh-CN"/>
              </w:rPr>
              <w:t>1642</w:t>
            </w:r>
            <w:r>
              <w:rPr>
                <w:rFonts w:hint="default" w:ascii="Times New Roman" w:hAnsi="Times New Roman" w:eastAsia="宋体" w:cs="Times New Roman"/>
                <w:color w:val="auto"/>
                <w:sz w:val="18"/>
                <w:szCs w:val="18"/>
              </w:rPr>
              <w:t>m</w:t>
            </w:r>
            <w:r>
              <w:rPr>
                <w:rFonts w:hint="default" w:ascii="Times New Roman" w:hAnsi="Times New Roman" w:eastAsia="宋体" w:cs="Times New Roman"/>
                <w:color w:val="auto"/>
                <w:sz w:val="18"/>
                <w:szCs w:val="18"/>
                <w:vertAlign w:val="superscript"/>
              </w:rPr>
              <w:t>2</w:t>
            </w:r>
            <w:r>
              <w:rPr>
                <w:rFonts w:hint="default" w:ascii="Times New Roman" w:hAnsi="Times New Roman" w:eastAsia="宋体" w:cs="Times New Roman"/>
                <w:color w:val="auto"/>
                <w:sz w:val="18"/>
                <w:szCs w:val="18"/>
              </w:rPr>
              <w:t>、建筑面积约</w:t>
            </w:r>
            <w:r>
              <w:rPr>
                <w:rFonts w:hint="default" w:ascii="Times New Roman" w:hAnsi="Times New Roman" w:cs="Times New Roman"/>
                <w:color w:val="auto"/>
                <w:sz w:val="18"/>
                <w:szCs w:val="18"/>
                <w:lang w:val="en-US" w:eastAsia="zh-CN"/>
              </w:rPr>
              <w:t>6568</w:t>
            </w:r>
            <w:r>
              <w:rPr>
                <w:rFonts w:hint="default" w:ascii="Times New Roman" w:hAnsi="Times New Roman" w:eastAsia="宋体" w:cs="Times New Roman"/>
                <w:color w:val="auto"/>
                <w:sz w:val="18"/>
                <w:szCs w:val="18"/>
              </w:rPr>
              <w:t>m</w:t>
            </w:r>
            <w:r>
              <w:rPr>
                <w:rFonts w:hint="default" w:ascii="Times New Roman" w:hAnsi="Times New Roman" w:eastAsia="宋体" w:cs="Times New Roman"/>
                <w:color w:val="auto"/>
                <w:sz w:val="18"/>
                <w:szCs w:val="18"/>
                <w:vertAlign w:val="superscript"/>
              </w:rPr>
              <w:t>2</w:t>
            </w:r>
            <w:r>
              <w:rPr>
                <w:rFonts w:hint="default" w:ascii="Times New Roman" w:hAnsi="Times New Roman" w:eastAsia="宋体" w:cs="Times New Roman"/>
                <w:color w:val="auto"/>
                <w:sz w:val="18"/>
                <w:szCs w:val="18"/>
              </w:rPr>
              <w:t>，主要用于公司行政办公等</w:t>
            </w:r>
            <w:r>
              <w:rPr>
                <w:rFonts w:hint="default" w:ascii="Times New Roman" w:hAnsi="Times New Roman" w:cs="Times New Roman"/>
                <w:color w:val="auto"/>
                <w:sz w:val="18"/>
                <w:szCs w:val="18"/>
                <w:lang w:eastAsia="zh-CN"/>
              </w:rPr>
              <w:t>，位于项目西南侧</w:t>
            </w:r>
          </w:p>
        </w:tc>
        <w:tc>
          <w:tcPr>
            <w:tcW w:w="2038" w:type="dxa"/>
            <w:vAlign w:val="center"/>
          </w:tcPr>
          <w:p>
            <w:pPr>
              <w:widowControl/>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bidi="ar-SA"/>
              </w:rPr>
              <w:t>本项目新增员工办公依托该办公楼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606" w:type="dxa"/>
            <w:vMerge w:val="continue"/>
            <w:shd w:val="clear" w:color="auto" w:fill="auto"/>
            <w:vAlign w:val="center"/>
          </w:tcPr>
          <w:p>
            <w:pPr>
              <w:widowControl/>
              <w:jc w:val="left"/>
              <w:rPr>
                <w:rFonts w:hint="default" w:ascii="Times New Roman" w:hAnsi="Times New Roman" w:eastAsia="宋体" w:cs="Times New Roman"/>
                <w:color w:val="auto"/>
                <w:sz w:val="18"/>
                <w:szCs w:val="18"/>
              </w:rPr>
            </w:pPr>
          </w:p>
        </w:tc>
        <w:tc>
          <w:tcPr>
            <w:tcW w:w="1987" w:type="dxa"/>
            <w:gridSpan w:val="3"/>
            <w:shd w:val="clear" w:color="auto" w:fill="auto"/>
            <w:vAlign w:val="center"/>
          </w:tcPr>
          <w:p>
            <w:pPr>
              <w:widowControl/>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rPr>
              <w:t>宿舍</w:t>
            </w:r>
          </w:p>
        </w:tc>
        <w:tc>
          <w:tcPr>
            <w:tcW w:w="4075" w:type="dxa"/>
            <w:shd w:val="clear" w:color="auto" w:fill="auto"/>
            <w:vAlign w:val="center"/>
          </w:tcPr>
          <w:p>
            <w:pPr>
              <w:widowControl/>
              <w:jc w:val="left"/>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0"/>
                <w:sz w:val="18"/>
                <w:szCs w:val="18"/>
              </w:rPr>
              <w:t>1栋6层，占地面积1095.64m</w:t>
            </w:r>
            <w:r>
              <w:rPr>
                <w:rFonts w:hint="default" w:ascii="Times New Roman" w:hAnsi="Times New Roman" w:eastAsia="宋体" w:cs="Times New Roman"/>
                <w:color w:val="auto"/>
                <w:kern w:val="0"/>
                <w:sz w:val="18"/>
                <w:szCs w:val="18"/>
                <w:vertAlign w:val="superscript"/>
              </w:rPr>
              <w:t>2</w:t>
            </w:r>
            <w:r>
              <w:rPr>
                <w:rFonts w:hint="default" w:ascii="Times New Roman" w:hAnsi="Times New Roman" w:eastAsia="宋体" w:cs="Times New Roman"/>
                <w:color w:val="auto"/>
                <w:kern w:val="0"/>
                <w:sz w:val="18"/>
                <w:szCs w:val="18"/>
              </w:rPr>
              <w:t>，建筑面积6629.2m</w:t>
            </w:r>
            <w:r>
              <w:rPr>
                <w:rFonts w:hint="default" w:ascii="Times New Roman" w:hAnsi="Times New Roman" w:eastAsia="宋体" w:cs="Times New Roman"/>
                <w:color w:val="auto"/>
                <w:kern w:val="0"/>
                <w:sz w:val="18"/>
                <w:szCs w:val="18"/>
                <w:vertAlign w:val="superscript"/>
              </w:rPr>
              <w:t>2</w:t>
            </w:r>
            <w:r>
              <w:rPr>
                <w:rFonts w:hint="default" w:ascii="Times New Roman" w:hAnsi="Times New Roman" w:eastAsia="宋体" w:cs="Times New Roman"/>
                <w:color w:val="auto"/>
                <w:kern w:val="0"/>
                <w:sz w:val="18"/>
                <w:szCs w:val="18"/>
              </w:rPr>
              <w:t>，主要用于厂内员工住宿</w:t>
            </w:r>
          </w:p>
        </w:tc>
        <w:tc>
          <w:tcPr>
            <w:tcW w:w="2038" w:type="dxa"/>
            <w:vAlign w:val="center"/>
          </w:tcPr>
          <w:p>
            <w:pPr>
              <w:widowControl/>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bidi="ar-SA"/>
              </w:rPr>
              <w:t>本项目新增员工住宿依托该宿舍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6" w:type="dxa"/>
            <w:vMerge w:val="continue"/>
            <w:shd w:val="clear" w:color="auto" w:fill="auto"/>
            <w:vAlign w:val="center"/>
          </w:tcPr>
          <w:p>
            <w:pPr>
              <w:widowControl/>
              <w:jc w:val="center"/>
              <w:rPr>
                <w:rFonts w:hint="default" w:ascii="Times New Roman" w:hAnsi="Times New Roman" w:eastAsia="宋体" w:cs="Times New Roman"/>
                <w:color w:val="auto"/>
                <w:kern w:val="0"/>
                <w:sz w:val="18"/>
                <w:szCs w:val="18"/>
              </w:rPr>
            </w:pPr>
          </w:p>
        </w:tc>
        <w:tc>
          <w:tcPr>
            <w:tcW w:w="1987" w:type="dxa"/>
            <w:gridSpan w:val="3"/>
            <w:shd w:val="clear" w:color="auto" w:fill="auto"/>
            <w:vAlign w:val="center"/>
          </w:tcPr>
          <w:p>
            <w:pPr>
              <w:widowControl/>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eastAsia="zh-CN"/>
              </w:rPr>
              <w:t>专家楼</w:t>
            </w:r>
          </w:p>
        </w:tc>
        <w:tc>
          <w:tcPr>
            <w:tcW w:w="4075" w:type="dxa"/>
            <w:shd w:val="clear" w:color="auto" w:fill="auto"/>
            <w:vAlign w:val="center"/>
          </w:tcPr>
          <w:p>
            <w:pPr>
              <w:widowControl/>
              <w:jc w:val="left"/>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rPr>
              <w:t>3栋，均为3层，占地面积768.78m</w:t>
            </w:r>
            <w:r>
              <w:rPr>
                <w:rFonts w:hint="default" w:ascii="Times New Roman" w:hAnsi="Times New Roman" w:eastAsia="宋体" w:cs="Times New Roman"/>
                <w:color w:val="auto"/>
                <w:kern w:val="0"/>
                <w:sz w:val="18"/>
                <w:szCs w:val="18"/>
                <w:vertAlign w:val="superscript"/>
              </w:rPr>
              <w:t>2</w:t>
            </w:r>
            <w:r>
              <w:rPr>
                <w:rFonts w:hint="default" w:ascii="Times New Roman" w:hAnsi="Times New Roman" w:eastAsia="宋体" w:cs="Times New Roman"/>
                <w:color w:val="auto"/>
                <w:kern w:val="0"/>
                <w:sz w:val="18"/>
                <w:szCs w:val="18"/>
              </w:rPr>
              <w:t>，建筑面积1120.2m</w:t>
            </w:r>
            <w:r>
              <w:rPr>
                <w:rFonts w:hint="default" w:ascii="Times New Roman" w:hAnsi="Times New Roman" w:eastAsia="宋体" w:cs="Times New Roman"/>
                <w:color w:val="auto"/>
                <w:kern w:val="0"/>
                <w:sz w:val="18"/>
                <w:szCs w:val="18"/>
                <w:vertAlign w:val="superscript"/>
              </w:rPr>
              <w:t>2</w:t>
            </w:r>
            <w:r>
              <w:rPr>
                <w:rFonts w:hint="default" w:ascii="Times New Roman" w:hAnsi="Times New Roman" w:eastAsia="宋体" w:cs="Times New Roman"/>
                <w:color w:val="auto"/>
                <w:kern w:val="0"/>
                <w:sz w:val="18"/>
                <w:szCs w:val="18"/>
              </w:rPr>
              <w:t>，主要用于接待外来专家、到访人员</w:t>
            </w:r>
          </w:p>
        </w:tc>
        <w:tc>
          <w:tcPr>
            <w:tcW w:w="2038" w:type="dxa"/>
            <w:vAlign w:val="center"/>
          </w:tcPr>
          <w:p>
            <w:pPr>
              <w:widowControl/>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本项目专家接待依托该专家楼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6" w:type="dxa"/>
            <w:vMerge w:val="continue"/>
            <w:shd w:val="clear" w:color="auto" w:fill="auto"/>
            <w:vAlign w:val="center"/>
          </w:tcPr>
          <w:p>
            <w:pPr>
              <w:widowControl/>
              <w:jc w:val="center"/>
              <w:rPr>
                <w:rFonts w:hint="default" w:ascii="Times New Roman" w:hAnsi="Times New Roman" w:eastAsia="宋体" w:cs="Times New Roman"/>
                <w:color w:val="auto"/>
                <w:kern w:val="0"/>
                <w:sz w:val="18"/>
                <w:szCs w:val="18"/>
              </w:rPr>
            </w:pPr>
          </w:p>
        </w:tc>
        <w:tc>
          <w:tcPr>
            <w:tcW w:w="1987" w:type="dxa"/>
            <w:gridSpan w:val="3"/>
            <w:shd w:val="clear" w:color="auto" w:fill="auto"/>
            <w:vAlign w:val="center"/>
          </w:tcPr>
          <w:p>
            <w:pPr>
              <w:widowControl/>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eastAsia="zh-CN"/>
              </w:rPr>
              <w:t>门卫室</w:t>
            </w:r>
          </w:p>
        </w:tc>
        <w:tc>
          <w:tcPr>
            <w:tcW w:w="4075" w:type="dxa"/>
            <w:shd w:val="clear" w:color="auto" w:fill="auto"/>
            <w:vAlign w:val="center"/>
          </w:tcPr>
          <w:p>
            <w:pPr>
              <w:widowControl/>
              <w:jc w:val="left"/>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sz w:val="18"/>
                <w:szCs w:val="18"/>
              </w:rPr>
              <w:t>2间门卫室，占地面积和建筑面积均为18</w:t>
            </w:r>
            <w:r>
              <w:rPr>
                <w:rFonts w:hint="default" w:ascii="Times New Roman" w:hAnsi="Times New Roman" w:cs="Times New Roman"/>
                <w:color w:val="auto"/>
                <w:sz w:val="18"/>
                <w:szCs w:val="18"/>
                <w:lang w:val="en-US" w:eastAsia="zh-CN"/>
              </w:rPr>
              <w:t>.54</w:t>
            </w:r>
            <w:r>
              <w:rPr>
                <w:rFonts w:hint="default" w:ascii="Times New Roman" w:hAnsi="Times New Roman" w:cs="Times New Roman"/>
                <w:color w:val="auto"/>
                <w:sz w:val="18"/>
                <w:szCs w:val="18"/>
              </w:rPr>
              <w:t>m</w:t>
            </w:r>
            <w:r>
              <w:rPr>
                <w:rFonts w:hint="default" w:ascii="Times New Roman" w:hAnsi="Times New Roman" w:cs="Times New Roman"/>
                <w:color w:val="auto"/>
                <w:sz w:val="18"/>
                <w:szCs w:val="18"/>
                <w:vertAlign w:val="superscript"/>
              </w:rPr>
              <w:t>2</w:t>
            </w:r>
            <w:r>
              <w:rPr>
                <w:rFonts w:hint="default" w:ascii="Times New Roman" w:hAnsi="Times New Roman" w:cs="Times New Roman"/>
                <w:color w:val="auto"/>
                <w:sz w:val="18"/>
                <w:szCs w:val="18"/>
                <w:vertAlign w:val="baseline"/>
                <w:lang w:eastAsia="zh-CN"/>
              </w:rPr>
              <w:t>，主要用于安保人员办公</w:t>
            </w:r>
          </w:p>
        </w:tc>
        <w:tc>
          <w:tcPr>
            <w:tcW w:w="2038" w:type="dxa"/>
            <w:vAlign w:val="center"/>
          </w:tcPr>
          <w:p>
            <w:pPr>
              <w:widowControl/>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本项目安保依托该设施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06" w:type="dxa"/>
            <w:vMerge w:val="restart"/>
            <w:shd w:val="clear" w:color="auto" w:fill="auto"/>
            <w:vAlign w:val="center"/>
          </w:tcPr>
          <w:p>
            <w:pPr>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储运工程</w:t>
            </w:r>
          </w:p>
        </w:tc>
        <w:tc>
          <w:tcPr>
            <w:tcW w:w="1987" w:type="dxa"/>
            <w:gridSpan w:val="3"/>
            <w:shd w:val="clear" w:color="auto" w:fill="auto"/>
            <w:vAlign w:val="center"/>
          </w:tcPr>
          <w:p>
            <w:pPr>
              <w:widowControl/>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rPr>
              <w:t>化学品库</w:t>
            </w:r>
          </w:p>
        </w:tc>
        <w:tc>
          <w:tcPr>
            <w:tcW w:w="4075" w:type="dxa"/>
            <w:shd w:val="clear" w:color="auto" w:fill="auto"/>
            <w:vAlign w:val="center"/>
          </w:tcPr>
          <w:p>
            <w:pPr>
              <w:widowControl/>
              <w:jc w:val="left"/>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rPr>
              <w:t>1栋1层，占地面积约1500m</w:t>
            </w:r>
            <w:r>
              <w:rPr>
                <w:rFonts w:hint="default" w:ascii="Times New Roman" w:hAnsi="Times New Roman" w:eastAsia="宋体" w:cs="Times New Roman"/>
                <w:color w:val="auto"/>
                <w:kern w:val="0"/>
                <w:sz w:val="18"/>
                <w:szCs w:val="18"/>
                <w:vertAlign w:val="superscript"/>
              </w:rPr>
              <w:t>2</w:t>
            </w:r>
            <w:r>
              <w:rPr>
                <w:rFonts w:hint="default" w:ascii="Times New Roman" w:hAnsi="Times New Roman" w:eastAsia="宋体" w:cs="Times New Roman"/>
                <w:color w:val="auto"/>
                <w:kern w:val="0"/>
                <w:sz w:val="18"/>
                <w:szCs w:val="18"/>
              </w:rPr>
              <w:t>、建筑面积约1500m</w:t>
            </w:r>
            <w:r>
              <w:rPr>
                <w:rFonts w:hint="default" w:ascii="Times New Roman" w:hAnsi="Times New Roman" w:eastAsia="宋体" w:cs="Times New Roman"/>
                <w:color w:val="auto"/>
                <w:kern w:val="0"/>
                <w:sz w:val="18"/>
                <w:szCs w:val="18"/>
                <w:vertAlign w:val="superscript"/>
              </w:rPr>
              <w:t>2</w:t>
            </w:r>
            <w:r>
              <w:rPr>
                <w:rFonts w:hint="default" w:ascii="Times New Roman" w:hAnsi="Times New Roman" w:eastAsia="宋体" w:cs="Times New Roman"/>
                <w:color w:val="auto"/>
                <w:kern w:val="0"/>
                <w:sz w:val="18"/>
                <w:szCs w:val="18"/>
              </w:rPr>
              <w:t>，位于用地中部。主要用于储存</w:t>
            </w:r>
            <w:r>
              <w:rPr>
                <w:rFonts w:hint="default" w:ascii="Times New Roman" w:hAnsi="Times New Roman" w:cs="Times New Roman"/>
                <w:color w:val="auto"/>
                <w:kern w:val="0"/>
                <w:sz w:val="18"/>
                <w:szCs w:val="18"/>
                <w:lang w:eastAsia="zh-CN"/>
              </w:rPr>
              <w:t>盐酸</w:t>
            </w:r>
            <w:r>
              <w:rPr>
                <w:rFonts w:hint="default" w:ascii="Times New Roman" w:hAnsi="Times New Roman" w:eastAsia="宋体" w:cs="Times New Roman"/>
                <w:color w:val="auto"/>
                <w:kern w:val="0"/>
                <w:sz w:val="18"/>
                <w:szCs w:val="18"/>
              </w:rPr>
              <w:t>、氢氟酸等</w:t>
            </w:r>
          </w:p>
        </w:tc>
        <w:tc>
          <w:tcPr>
            <w:tcW w:w="2038" w:type="dxa"/>
            <w:vAlign w:val="center"/>
          </w:tcPr>
          <w:p>
            <w:pPr>
              <w:widowControl/>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sz w:val="18"/>
                <w:szCs w:val="18"/>
                <w:lang w:val="en-US" w:eastAsia="zh-CN"/>
              </w:rPr>
              <w:t>本项目使用的氢氟酸、盐酸依托该化学品库储存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06" w:type="dxa"/>
            <w:vMerge w:val="continue"/>
            <w:shd w:val="clear" w:color="auto" w:fill="auto"/>
            <w:vAlign w:val="center"/>
          </w:tcPr>
          <w:p>
            <w:pPr>
              <w:jc w:val="center"/>
              <w:rPr>
                <w:rFonts w:hint="default" w:ascii="Times New Roman" w:hAnsi="Times New Roman" w:eastAsia="宋体" w:cs="Times New Roman"/>
                <w:color w:val="auto"/>
                <w:kern w:val="0"/>
                <w:sz w:val="18"/>
                <w:szCs w:val="18"/>
              </w:rPr>
            </w:pPr>
          </w:p>
        </w:tc>
        <w:tc>
          <w:tcPr>
            <w:tcW w:w="1987" w:type="dxa"/>
            <w:gridSpan w:val="3"/>
            <w:shd w:val="clear" w:color="auto" w:fill="auto"/>
            <w:vAlign w:val="center"/>
          </w:tcPr>
          <w:p>
            <w:pPr>
              <w:widowControl/>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eastAsia="zh-CN"/>
              </w:rPr>
              <w:t>二期成品仓库</w:t>
            </w:r>
          </w:p>
        </w:tc>
        <w:tc>
          <w:tcPr>
            <w:tcW w:w="4075" w:type="dxa"/>
            <w:shd w:val="clear" w:color="auto" w:fill="auto"/>
            <w:vAlign w:val="center"/>
          </w:tcPr>
          <w:p>
            <w:pPr>
              <w:widowControl/>
              <w:jc w:val="left"/>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rPr>
              <w:t>1栋1层，建筑面积约</w:t>
            </w:r>
            <w:r>
              <w:rPr>
                <w:rFonts w:hint="default" w:ascii="Times New Roman" w:hAnsi="Times New Roman" w:cs="Times New Roman"/>
                <w:color w:val="auto"/>
                <w:kern w:val="0"/>
                <w:sz w:val="18"/>
                <w:szCs w:val="18"/>
                <w:lang w:val="en-US" w:eastAsia="zh-CN"/>
              </w:rPr>
              <w:t>8800</w:t>
            </w:r>
            <w:r>
              <w:rPr>
                <w:rFonts w:hint="default" w:ascii="Times New Roman" w:hAnsi="Times New Roman" w:eastAsia="宋体" w:cs="Times New Roman"/>
                <w:color w:val="auto"/>
                <w:kern w:val="0"/>
                <w:sz w:val="18"/>
                <w:szCs w:val="18"/>
              </w:rPr>
              <w:t>m</w:t>
            </w:r>
            <w:r>
              <w:rPr>
                <w:rFonts w:hint="default" w:ascii="Times New Roman" w:hAnsi="Times New Roman" w:eastAsia="宋体" w:cs="Times New Roman"/>
                <w:color w:val="auto"/>
                <w:kern w:val="0"/>
                <w:sz w:val="18"/>
                <w:szCs w:val="18"/>
                <w:vertAlign w:val="superscript"/>
              </w:rPr>
              <w:t>2</w:t>
            </w:r>
            <w:r>
              <w:rPr>
                <w:rFonts w:hint="default" w:ascii="Times New Roman" w:hAnsi="Times New Roman" w:eastAsia="宋体" w:cs="Times New Roman"/>
                <w:color w:val="auto"/>
                <w:kern w:val="0"/>
                <w:sz w:val="18"/>
                <w:szCs w:val="18"/>
              </w:rPr>
              <w:t>，位于厂区</w:t>
            </w:r>
            <w:r>
              <w:rPr>
                <w:rFonts w:hint="default" w:ascii="Times New Roman" w:hAnsi="Times New Roman" w:cs="Times New Roman"/>
                <w:color w:val="auto"/>
                <w:kern w:val="0"/>
                <w:sz w:val="18"/>
                <w:szCs w:val="18"/>
                <w:lang w:eastAsia="zh-CN"/>
              </w:rPr>
              <w:t>南</w:t>
            </w:r>
            <w:r>
              <w:rPr>
                <w:rFonts w:hint="default" w:ascii="Times New Roman" w:hAnsi="Times New Roman" w:eastAsia="宋体" w:cs="Times New Roman"/>
                <w:color w:val="auto"/>
                <w:kern w:val="0"/>
                <w:sz w:val="18"/>
                <w:szCs w:val="18"/>
              </w:rPr>
              <w:t>部，用于储存项目生产产品</w:t>
            </w:r>
          </w:p>
        </w:tc>
        <w:tc>
          <w:tcPr>
            <w:tcW w:w="2038" w:type="dxa"/>
            <w:vAlign w:val="center"/>
          </w:tcPr>
          <w:p>
            <w:pPr>
              <w:widowControl/>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sz w:val="18"/>
                <w:szCs w:val="18"/>
                <w:lang w:val="en-US" w:eastAsia="zh-CN"/>
              </w:rPr>
              <w:t>本项目切片成品依托该仓库存储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06" w:type="dxa"/>
            <w:vMerge w:val="restart"/>
            <w:shd w:val="clear" w:color="auto" w:fill="auto"/>
            <w:vAlign w:val="center"/>
          </w:tcPr>
          <w:p>
            <w:pPr>
              <w:widowControl/>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公用工程</w:t>
            </w:r>
          </w:p>
        </w:tc>
        <w:tc>
          <w:tcPr>
            <w:tcW w:w="1987" w:type="dxa"/>
            <w:gridSpan w:val="3"/>
            <w:shd w:val="clear" w:color="auto" w:fill="auto"/>
            <w:vAlign w:val="center"/>
          </w:tcPr>
          <w:p>
            <w:pPr>
              <w:widowControl/>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供水</w:t>
            </w:r>
          </w:p>
        </w:tc>
        <w:tc>
          <w:tcPr>
            <w:tcW w:w="4075" w:type="dxa"/>
            <w:shd w:val="clear" w:color="auto" w:fill="auto"/>
            <w:vAlign w:val="center"/>
          </w:tcPr>
          <w:p>
            <w:pPr>
              <w:widowControl/>
              <w:jc w:val="left"/>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厂区供水管网采用生产、生活与消防共用给水管网，供水由园区自来水供水管网供给</w:t>
            </w:r>
          </w:p>
        </w:tc>
        <w:tc>
          <w:tcPr>
            <w:tcW w:w="2038" w:type="dxa"/>
            <w:vAlign w:val="center"/>
          </w:tcPr>
          <w:p>
            <w:pPr>
              <w:widowControl/>
              <w:jc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本项目供水依托已建成供水管网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606" w:type="dxa"/>
            <w:vMerge w:val="continue"/>
            <w:vAlign w:val="center"/>
          </w:tcPr>
          <w:p>
            <w:pPr>
              <w:widowControl/>
              <w:jc w:val="center"/>
              <w:rPr>
                <w:rFonts w:hint="default" w:ascii="Times New Roman" w:hAnsi="Times New Roman" w:eastAsia="宋体" w:cs="Times New Roman"/>
                <w:color w:val="auto"/>
                <w:kern w:val="0"/>
                <w:sz w:val="18"/>
                <w:szCs w:val="18"/>
              </w:rPr>
            </w:pPr>
          </w:p>
        </w:tc>
        <w:tc>
          <w:tcPr>
            <w:tcW w:w="1987" w:type="dxa"/>
            <w:gridSpan w:val="3"/>
            <w:shd w:val="clear" w:color="auto" w:fill="auto"/>
            <w:vAlign w:val="center"/>
          </w:tcPr>
          <w:p>
            <w:pPr>
              <w:widowControl/>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排水</w:t>
            </w:r>
          </w:p>
        </w:tc>
        <w:tc>
          <w:tcPr>
            <w:tcW w:w="4075" w:type="dxa"/>
            <w:shd w:val="clear" w:color="auto" w:fill="auto"/>
            <w:vAlign w:val="center"/>
          </w:tcPr>
          <w:p>
            <w:pPr>
              <w:widowControl/>
              <w:jc w:val="left"/>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color w:val="auto"/>
                <w:kern w:val="0"/>
                <w:sz w:val="18"/>
                <w:szCs w:val="18"/>
              </w:rPr>
              <w:t>实行雨污分流制，雨水经雨水管网排至项目区</w:t>
            </w:r>
            <w:r>
              <w:rPr>
                <w:rFonts w:hint="default" w:ascii="Times New Roman" w:hAnsi="Times New Roman" w:eastAsia="宋体" w:cs="Times New Roman"/>
                <w:color w:val="auto"/>
                <w:kern w:val="0"/>
                <w:sz w:val="18"/>
                <w:szCs w:val="18"/>
                <w:lang w:eastAsia="zh-CN"/>
              </w:rPr>
              <w:t>南</w:t>
            </w:r>
            <w:r>
              <w:rPr>
                <w:rFonts w:hint="default" w:ascii="Times New Roman" w:hAnsi="Times New Roman" w:eastAsia="宋体" w:cs="Times New Roman"/>
                <w:color w:val="auto"/>
                <w:kern w:val="0"/>
                <w:sz w:val="18"/>
                <w:szCs w:val="18"/>
              </w:rPr>
              <w:t>侧道路的雨水管网；生活废水和生产废水在场内预处理后通过</w:t>
            </w:r>
            <w:r>
              <w:rPr>
                <w:rFonts w:hint="default" w:ascii="Times New Roman" w:hAnsi="Times New Roman" w:eastAsia="宋体" w:cs="Times New Roman"/>
                <w:color w:val="auto"/>
                <w:kern w:val="0"/>
                <w:sz w:val="18"/>
                <w:szCs w:val="18"/>
                <w:lang w:eastAsia="zh-CN"/>
              </w:rPr>
              <w:t>项目</w:t>
            </w:r>
            <w:r>
              <w:rPr>
                <w:rFonts w:hint="default" w:ascii="Times New Roman" w:hAnsi="Times New Roman" w:cs="Times New Roman"/>
                <w:color w:val="auto"/>
                <w:kern w:val="0"/>
                <w:sz w:val="18"/>
                <w:szCs w:val="18"/>
                <w:lang w:eastAsia="zh-CN"/>
              </w:rPr>
              <w:t>西侧</w:t>
            </w:r>
            <w:r>
              <w:rPr>
                <w:rFonts w:hint="default" w:ascii="Times New Roman" w:hAnsi="Times New Roman" w:eastAsia="宋体" w:cs="Times New Roman"/>
                <w:color w:val="auto"/>
                <w:kern w:val="0"/>
                <w:sz w:val="18"/>
                <w:szCs w:val="18"/>
                <w:lang w:eastAsia="zh-CN"/>
              </w:rPr>
              <w:t>的</w:t>
            </w:r>
            <w:r>
              <w:rPr>
                <w:rFonts w:hint="default" w:ascii="Times New Roman" w:hAnsi="Times New Roman" w:eastAsia="宋体" w:cs="Times New Roman"/>
                <w:color w:val="auto"/>
                <w:kern w:val="0"/>
                <w:sz w:val="18"/>
                <w:szCs w:val="18"/>
              </w:rPr>
              <w:t>废水总排口排入市政污水管网</w:t>
            </w:r>
          </w:p>
        </w:tc>
        <w:tc>
          <w:tcPr>
            <w:tcW w:w="2038" w:type="dxa"/>
            <w:vAlign w:val="center"/>
          </w:tcPr>
          <w:p>
            <w:pPr>
              <w:widowControl/>
              <w:jc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本项目排水依托已建成排水管网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606" w:type="dxa"/>
            <w:vMerge w:val="continue"/>
            <w:vAlign w:val="center"/>
          </w:tcPr>
          <w:p>
            <w:pPr>
              <w:widowControl/>
              <w:jc w:val="center"/>
              <w:rPr>
                <w:rFonts w:hint="default" w:ascii="Times New Roman" w:hAnsi="Times New Roman" w:eastAsia="宋体" w:cs="Times New Roman"/>
                <w:color w:val="auto"/>
                <w:kern w:val="0"/>
                <w:sz w:val="18"/>
                <w:szCs w:val="18"/>
              </w:rPr>
            </w:pPr>
          </w:p>
        </w:tc>
        <w:tc>
          <w:tcPr>
            <w:tcW w:w="1987" w:type="dxa"/>
            <w:gridSpan w:val="3"/>
            <w:shd w:val="clear" w:color="auto" w:fill="auto"/>
            <w:vAlign w:val="center"/>
          </w:tcPr>
          <w:p>
            <w:pPr>
              <w:widowControl/>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供电</w:t>
            </w:r>
          </w:p>
        </w:tc>
        <w:tc>
          <w:tcPr>
            <w:tcW w:w="4075" w:type="dxa"/>
            <w:shd w:val="clear" w:color="auto" w:fill="auto"/>
            <w:vAlign w:val="center"/>
          </w:tcPr>
          <w:p>
            <w:pPr>
              <w:keepNext w:val="0"/>
              <w:keepLines w:val="0"/>
              <w:widowControl/>
              <w:suppressLineNumbers w:val="0"/>
              <w:jc w:val="left"/>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lang w:val="en-US" w:eastAsia="zh-CN" w:bidi="ar"/>
              </w:rPr>
              <w:t>项目用电引自园区供电电网，厂区设置1座110KV变电站，经变压器在分配到各用电终端</w:t>
            </w:r>
          </w:p>
        </w:tc>
        <w:tc>
          <w:tcPr>
            <w:tcW w:w="2038" w:type="dxa"/>
            <w:vAlign w:val="center"/>
          </w:tcPr>
          <w:p>
            <w:pPr>
              <w:widowControl/>
              <w:jc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本项目供电依托已建成供电设施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06" w:type="dxa"/>
            <w:vMerge w:val="restart"/>
            <w:shd w:val="clear" w:color="auto" w:fill="auto"/>
            <w:vAlign w:val="center"/>
          </w:tcPr>
          <w:p>
            <w:pPr>
              <w:widowControl/>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环保工程</w:t>
            </w:r>
          </w:p>
        </w:tc>
        <w:tc>
          <w:tcPr>
            <w:tcW w:w="450" w:type="dxa"/>
            <w:vMerge w:val="restart"/>
            <w:shd w:val="clear" w:color="auto" w:fill="auto"/>
            <w:vAlign w:val="center"/>
          </w:tcPr>
          <w:p>
            <w:pPr>
              <w:widowControl/>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废气处置措施</w:t>
            </w:r>
          </w:p>
        </w:tc>
        <w:tc>
          <w:tcPr>
            <w:tcW w:w="737" w:type="dxa"/>
            <w:vMerge w:val="restart"/>
            <w:shd w:val="clear" w:color="auto" w:fill="auto"/>
            <w:vAlign w:val="center"/>
          </w:tcPr>
          <w:p>
            <w:pPr>
              <w:widowControl/>
              <w:jc w:val="center"/>
              <w:rPr>
                <w:rFonts w:hint="default" w:ascii="Times New Roman" w:hAnsi="Times New Roman" w:eastAsia="宋体" w:cs="Times New Roman"/>
                <w:color w:val="auto"/>
                <w:kern w:val="0"/>
                <w:sz w:val="18"/>
                <w:szCs w:val="18"/>
              </w:rPr>
            </w:pPr>
            <w:r>
              <w:rPr>
                <w:rFonts w:hint="default" w:ascii="Times New Roman" w:hAnsi="Times New Roman" w:cs="Times New Roman"/>
                <w:color w:val="auto"/>
                <w:sz w:val="18"/>
                <w:szCs w:val="18"/>
                <w:lang w:eastAsia="zh-CN"/>
              </w:rPr>
              <w:t>切片车间</w:t>
            </w:r>
          </w:p>
        </w:tc>
        <w:tc>
          <w:tcPr>
            <w:tcW w:w="800" w:type="dxa"/>
            <w:shd w:val="clear" w:color="auto" w:fill="auto"/>
            <w:vAlign w:val="center"/>
          </w:tcPr>
          <w:p>
            <w:pPr>
              <w:widowControl/>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eastAsia="zh-CN"/>
              </w:rPr>
              <w:t>活性炭吸附塔</w:t>
            </w:r>
          </w:p>
        </w:tc>
        <w:tc>
          <w:tcPr>
            <w:tcW w:w="4075" w:type="dxa"/>
            <w:shd w:val="clear" w:color="auto" w:fill="auto"/>
            <w:vAlign w:val="center"/>
          </w:tcPr>
          <w:p>
            <w:pPr>
              <w:widowControl/>
              <w:jc w:val="left"/>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设置1套活性炭吸附塔治理</w:t>
            </w:r>
            <w:r>
              <w:rPr>
                <w:rFonts w:hint="default" w:ascii="Times New Roman" w:hAnsi="Times New Roman" w:cs="Times New Roman"/>
                <w:color w:val="auto"/>
                <w:sz w:val="18"/>
                <w:szCs w:val="18"/>
                <w:lang w:val="en-US" w:eastAsia="zh-CN"/>
              </w:rPr>
              <w:t>有机废气</w:t>
            </w:r>
            <w:r>
              <w:rPr>
                <w:rFonts w:hint="default" w:ascii="Times New Roman" w:hAnsi="Times New Roman" w:eastAsia="宋体" w:cs="Times New Roman"/>
                <w:color w:val="auto"/>
                <w:sz w:val="18"/>
                <w:szCs w:val="18"/>
                <w:lang w:val="en-US" w:eastAsia="zh-CN"/>
              </w:rPr>
              <w:t>后通过1根</w:t>
            </w:r>
            <w:r>
              <w:rPr>
                <w:rFonts w:hint="default" w:ascii="Times New Roman" w:hAnsi="Times New Roman" w:cs="Times New Roman"/>
                <w:color w:val="auto"/>
                <w:sz w:val="18"/>
                <w:szCs w:val="18"/>
                <w:lang w:val="en-US" w:eastAsia="zh-CN"/>
              </w:rPr>
              <w:t>15</w:t>
            </w:r>
            <w:r>
              <w:rPr>
                <w:rFonts w:hint="default" w:ascii="Times New Roman" w:hAnsi="Times New Roman" w:eastAsia="宋体" w:cs="Times New Roman"/>
                <w:color w:val="auto"/>
                <w:sz w:val="18"/>
                <w:szCs w:val="18"/>
                <w:lang w:val="en-US" w:eastAsia="zh-CN"/>
              </w:rPr>
              <w:t>m高排气筒DA008排放</w:t>
            </w:r>
          </w:p>
        </w:tc>
        <w:tc>
          <w:tcPr>
            <w:tcW w:w="2038" w:type="dxa"/>
            <w:vAlign w:val="center"/>
          </w:tcPr>
          <w:p>
            <w:pPr>
              <w:widowControl/>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bidi="ar-SA"/>
              </w:rPr>
              <w:t>本项目产生的有机废气依托该设施治理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06" w:type="dxa"/>
            <w:vMerge w:val="continue"/>
            <w:shd w:val="clear" w:color="auto" w:fill="auto"/>
            <w:vAlign w:val="center"/>
          </w:tcPr>
          <w:p>
            <w:pPr>
              <w:widowControl/>
              <w:jc w:val="center"/>
              <w:rPr>
                <w:rFonts w:hint="default" w:ascii="Times New Roman" w:hAnsi="Times New Roman" w:eastAsia="宋体" w:cs="Times New Roman"/>
                <w:color w:val="auto"/>
                <w:kern w:val="0"/>
                <w:sz w:val="18"/>
                <w:szCs w:val="18"/>
              </w:rPr>
            </w:pPr>
          </w:p>
        </w:tc>
        <w:tc>
          <w:tcPr>
            <w:tcW w:w="450" w:type="dxa"/>
            <w:vMerge w:val="continue"/>
            <w:shd w:val="clear" w:color="auto" w:fill="auto"/>
            <w:vAlign w:val="center"/>
          </w:tcPr>
          <w:p>
            <w:pPr>
              <w:widowControl/>
              <w:jc w:val="center"/>
              <w:rPr>
                <w:rFonts w:hint="default" w:ascii="Times New Roman" w:hAnsi="Times New Roman" w:eastAsia="宋体" w:cs="Times New Roman"/>
                <w:color w:val="auto"/>
                <w:kern w:val="0"/>
                <w:sz w:val="18"/>
                <w:szCs w:val="18"/>
              </w:rPr>
            </w:pPr>
          </w:p>
        </w:tc>
        <w:tc>
          <w:tcPr>
            <w:tcW w:w="737" w:type="dxa"/>
            <w:vMerge w:val="continue"/>
            <w:shd w:val="clear" w:color="auto" w:fill="auto"/>
            <w:vAlign w:val="center"/>
          </w:tcPr>
          <w:p>
            <w:pPr>
              <w:widowControl/>
              <w:jc w:val="center"/>
              <w:rPr>
                <w:rFonts w:hint="default" w:ascii="Times New Roman" w:hAnsi="Times New Roman" w:eastAsia="宋体" w:cs="Times New Roman"/>
                <w:color w:val="auto"/>
                <w:kern w:val="0"/>
                <w:sz w:val="18"/>
                <w:szCs w:val="18"/>
              </w:rPr>
            </w:pPr>
          </w:p>
        </w:tc>
        <w:tc>
          <w:tcPr>
            <w:tcW w:w="800" w:type="dxa"/>
            <w:shd w:val="clear" w:color="auto" w:fill="auto"/>
            <w:vAlign w:val="center"/>
          </w:tcPr>
          <w:p>
            <w:pPr>
              <w:widowControl/>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eastAsia="zh-CN"/>
              </w:rPr>
              <w:t>文丘里洗涤塔</w:t>
            </w:r>
          </w:p>
        </w:tc>
        <w:tc>
          <w:tcPr>
            <w:tcW w:w="4075" w:type="dxa"/>
            <w:shd w:val="clear" w:color="auto" w:fill="auto"/>
            <w:vAlign w:val="center"/>
          </w:tcPr>
          <w:p>
            <w:pPr>
              <w:widowControl/>
              <w:jc w:val="left"/>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设置1套</w:t>
            </w:r>
            <w:r>
              <w:rPr>
                <w:rFonts w:hint="default" w:ascii="Times New Roman" w:hAnsi="Times New Roman" w:cs="Times New Roman"/>
                <w:color w:val="auto"/>
                <w:sz w:val="18"/>
                <w:szCs w:val="18"/>
                <w:lang w:val="en-US" w:eastAsia="zh-CN"/>
              </w:rPr>
              <w:t>文丘里洗涤塔（湿式除尘器）</w:t>
            </w:r>
            <w:r>
              <w:rPr>
                <w:rFonts w:hint="default" w:ascii="Times New Roman" w:hAnsi="Times New Roman" w:eastAsia="宋体" w:cs="Times New Roman"/>
                <w:color w:val="auto"/>
                <w:sz w:val="18"/>
                <w:szCs w:val="18"/>
                <w:lang w:val="en-US" w:eastAsia="zh-CN"/>
              </w:rPr>
              <w:t>治理</w:t>
            </w:r>
            <w:r>
              <w:rPr>
                <w:rFonts w:hint="default" w:ascii="Times New Roman" w:hAnsi="Times New Roman" w:cs="Times New Roman"/>
                <w:color w:val="auto"/>
                <w:sz w:val="18"/>
                <w:szCs w:val="18"/>
                <w:lang w:val="en-US" w:eastAsia="zh-CN"/>
              </w:rPr>
              <w:t>切片粉尘</w:t>
            </w:r>
            <w:r>
              <w:rPr>
                <w:rFonts w:hint="default" w:ascii="Times New Roman" w:hAnsi="Times New Roman" w:eastAsia="宋体" w:cs="Times New Roman"/>
                <w:color w:val="auto"/>
                <w:sz w:val="18"/>
                <w:szCs w:val="18"/>
                <w:lang w:val="en-US" w:eastAsia="zh-CN"/>
              </w:rPr>
              <w:t>后通过1根</w:t>
            </w:r>
            <w:r>
              <w:rPr>
                <w:rFonts w:hint="default" w:ascii="Times New Roman" w:hAnsi="Times New Roman" w:cs="Times New Roman"/>
                <w:color w:val="auto"/>
                <w:sz w:val="18"/>
                <w:szCs w:val="18"/>
                <w:lang w:val="en-US" w:eastAsia="zh-CN"/>
              </w:rPr>
              <w:t>15</w:t>
            </w:r>
            <w:r>
              <w:rPr>
                <w:rFonts w:hint="default" w:ascii="Times New Roman" w:hAnsi="Times New Roman" w:eastAsia="宋体" w:cs="Times New Roman"/>
                <w:color w:val="auto"/>
                <w:sz w:val="18"/>
                <w:szCs w:val="18"/>
                <w:lang w:val="en-US" w:eastAsia="zh-CN"/>
              </w:rPr>
              <w:t>m高排气筒DA00</w:t>
            </w:r>
            <w:r>
              <w:rPr>
                <w:rFonts w:hint="default" w:ascii="Times New Roman" w:hAnsi="Times New Roman" w:cs="Times New Roman"/>
                <w:color w:val="auto"/>
                <w:sz w:val="18"/>
                <w:szCs w:val="18"/>
                <w:lang w:val="en-US" w:eastAsia="zh-CN"/>
              </w:rPr>
              <w:t>9</w:t>
            </w:r>
            <w:r>
              <w:rPr>
                <w:rFonts w:hint="default" w:ascii="Times New Roman" w:hAnsi="Times New Roman" w:eastAsia="宋体" w:cs="Times New Roman"/>
                <w:color w:val="auto"/>
                <w:sz w:val="18"/>
                <w:szCs w:val="18"/>
                <w:lang w:val="en-US" w:eastAsia="zh-CN"/>
              </w:rPr>
              <w:t>排放</w:t>
            </w:r>
          </w:p>
        </w:tc>
        <w:tc>
          <w:tcPr>
            <w:tcW w:w="2038" w:type="dxa"/>
            <w:vAlign w:val="center"/>
          </w:tcPr>
          <w:p>
            <w:pPr>
              <w:widowControl/>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bidi="ar-SA"/>
              </w:rPr>
              <w:t>本项目产生的粉尘依托该设施治理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06" w:type="dxa"/>
            <w:vMerge w:val="continue"/>
            <w:shd w:val="clear" w:color="auto" w:fill="auto"/>
            <w:vAlign w:val="center"/>
          </w:tcPr>
          <w:p>
            <w:pPr>
              <w:widowControl/>
              <w:jc w:val="center"/>
              <w:rPr>
                <w:rFonts w:hint="default" w:ascii="Times New Roman" w:hAnsi="Times New Roman" w:eastAsia="宋体" w:cs="Times New Roman"/>
                <w:color w:val="auto"/>
                <w:kern w:val="0"/>
                <w:sz w:val="18"/>
                <w:szCs w:val="18"/>
              </w:rPr>
            </w:pPr>
          </w:p>
        </w:tc>
        <w:tc>
          <w:tcPr>
            <w:tcW w:w="450" w:type="dxa"/>
            <w:vMerge w:val="continue"/>
            <w:shd w:val="clear" w:color="auto" w:fill="auto"/>
            <w:vAlign w:val="center"/>
          </w:tcPr>
          <w:p>
            <w:pPr>
              <w:widowControl/>
              <w:jc w:val="center"/>
              <w:rPr>
                <w:rFonts w:hint="default" w:ascii="Times New Roman" w:hAnsi="Times New Roman" w:eastAsia="宋体" w:cs="Times New Roman"/>
                <w:color w:val="auto"/>
                <w:kern w:val="0"/>
                <w:sz w:val="18"/>
                <w:szCs w:val="18"/>
              </w:rPr>
            </w:pPr>
          </w:p>
        </w:tc>
        <w:tc>
          <w:tcPr>
            <w:tcW w:w="737" w:type="dxa"/>
            <w:vMerge w:val="continue"/>
            <w:shd w:val="clear" w:color="auto" w:fill="auto"/>
            <w:vAlign w:val="center"/>
          </w:tcPr>
          <w:p>
            <w:pPr>
              <w:widowControl/>
              <w:jc w:val="center"/>
              <w:rPr>
                <w:rFonts w:hint="default" w:ascii="Times New Roman" w:hAnsi="Times New Roman" w:eastAsia="宋体" w:cs="Times New Roman"/>
                <w:color w:val="auto"/>
                <w:kern w:val="0"/>
                <w:sz w:val="18"/>
                <w:szCs w:val="18"/>
              </w:rPr>
            </w:pPr>
          </w:p>
        </w:tc>
        <w:tc>
          <w:tcPr>
            <w:tcW w:w="800" w:type="dxa"/>
            <w:shd w:val="clear" w:color="auto" w:fill="auto"/>
            <w:vAlign w:val="center"/>
          </w:tcPr>
          <w:p>
            <w:pPr>
              <w:widowControl/>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bidi="ar-SA"/>
              </w:rPr>
              <w:t>四级氢氧化钠洗涤塔</w:t>
            </w:r>
          </w:p>
        </w:tc>
        <w:tc>
          <w:tcPr>
            <w:tcW w:w="4075" w:type="dxa"/>
            <w:shd w:val="clear" w:color="auto" w:fill="auto"/>
            <w:vAlign w:val="center"/>
          </w:tcPr>
          <w:p>
            <w:pPr>
              <w:widowControl/>
              <w:jc w:val="left"/>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kern w:val="2"/>
                <w:sz w:val="18"/>
                <w:szCs w:val="18"/>
                <w:lang w:val="en-US" w:eastAsia="zh-CN" w:bidi="ar-SA"/>
              </w:rPr>
              <w:t>设置1套四级氢氧化钠洗涤塔治理吸杂车间产生的酸洗废气后通过1根15m高排气筒DA011排放</w:t>
            </w:r>
          </w:p>
        </w:tc>
        <w:tc>
          <w:tcPr>
            <w:tcW w:w="2038" w:type="dxa"/>
            <w:vAlign w:val="center"/>
          </w:tcPr>
          <w:p>
            <w:pPr>
              <w:widowControl/>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bidi="ar-SA"/>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06" w:type="dxa"/>
            <w:vMerge w:val="continue"/>
            <w:shd w:val="clear" w:color="auto" w:fill="auto"/>
            <w:vAlign w:val="center"/>
          </w:tcPr>
          <w:p>
            <w:pPr>
              <w:widowControl/>
              <w:jc w:val="center"/>
              <w:rPr>
                <w:rFonts w:hint="default" w:ascii="Times New Roman" w:hAnsi="Times New Roman" w:eastAsia="宋体" w:cs="Times New Roman"/>
                <w:color w:val="auto"/>
                <w:kern w:val="0"/>
                <w:sz w:val="18"/>
                <w:szCs w:val="18"/>
              </w:rPr>
            </w:pPr>
          </w:p>
        </w:tc>
        <w:tc>
          <w:tcPr>
            <w:tcW w:w="450" w:type="dxa"/>
            <w:vMerge w:val="continue"/>
            <w:shd w:val="clear" w:color="auto" w:fill="auto"/>
            <w:vAlign w:val="center"/>
          </w:tcPr>
          <w:p>
            <w:pPr>
              <w:widowControl/>
              <w:jc w:val="center"/>
              <w:rPr>
                <w:rFonts w:hint="default" w:ascii="Times New Roman" w:hAnsi="Times New Roman" w:eastAsia="宋体" w:cs="Times New Roman"/>
                <w:color w:val="auto"/>
                <w:kern w:val="0"/>
                <w:sz w:val="18"/>
                <w:szCs w:val="18"/>
              </w:rPr>
            </w:pPr>
          </w:p>
        </w:tc>
        <w:tc>
          <w:tcPr>
            <w:tcW w:w="737" w:type="dxa"/>
            <w:shd w:val="clear" w:color="auto" w:fill="auto"/>
            <w:vAlign w:val="center"/>
          </w:tcPr>
          <w:p>
            <w:pPr>
              <w:widowControl/>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eastAsia="zh-CN"/>
              </w:rPr>
              <w:t>综合污水处理站</w:t>
            </w:r>
          </w:p>
        </w:tc>
        <w:tc>
          <w:tcPr>
            <w:tcW w:w="800" w:type="dxa"/>
            <w:shd w:val="clear" w:color="auto" w:fill="auto"/>
            <w:vAlign w:val="center"/>
          </w:tcPr>
          <w:p>
            <w:pPr>
              <w:widowControl/>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eastAsia="zh-CN"/>
              </w:rPr>
              <w:t>除臭系统</w:t>
            </w:r>
          </w:p>
        </w:tc>
        <w:tc>
          <w:tcPr>
            <w:tcW w:w="4075" w:type="dxa"/>
            <w:shd w:val="clear" w:color="auto" w:fill="auto"/>
            <w:vAlign w:val="center"/>
          </w:tcPr>
          <w:p>
            <w:pPr>
              <w:widowControl/>
              <w:jc w:val="left"/>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设置1套除臭系统（碱吸收）治理综合污水处理站恶臭后通过1</w:t>
            </w:r>
            <w:r>
              <w:rPr>
                <w:rFonts w:hint="default" w:ascii="Times New Roman" w:hAnsi="Times New Roman" w:eastAsia="宋体" w:cs="Times New Roman"/>
                <w:color w:val="auto"/>
                <w:sz w:val="18"/>
                <w:szCs w:val="18"/>
                <w:lang w:val="en-US" w:eastAsia="zh-CN"/>
              </w:rPr>
              <w:t>根</w:t>
            </w:r>
            <w:r>
              <w:rPr>
                <w:rFonts w:hint="default" w:ascii="Times New Roman" w:hAnsi="Times New Roman" w:cs="Times New Roman"/>
                <w:color w:val="auto"/>
                <w:sz w:val="18"/>
                <w:szCs w:val="18"/>
                <w:lang w:val="en-US" w:eastAsia="zh-CN"/>
              </w:rPr>
              <w:t>1</w:t>
            </w:r>
            <w:r>
              <w:rPr>
                <w:rFonts w:hint="default" w:ascii="Times New Roman" w:hAnsi="Times New Roman" w:eastAsia="宋体" w:cs="Times New Roman"/>
                <w:color w:val="auto"/>
                <w:sz w:val="18"/>
                <w:szCs w:val="18"/>
                <w:lang w:val="en-US" w:eastAsia="zh-CN"/>
              </w:rPr>
              <w:t>5m高排气筒DA0</w:t>
            </w:r>
            <w:r>
              <w:rPr>
                <w:rFonts w:hint="default" w:ascii="Times New Roman" w:hAnsi="Times New Roman" w:cs="Times New Roman"/>
                <w:color w:val="auto"/>
                <w:sz w:val="18"/>
                <w:szCs w:val="18"/>
                <w:lang w:val="en-US" w:eastAsia="zh-CN"/>
              </w:rPr>
              <w:t>10</w:t>
            </w:r>
            <w:r>
              <w:rPr>
                <w:rFonts w:hint="default" w:ascii="Times New Roman" w:hAnsi="Times New Roman" w:eastAsia="宋体" w:cs="Times New Roman"/>
                <w:color w:val="auto"/>
                <w:sz w:val="18"/>
                <w:szCs w:val="18"/>
                <w:lang w:val="en-US" w:eastAsia="zh-CN"/>
              </w:rPr>
              <w:t>排放</w:t>
            </w:r>
          </w:p>
        </w:tc>
        <w:tc>
          <w:tcPr>
            <w:tcW w:w="2038" w:type="dxa"/>
            <w:vAlign w:val="center"/>
          </w:tcPr>
          <w:p>
            <w:pPr>
              <w:widowControl/>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bidi="ar-SA"/>
              </w:rPr>
              <w:t>本项目废水处理产生的恶臭依托该设施治理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606" w:type="dxa"/>
            <w:vMerge w:val="continue"/>
            <w:vAlign w:val="center"/>
          </w:tcPr>
          <w:p>
            <w:pPr>
              <w:widowControl/>
              <w:jc w:val="center"/>
              <w:rPr>
                <w:rFonts w:hint="default" w:ascii="Times New Roman" w:hAnsi="Times New Roman" w:eastAsia="宋体" w:cs="Times New Roman"/>
                <w:color w:val="auto"/>
                <w:kern w:val="0"/>
                <w:sz w:val="18"/>
                <w:szCs w:val="18"/>
              </w:rPr>
            </w:pPr>
          </w:p>
        </w:tc>
        <w:tc>
          <w:tcPr>
            <w:tcW w:w="450" w:type="dxa"/>
            <w:vMerge w:val="restart"/>
            <w:shd w:val="clear" w:color="auto" w:fill="auto"/>
            <w:vAlign w:val="center"/>
          </w:tcPr>
          <w:p>
            <w:pPr>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废水处置措施</w:t>
            </w:r>
          </w:p>
        </w:tc>
        <w:tc>
          <w:tcPr>
            <w:tcW w:w="737" w:type="dxa"/>
            <w:vMerge w:val="restart"/>
            <w:shd w:val="clear" w:color="auto" w:fill="auto"/>
            <w:vAlign w:val="center"/>
          </w:tcPr>
          <w:p>
            <w:pPr>
              <w:widowControl/>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生活废水</w:t>
            </w:r>
          </w:p>
        </w:tc>
        <w:tc>
          <w:tcPr>
            <w:tcW w:w="800" w:type="dxa"/>
            <w:shd w:val="clear" w:color="auto" w:fill="auto"/>
            <w:vAlign w:val="center"/>
          </w:tcPr>
          <w:p>
            <w:pPr>
              <w:widowControl/>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eastAsia="zh-CN"/>
              </w:rPr>
              <w:t>隔油池</w:t>
            </w:r>
          </w:p>
        </w:tc>
        <w:tc>
          <w:tcPr>
            <w:tcW w:w="4075" w:type="dxa"/>
            <w:shd w:val="clear" w:color="auto" w:fill="auto"/>
            <w:vAlign w:val="center"/>
          </w:tcPr>
          <w:p>
            <w:pPr>
              <w:widowControl/>
              <w:jc w:val="left"/>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设置</w:t>
            </w:r>
            <w:r>
              <w:rPr>
                <w:rFonts w:hint="default" w:ascii="Times New Roman" w:hAnsi="Times New Roman" w:cs="Times New Roman"/>
                <w:color w:val="auto"/>
                <w:kern w:val="0"/>
                <w:sz w:val="18"/>
                <w:szCs w:val="18"/>
                <w:lang w:val="en-US" w:eastAsia="zh-CN"/>
              </w:rPr>
              <w:t>2</w:t>
            </w:r>
            <w:r>
              <w:rPr>
                <w:rFonts w:hint="default" w:ascii="Times New Roman" w:hAnsi="Times New Roman" w:eastAsia="宋体" w:cs="Times New Roman"/>
                <w:color w:val="auto"/>
                <w:kern w:val="0"/>
                <w:sz w:val="18"/>
                <w:szCs w:val="18"/>
              </w:rPr>
              <w:t>座</w:t>
            </w:r>
            <w:r>
              <w:rPr>
                <w:rFonts w:hint="default" w:ascii="Times New Roman" w:hAnsi="Times New Roman" w:cs="Times New Roman"/>
                <w:color w:val="auto"/>
                <w:kern w:val="0"/>
                <w:sz w:val="18"/>
                <w:szCs w:val="18"/>
                <w:lang w:eastAsia="zh-CN"/>
              </w:rPr>
              <w:t>总容积为</w:t>
            </w:r>
            <w:r>
              <w:rPr>
                <w:rFonts w:hint="default" w:ascii="Times New Roman" w:hAnsi="Times New Roman" w:cs="Times New Roman"/>
                <w:color w:val="auto"/>
                <w:kern w:val="0"/>
                <w:sz w:val="18"/>
                <w:szCs w:val="18"/>
                <w:lang w:val="en-US" w:eastAsia="zh-CN"/>
              </w:rPr>
              <w:t>1</w:t>
            </w:r>
            <w:r>
              <w:rPr>
                <w:rFonts w:hint="default" w:ascii="Times New Roman" w:hAnsi="Times New Roman" w:eastAsia="宋体" w:cs="Times New Roman"/>
                <w:color w:val="auto"/>
                <w:kern w:val="0"/>
                <w:sz w:val="18"/>
                <w:szCs w:val="18"/>
              </w:rPr>
              <w:t>9.52m</w:t>
            </w:r>
            <w:r>
              <w:rPr>
                <w:rFonts w:hint="default" w:ascii="Times New Roman" w:hAnsi="Times New Roman" w:eastAsia="宋体" w:cs="Times New Roman"/>
                <w:color w:val="auto"/>
                <w:kern w:val="0"/>
                <w:sz w:val="18"/>
                <w:szCs w:val="18"/>
                <w:vertAlign w:val="superscript"/>
              </w:rPr>
              <w:t>3</w:t>
            </w:r>
            <w:r>
              <w:rPr>
                <w:rFonts w:hint="default" w:ascii="Times New Roman" w:hAnsi="Times New Roman" w:eastAsia="宋体" w:cs="Times New Roman"/>
                <w:color w:val="auto"/>
                <w:kern w:val="0"/>
                <w:sz w:val="18"/>
                <w:szCs w:val="18"/>
              </w:rPr>
              <w:t>隔油池</w:t>
            </w:r>
            <w:r>
              <w:rPr>
                <w:rFonts w:hint="default" w:ascii="Times New Roman" w:hAnsi="Times New Roman" w:eastAsia="宋体" w:cs="Times New Roman"/>
                <w:color w:val="auto"/>
                <w:kern w:val="0"/>
                <w:sz w:val="18"/>
                <w:szCs w:val="18"/>
                <w:lang w:eastAsia="zh-CN"/>
              </w:rPr>
              <w:t>处理食堂废水</w:t>
            </w:r>
          </w:p>
        </w:tc>
        <w:tc>
          <w:tcPr>
            <w:tcW w:w="2038" w:type="dxa"/>
            <w:vAlign w:val="center"/>
          </w:tcPr>
          <w:p>
            <w:pPr>
              <w:widowControl/>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kern w:val="2"/>
                <w:sz w:val="18"/>
                <w:szCs w:val="18"/>
                <w:lang w:val="en-US" w:eastAsia="zh-CN" w:bidi="ar-SA"/>
              </w:rPr>
              <w:t>本项目产生的生活废水依托该设施治理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606" w:type="dxa"/>
            <w:vMerge w:val="continue"/>
            <w:vAlign w:val="center"/>
          </w:tcPr>
          <w:p>
            <w:pPr>
              <w:widowControl/>
              <w:jc w:val="center"/>
              <w:rPr>
                <w:rFonts w:hint="default" w:ascii="Times New Roman" w:hAnsi="Times New Roman" w:cs="Times New Roman"/>
                <w:color w:val="auto"/>
              </w:rPr>
            </w:pPr>
          </w:p>
        </w:tc>
        <w:tc>
          <w:tcPr>
            <w:tcW w:w="450" w:type="dxa"/>
            <w:vMerge w:val="continue"/>
            <w:shd w:val="clear" w:color="auto" w:fill="auto"/>
            <w:vAlign w:val="center"/>
          </w:tcPr>
          <w:p>
            <w:pPr>
              <w:widowControl/>
              <w:jc w:val="center"/>
              <w:rPr>
                <w:rFonts w:hint="default" w:ascii="Times New Roman" w:hAnsi="Times New Roman" w:cs="Times New Roman"/>
                <w:color w:val="auto"/>
              </w:rPr>
            </w:pPr>
          </w:p>
        </w:tc>
        <w:tc>
          <w:tcPr>
            <w:tcW w:w="737" w:type="dxa"/>
            <w:vMerge w:val="continue"/>
            <w:shd w:val="clear" w:color="auto" w:fill="auto"/>
            <w:vAlign w:val="center"/>
          </w:tcPr>
          <w:p>
            <w:pPr>
              <w:widowControl/>
              <w:jc w:val="center"/>
              <w:rPr>
                <w:rFonts w:hint="default" w:ascii="Times New Roman" w:hAnsi="Times New Roman" w:cs="Times New Roman"/>
                <w:color w:val="auto"/>
              </w:rPr>
            </w:pPr>
          </w:p>
        </w:tc>
        <w:tc>
          <w:tcPr>
            <w:tcW w:w="800" w:type="dxa"/>
            <w:shd w:val="clear" w:color="auto" w:fill="auto"/>
            <w:vAlign w:val="center"/>
          </w:tcPr>
          <w:p>
            <w:pPr>
              <w:widowControl/>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eastAsia="zh-CN"/>
              </w:rPr>
              <w:t>化粪池</w:t>
            </w:r>
          </w:p>
        </w:tc>
        <w:tc>
          <w:tcPr>
            <w:tcW w:w="4075" w:type="dxa"/>
            <w:shd w:val="clear" w:color="auto" w:fill="auto"/>
            <w:vAlign w:val="center"/>
          </w:tcPr>
          <w:p>
            <w:pPr>
              <w:widowControl/>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eastAsia="zh-CN"/>
              </w:rPr>
              <w:t>设置</w:t>
            </w:r>
            <w:r>
              <w:rPr>
                <w:rFonts w:hint="default" w:ascii="Times New Roman" w:hAnsi="Times New Roman" w:cs="Times New Roman"/>
                <w:color w:val="auto"/>
                <w:sz w:val="18"/>
                <w:szCs w:val="18"/>
                <w:lang w:val="en-US" w:eastAsia="zh-CN"/>
              </w:rPr>
              <w:t>9</w:t>
            </w:r>
            <w:r>
              <w:rPr>
                <w:rFonts w:hint="default" w:ascii="Times New Roman" w:hAnsi="Times New Roman" w:eastAsia="宋体" w:cs="Times New Roman"/>
                <w:color w:val="auto"/>
                <w:sz w:val="18"/>
                <w:szCs w:val="18"/>
              </w:rPr>
              <w:t>座总容积为</w:t>
            </w:r>
            <w:r>
              <w:rPr>
                <w:rFonts w:hint="default" w:ascii="Times New Roman" w:hAnsi="Times New Roman" w:cs="Times New Roman"/>
                <w:color w:val="auto"/>
                <w:sz w:val="18"/>
                <w:szCs w:val="18"/>
                <w:lang w:val="en-US" w:eastAsia="zh-CN"/>
              </w:rPr>
              <w:t>2</w:t>
            </w:r>
            <w:r>
              <w:rPr>
                <w:rFonts w:hint="default" w:ascii="Times New Roman" w:hAnsi="Times New Roman" w:eastAsia="宋体" w:cs="Times New Roman"/>
                <w:color w:val="auto"/>
                <w:sz w:val="18"/>
                <w:szCs w:val="18"/>
              </w:rPr>
              <w:t>07.52</w:t>
            </w:r>
            <w:r>
              <w:rPr>
                <w:rFonts w:hint="default" w:ascii="Times New Roman" w:hAnsi="Times New Roman" w:eastAsia="宋体" w:cs="Times New Roman"/>
                <w:color w:val="auto"/>
                <w:kern w:val="0"/>
                <w:sz w:val="18"/>
                <w:szCs w:val="18"/>
              </w:rPr>
              <w:t>m</w:t>
            </w:r>
            <w:r>
              <w:rPr>
                <w:rFonts w:hint="default" w:ascii="Times New Roman" w:hAnsi="Times New Roman" w:eastAsia="宋体" w:cs="Times New Roman"/>
                <w:color w:val="auto"/>
                <w:kern w:val="0"/>
                <w:sz w:val="18"/>
                <w:szCs w:val="18"/>
                <w:vertAlign w:val="superscript"/>
              </w:rPr>
              <w:t>3</w:t>
            </w:r>
            <w:r>
              <w:rPr>
                <w:rFonts w:hint="default" w:ascii="Times New Roman" w:hAnsi="Times New Roman" w:eastAsia="宋体" w:cs="Times New Roman"/>
                <w:color w:val="auto"/>
                <w:sz w:val="18"/>
                <w:szCs w:val="18"/>
              </w:rPr>
              <w:t>的化粪池</w:t>
            </w:r>
            <w:r>
              <w:rPr>
                <w:rFonts w:hint="default" w:ascii="Times New Roman" w:hAnsi="Times New Roman" w:eastAsia="宋体" w:cs="Times New Roman"/>
                <w:color w:val="auto"/>
                <w:sz w:val="18"/>
                <w:szCs w:val="18"/>
                <w:lang w:eastAsia="zh-CN"/>
              </w:rPr>
              <w:t>处理生活废水</w:t>
            </w:r>
          </w:p>
        </w:tc>
        <w:tc>
          <w:tcPr>
            <w:tcW w:w="2038" w:type="dxa"/>
            <w:vAlign w:val="center"/>
          </w:tcPr>
          <w:p>
            <w:pPr>
              <w:widowControl/>
              <w:jc w:val="center"/>
              <w:rPr>
                <w:rFonts w:hint="default" w:ascii="Times New Roman" w:hAnsi="Times New Roman" w:eastAsia="宋体" w:cs="Times New Roman"/>
                <w:color w:val="auto"/>
                <w:sz w:val="18"/>
                <w:szCs w:val="18"/>
              </w:rPr>
            </w:pPr>
            <w:r>
              <w:rPr>
                <w:rFonts w:hint="default" w:ascii="Times New Roman" w:hAnsi="Times New Roman" w:cs="Times New Roman"/>
                <w:color w:val="auto"/>
                <w:kern w:val="2"/>
                <w:sz w:val="18"/>
                <w:szCs w:val="18"/>
                <w:lang w:val="en-US" w:eastAsia="zh-CN" w:bidi="ar-SA"/>
              </w:rPr>
              <w:t>本项目产生的生活废水依托该设施治理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606" w:type="dxa"/>
            <w:vMerge w:val="continue"/>
            <w:vAlign w:val="center"/>
          </w:tcPr>
          <w:p>
            <w:pPr>
              <w:widowControl/>
              <w:jc w:val="center"/>
              <w:rPr>
                <w:rFonts w:hint="default" w:ascii="Times New Roman" w:hAnsi="Times New Roman" w:eastAsia="宋体" w:cs="Times New Roman"/>
                <w:color w:val="auto"/>
                <w:kern w:val="0"/>
                <w:sz w:val="18"/>
                <w:szCs w:val="18"/>
              </w:rPr>
            </w:pPr>
          </w:p>
        </w:tc>
        <w:tc>
          <w:tcPr>
            <w:tcW w:w="450" w:type="dxa"/>
            <w:vMerge w:val="continue"/>
            <w:shd w:val="clear" w:color="auto" w:fill="auto"/>
            <w:vAlign w:val="center"/>
          </w:tcPr>
          <w:p>
            <w:pPr>
              <w:widowControl/>
              <w:jc w:val="center"/>
              <w:rPr>
                <w:rFonts w:hint="default" w:ascii="Times New Roman" w:hAnsi="Times New Roman" w:eastAsia="宋体" w:cs="Times New Roman"/>
                <w:color w:val="auto"/>
                <w:kern w:val="0"/>
                <w:sz w:val="18"/>
                <w:szCs w:val="18"/>
              </w:rPr>
            </w:pPr>
          </w:p>
        </w:tc>
        <w:tc>
          <w:tcPr>
            <w:tcW w:w="737" w:type="dxa"/>
            <w:vMerge w:val="restart"/>
            <w:shd w:val="clear" w:color="auto" w:fill="auto"/>
            <w:vAlign w:val="center"/>
          </w:tcPr>
          <w:p>
            <w:pPr>
              <w:widowControl/>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生产废水</w:t>
            </w:r>
          </w:p>
        </w:tc>
        <w:tc>
          <w:tcPr>
            <w:tcW w:w="800" w:type="dxa"/>
            <w:shd w:val="clear" w:color="auto" w:fill="auto"/>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eastAsia="zh-CN"/>
              </w:rPr>
              <w:t>含氟废水处理站</w:t>
            </w:r>
          </w:p>
        </w:tc>
        <w:tc>
          <w:tcPr>
            <w:tcW w:w="4075" w:type="dxa"/>
            <w:shd w:val="clear" w:color="auto" w:fill="auto"/>
            <w:vAlign w:val="center"/>
          </w:tcPr>
          <w:p>
            <w:pPr>
              <w:pStyle w:val="55"/>
              <w:keepNext w:val="0"/>
              <w:keepLines w:val="0"/>
              <w:pageBreakBefore w:val="0"/>
              <w:kinsoku/>
              <w:wordWrap/>
              <w:overflowPunct/>
              <w:topLinePunct w:val="0"/>
              <w:autoSpaceDE/>
              <w:autoSpaceDN/>
              <w:bidi w:val="0"/>
              <w:spacing w:line="240" w:lineRule="auto"/>
              <w:ind w:left="0" w:leftChars="0" w:firstLine="0" w:firstLineChars="0"/>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0"/>
                <w:sz w:val="18"/>
                <w:szCs w:val="18"/>
              </w:rPr>
              <w:t>设置1套</w:t>
            </w:r>
            <w:r>
              <w:rPr>
                <w:rFonts w:hint="default" w:ascii="Times New Roman" w:hAnsi="Times New Roman" w:eastAsia="宋体" w:cs="Times New Roman"/>
                <w:color w:val="auto"/>
                <w:kern w:val="0"/>
                <w:sz w:val="18"/>
                <w:szCs w:val="18"/>
                <w:lang w:val="en-US" w:eastAsia="zh-CN"/>
              </w:rPr>
              <w:t>100</w:t>
            </w:r>
            <w:r>
              <w:rPr>
                <w:rFonts w:hint="default" w:ascii="Times New Roman" w:hAnsi="Times New Roman" w:eastAsia="宋体" w:cs="Times New Roman"/>
                <w:color w:val="auto"/>
                <w:kern w:val="0"/>
                <w:sz w:val="18"/>
                <w:szCs w:val="18"/>
              </w:rPr>
              <w:t>m</w:t>
            </w:r>
            <w:r>
              <w:rPr>
                <w:rFonts w:hint="default" w:ascii="Times New Roman" w:hAnsi="Times New Roman" w:eastAsia="宋体" w:cs="Times New Roman"/>
                <w:color w:val="auto"/>
                <w:kern w:val="0"/>
                <w:sz w:val="18"/>
                <w:szCs w:val="18"/>
                <w:vertAlign w:val="superscript"/>
              </w:rPr>
              <w:t>3</w:t>
            </w:r>
            <w:r>
              <w:rPr>
                <w:rFonts w:hint="default" w:ascii="Times New Roman" w:hAnsi="Times New Roman" w:eastAsia="宋体" w:cs="Times New Roman"/>
                <w:color w:val="auto"/>
                <w:kern w:val="0"/>
                <w:sz w:val="18"/>
                <w:szCs w:val="18"/>
              </w:rPr>
              <w:t>/h的含氟废水处理站处理</w:t>
            </w:r>
            <w:r>
              <w:rPr>
                <w:rFonts w:hint="default" w:ascii="Times New Roman" w:hAnsi="Times New Roman" w:cs="Times New Roman"/>
                <w:color w:val="auto"/>
                <w:kern w:val="0"/>
                <w:sz w:val="18"/>
                <w:szCs w:val="18"/>
                <w:lang w:eastAsia="zh-CN"/>
              </w:rPr>
              <w:t>全厂</w:t>
            </w:r>
            <w:r>
              <w:rPr>
                <w:rFonts w:hint="default" w:ascii="Times New Roman" w:hAnsi="Times New Roman" w:eastAsia="宋体" w:cs="Times New Roman"/>
                <w:color w:val="auto"/>
                <w:kern w:val="0"/>
                <w:sz w:val="18"/>
                <w:szCs w:val="18"/>
              </w:rPr>
              <w:t>含氟废水</w:t>
            </w:r>
            <w:r>
              <w:rPr>
                <w:rFonts w:hint="default" w:ascii="Times New Roman" w:hAnsi="Times New Roman" w:cs="Times New Roman"/>
                <w:color w:val="auto"/>
                <w:kern w:val="0"/>
                <w:sz w:val="18"/>
                <w:szCs w:val="18"/>
                <w:lang w:eastAsia="zh-CN"/>
              </w:rPr>
              <w:t>、机加废水</w:t>
            </w:r>
            <w:r>
              <w:rPr>
                <w:rFonts w:hint="default" w:ascii="Times New Roman" w:hAnsi="Times New Roman" w:eastAsia="宋体" w:cs="Times New Roman"/>
                <w:color w:val="auto"/>
                <w:kern w:val="0"/>
                <w:sz w:val="18"/>
                <w:szCs w:val="18"/>
              </w:rPr>
              <w:t>，</w:t>
            </w:r>
            <w:r>
              <w:rPr>
                <w:rFonts w:hint="default" w:ascii="Times New Roman" w:hAnsi="Times New Roman" w:eastAsia="宋体" w:cs="Times New Roman"/>
                <w:color w:val="auto"/>
                <w:kern w:val="0"/>
                <w:sz w:val="18"/>
                <w:szCs w:val="18"/>
                <w:lang w:eastAsia="zh-CN"/>
              </w:rPr>
              <w:t>采用</w:t>
            </w:r>
            <w:r>
              <w:rPr>
                <w:rFonts w:hint="default" w:ascii="Times New Roman" w:hAnsi="Times New Roman" w:eastAsia="宋体" w:cs="Times New Roman"/>
                <w:color w:val="auto"/>
                <w:kern w:val="0"/>
                <w:sz w:val="18"/>
                <w:szCs w:val="18"/>
              </w:rPr>
              <w:t>“混凝沉淀+AO”处理工艺</w:t>
            </w:r>
          </w:p>
        </w:tc>
        <w:tc>
          <w:tcPr>
            <w:tcW w:w="2038" w:type="dxa"/>
            <w:vAlign w:val="center"/>
          </w:tcPr>
          <w:p>
            <w:pPr>
              <w:widowControl/>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kern w:val="2"/>
                <w:sz w:val="18"/>
                <w:szCs w:val="18"/>
                <w:lang w:val="en-US" w:eastAsia="zh-CN" w:bidi="ar-SA"/>
              </w:rPr>
              <w:t>本项目产生的含氟废水依托该设施治理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606" w:type="dxa"/>
            <w:vMerge w:val="continue"/>
            <w:vAlign w:val="center"/>
          </w:tcPr>
          <w:p>
            <w:pPr>
              <w:widowControl/>
              <w:jc w:val="center"/>
              <w:rPr>
                <w:rFonts w:hint="default" w:ascii="Times New Roman" w:hAnsi="Times New Roman" w:eastAsia="宋体" w:cs="Times New Roman"/>
                <w:color w:val="auto"/>
                <w:kern w:val="0"/>
                <w:sz w:val="18"/>
                <w:szCs w:val="18"/>
              </w:rPr>
            </w:pPr>
          </w:p>
        </w:tc>
        <w:tc>
          <w:tcPr>
            <w:tcW w:w="450" w:type="dxa"/>
            <w:vMerge w:val="continue"/>
            <w:vAlign w:val="center"/>
          </w:tcPr>
          <w:p>
            <w:pPr>
              <w:widowControl/>
              <w:jc w:val="center"/>
              <w:rPr>
                <w:rFonts w:hint="default" w:ascii="Times New Roman" w:hAnsi="Times New Roman" w:eastAsia="宋体" w:cs="Times New Roman"/>
                <w:color w:val="auto"/>
                <w:kern w:val="0"/>
                <w:sz w:val="18"/>
                <w:szCs w:val="18"/>
              </w:rPr>
            </w:pPr>
          </w:p>
        </w:tc>
        <w:tc>
          <w:tcPr>
            <w:tcW w:w="737" w:type="dxa"/>
            <w:vMerge w:val="continue"/>
            <w:shd w:val="clear" w:color="auto" w:fill="auto"/>
            <w:vAlign w:val="center"/>
          </w:tcPr>
          <w:p>
            <w:pPr>
              <w:widowControl/>
              <w:jc w:val="left"/>
              <w:rPr>
                <w:rFonts w:hint="default" w:ascii="Times New Roman" w:hAnsi="Times New Roman" w:eastAsia="宋体" w:cs="Times New Roman"/>
                <w:color w:val="auto"/>
                <w:kern w:val="0"/>
                <w:sz w:val="18"/>
                <w:szCs w:val="18"/>
              </w:rPr>
            </w:pPr>
          </w:p>
        </w:tc>
        <w:tc>
          <w:tcPr>
            <w:tcW w:w="800" w:type="dxa"/>
            <w:shd w:val="clear" w:color="auto" w:fill="auto"/>
            <w:vAlign w:val="center"/>
          </w:tcPr>
          <w:p>
            <w:pPr>
              <w:widowControl/>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eastAsia="zh-CN"/>
              </w:rPr>
              <w:t>隔膜压滤系统</w:t>
            </w:r>
          </w:p>
        </w:tc>
        <w:tc>
          <w:tcPr>
            <w:tcW w:w="4075" w:type="dxa"/>
            <w:shd w:val="clear" w:color="auto" w:fill="auto"/>
            <w:vAlign w:val="center"/>
          </w:tcPr>
          <w:p>
            <w:pPr>
              <w:widowControl/>
              <w:jc w:val="left"/>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sz w:val="18"/>
                <w:szCs w:val="18"/>
              </w:rPr>
              <w:t>设置</w:t>
            </w:r>
            <w:r>
              <w:rPr>
                <w:rFonts w:hint="default" w:ascii="Times New Roman" w:hAnsi="Times New Roman" w:cs="Times New Roman"/>
                <w:color w:val="auto"/>
                <w:sz w:val="18"/>
                <w:szCs w:val="18"/>
                <w:lang w:val="en-US" w:eastAsia="zh-CN"/>
              </w:rPr>
              <w:t>1</w:t>
            </w:r>
            <w:r>
              <w:rPr>
                <w:rFonts w:hint="default" w:ascii="Times New Roman" w:hAnsi="Times New Roman" w:cs="Times New Roman"/>
                <w:color w:val="auto"/>
                <w:sz w:val="18"/>
                <w:szCs w:val="18"/>
              </w:rPr>
              <w:t>1套处理</w:t>
            </w:r>
            <w:r>
              <w:rPr>
                <w:rFonts w:hint="default" w:ascii="Times New Roman" w:hAnsi="Times New Roman" w:cs="Times New Roman"/>
                <w:color w:val="auto"/>
                <w:sz w:val="18"/>
                <w:szCs w:val="18"/>
                <w:lang w:eastAsia="zh-CN"/>
              </w:rPr>
              <w:t>总</w:t>
            </w:r>
            <w:r>
              <w:rPr>
                <w:rFonts w:hint="default" w:ascii="Times New Roman" w:hAnsi="Times New Roman" w:cs="Times New Roman"/>
                <w:color w:val="auto"/>
                <w:sz w:val="18"/>
                <w:szCs w:val="18"/>
              </w:rPr>
              <w:t>规模为5</w:t>
            </w:r>
            <w:r>
              <w:rPr>
                <w:rFonts w:hint="default" w:ascii="Times New Roman" w:hAnsi="Times New Roman" w:cs="Times New Roman"/>
                <w:color w:val="auto"/>
                <w:sz w:val="18"/>
                <w:szCs w:val="18"/>
                <w:lang w:val="en-US" w:eastAsia="zh-CN"/>
              </w:rPr>
              <w:t>5</w:t>
            </w:r>
            <w:r>
              <w:rPr>
                <w:rFonts w:hint="default" w:ascii="Times New Roman" w:hAnsi="Times New Roman" w:cs="Times New Roman"/>
                <w:color w:val="auto"/>
                <w:sz w:val="18"/>
                <w:szCs w:val="18"/>
              </w:rPr>
              <w:t>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/h的</w:t>
            </w:r>
            <w:r>
              <w:rPr>
                <w:rFonts w:hint="default" w:ascii="Times New Roman" w:hAnsi="Times New Roman" w:cs="Times New Roman"/>
                <w:color w:val="auto"/>
                <w:sz w:val="18"/>
                <w:szCs w:val="18"/>
                <w:lang w:eastAsia="zh-CN"/>
              </w:rPr>
              <w:t>隔膜板框压滤机</w:t>
            </w:r>
            <w:r>
              <w:rPr>
                <w:rFonts w:hint="default" w:ascii="Times New Roman" w:hAnsi="Times New Roman" w:cs="Times New Roman"/>
                <w:color w:val="auto"/>
                <w:sz w:val="18"/>
                <w:szCs w:val="18"/>
              </w:rPr>
              <w:t>进行处理</w:t>
            </w:r>
            <w:r>
              <w:rPr>
                <w:rFonts w:hint="default" w:ascii="Times New Roman" w:hAnsi="Times New Roman" w:cs="Times New Roman"/>
                <w:color w:val="auto"/>
                <w:sz w:val="18"/>
                <w:szCs w:val="18"/>
                <w:lang w:eastAsia="zh-CN"/>
              </w:rPr>
              <w:t>切割废水，处理后的废水进入综合污水处理站处理</w:t>
            </w:r>
          </w:p>
        </w:tc>
        <w:tc>
          <w:tcPr>
            <w:tcW w:w="2038" w:type="dxa"/>
            <w:vAlign w:val="center"/>
          </w:tcPr>
          <w:p>
            <w:pPr>
              <w:widowControl/>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2"/>
                <w:sz w:val="18"/>
                <w:szCs w:val="18"/>
                <w:lang w:val="en-US" w:eastAsia="zh-CN" w:bidi="ar-SA"/>
              </w:rPr>
              <w:t>本项目产生的切割废水依托该设施治理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 w:hRule="atLeast"/>
          <w:jc w:val="center"/>
        </w:trPr>
        <w:tc>
          <w:tcPr>
            <w:tcW w:w="606" w:type="dxa"/>
            <w:vMerge w:val="continue"/>
            <w:vAlign w:val="center"/>
          </w:tcPr>
          <w:p>
            <w:pPr>
              <w:widowControl/>
              <w:jc w:val="center"/>
              <w:rPr>
                <w:rFonts w:hint="default" w:ascii="Times New Roman" w:hAnsi="Times New Roman" w:eastAsia="宋体" w:cs="Times New Roman"/>
                <w:color w:val="auto"/>
                <w:kern w:val="0"/>
                <w:sz w:val="18"/>
                <w:szCs w:val="18"/>
              </w:rPr>
            </w:pPr>
          </w:p>
        </w:tc>
        <w:tc>
          <w:tcPr>
            <w:tcW w:w="450" w:type="dxa"/>
            <w:vMerge w:val="continue"/>
            <w:vAlign w:val="center"/>
          </w:tcPr>
          <w:p>
            <w:pPr>
              <w:widowControl/>
              <w:jc w:val="center"/>
              <w:rPr>
                <w:rFonts w:hint="default" w:ascii="Times New Roman" w:hAnsi="Times New Roman" w:eastAsia="宋体" w:cs="Times New Roman"/>
                <w:color w:val="auto"/>
                <w:kern w:val="0"/>
                <w:sz w:val="18"/>
                <w:szCs w:val="18"/>
              </w:rPr>
            </w:pPr>
          </w:p>
        </w:tc>
        <w:tc>
          <w:tcPr>
            <w:tcW w:w="737" w:type="dxa"/>
            <w:vMerge w:val="continue"/>
            <w:shd w:val="clear" w:color="auto" w:fill="auto"/>
            <w:vAlign w:val="center"/>
          </w:tcPr>
          <w:p>
            <w:pPr>
              <w:widowControl/>
              <w:jc w:val="left"/>
              <w:rPr>
                <w:rFonts w:hint="default" w:ascii="Times New Roman" w:hAnsi="Times New Roman" w:eastAsia="宋体" w:cs="Times New Roman"/>
                <w:color w:val="auto"/>
                <w:kern w:val="0"/>
                <w:sz w:val="18"/>
                <w:szCs w:val="18"/>
              </w:rPr>
            </w:pPr>
          </w:p>
        </w:tc>
        <w:tc>
          <w:tcPr>
            <w:tcW w:w="800" w:type="dxa"/>
            <w:shd w:val="clear" w:color="auto" w:fill="auto"/>
            <w:vAlign w:val="center"/>
          </w:tcPr>
          <w:p>
            <w:pPr>
              <w:widowControl/>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eastAsia="zh-CN"/>
              </w:rPr>
              <w:t>综合污水处理站</w:t>
            </w:r>
          </w:p>
        </w:tc>
        <w:tc>
          <w:tcPr>
            <w:tcW w:w="4075" w:type="dxa"/>
            <w:shd w:val="clear" w:color="auto" w:fill="auto"/>
            <w:vAlign w:val="center"/>
          </w:tcPr>
          <w:p>
            <w:pPr>
              <w:widowControl/>
              <w:jc w:val="left"/>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eastAsia="zh-CN"/>
              </w:rPr>
              <w:t>设置</w:t>
            </w:r>
            <w:r>
              <w:rPr>
                <w:rFonts w:hint="default" w:ascii="Times New Roman" w:hAnsi="Times New Roman" w:cs="Times New Roman"/>
                <w:color w:val="auto"/>
                <w:kern w:val="0"/>
                <w:sz w:val="18"/>
                <w:szCs w:val="18"/>
                <w:lang w:val="en-US" w:eastAsia="zh-CN"/>
              </w:rPr>
              <w:t>1套处理规模为353</w:t>
            </w:r>
            <w:r>
              <w:rPr>
                <w:rFonts w:hint="default" w:ascii="Times New Roman" w:hAnsi="Times New Roman" w:cs="Times New Roman"/>
                <w:color w:val="auto"/>
                <w:sz w:val="18"/>
                <w:szCs w:val="18"/>
              </w:rPr>
              <w:t>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/h的</w:t>
            </w:r>
            <w:r>
              <w:rPr>
                <w:rFonts w:hint="default" w:ascii="Times New Roman" w:hAnsi="Times New Roman" w:cs="Times New Roman"/>
                <w:color w:val="auto"/>
                <w:sz w:val="18"/>
                <w:szCs w:val="18"/>
                <w:lang w:eastAsia="zh-CN"/>
              </w:rPr>
              <w:t>综合污水处理站，将全厂预处理后的生活废水和生产废水（清净下水除外）接入综合污水处理站处理，采用</w:t>
            </w:r>
            <w:r>
              <w:rPr>
                <w:rFonts w:hint="default" w:ascii="Times New Roman" w:hAnsi="Times New Roman" w:cs="Times New Roman"/>
                <w:color w:val="auto"/>
                <w:sz w:val="18"/>
                <w:szCs w:val="18"/>
              </w:rPr>
              <w:t>“混凝沉淀+水解酸化+AO”</w:t>
            </w:r>
            <w:r>
              <w:rPr>
                <w:rFonts w:hint="default" w:ascii="Times New Roman" w:hAnsi="Times New Roman" w:eastAsia="宋体" w:cs="Times New Roman"/>
                <w:color w:val="auto"/>
                <w:kern w:val="0"/>
                <w:sz w:val="18"/>
                <w:szCs w:val="18"/>
              </w:rPr>
              <w:t>处理工艺</w:t>
            </w:r>
          </w:p>
        </w:tc>
        <w:tc>
          <w:tcPr>
            <w:tcW w:w="2038" w:type="dxa"/>
            <w:vAlign w:val="center"/>
          </w:tcPr>
          <w:p>
            <w:pPr>
              <w:widowControl/>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2"/>
                <w:sz w:val="18"/>
                <w:szCs w:val="18"/>
                <w:lang w:val="en-US" w:eastAsia="zh-CN" w:bidi="ar-SA"/>
              </w:rPr>
              <w:t>本项目产生的废水依托该设施治理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06" w:type="dxa"/>
            <w:vMerge w:val="continue"/>
            <w:vAlign w:val="center"/>
          </w:tcPr>
          <w:p>
            <w:pPr>
              <w:widowControl/>
              <w:jc w:val="center"/>
              <w:rPr>
                <w:rFonts w:hint="default" w:ascii="Times New Roman" w:hAnsi="Times New Roman" w:eastAsia="宋体" w:cs="Times New Roman"/>
                <w:color w:val="auto"/>
                <w:kern w:val="0"/>
                <w:sz w:val="18"/>
                <w:szCs w:val="18"/>
              </w:rPr>
            </w:pPr>
          </w:p>
        </w:tc>
        <w:tc>
          <w:tcPr>
            <w:tcW w:w="450" w:type="dxa"/>
            <w:vMerge w:val="continue"/>
            <w:vAlign w:val="center"/>
          </w:tcPr>
          <w:p>
            <w:pPr>
              <w:widowControl/>
              <w:jc w:val="center"/>
              <w:rPr>
                <w:rFonts w:hint="default" w:ascii="Times New Roman" w:hAnsi="Times New Roman" w:eastAsia="宋体" w:cs="Times New Roman"/>
                <w:color w:val="auto"/>
                <w:kern w:val="0"/>
                <w:sz w:val="18"/>
                <w:szCs w:val="18"/>
              </w:rPr>
            </w:pPr>
          </w:p>
        </w:tc>
        <w:tc>
          <w:tcPr>
            <w:tcW w:w="1537" w:type="dxa"/>
            <w:gridSpan w:val="2"/>
            <w:shd w:val="clear" w:color="auto" w:fill="auto"/>
            <w:vAlign w:val="center"/>
          </w:tcPr>
          <w:p>
            <w:pPr>
              <w:widowControl/>
              <w:jc w:val="center"/>
              <w:rPr>
                <w:rFonts w:hint="default" w:ascii="Times New Roman" w:hAnsi="Times New Roman" w:eastAsia="宋体" w:cs="Times New Roman"/>
                <w:b/>
                <w:color w:val="auto"/>
                <w:kern w:val="0"/>
                <w:sz w:val="18"/>
                <w:szCs w:val="18"/>
              </w:rPr>
            </w:pPr>
            <w:r>
              <w:rPr>
                <w:rFonts w:hint="default" w:ascii="Times New Roman" w:hAnsi="Times New Roman" w:eastAsia="宋体" w:cs="Times New Roman"/>
                <w:color w:val="auto"/>
                <w:kern w:val="0"/>
                <w:sz w:val="18"/>
                <w:szCs w:val="18"/>
                <w:lang w:eastAsia="zh-CN"/>
              </w:rPr>
              <w:t>初期雨水</w:t>
            </w:r>
            <w:r>
              <w:rPr>
                <w:rFonts w:hint="default" w:ascii="Times New Roman" w:hAnsi="Times New Roman" w:cs="Times New Roman"/>
                <w:color w:val="auto"/>
                <w:kern w:val="0"/>
                <w:sz w:val="18"/>
                <w:szCs w:val="18"/>
                <w:lang w:eastAsia="zh-CN"/>
              </w:rPr>
              <w:t>收集池</w:t>
            </w:r>
          </w:p>
        </w:tc>
        <w:tc>
          <w:tcPr>
            <w:tcW w:w="4075" w:type="dxa"/>
            <w:shd w:val="clear" w:color="auto" w:fill="auto"/>
            <w:vAlign w:val="center"/>
          </w:tcPr>
          <w:p>
            <w:pPr>
              <w:widowControl/>
              <w:jc w:val="left"/>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color w:val="auto"/>
                <w:kern w:val="0"/>
                <w:sz w:val="18"/>
                <w:szCs w:val="18"/>
                <w:lang w:eastAsia="zh-CN"/>
              </w:rPr>
              <w:t>设置</w:t>
            </w:r>
            <w:r>
              <w:rPr>
                <w:rFonts w:hint="default" w:ascii="Times New Roman" w:hAnsi="Times New Roman" w:eastAsia="宋体" w:cs="Times New Roman"/>
                <w:color w:val="auto"/>
                <w:kern w:val="0"/>
                <w:sz w:val="18"/>
                <w:szCs w:val="18"/>
                <w:lang w:val="en-US" w:eastAsia="zh-CN"/>
              </w:rPr>
              <w:t>1座</w:t>
            </w:r>
            <w:r>
              <w:rPr>
                <w:rFonts w:hint="default" w:ascii="Times New Roman" w:hAnsi="Times New Roman" w:eastAsia="宋体" w:cs="Times New Roman"/>
                <w:color w:val="auto"/>
                <w:kern w:val="0"/>
                <w:sz w:val="18"/>
                <w:szCs w:val="18"/>
              </w:rPr>
              <w:t>150m</w:t>
            </w:r>
            <w:r>
              <w:rPr>
                <w:rFonts w:hint="default" w:ascii="Times New Roman" w:hAnsi="Times New Roman" w:eastAsia="宋体" w:cs="Times New Roman"/>
                <w:color w:val="auto"/>
                <w:kern w:val="0"/>
                <w:sz w:val="18"/>
                <w:szCs w:val="18"/>
                <w:vertAlign w:val="superscript"/>
              </w:rPr>
              <w:t>3</w:t>
            </w:r>
            <w:r>
              <w:rPr>
                <w:rFonts w:hint="default" w:ascii="Times New Roman" w:hAnsi="Times New Roman" w:eastAsia="宋体" w:cs="Times New Roman"/>
                <w:color w:val="auto"/>
                <w:kern w:val="0"/>
                <w:sz w:val="18"/>
                <w:szCs w:val="18"/>
              </w:rPr>
              <w:t>初期雨水收集池，初期雨水收集后进入</w:t>
            </w:r>
            <w:r>
              <w:rPr>
                <w:rFonts w:hint="default" w:ascii="Times New Roman" w:hAnsi="Times New Roman" w:eastAsia="宋体" w:cs="Times New Roman"/>
                <w:color w:val="auto"/>
                <w:kern w:val="0"/>
                <w:sz w:val="18"/>
                <w:szCs w:val="18"/>
                <w:lang w:eastAsia="zh-CN"/>
              </w:rPr>
              <w:t>含氟</w:t>
            </w:r>
            <w:r>
              <w:rPr>
                <w:rFonts w:hint="default" w:ascii="Times New Roman" w:hAnsi="Times New Roman" w:eastAsia="宋体" w:cs="Times New Roman"/>
                <w:color w:val="auto"/>
                <w:kern w:val="0"/>
                <w:sz w:val="18"/>
                <w:szCs w:val="18"/>
              </w:rPr>
              <w:t>废水处理站进行处理</w:t>
            </w:r>
          </w:p>
        </w:tc>
        <w:tc>
          <w:tcPr>
            <w:tcW w:w="2038" w:type="dxa"/>
            <w:vAlign w:val="center"/>
          </w:tcPr>
          <w:p>
            <w:pPr>
              <w:widowControl/>
              <w:jc w:val="center"/>
              <w:rPr>
                <w:rFonts w:hint="default" w:ascii="Times New Roman" w:hAnsi="Times New Roman" w:eastAsia="宋体" w:cs="Times New Roman"/>
                <w:color w:val="auto"/>
                <w:kern w:val="0"/>
                <w:sz w:val="18"/>
                <w:szCs w:val="18"/>
              </w:rPr>
            </w:pPr>
            <w:r>
              <w:rPr>
                <w:rFonts w:hint="default" w:ascii="Times New Roman" w:hAnsi="Times New Roman" w:cs="Times New Roman"/>
                <w:color w:val="auto"/>
                <w:kern w:val="2"/>
                <w:sz w:val="18"/>
                <w:szCs w:val="18"/>
                <w:lang w:val="en-US" w:eastAsia="zh-CN" w:bidi="ar-SA"/>
              </w:rPr>
              <w:t>本项目初期雨水依托该设施治理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06" w:type="dxa"/>
            <w:vMerge w:val="continue"/>
            <w:vAlign w:val="center"/>
          </w:tcPr>
          <w:p>
            <w:pPr>
              <w:widowControl/>
              <w:jc w:val="center"/>
              <w:rPr>
                <w:rFonts w:hint="default" w:ascii="Times New Roman" w:hAnsi="Times New Roman" w:eastAsia="宋体" w:cs="Times New Roman"/>
                <w:color w:val="auto"/>
                <w:kern w:val="0"/>
                <w:sz w:val="18"/>
                <w:szCs w:val="18"/>
              </w:rPr>
            </w:pPr>
          </w:p>
        </w:tc>
        <w:tc>
          <w:tcPr>
            <w:tcW w:w="450" w:type="dxa"/>
            <w:vMerge w:val="continue"/>
            <w:vAlign w:val="center"/>
          </w:tcPr>
          <w:p>
            <w:pPr>
              <w:widowControl/>
              <w:jc w:val="center"/>
              <w:rPr>
                <w:rFonts w:hint="default" w:ascii="Times New Roman" w:hAnsi="Times New Roman" w:eastAsia="宋体" w:cs="Times New Roman"/>
                <w:color w:val="auto"/>
                <w:kern w:val="0"/>
                <w:sz w:val="18"/>
                <w:szCs w:val="18"/>
              </w:rPr>
            </w:pPr>
          </w:p>
        </w:tc>
        <w:tc>
          <w:tcPr>
            <w:tcW w:w="1537" w:type="dxa"/>
            <w:gridSpan w:val="2"/>
            <w:shd w:val="clear" w:color="auto" w:fill="auto"/>
            <w:vAlign w:val="center"/>
          </w:tcPr>
          <w:p>
            <w:pPr>
              <w:widowControl/>
              <w:jc w:val="center"/>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color w:val="auto"/>
                <w:kern w:val="0"/>
                <w:sz w:val="18"/>
                <w:szCs w:val="18"/>
                <w:lang w:eastAsia="zh-CN"/>
              </w:rPr>
              <w:t>事故</w:t>
            </w:r>
            <w:r>
              <w:rPr>
                <w:rFonts w:hint="default" w:ascii="Times New Roman" w:hAnsi="Times New Roman" w:cs="Times New Roman"/>
                <w:color w:val="auto"/>
                <w:kern w:val="0"/>
                <w:sz w:val="18"/>
                <w:szCs w:val="18"/>
                <w:lang w:eastAsia="zh-CN"/>
              </w:rPr>
              <w:t>水池</w:t>
            </w:r>
          </w:p>
        </w:tc>
        <w:tc>
          <w:tcPr>
            <w:tcW w:w="4075" w:type="dxa"/>
            <w:shd w:val="clear" w:color="auto" w:fill="auto"/>
            <w:vAlign w:val="center"/>
          </w:tcPr>
          <w:p>
            <w:pPr>
              <w:widowControl/>
              <w:jc w:val="left"/>
              <w:rPr>
                <w:rFonts w:hint="default" w:ascii="Times New Roman" w:hAnsi="Times New Roman" w:eastAsia="宋体" w:cs="Times New Roman"/>
                <w:color w:val="auto"/>
                <w:kern w:val="0"/>
                <w:sz w:val="18"/>
                <w:szCs w:val="18"/>
              </w:rPr>
            </w:pPr>
            <w:r>
              <w:rPr>
                <w:rFonts w:hint="default" w:ascii="Times New Roman" w:hAnsi="Times New Roman" w:cs="Times New Roman"/>
                <w:color w:val="auto"/>
                <w:kern w:val="0"/>
                <w:sz w:val="18"/>
                <w:szCs w:val="18"/>
                <w:lang w:eastAsia="zh-CN"/>
              </w:rPr>
              <w:t>共有</w:t>
            </w:r>
            <w:r>
              <w:rPr>
                <w:rFonts w:hint="default" w:ascii="Times New Roman" w:hAnsi="Times New Roman" w:cs="Times New Roman"/>
                <w:color w:val="auto"/>
                <w:kern w:val="0"/>
                <w:sz w:val="18"/>
                <w:szCs w:val="18"/>
                <w:lang w:val="en-US" w:eastAsia="zh-CN"/>
              </w:rPr>
              <w:t>2座事故水池，</w:t>
            </w:r>
            <w:r>
              <w:rPr>
                <w:rFonts w:hint="default" w:ascii="Times New Roman" w:hAnsi="Times New Roman" w:eastAsia="宋体" w:cs="Times New Roman"/>
                <w:color w:val="auto"/>
                <w:kern w:val="0"/>
                <w:sz w:val="18"/>
                <w:szCs w:val="18"/>
                <w:lang w:val="en-US" w:eastAsia="zh-CN"/>
              </w:rPr>
              <w:t>1</w:t>
            </w:r>
            <w:r>
              <w:rPr>
                <w:rFonts w:hint="default" w:ascii="Times New Roman" w:hAnsi="Times New Roman" w:eastAsia="宋体" w:cs="Times New Roman"/>
                <w:color w:val="auto"/>
                <w:kern w:val="0"/>
                <w:sz w:val="18"/>
                <w:szCs w:val="18"/>
              </w:rPr>
              <w:t>座容积为7</w:t>
            </w:r>
            <w:r>
              <w:rPr>
                <w:rFonts w:hint="default" w:ascii="Times New Roman" w:hAnsi="Times New Roman" w:eastAsia="宋体" w:cs="Times New Roman"/>
                <w:color w:val="auto"/>
                <w:kern w:val="0"/>
                <w:sz w:val="18"/>
                <w:szCs w:val="18"/>
                <w:lang w:val="en-US" w:eastAsia="zh-CN"/>
              </w:rPr>
              <w:t>2</w:t>
            </w:r>
            <w:r>
              <w:rPr>
                <w:rFonts w:hint="default" w:ascii="Times New Roman" w:hAnsi="Times New Roman" w:eastAsia="宋体" w:cs="Times New Roman"/>
                <w:color w:val="auto"/>
                <w:kern w:val="0"/>
                <w:sz w:val="18"/>
                <w:szCs w:val="18"/>
              </w:rPr>
              <w:t>0m</w:t>
            </w:r>
            <w:r>
              <w:rPr>
                <w:rFonts w:hint="default" w:ascii="Times New Roman" w:hAnsi="Times New Roman" w:eastAsia="宋体" w:cs="Times New Roman"/>
                <w:color w:val="auto"/>
                <w:kern w:val="0"/>
                <w:sz w:val="18"/>
                <w:szCs w:val="18"/>
                <w:vertAlign w:val="superscript"/>
              </w:rPr>
              <w:t>3</w:t>
            </w:r>
            <w:r>
              <w:rPr>
                <w:rFonts w:hint="default" w:ascii="Times New Roman" w:hAnsi="Times New Roman" w:eastAsia="宋体" w:cs="Times New Roman"/>
                <w:color w:val="auto"/>
                <w:kern w:val="0"/>
                <w:sz w:val="18"/>
                <w:szCs w:val="18"/>
                <w:lang w:eastAsia="zh-CN"/>
              </w:rPr>
              <w:t>，</w:t>
            </w:r>
            <w:r>
              <w:rPr>
                <w:rFonts w:hint="default" w:ascii="Times New Roman" w:hAnsi="Times New Roman" w:eastAsia="宋体" w:cs="Times New Roman"/>
                <w:color w:val="auto"/>
                <w:kern w:val="0"/>
                <w:sz w:val="18"/>
                <w:szCs w:val="18"/>
                <w:lang w:val="en-US" w:eastAsia="zh-CN"/>
              </w:rPr>
              <w:t>1座容积为3000</w:t>
            </w:r>
            <w:r>
              <w:rPr>
                <w:rFonts w:hint="default" w:ascii="Times New Roman" w:hAnsi="Times New Roman" w:eastAsia="宋体" w:cs="Times New Roman"/>
                <w:color w:val="auto"/>
                <w:kern w:val="0"/>
                <w:sz w:val="18"/>
                <w:szCs w:val="18"/>
              </w:rPr>
              <w:t>m</w:t>
            </w:r>
            <w:r>
              <w:rPr>
                <w:rFonts w:hint="default" w:ascii="Times New Roman" w:hAnsi="Times New Roman" w:eastAsia="宋体" w:cs="Times New Roman"/>
                <w:color w:val="auto"/>
                <w:kern w:val="0"/>
                <w:sz w:val="18"/>
                <w:szCs w:val="18"/>
                <w:vertAlign w:val="superscript"/>
              </w:rPr>
              <w:t>3</w:t>
            </w:r>
            <w:r>
              <w:rPr>
                <w:rFonts w:hint="default" w:ascii="Times New Roman" w:hAnsi="Times New Roman" w:eastAsia="宋体" w:cs="Times New Roman"/>
                <w:color w:val="auto"/>
                <w:kern w:val="0"/>
                <w:sz w:val="18"/>
                <w:szCs w:val="18"/>
                <w:lang w:eastAsia="zh-CN"/>
              </w:rPr>
              <w:t>，</w:t>
            </w:r>
            <w:r>
              <w:rPr>
                <w:rFonts w:hint="default" w:ascii="Times New Roman" w:hAnsi="Times New Roman" w:eastAsia="宋体" w:cs="Times New Roman"/>
                <w:color w:val="auto"/>
                <w:kern w:val="0"/>
                <w:sz w:val="18"/>
                <w:szCs w:val="18"/>
              </w:rPr>
              <w:t>事故废水收集后进入</w:t>
            </w:r>
            <w:r>
              <w:rPr>
                <w:rFonts w:hint="default" w:ascii="Times New Roman" w:hAnsi="Times New Roman" w:cs="Times New Roman"/>
                <w:color w:val="auto"/>
                <w:kern w:val="0"/>
                <w:sz w:val="18"/>
                <w:szCs w:val="18"/>
                <w:lang w:eastAsia="zh-CN"/>
              </w:rPr>
              <w:t>综合污水处理站</w:t>
            </w:r>
            <w:r>
              <w:rPr>
                <w:rFonts w:hint="default" w:ascii="Times New Roman" w:hAnsi="Times New Roman" w:eastAsia="宋体" w:cs="Times New Roman"/>
                <w:color w:val="auto"/>
                <w:kern w:val="0"/>
                <w:sz w:val="18"/>
                <w:szCs w:val="18"/>
              </w:rPr>
              <w:t>进行处理</w:t>
            </w:r>
          </w:p>
        </w:tc>
        <w:tc>
          <w:tcPr>
            <w:tcW w:w="2038" w:type="dxa"/>
            <w:vAlign w:val="center"/>
          </w:tcPr>
          <w:p>
            <w:pPr>
              <w:widowControl/>
              <w:jc w:val="center"/>
              <w:rPr>
                <w:rFonts w:hint="default" w:ascii="Times New Roman" w:hAnsi="Times New Roman" w:eastAsia="宋体" w:cs="Times New Roman"/>
                <w:color w:val="auto"/>
                <w:kern w:val="0"/>
                <w:sz w:val="18"/>
                <w:szCs w:val="18"/>
                <w:lang w:eastAsia="zh-CN"/>
              </w:rPr>
            </w:pPr>
            <w:r>
              <w:rPr>
                <w:rFonts w:hint="default" w:ascii="Times New Roman" w:hAnsi="Times New Roman" w:cs="Times New Roman"/>
                <w:color w:val="auto"/>
                <w:kern w:val="2"/>
                <w:sz w:val="18"/>
                <w:szCs w:val="18"/>
                <w:lang w:val="en-US" w:eastAsia="zh-CN" w:bidi="ar-SA"/>
              </w:rPr>
              <w:t>本项目事故废水依托该设施治理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606" w:type="dxa"/>
            <w:vMerge w:val="continue"/>
            <w:vAlign w:val="center"/>
          </w:tcPr>
          <w:p>
            <w:pPr>
              <w:widowControl/>
              <w:jc w:val="center"/>
              <w:rPr>
                <w:rFonts w:hint="default" w:ascii="Times New Roman" w:hAnsi="Times New Roman" w:eastAsia="宋体" w:cs="Times New Roman"/>
                <w:color w:val="auto"/>
                <w:kern w:val="0"/>
                <w:sz w:val="18"/>
                <w:szCs w:val="18"/>
              </w:rPr>
            </w:pPr>
          </w:p>
        </w:tc>
        <w:tc>
          <w:tcPr>
            <w:tcW w:w="1987" w:type="dxa"/>
            <w:gridSpan w:val="3"/>
            <w:shd w:val="clear" w:color="auto" w:fill="auto"/>
            <w:vAlign w:val="center"/>
          </w:tcPr>
          <w:p>
            <w:pPr>
              <w:widowControl/>
              <w:jc w:val="center"/>
              <w:rPr>
                <w:rFonts w:hint="default" w:ascii="Times New Roman" w:hAnsi="Times New Roman" w:eastAsia="宋体" w:cs="Times New Roman"/>
                <w:color w:val="auto"/>
                <w:kern w:val="0"/>
                <w:sz w:val="18"/>
                <w:szCs w:val="18"/>
                <w:lang w:eastAsia="zh-CN"/>
              </w:rPr>
            </w:pPr>
            <w:r>
              <w:rPr>
                <w:rFonts w:hint="default" w:ascii="Times New Roman" w:hAnsi="Times New Roman" w:cs="Times New Roman"/>
                <w:color w:val="auto"/>
                <w:kern w:val="0"/>
                <w:sz w:val="18"/>
                <w:szCs w:val="18"/>
                <w:lang w:eastAsia="zh-CN"/>
              </w:rPr>
              <w:t>硅泥库</w:t>
            </w:r>
          </w:p>
        </w:tc>
        <w:tc>
          <w:tcPr>
            <w:tcW w:w="4075" w:type="dxa"/>
            <w:shd w:val="clear" w:color="auto" w:fill="auto"/>
            <w:vAlign w:val="center"/>
          </w:tcPr>
          <w:p>
            <w:pPr>
              <w:widowControl/>
              <w:jc w:val="left"/>
              <w:rPr>
                <w:rFonts w:hint="default" w:ascii="Times New Roman" w:hAnsi="Times New Roman" w:eastAsia="宋体" w:cs="Times New Roman"/>
                <w:color w:val="auto"/>
                <w:kern w:val="0"/>
                <w:sz w:val="18"/>
                <w:szCs w:val="18"/>
                <w:lang w:eastAsia="zh-CN"/>
              </w:rPr>
            </w:pPr>
            <w:r>
              <w:rPr>
                <w:rFonts w:hint="default" w:ascii="Times New Roman" w:hAnsi="Times New Roman" w:cs="Times New Roman"/>
                <w:color w:val="auto"/>
                <w:sz w:val="18"/>
                <w:szCs w:val="18"/>
                <w:lang w:eastAsia="zh-CN"/>
              </w:rPr>
              <w:t>设置</w:t>
            </w:r>
            <w:r>
              <w:rPr>
                <w:rFonts w:hint="default" w:ascii="Times New Roman" w:hAnsi="Times New Roman" w:cs="Times New Roman"/>
                <w:color w:val="auto"/>
                <w:sz w:val="18"/>
                <w:szCs w:val="18"/>
              </w:rPr>
              <w:t>1栋占地面积为</w:t>
            </w:r>
            <w:r>
              <w:rPr>
                <w:rFonts w:hint="default" w:ascii="Times New Roman" w:hAnsi="Times New Roman" w:cs="Times New Roman"/>
                <w:color w:val="auto"/>
                <w:sz w:val="18"/>
                <w:szCs w:val="18"/>
                <w:lang w:eastAsia="zh-CN"/>
              </w:rPr>
              <w:t>4874.36</w:t>
            </w:r>
            <w:r>
              <w:rPr>
                <w:rFonts w:hint="default" w:ascii="Times New Roman" w:hAnsi="Times New Roman" w:cs="Times New Roman"/>
                <w:color w:val="auto"/>
                <w:sz w:val="18"/>
                <w:szCs w:val="18"/>
              </w:rPr>
              <w:t>m</w:t>
            </w:r>
            <w:r>
              <w:rPr>
                <w:rFonts w:hint="default" w:ascii="Times New Roman" w:hAnsi="Times New Roman" w:cs="Times New Roman"/>
                <w:color w:val="auto"/>
                <w:sz w:val="18"/>
                <w:szCs w:val="18"/>
                <w:vertAlign w:val="superscript"/>
              </w:rPr>
              <w:t>2</w:t>
            </w:r>
            <w:r>
              <w:rPr>
                <w:rFonts w:hint="default" w:ascii="Times New Roman" w:hAnsi="Times New Roman" w:cs="Times New Roman"/>
                <w:color w:val="auto"/>
                <w:sz w:val="18"/>
                <w:szCs w:val="18"/>
              </w:rPr>
              <w:t>的硅泥库暂存</w:t>
            </w:r>
            <w:r>
              <w:rPr>
                <w:rFonts w:hint="default" w:ascii="Times New Roman" w:hAnsi="Times New Roman" w:cs="Times New Roman"/>
                <w:color w:val="auto"/>
                <w:sz w:val="18"/>
                <w:szCs w:val="18"/>
                <w:lang w:eastAsia="zh-CN"/>
              </w:rPr>
              <w:t>全厂产生的一般工业固废、硅泥、污泥</w:t>
            </w:r>
          </w:p>
        </w:tc>
        <w:tc>
          <w:tcPr>
            <w:tcW w:w="2038" w:type="dxa"/>
            <w:vAlign w:val="center"/>
          </w:tcPr>
          <w:p>
            <w:pPr>
              <w:widowControl/>
              <w:jc w:val="center"/>
              <w:rPr>
                <w:rFonts w:hint="default" w:ascii="Times New Roman" w:hAnsi="Times New Roman" w:eastAsia="宋体" w:cs="Times New Roman"/>
                <w:color w:val="auto"/>
                <w:kern w:val="0"/>
                <w:sz w:val="18"/>
                <w:szCs w:val="18"/>
                <w:lang w:eastAsia="zh-CN"/>
              </w:rPr>
            </w:pPr>
            <w:r>
              <w:rPr>
                <w:rFonts w:hint="default" w:ascii="Times New Roman" w:hAnsi="Times New Roman" w:cs="Times New Roman"/>
                <w:color w:val="auto"/>
                <w:kern w:val="2"/>
                <w:sz w:val="18"/>
                <w:szCs w:val="18"/>
                <w:lang w:val="en-US" w:eastAsia="zh-CN" w:bidi="ar-SA"/>
              </w:rPr>
              <w:t>本项目产生的一般固废、硅泥、污泥依托该设施暂存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606" w:type="dxa"/>
            <w:vMerge w:val="continue"/>
            <w:vAlign w:val="center"/>
          </w:tcPr>
          <w:p>
            <w:pPr>
              <w:widowControl/>
              <w:jc w:val="center"/>
              <w:rPr>
                <w:rFonts w:hint="default" w:ascii="Times New Roman" w:hAnsi="Times New Roman" w:eastAsia="宋体" w:cs="Times New Roman"/>
                <w:color w:val="auto"/>
                <w:kern w:val="0"/>
                <w:sz w:val="18"/>
                <w:szCs w:val="18"/>
              </w:rPr>
            </w:pPr>
          </w:p>
        </w:tc>
        <w:tc>
          <w:tcPr>
            <w:tcW w:w="1987" w:type="dxa"/>
            <w:gridSpan w:val="3"/>
            <w:shd w:val="clear" w:color="auto" w:fill="auto"/>
            <w:vAlign w:val="center"/>
          </w:tcPr>
          <w:p>
            <w:pPr>
              <w:widowControl/>
              <w:jc w:val="center"/>
              <w:rPr>
                <w:rFonts w:hint="default" w:ascii="Times New Roman" w:hAnsi="Times New Roman" w:eastAsia="宋体" w:cs="Times New Roman"/>
                <w:color w:val="auto"/>
                <w:kern w:val="0"/>
                <w:sz w:val="18"/>
                <w:szCs w:val="18"/>
                <w:lang w:eastAsia="zh-CN"/>
              </w:rPr>
            </w:pPr>
            <w:r>
              <w:rPr>
                <w:rFonts w:hint="default" w:ascii="Times New Roman" w:hAnsi="Times New Roman" w:cs="Times New Roman"/>
                <w:color w:val="auto"/>
                <w:kern w:val="0"/>
                <w:sz w:val="18"/>
                <w:szCs w:val="18"/>
                <w:lang w:eastAsia="zh-CN"/>
              </w:rPr>
              <w:t>危废库</w:t>
            </w:r>
          </w:p>
        </w:tc>
        <w:tc>
          <w:tcPr>
            <w:tcW w:w="4075" w:type="dxa"/>
            <w:shd w:val="clear" w:color="auto" w:fill="auto"/>
            <w:vAlign w:val="center"/>
          </w:tcPr>
          <w:p>
            <w:pPr>
              <w:widowControl/>
              <w:jc w:val="left"/>
              <w:rPr>
                <w:rFonts w:hint="default" w:ascii="Times New Roman" w:hAnsi="Times New Roman" w:eastAsia="宋体" w:cs="Times New Roman"/>
                <w:color w:val="auto"/>
                <w:kern w:val="0"/>
                <w:sz w:val="18"/>
                <w:szCs w:val="18"/>
              </w:rPr>
            </w:pPr>
            <w:r>
              <w:rPr>
                <w:rFonts w:hint="default" w:ascii="Times New Roman" w:hAnsi="Times New Roman" w:cs="Times New Roman"/>
                <w:color w:val="auto"/>
                <w:sz w:val="18"/>
                <w:szCs w:val="18"/>
                <w:lang w:eastAsia="zh-CN"/>
              </w:rPr>
              <w:t>设置</w:t>
            </w:r>
            <w:r>
              <w:rPr>
                <w:rFonts w:hint="default" w:ascii="Times New Roman" w:hAnsi="Times New Roman" w:cs="Times New Roman"/>
                <w:color w:val="auto"/>
                <w:sz w:val="18"/>
                <w:szCs w:val="18"/>
              </w:rPr>
              <w:t>1栋占地面积为</w:t>
            </w:r>
            <w:r>
              <w:rPr>
                <w:rFonts w:hint="default" w:ascii="Times New Roman" w:hAnsi="Times New Roman" w:cs="Times New Roman"/>
                <w:color w:val="auto"/>
                <w:sz w:val="18"/>
                <w:szCs w:val="18"/>
                <w:lang w:eastAsia="zh-CN"/>
              </w:rPr>
              <w:t>345.56m</w:t>
            </w:r>
            <w:r>
              <w:rPr>
                <w:rFonts w:hint="default" w:ascii="Times New Roman" w:hAnsi="Times New Roman" w:cs="Times New Roman"/>
                <w:color w:val="auto"/>
                <w:sz w:val="18"/>
                <w:szCs w:val="18"/>
                <w:vertAlign w:val="superscript"/>
              </w:rPr>
              <w:t>2</w:t>
            </w:r>
            <w:r>
              <w:rPr>
                <w:rFonts w:hint="default" w:ascii="Times New Roman" w:hAnsi="Times New Roman" w:cs="Times New Roman"/>
                <w:color w:val="auto"/>
                <w:sz w:val="18"/>
                <w:szCs w:val="18"/>
              </w:rPr>
              <w:t>的危废库用于暂存</w:t>
            </w:r>
            <w:r>
              <w:rPr>
                <w:rFonts w:hint="default" w:ascii="Times New Roman" w:hAnsi="Times New Roman" w:cs="Times New Roman"/>
                <w:color w:val="auto"/>
                <w:sz w:val="18"/>
                <w:szCs w:val="18"/>
                <w:lang w:eastAsia="zh-CN"/>
              </w:rPr>
              <w:t>全厂产生的</w:t>
            </w:r>
            <w:r>
              <w:rPr>
                <w:rFonts w:hint="default" w:ascii="Times New Roman" w:hAnsi="Times New Roman" w:cs="Times New Roman"/>
                <w:color w:val="auto"/>
                <w:sz w:val="18"/>
                <w:szCs w:val="18"/>
              </w:rPr>
              <w:t>危险废物</w:t>
            </w:r>
          </w:p>
        </w:tc>
        <w:tc>
          <w:tcPr>
            <w:tcW w:w="2038" w:type="dxa"/>
            <w:vAlign w:val="center"/>
          </w:tcPr>
          <w:p>
            <w:pPr>
              <w:widowControl/>
              <w:jc w:val="center"/>
              <w:rPr>
                <w:rFonts w:hint="default" w:ascii="Times New Roman" w:hAnsi="Times New Roman" w:eastAsia="宋体" w:cs="Times New Roman"/>
                <w:color w:val="auto"/>
                <w:kern w:val="0"/>
                <w:sz w:val="18"/>
                <w:szCs w:val="18"/>
              </w:rPr>
            </w:pPr>
            <w:r>
              <w:rPr>
                <w:rFonts w:hint="default" w:ascii="Times New Roman" w:hAnsi="Times New Roman" w:cs="Times New Roman"/>
                <w:color w:val="auto"/>
                <w:kern w:val="2"/>
                <w:sz w:val="18"/>
                <w:szCs w:val="18"/>
                <w:lang w:val="en-US" w:eastAsia="zh-CN" w:bidi="ar-SA"/>
              </w:rPr>
              <w:t>本项目产生的危险废物依托该设施暂存</w:t>
            </w:r>
          </w:p>
        </w:tc>
      </w:tr>
    </w:tbl>
    <w:p>
      <w:pPr>
        <w:pStyle w:val="6"/>
        <w:spacing w:before="0" w:after="0" w:line="360" w:lineRule="auto"/>
        <w:rPr>
          <w:rFonts w:hint="default" w:ascii="Times New Roman" w:hAnsi="Times New Roman" w:eastAsia="宋体" w:cs="Times New Roman"/>
          <w:color w:val="auto"/>
          <w:szCs w:val="28"/>
          <w:lang w:eastAsia="zh-CN"/>
        </w:rPr>
      </w:pPr>
      <w:bookmarkStart w:id="280" w:name="_Toc15463"/>
      <w:r>
        <w:rPr>
          <w:rFonts w:hint="default" w:ascii="Times New Roman" w:hAnsi="Times New Roman" w:cs="Times New Roman"/>
          <w:color w:val="auto"/>
          <w:szCs w:val="28"/>
          <w:lang w:val="en-US" w:eastAsia="zh-CN"/>
        </w:rPr>
        <w:t>3</w:t>
      </w:r>
      <w:r>
        <w:rPr>
          <w:rFonts w:hint="default" w:ascii="Times New Roman" w:hAnsi="Times New Roman" w:cs="Times New Roman"/>
          <w:color w:val="auto"/>
          <w:szCs w:val="28"/>
        </w:rPr>
        <w:t>.1.</w:t>
      </w:r>
      <w:r>
        <w:rPr>
          <w:rFonts w:hint="default" w:ascii="Times New Roman" w:hAnsi="Times New Roman" w:cs="Times New Roman"/>
          <w:color w:val="auto"/>
          <w:szCs w:val="28"/>
          <w:lang w:val="en-US" w:eastAsia="zh-CN"/>
        </w:rPr>
        <w:t>3</w:t>
      </w:r>
      <w:r>
        <w:rPr>
          <w:rFonts w:hint="default" w:ascii="Times New Roman" w:hAnsi="Times New Roman" w:cs="Times New Roman"/>
          <w:color w:val="auto"/>
          <w:szCs w:val="28"/>
          <w:lang w:eastAsia="zh-CN"/>
        </w:rPr>
        <w:t>项目依托可行性分析</w:t>
      </w:r>
      <w:bookmarkEnd w:id="280"/>
    </w:p>
    <w:p>
      <w:pPr>
        <w:spacing w:line="360" w:lineRule="auto"/>
        <w:ind w:firstLine="482"/>
        <w:jc w:val="lef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1、主体工程依托可行性</w:t>
      </w:r>
    </w:p>
    <w:p>
      <w:pPr>
        <w:pStyle w:val="2"/>
        <w:rPr>
          <w:rFonts w:hint="default" w:ascii="Times New Roman" w:hAnsi="Times New Roman" w:cs="Times New Roman"/>
          <w:lang w:val="en-US" w:eastAsia="zh-CN"/>
        </w:rPr>
      </w:pPr>
      <w:r>
        <w:rPr>
          <w:rFonts w:hint="default" w:ascii="Times New Roman" w:hAnsi="Times New Roman" w:cs="Times New Roman"/>
          <w:lang w:val="en-US" w:eastAsia="zh-CN"/>
        </w:rPr>
        <w:t>项目依托已建成的切片车间，该切片车间在规划建设时便已考虑本项目机器设备的占地并预留，因此，在切片车间内新增3GW单晶硅切片生产线是可行的。</w:t>
      </w:r>
    </w:p>
    <w:p>
      <w:pPr>
        <w:pStyle w:val="2"/>
        <w:rPr>
          <w:rFonts w:hint="default" w:ascii="Times New Roman" w:hAnsi="Times New Roman" w:cs="Times New Roman"/>
          <w:lang w:val="en-US" w:eastAsia="zh-CN"/>
        </w:rPr>
      </w:pPr>
      <w:r>
        <w:rPr>
          <w:rFonts w:hint="default" w:ascii="Times New Roman" w:hAnsi="Times New Roman" w:cs="Times New Roman"/>
          <w:lang w:val="en-US" w:eastAsia="zh-CN"/>
        </w:rPr>
        <w:t>2、主要辅助工程依托可行性</w:t>
      </w:r>
    </w:p>
    <w:p>
      <w:pPr>
        <w:pStyle w:val="2"/>
        <w:rPr>
          <w:rFonts w:hint="default" w:ascii="Times New Roman" w:hAnsi="Times New Roman" w:cs="Times New Roman"/>
          <w:vertAlign w:val="baseline"/>
          <w:lang w:val="en-US" w:eastAsia="zh-CN"/>
        </w:rPr>
      </w:pPr>
      <w:r>
        <w:rPr>
          <w:rFonts w:hint="default" w:ascii="Times New Roman" w:hAnsi="Times New Roman" w:cs="Times New Roman"/>
          <w:color w:val="auto"/>
          <w:szCs w:val="28"/>
          <w:lang w:val="en-US" w:eastAsia="zh-CN"/>
        </w:rPr>
        <w:t>本</w:t>
      </w:r>
      <w:r>
        <w:rPr>
          <w:rFonts w:hint="default" w:ascii="Times New Roman" w:hAnsi="Times New Roman" w:cs="Times New Roman"/>
          <w:lang w:val="en-US" w:eastAsia="zh-CN"/>
        </w:rPr>
        <w:t>项目使用的纯水依托切片车间现状已建成的纯水站，纯水站现状制备规模为120m</w:t>
      </w:r>
      <w:r>
        <w:rPr>
          <w:rFonts w:hint="default" w:ascii="Times New Roman" w:hAnsi="Times New Roman" w:cs="Times New Roman"/>
          <w:vertAlign w:val="superscript"/>
          <w:lang w:val="en-US" w:eastAsia="zh-CN"/>
        </w:rPr>
        <w:t>3</w:t>
      </w:r>
      <w:r>
        <w:rPr>
          <w:rFonts w:hint="default" w:ascii="Times New Roman" w:hAnsi="Times New Roman" w:cs="Times New Roman"/>
          <w:vertAlign w:val="baseline"/>
          <w:lang w:val="en-US" w:eastAsia="zh-CN"/>
        </w:rPr>
        <w:t>/h，根据下文切片车间用排水平衡可知，项目建成后切片车间纯水总用量为1831.45</w:t>
      </w:r>
      <w:r>
        <w:rPr>
          <w:rFonts w:hint="default" w:ascii="Times New Roman" w:hAnsi="Times New Roman" w:cs="Times New Roman"/>
          <w:lang w:val="en-US" w:eastAsia="zh-CN"/>
        </w:rPr>
        <w:t>m</w:t>
      </w:r>
      <w:r>
        <w:rPr>
          <w:rFonts w:hint="default" w:ascii="Times New Roman" w:hAnsi="Times New Roman" w:cs="Times New Roman"/>
          <w:vertAlign w:val="superscript"/>
          <w:lang w:val="en-US" w:eastAsia="zh-CN"/>
        </w:rPr>
        <w:t>3</w:t>
      </w:r>
      <w:r>
        <w:rPr>
          <w:rFonts w:hint="default" w:ascii="Times New Roman" w:hAnsi="Times New Roman" w:cs="Times New Roman"/>
          <w:vertAlign w:val="baseline"/>
          <w:lang w:val="en-US" w:eastAsia="zh-CN"/>
        </w:rPr>
        <w:t>/d、76.31</w:t>
      </w:r>
      <w:r>
        <w:rPr>
          <w:rFonts w:hint="default" w:ascii="Times New Roman" w:hAnsi="Times New Roman" w:cs="Times New Roman"/>
          <w:lang w:val="en-US" w:eastAsia="zh-CN"/>
        </w:rPr>
        <w:t>m</w:t>
      </w:r>
      <w:r>
        <w:rPr>
          <w:rFonts w:hint="default" w:ascii="Times New Roman" w:hAnsi="Times New Roman" w:cs="Times New Roman"/>
          <w:vertAlign w:val="superscript"/>
          <w:lang w:val="en-US" w:eastAsia="zh-CN"/>
        </w:rPr>
        <w:t>3</w:t>
      </w:r>
      <w:r>
        <w:rPr>
          <w:rFonts w:hint="default" w:ascii="Times New Roman" w:hAnsi="Times New Roman" w:cs="Times New Roman"/>
          <w:vertAlign w:val="baseline"/>
          <w:lang w:val="en-US" w:eastAsia="zh-CN"/>
        </w:rPr>
        <w:t>/h，纯水站能满足本项目依托。</w:t>
      </w:r>
    </w:p>
    <w:p>
      <w:pPr>
        <w:pStyle w:val="2"/>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3、环保工程依托可行性</w:t>
      </w:r>
    </w:p>
    <w:p>
      <w:pPr>
        <w:pStyle w:val="2"/>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cs="Times New Roman"/>
          <w:color w:val="auto"/>
          <w:szCs w:val="28"/>
          <w:lang w:val="en-US" w:eastAsia="zh-CN"/>
        </w:rPr>
      </w:pPr>
      <w:r>
        <w:rPr>
          <w:rFonts w:hint="default" w:ascii="Times New Roman" w:hAnsi="Times New Roman" w:cs="Times New Roman"/>
          <w:color w:val="auto"/>
          <w:szCs w:val="28"/>
          <w:lang w:val="en-US" w:eastAsia="zh-CN"/>
        </w:rPr>
        <w:t>（1）活性炭吸附塔依托可行性</w:t>
      </w:r>
    </w:p>
    <w:p>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cs="Times New Roman"/>
          <w:color w:val="auto"/>
          <w:szCs w:val="28"/>
          <w:lang w:val="en-US" w:eastAsia="zh-CN"/>
        </w:rPr>
      </w:pPr>
      <w:r>
        <w:rPr>
          <w:rFonts w:hint="default" w:ascii="Times New Roman" w:hAnsi="Times New Roman" w:cs="Times New Roman"/>
          <w:color w:val="auto"/>
          <w:szCs w:val="28"/>
          <w:lang w:val="en-US" w:eastAsia="zh-CN"/>
        </w:rPr>
        <w:t>根据下文污染物产排情况可知，项目建成后，切片车间产生的有机废气经活性炭吸附塔治理后通过15m排气筒DA008排放，</w:t>
      </w:r>
      <w:r>
        <w:rPr>
          <w:rFonts w:hint="default" w:ascii="Times New Roman" w:hAnsi="Times New Roman" w:cs="Times New Roman"/>
          <w:color w:val="auto"/>
          <w:vertAlign w:val="baseline"/>
          <w:lang w:val="en-US" w:eastAsia="zh-CN"/>
        </w:rPr>
        <w:t>有组织有机废气排放速率为0.381kg/h、</w:t>
      </w:r>
      <w:r>
        <w:rPr>
          <w:rFonts w:hint="default" w:ascii="Times New Roman" w:hAnsi="Times New Roman" w:cs="Times New Roman"/>
          <w:color w:val="auto"/>
          <w:vertAlign w:val="baseline"/>
          <w:lang w:val="en-US" w:eastAsia="zh-CN"/>
        </w:rPr>
        <w:t>排放浓度为</w:t>
      </w:r>
      <w:r>
        <w:rPr>
          <w:rFonts w:hint="default" w:ascii="Times New Roman" w:hAnsi="Times New Roman" w:cs="Times New Roman"/>
          <w:color w:val="auto"/>
          <w:vertAlign w:val="baseline"/>
          <w:lang w:val="en-US" w:eastAsia="zh-CN"/>
        </w:rPr>
        <w:t>8.463mg/m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vertAlign w:val="baseline"/>
          <w:lang w:val="en-US" w:eastAsia="zh-CN"/>
        </w:rPr>
        <w:t>，</w:t>
      </w:r>
      <w:r>
        <w:rPr>
          <w:rFonts w:hint="default" w:ascii="Times New Roman" w:hAnsi="Times New Roman" w:cs="Times New Roman"/>
          <w:color w:val="auto"/>
          <w:vertAlign w:val="baseline"/>
          <w:lang w:val="en-US" w:eastAsia="zh-CN"/>
        </w:rPr>
        <w:t>无组织排放量为0.928t/a、0.106kg/h</w:t>
      </w:r>
      <w:r>
        <w:rPr>
          <w:rFonts w:hint="default" w:ascii="Times New Roman" w:hAnsi="Times New Roman" w:cs="Times New Roman"/>
          <w:color w:val="auto"/>
          <w:vertAlign w:val="baseline"/>
          <w:lang w:val="en-US" w:eastAsia="zh-CN"/>
        </w:rPr>
        <w:t>。</w:t>
      </w:r>
      <w:r>
        <w:rPr>
          <w:rFonts w:hint="default" w:ascii="Times New Roman" w:hAnsi="Times New Roman" w:cs="Times New Roman"/>
          <w:color w:val="auto"/>
          <w:szCs w:val="28"/>
          <w:lang w:val="en-US" w:eastAsia="zh-CN"/>
        </w:rPr>
        <w:t>排放浓度能满足</w:t>
      </w:r>
      <w:r>
        <w:rPr>
          <w:rFonts w:hint="default" w:ascii="Times New Roman" w:hAnsi="Times New Roman" w:cs="Times New Roman" w:eastAsiaTheme="minorEastAsia"/>
          <w:color w:val="auto"/>
          <w:lang w:val="en-US" w:eastAsia="zh-CN"/>
        </w:rPr>
        <w:t>《大气综合污染物排放标准》（GB16297-1996）要求</w:t>
      </w:r>
      <w:r>
        <w:rPr>
          <w:rFonts w:hint="default" w:ascii="Times New Roman" w:hAnsi="Times New Roman" w:cs="Times New Roman" w:eastAsiaTheme="minorEastAsia"/>
          <w:color w:val="auto"/>
          <w:lang w:val="en-US" w:eastAsia="zh-CN"/>
        </w:rPr>
        <w:t>，</w:t>
      </w:r>
      <w:r>
        <w:rPr>
          <w:rFonts w:hint="default" w:ascii="Times New Roman" w:hAnsi="Times New Roman" w:cs="Times New Roman" w:eastAsiaTheme="minorEastAsia"/>
          <w:color w:val="auto"/>
          <w:lang w:val="en-US" w:eastAsia="zh-CN"/>
        </w:rPr>
        <w:t>排放速率能满足</w:t>
      </w:r>
      <w:r>
        <w:rPr>
          <w:rFonts w:hint="default" w:ascii="Times New Roman" w:hAnsi="Times New Roman" w:cs="Times New Roman" w:eastAsiaTheme="minorEastAsia"/>
          <w:color w:val="auto"/>
          <w:lang w:val="en-US" w:eastAsia="zh-CN"/>
        </w:rPr>
        <w:t>再</w:t>
      </w:r>
      <w:r>
        <w:rPr>
          <w:rFonts w:hint="default" w:ascii="Times New Roman" w:hAnsi="Times New Roman" w:cs="Times New Roman" w:eastAsiaTheme="minorEastAsia"/>
          <w:color w:val="auto"/>
          <w:lang w:val="en-US" w:eastAsia="zh-CN"/>
        </w:rPr>
        <w:t>严格50%执行的排放标准要求</w:t>
      </w:r>
      <w:r>
        <w:rPr>
          <w:rFonts w:hint="default" w:ascii="Times New Roman" w:hAnsi="Times New Roman" w:cs="Times New Roman" w:eastAsiaTheme="minorEastAsia"/>
          <w:color w:val="auto"/>
          <w:lang w:val="en-US" w:eastAsia="zh-CN"/>
        </w:rPr>
        <w:t>，本项目依托可行。</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cs="Times New Roman"/>
          <w:color w:val="auto"/>
          <w:szCs w:val="28"/>
          <w:lang w:val="en-US" w:eastAsia="zh-CN"/>
        </w:rPr>
      </w:pPr>
      <w:r>
        <w:rPr>
          <w:rFonts w:hint="default" w:ascii="Times New Roman" w:hAnsi="Times New Roman" w:cs="Times New Roman"/>
          <w:color w:val="auto"/>
          <w:szCs w:val="28"/>
          <w:lang w:val="en-US" w:eastAsia="zh-CN"/>
        </w:rPr>
        <w:t>（2）文丘里洗涤塔依托可行性</w:t>
      </w:r>
    </w:p>
    <w:p>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cs="Times New Roman"/>
          <w:color w:val="auto"/>
          <w:szCs w:val="28"/>
          <w:lang w:val="en-US" w:eastAsia="zh-CN"/>
        </w:rPr>
      </w:pPr>
      <w:r>
        <w:rPr>
          <w:rFonts w:hint="default" w:ascii="Times New Roman" w:hAnsi="Times New Roman" w:cs="Times New Roman"/>
          <w:color w:val="auto"/>
          <w:szCs w:val="28"/>
          <w:lang w:val="en-US" w:eastAsia="zh-CN"/>
        </w:rPr>
        <w:t>根据下文污染物产排情况可知，项目建成后，切片车间产生的切割粉尘经</w:t>
      </w:r>
      <w:r>
        <w:rPr>
          <w:rFonts w:hint="default" w:ascii="Times New Roman" w:hAnsi="Times New Roman" w:cs="Times New Roman"/>
          <w:color w:val="auto"/>
          <w:lang w:eastAsia="zh-CN"/>
        </w:rPr>
        <w:t>文丘里洗涤塔</w:t>
      </w:r>
      <w:r>
        <w:rPr>
          <w:rFonts w:hint="default" w:ascii="Times New Roman" w:hAnsi="Times New Roman" w:cs="Times New Roman"/>
          <w:color w:val="auto"/>
          <w:szCs w:val="28"/>
          <w:lang w:val="en-US" w:eastAsia="zh-CN"/>
        </w:rPr>
        <w:t>治理后通过15m排气筒DA009排放，</w:t>
      </w:r>
      <w:r>
        <w:rPr>
          <w:rFonts w:hint="default" w:ascii="Times New Roman" w:hAnsi="Times New Roman" w:cs="Times New Roman"/>
          <w:color w:val="auto"/>
          <w:vertAlign w:val="baseline"/>
          <w:lang w:val="en-US" w:eastAsia="zh-CN"/>
        </w:rPr>
        <w:t>颗粒物</w:t>
      </w:r>
      <w:r>
        <w:rPr>
          <w:rFonts w:hint="default" w:ascii="Times New Roman" w:hAnsi="Times New Roman" w:cs="Times New Roman"/>
          <w:color w:val="auto"/>
          <w:vertAlign w:val="baseline"/>
          <w:lang w:val="en-US" w:eastAsia="zh-CN"/>
        </w:rPr>
        <w:t>排放速率为0.100kg/h、</w:t>
      </w:r>
      <w:r>
        <w:rPr>
          <w:rFonts w:hint="default" w:ascii="Times New Roman" w:hAnsi="Times New Roman" w:cs="Times New Roman"/>
          <w:color w:val="auto"/>
          <w:vertAlign w:val="baseline"/>
          <w:lang w:val="en-US" w:eastAsia="zh-CN"/>
        </w:rPr>
        <w:t>排放浓度为</w:t>
      </w:r>
      <w:r>
        <w:rPr>
          <w:rFonts w:hint="default" w:ascii="Times New Roman" w:hAnsi="Times New Roman" w:cs="Times New Roman"/>
          <w:color w:val="auto"/>
          <w:vertAlign w:val="baseline"/>
          <w:lang w:val="en-US" w:eastAsia="zh-CN"/>
        </w:rPr>
        <w:t>2.23mg/m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vertAlign w:val="baseline"/>
          <w:lang w:val="en-US" w:eastAsia="zh-CN"/>
        </w:rPr>
        <w:t>。</w:t>
      </w:r>
      <w:r>
        <w:rPr>
          <w:rFonts w:hint="default" w:ascii="Times New Roman" w:hAnsi="Times New Roman" w:cs="Times New Roman"/>
          <w:color w:val="auto"/>
          <w:szCs w:val="28"/>
          <w:lang w:val="en-US" w:eastAsia="zh-CN"/>
        </w:rPr>
        <w:t>排放浓度能满足</w:t>
      </w:r>
      <w:r>
        <w:rPr>
          <w:rFonts w:hint="default" w:ascii="Times New Roman" w:hAnsi="Times New Roman" w:cs="Times New Roman" w:eastAsiaTheme="minorEastAsia"/>
          <w:color w:val="auto"/>
          <w:lang w:val="en-US" w:eastAsia="zh-CN"/>
        </w:rPr>
        <w:t>《大气综合污染物排放标准》（GB16297-1996）要求</w:t>
      </w:r>
      <w:r>
        <w:rPr>
          <w:rFonts w:hint="default" w:ascii="Times New Roman" w:hAnsi="Times New Roman" w:cs="Times New Roman" w:eastAsiaTheme="minorEastAsia"/>
          <w:color w:val="auto"/>
          <w:lang w:val="en-US" w:eastAsia="zh-CN"/>
        </w:rPr>
        <w:t>，</w:t>
      </w:r>
      <w:r>
        <w:rPr>
          <w:rFonts w:hint="default" w:ascii="Times New Roman" w:hAnsi="Times New Roman" w:cs="Times New Roman" w:eastAsiaTheme="minorEastAsia"/>
          <w:color w:val="auto"/>
          <w:lang w:val="en-US" w:eastAsia="zh-CN"/>
        </w:rPr>
        <w:t>排放速率能满足</w:t>
      </w:r>
      <w:r>
        <w:rPr>
          <w:rFonts w:hint="default" w:ascii="Times New Roman" w:hAnsi="Times New Roman" w:cs="Times New Roman" w:eastAsiaTheme="minorEastAsia"/>
          <w:color w:val="auto"/>
          <w:lang w:val="en-US" w:eastAsia="zh-CN"/>
        </w:rPr>
        <w:t>再</w:t>
      </w:r>
      <w:r>
        <w:rPr>
          <w:rFonts w:hint="default" w:ascii="Times New Roman" w:hAnsi="Times New Roman" w:cs="Times New Roman" w:eastAsiaTheme="minorEastAsia"/>
          <w:color w:val="auto"/>
          <w:lang w:val="en-US" w:eastAsia="zh-CN"/>
        </w:rPr>
        <w:t>严格50%执行的排放标准要求</w:t>
      </w:r>
      <w:r>
        <w:rPr>
          <w:rFonts w:hint="default" w:ascii="Times New Roman" w:hAnsi="Times New Roman" w:cs="Times New Roman" w:eastAsiaTheme="minorEastAsia"/>
          <w:color w:val="auto"/>
          <w:lang w:val="en-US" w:eastAsia="zh-CN"/>
        </w:rPr>
        <w:t>，本项目依托可行。</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（3）综合污水处理站除臭系统依托可行性</w:t>
      </w:r>
    </w:p>
    <w:p>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cs="Times New Roman"/>
          <w:color w:val="auto"/>
          <w:szCs w:val="28"/>
          <w:lang w:val="en-US" w:eastAsia="zh-CN"/>
        </w:rPr>
      </w:pPr>
      <w:r>
        <w:rPr>
          <w:rFonts w:hint="default" w:ascii="Times New Roman" w:hAnsi="Times New Roman" w:cs="Times New Roman"/>
          <w:color w:val="auto"/>
          <w:szCs w:val="28"/>
          <w:lang w:val="en-US" w:eastAsia="zh-CN"/>
        </w:rPr>
        <w:t>根据下文污染物产排情况可知，项目建成后，污水处理站产生的恶臭经除臭系统（碱吸收）治理后通过15m排气筒DA011排放，</w:t>
      </w:r>
      <w:r>
        <w:rPr>
          <w:rFonts w:hint="default" w:ascii="Times New Roman" w:hAnsi="Times New Roman" w:cs="Times New Roman"/>
          <w:color w:val="auto"/>
          <w:vertAlign w:val="baseline"/>
          <w:lang w:val="en-US" w:eastAsia="zh-CN"/>
        </w:rPr>
        <w:t>氨</w:t>
      </w:r>
      <w:r>
        <w:rPr>
          <w:rFonts w:hint="default" w:ascii="Times New Roman" w:hAnsi="Times New Roman" w:cs="Times New Roman"/>
          <w:color w:val="auto"/>
          <w:vertAlign w:val="baseline"/>
          <w:lang w:val="en-US" w:eastAsia="zh-CN"/>
        </w:rPr>
        <w:t>排放速率为</w:t>
      </w:r>
      <w:r>
        <w:rPr>
          <w:rFonts w:hint="default" w:ascii="Times New Roman" w:hAnsi="Times New Roman" w:cs="Times New Roman"/>
          <w:color w:val="auto"/>
          <w:vertAlign w:val="baseline"/>
          <w:lang w:val="en-US" w:eastAsia="zh-CN"/>
        </w:rPr>
        <w:t>0.064</w:t>
      </w:r>
      <w:r>
        <w:rPr>
          <w:rFonts w:hint="default" w:ascii="Times New Roman" w:hAnsi="Times New Roman" w:cs="Times New Roman"/>
          <w:color w:val="auto"/>
          <w:vertAlign w:val="baseline"/>
          <w:lang w:val="en-US" w:eastAsia="zh-CN"/>
        </w:rPr>
        <w:t>kg/h、</w:t>
      </w:r>
      <w:r>
        <w:rPr>
          <w:rFonts w:hint="default" w:ascii="Times New Roman" w:hAnsi="Times New Roman" w:cs="Times New Roman"/>
          <w:color w:val="auto"/>
          <w:vertAlign w:val="baseline"/>
          <w:lang w:val="en-US" w:eastAsia="zh-CN"/>
        </w:rPr>
        <w:t>排放浓度为4.27</w:t>
      </w:r>
      <w:r>
        <w:rPr>
          <w:rFonts w:hint="default" w:ascii="Times New Roman" w:hAnsi="Times New Roman" w:cs="Times New Roman"/>
          <w:color w:val="auto"/>
          <w:vertAlign w:val="baseline"/>
          <w:lang w:val="en-US" w:eastAsia="zh-CN"/>
        </w:rPr>
        <w:t>mg/m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vertAlign w:val="baseline"/>
          <w:lang w:val="en-US" w:eastAsia="zh-CN"/>
        </w:rPr>
        <w:t>，硫化氢</w:t>
      </w:r>
      <w:r>
        <w:rPr>
          <w:rFonts w:hint="default" w:ascii="Times New Roman" w:hAnsi="Times New Roman" w:cs="Times New Roman"/>
          <w:color w:val="auto"/>
          <w:vertAlign w:val="baseline"/>
          <w:lang w:val="en-US" w:eastAsia="zh-CN"/>
        </w:rPr>
        <w:t>排放速率为</w:t>
      </w:r>
      <w:r>
        <w:rPr>
          <w:rFonts w:hint="default" w:ascii="Times New Roman" w:hAnsi="Times New Roman" w:cs="Times New Roman"/>
          <w:color w:val="auto"/>
          <w:vertAlign w:val="baseline"/>
          <w:lang w:val="en-US" w:eastAsia="zh-CN"/>
        </w:rPr>
        <w:t>0.0063</w:t>
      </w:r>
      <w:r>
        <w:rPr>
          <w:rFonts w:hint="default" w:ascii="Times New Roman" w:hAnsi="Times New Roman" w:cs="Times New Roman"/>
          <w:color w:val="auto"/>
          <w:vertAlign w:val="baseline"/>
          <w:lang w:val="en-US" w:eastAsia="zh-CN"/>
        </w:rPr>
        <w:t>kg/h、</w:t>
      </w:r>
      <w:r>
        <w:rPr>
          <w:rFonts w:hint="default" w:ascii="Times New Roman" w:hAnsi="Times New Roman" w:cs="Times New Roman"/>
          <w:color w:val="auto"/>
          <w:vertAlign w:val="baseline"/>
          <w:lang w:val="en-US" w:eastAsia="zh-CN"/>
        </w:rPr>
        <w:t>排放浓度为0.43</w:t>
      </w:r>
      <w:r>
        <w:rPr>
          <w:rFonts w:hint="default" w:ascii="Times New Roman" w:hAnsi="Times New Roman" w:cs="Times New Roman"/>
          <w:color w:val="auto"/>
          <w:vertAlign w:val="baseline"/>
          <w:lang w:val="en-US" w:eastAsia="zh-CN"/>
        </w:rPr>
        <w:t>mg/m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vertAlign w:val="baseline"/>
          <w:lang w:val="en-US" w:eastAsia="zh-CN"/>
        </w:rPr>
        <w:t>。</w:t>
      </w:r>
      <w:r>
        <w:rPr>
          <w:rFonts w:hint="default" w:ascii="Times New Roman" w:hAnsi="Times New Roman" w:cs="Times New Roman"/>
          <w:color w:val="auto"/>
          <w:szCs w:val="28"/>
          <w:lang w:val="en-US" w:eastAsia="zh-CN"/>
        </w:rPr>
        <w:t>排放速率能满足</w:t>
      </w:r>
      <w:r>
        <w:rPr>
          <w:rFonts w:hint="default" w:ascii="Times New Roman" w:hAnsi="Times New Roman" w:cs="Times New Roman" w:eastAsiaTheme="minorEastAsia"/>
          <w:color w:val="auto"/>
          <w:lang w:val="en-US" w:eastAsia="zh-CN"/>
        </w:rPr>
        <w:t>《</w:t>
      </w:r>
      <w:r>
        <w:rPr>
          <w:rFonts w:hint="default" w:ascii="Times New Roman" w:hAnsi="Times New Roman" w:cs="Times New Roman" w:eastAsiaTheme="minorEastAsia"/>
          <w:color w:val="auto"/>
          <w:lang w:val="en-US" w:eastAsia="zh-CN"/>
        </w:rPr>
        <w:t>恶臭</w:t>
      </w:r>
      <w:r>
        <w:rPr>
          <w:rFonts w:hint="default" w:ascii="Times New Roman" w:hAnsi="Times New Roman" w:cs="Times New Roman" w:eastAsiaTheme="minorEastAsia"/>
          <w:color w:val="auto"/>
          <w:lang w:val="en-US" w:eastAsia="zh-CN"/>
        </w:rPr>
        <w:t>污染物排放标准》（</w:t>
      </w:r>
      <w:r>
        <w:rPr>
          <w:rFonts w:hint="default" w:ascii="Times New Roman" w:hAnsi="Times New Roman" w:eastAsia="宋体" w:cs="Times New Roman"/>
          <w:color w:val="auto"/>
          <w:kern w:val="2"/>
          <w:lang w:val="en-US" w:eastAsia="zh-CN"/>
        </w:rPr>
        <w:t>GB14554-93</w:t>
      </w:r>
      <w:r>
        <w:rPr>
          <w:rFonts w:hint="default" w:ascii="Times New Roman" w:hAnsi="Times New Roman" w:cs="Times New Roman" w:eastAsiaTheme="minorEastAsia"/>
          <w:color w:val="auto"/>
          <w:lang w:val="en-US" w:eastAsia="zh-CN"/>
        </w:rPr>
        <w:t>）要求</w:t>
      </w:r>
      <w:r>
        <w:rPr>
          <w:rFonts w:hint="default" w:ascii="Times New Roman" w:hAnsi="Times New Roman" w:cs="Times New Roman" w:eastAsiaTheme="minorEastAsia"/>
          <w:color w:val="auto"/>
          <w:lang w:val="en-US" w:eastAsia="zh-CN"/>
        </w:rPr>
        <w:t>，本项目依托可行。</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（4）含氟废水处理站依托可行性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vertAlign w:val="baseline"/>
          <w:lang w:val="en-US" w:eastAsia="zh-CN"/>
        </w:rPr>
      </w:pPr>
      <w:r>
        <w:rPr>
          <w:rFonts w:hint="default" w:ascii="Times New Roman" w:hAnsi="Times New Roman" w:cs="Times New Roman"/>
          <w:lang w:val="en-US" w:eastAsia="zh-CN"/>
        </w:rPr>
        <w:t>根据下文水平衡分析，含氟废水处理站现状废水处理量为1291.8m</w:t>
      </w:r>
      <w:r>
        <w:rPr>
          <w:rFonts w:hint="default" w:ascii="Times New Roman" w:hAnsi="Times New Roman" w:cs="Times New Roman"/>
          <w:vertAlign w:val="superscript"/>
          <w:lang w:val="en-US" w:eastAsia="zh-CN"/>
        </w:rPr>
        <w:t>3</w:t>
      </w:r>
      <w:r>
        <w:rPr>
          <w:rFonts w:hint="default" w:ascii="Times New Roman" w:hAnsi="Times New Roman" w:cs="Times New Roman"/>
          <w:vertAlign w:val="baseline"/>
          <w:lang w:val="en-US" w:eastAsia="zh-CN"/>
        </w:rPr>
        <w:t>/d、53.83m</w:t>
      </w:r>
      <w:r>
        <w:rPr>
          <w:rFonts w:hint="default" w:ascii="Times New Roman" w:hAnsi="Times New Roman" w:cs="Times New Roman"/>
          <w:vertAlign w:val="superscript"/>
          <w:lang w:val="en-US" w:eastAsia="zh-CN"/>
        </w:rPr>
        <w:t>3</w:t>
      </w:r>
      <w:r>
        <w:rPr>
          <w:rFonts w:hint="default" w:ascii="Times New Roman" w:hAnsi="Times New Roman" w:cs="Times New Roman"/>
          <w:vertAlign w:val="baseline"/>
          <w:lang w:val="en-US" w:eastAsia="zh-CN"/>
        </w:rPr>
        <w:t>/h，本项目吸杂生产线建成后，增加的含氟废水量为2.93m</w:t>
      </w:r>
      <w:r>
        <w:rPr>
          <w:rFonts w:hint="default" w:ascii="Times New Roman" w:hAnsi="Times New Roman" w:cs="Times New Roman"/>
          <w:vertAlign w:val="superscript"/>
          <w:lang w:val="en-US" w:eastAsia="zh-CN"/>
        </w:rPr>
        <w:t>3</w:t>
      </w:r>
      <w:r>
        <w:rPr>
          <w:rFonts w:hint="default" w:ascii="Times New Roman" w:hAnsi="Times New Roman" w:cs="Times New Roman"/>
          <w:vertAlign w:val="baseline"/>
          <w:lang w:val="en-US" w:eastAsia="zh-CN"/>
        </w:rPr>
        <w:t>/d、0.12m</w:t>
      </w:r>
      <w:r>
        <w:rPr>
          <w:rFonts w:hint="default" w:ascii="Times New Roman" w:hAnsi="Times New Roman" w:cs="Times New Roman"/>
          <w:vertAlign w:val="superscript"/>
          <w:lang w:val="en-US" w:eastAsia="zh-CN"/>
        </w:rPr>
        <w:t>3</w:t>
      </w:r>
      <w:r>
        <w:rPr>
          <w:rFonts w:hint="default" w:ascii="Times New Roman" w:hAnsi="Times New Roman" w:cs="Times New Roman"/>
          <w:vertAlign w:val="baseline"/>
          <w:lang w:val="en-US" w:eastAsia="zh-CN"/>
        </w:rPr>
        <w:t>/h，项目建成后全厂含氟废水量为1294.73</w:t>
      </w:r>
      <w:r>
        <w:rPr>
          <w:rFonts w:hint="default" w:ascii="Times New Roman" w:hAnsi="Times New Roman" w:cs="Times New Roman"/>
          <w:lang w:val="en-US" w:eastAsia="zh-CN"/>
        </w:rPr>
        <w:t>m</w:t>
      </w:r>
      <w:r>
        <w:rPr>
          <w:rFonts w:hint="default" w:ascii="Times New Roman" w:hAnsi="Times New Roman" w:cs="Times New Roman"/>
          <w:vertAlign w:val="superscript"/>
          <w:lang w:val="en-US" w:eastAsia="zh-CN"/>
        </w:rPr>
        <w:t>3</w:t>
      </w:r>
      <w:r>
        <w:rPr>
          <w:rFonts w:hint="default" w:ascii="Times New Roman" w:hAnsi="Times New Roman" w:cs="Times New Roman"/>
          <w:vertAlign w:val="baseline"/>
          <w:lang w:val="en-US" w:eastAsia="zh-CN"/>
        </w:rPr>
        <w:t>/d、53.95m</w:t>
      </w:r>
      <w:r>
        <w:rPr>
          <w:rFonts w:hint="default" w:ascii="Times New Roman" w:hAnsi="Times New Roman" w:cs="Times New Roman"/>
          <w:vertAlign w:val="superscript"/>
          <w:lang w:val="en-US" w:eastAsia="zh-CN"/>
        </w:rPr>
        <w:t>3</w:t>
      </w:r>
      <w:r>
        <w:rPr>
          <w:rFonts w:hint="default" w:ascii="Times New Roman" w:hAnsi="Times New Roman" w:cs="Times New Roman"/>
          <w:vertAlign w:val="baseline"/>
          <w:lang w:val="en-US" w:eastAsia="zh-CN"/>
        </w:rPr>
        <w:t>/h，含氟废水处理站处理规模为100m</w:t>
      </w:r>
      <w:r>
        <w:rPr>
          <w:rFonts w:hint="default" w:ascii="Times New Roman" w:hAnsi="Times New Roman" w:cs="Times New Roman"/>
          <w:vertAlign w:val="superscript"/>
          <w:lang w:val="en-US" w:eastAsia="zh-CN"/>
        </w:rPr>
        <w:t>3</w:t>
      </w:r>
      <w:r>
        <w:rPr>
          <w:rFonts w:hint="default" w:ascii="Times New Roman" w:hAnsi="Times New Roman" w:cs="Times New Roman"/>
          <w:vertAlign w:val="baseline"/>
          <w:lang w:val="en-US" w:eastAsia="zh-CN"/>
        </w:rPr>
        <w:t>/h，可以满足废水处理要求，本项目依托可行。</w:t>
      </w:r>
    </w:p>
    <w:p>
      <w:pPr>
        <w:pStyle w:val="2"/>
        <w:rPr>
          <w:rFonts w:hint="default" w:ascii="Times New Roman" w:hAnsi="Times New Roman" w:cs="Times New Roman"/>
          <w:lang w:val="en-US" w:eastAsia="zh-CN"/>
        </w:rPr>
      </w:pPr>
      <w:r>
        <w:rPr>
          <w:rFonts w:hint="default" w:ascii="Times New Roman" w:hAnsi="Times New Roman" w:cs="Times New Roman"/>
          <w:lang w:val="en-US" w:eastAsia="zh-CN"/>
        </w:rPr>
        <w:t>（5）隔膜压滤系统依托可行性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vertAlign w:val="baseline"/>
          <w:lang w:val="en-US" w:eastAsia="zh-CN"/>
        </w:rPr>
      </w:pPr>
      <w:r>
        <w:rPr>
          <w:rFonts w:hint="default" w:ascii="Times New Roman" w:hAnsi="Times New Roman" w:cs="Times New Roman"/>
          <w:lang w:val="en-US" w:eastAsia="zh-CN"/>
        </w:rPr>
        <w:t>隔膜压滤系统设置11套隔膜压滤机，每套处理规模为5m</w:t>
      </w:r>
      <w:r>
        <w:rPr>
          <w:rFonts w:hint="default" w:ascii="Times New Roman" w:hAnsi="Times New Roman" w:cs="Times New Roman"/>
          <w:vertAlign w:val="superscript"/>
          <w:lang w:val="en-US" w:eastAsia="zh-CN"/>
        </w:rPr>
        <w:t>3</w:t>
      </w:r>
      <w:r>
        <w:rPr>
          <w:rFonts w:hint="default" w:ascii="Times New Roman" w:hAnsi="Times New Roman" w:cs="Times New Roman"/>
          <w:vertAlign w:val="baseline"/>
          <w:lang w:val="en-US" w:eastAsia="zh-CN"/>
        </w:rPr>
        <w:t>/h，总规模为55m</w:t>
      </w:r>
      <w:r>
        <w:rPr>
          <w:rFonts w:hint="default" w:ascii="Times New Roman" w:hAnsi="Times New Roman" w:cs="Times New Roman"/>
          <w:vertAlign w:val="superscript"/>
          <w:lang w:val="en-US" w:eastAsia="zh-CN"/>
        </w:rPr>
        <w:t>3</w:t>
      </w:r>
      <w:r>
        <w:rPr>
          <w:rFonts w:hint="default" w:ascii="Times New Roman" w:hAnsi="Times New Roman" w:cs="Times New Roman"/>
          <w:vertAlign w:val="baseline"/>
          <w:lang w:val="en-US" w:eastAsia="zh-CN"/>
        </w:rPr>
        <w:t>/h。根据下文水平衡分析可知，本项目建成后，切片车间需要进行压滤处理的切割废水总量为613.04m</w:t>
      </w:r>
      <w:r>
        <w:rPr>
          <w:rFonts w:hint="default" w:ascii="Times New Roman" w:hAnsi="Times New Roman" w:cs="Times New Roman"/>
          <w:vertAlign w:val="superscript"/>
          <w:lang w:val="en-US" w:eastAsia="zh-CN"/>
        </w:rPr>
        <w:t>3</w:t>
      </w:r>
      <w:r>
        <w:rPr>
          <w:rFonts w:hint="default" w:ascii="Times New Roman" w:hAnsi="Times New Roman" w:cs="Times New Roman"/>
          <w:vertAlign w:val="baseline"/>
          <w:lang w:val="en-US" w:eastAsia="zh-CN"/>
        </w:rPr>
        <w:t>/d、25.54m</w:t>
      </w:r>
      <w:r>
        <w:rPr>
          <w:rFonts w:hint="default" w:ascii="Times New Roman" w:hAnsi="Times New Roman" w:cs="Times New Roman"/>
          <w:vertAlign w:val="superscript"/>
          <w:lang w:val="en-US" w:eastAsia="zh-CN"/>
        </w:rPr>
        <w:t>3</w:t>
      </w:r>
      <w:r>
        <w:rPr>
          <w:rFonts w:hint="default" w:ascii="Times New Roman" w:hAnsi="Times New Roman" w:cs="Times New Roman"/>
          <w:vertAlign w:val="baseline"/>
          <w:lang w:val="en-US" w:eastAsia="zh-CN"/>
        </w:rPr>
        <w:t>/h，可以满足切割废水的处理要求，本项目依托可行。</w:t>
      </w:r>
    </w:p>
    <w:p>
      <w:pPr>
        <w:pStyle w:val="2"/>
        <w:numPr>
          <w:ilvl w:val="0"/>
          <w:numId w:val="0"/>
        </w:numPr>
        <w:ind w:leftChars="200"/>
        <w:rPr>
          <w:rFonts w:hint="default" w:ascii="Times New Roman" w:hAnsi="Times New Roman" w:cs="Times New Roman"/>
          <w:lang w:val="en-US" w:eastAsia="zh-CN"/>
        </w:rPr>
      </w:pPr>
      <w:r>
        <w:rPr>
          <w:rFonts w:hint="default" w:ascii="Times New Roman" w:hAnsi="Times New Roman" w:cs="Times New Roman"/>
          <w:lang w:val="en-US" w:eastAsia="zh-CN"/>
        </w:rPr>
        <w:t>（6）综合污水处理站依托可行性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vertAlign w:val="baseline"/>
          <w:lang w:val="en-US" w:eastAsia="zh-CN"/>
        </w:rPr>
      </w:pPr>
      <w:r>
        <w:rPr>
          <w:rFonts w:hint="default" w:ascii="Times New Roman" w:hAnsi="Times New Roman" w:cs="Times New Roman"/>
          <w:lang w:val="en-US" w:eastAsia="zh-CN"/>
        </w:rPr>
        <w:t>综合污水处理站处理规模为353m</w:t>
      </w:r>
      <w:r>
        <w:rPr>
          <w:rFonts w:hint="default" w:ascii="Times New Roman" w:hAnsi="Times New Roman" w:cs="Times New Roman"/>
          <w:vertAlign w:val="superscript"/>
          <w:lang w:val="en-US" w:eastAsia="zh-CN"/>
        </w:rPr>
        <w:t>3</w:t>
      </w:r>
      <w:r>
        <w:rPr>
          <w:rFonts w:hint="default" w:ascii="Times New Roman" w:hAnsi="Times New Roman" w:cs="Times New Roman"/>
          <w:vertAlign w:val="baseline"/>
          <w:lang w:val="en-US" w:eastAsia="zh-CN"/>
        </w:rPr>
        <w:t>/h，根据下文水平衡分析可知，本项目建成后，全厂生产废水（清净下水除外）进入综合污水处理站的废水量为4738.45m</w:t>
      </w:r>
      <w:r>
        <w:rPr>
          <w:rFonts w:hint="default" w:ascii="Times New Roman" w:hAnsi="Times New Roman" w:cs="Times New Roman"/>
          <w:vertAlign w:val="superscript"/>
          <w:lang w:val="en-US" w:eastAsia="zh-CN"/>
        </w:rPr>
        <w:t>3</w:t>
      </w:r>
      <w:r>
        <w:rPr>
          <w:rFonts w:hint="default" w:ascii="Times New Roman" w:hAnsi="Times New Roman" w:cs="Times New Roman"/>
          <w:vertAlign w:val="baseline"/>
          <w:lang w:val="en-US" w:eastAsia="zh-CN"/>
        </w:rPr>
        <w:t>/d、197.44m</w:t>
      </w:r>
      <w:r>
        <w:rPr>
          <w:rFonts w:hint="default" w:ascii="Times New Roman" w:hAnsi="Times New Roman" w:cs="Times New Roman"/>
          <w:vertAlign w:val="superscript"/>
          <w:lang w:val="en-US" w:eastAsia="zh-CN"/>
        </w:rPr>
        <w:t>3</w:t>
      </w:r>
      <w:r>
        <w:rPr>
          <w:rFonts w:hint="default" w:ascii="Times New Roman" w:hAnsi="Times New Roman" w:cs="Times New Roman"/>
          <w:vertAlign w:val="baseline"/>
          <w:lang w:val="en-US" w:eastAsia="zh-CN"/>
        </w:rPr>
        <w:t>/h，可以满足全厂生产废水的处理要求，本项目依托可行。</w:t>
      </w:r>
    </w:p>
    <w:p>
      <w:pPr>
        <w:pStyle w:val="2"/>
        <w:rPr>
          <w:rFonts w:hint="default" w:ascii="Times New Roman" w:hAnsi="Times New Roman" w:cs="Times New Roman"/>
          <w:lang w:val="en-US" w:eastAsia="zh-CN"/>
        </w:rPr>
      </w:pPr>
      <w:r>
        <w:rPr>
          <w:rFonts w:hint="default" w:ascii="Times New Roman" w:hAnsi="Times New Roman" w:cs="Times New Roman"/>
          <w:lang w:val="en-US" w:eastAsia="zh-CN"/>
        </w:rPr>
        <w:t>（7）初期雨水收集池依托可行性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vertAlign w:val="baseline"/>
          <w:lang w:val="en-US" w:eastAsia="zh-CN"/>
        </w:rPr>
      </w:pPr>
      <w:r>
        <w:rPr>
          <w:rFonts w:hint="default" w:ascii="Times New Roman" w:hAnsi="Times New Roman" w:cs="Times New Roman"/>
          <w:lang w:val="en-US" w:eastAsia="zh-CN"/>
        </w:rPr>
        <w:t>由于本项目依托厂区现有已建成基础设施及环保设施，未新增额外用地，厂区内初期雨水的收集范围没有发生改变，依托现状已建成的150m</w:t>
      </w:r>
      <w:r>
        <w:rPr>
          <w:rFonts w:hint="default" w:ascii="Times New Roman" w:hAnsi="Times New Roman" w:cs="Times New Roman"/>
          <w:vertAlign w:val="superscript"/>
          <w:lang w:val="en-US" w:eastAsia="zh-CN"/>
        </w:rPr>
        <w:t>3</w:t>
      </w:r>
      <w:r>
        <w:rPr>
          <w:rFonts w:hint="default" w:ascii="Times New Roman" w:hAnsi="Times New Roman" w:cs="Times New Roman"/>
          <w:vertAlign w:val="baseline"/>
          <w:lang w:val="en-US" w:eastAsia="zh-CN"/>
        </w:rPr>
        <w:t>初期雨水收集池可以满足初期雨水的收集要求。</w:t>
      </w:r>
    </w:p>
    <w:p>
      <w:pPr>
        <w:pStyle w:val="2"/>
        <w:rPr>
          <w:rFonts w:hint="default" w:ascii="Times New Roman" w:hAnsi="Times New Roman" w:cs="Times New Roman"/>
          <w:lang w:val="en-US" w:eastAsia="zh-CN"/>
        </w:rPr>
      </w:pPr>
      <w:r>
        <w:rPr>
          <w:rFonts w:hint="default" w:ascii="Times New Roman" w:hAnsi="Times New Roman" w:cs="Times New Roman"/>
          <w:lang w:val="en-US" w:eastAsia="zh-CN"/>
        </w:rPr>
        <w:t>（8）事故水池依托可行性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由于本项目依托厂区现有已建成基础设施及环保设施，未新增额外用地，厂区内发生事故时的事故废水收集范围没有发生改变，依托现状已建成的两座事故水池（1座720m</w:t>
      </w:r>
      <w:r>
        <w:rPr>
          <w:rFonts w:hint="default" w:ascii="Times New Roman" w:hAnsi="Times New Roman" w:cs="Times New Roman"/>
          <w:vertAlign w:val="superscript"/>
          <w:lang w:val="en-US" w:eastAsia="zh-CN"/>
        </w:rPr>
        <w:t>3</w:t>
      </w:r>
      <w:r>
        <w:rPr>
          <w:rFonts w:hint="default" w:ascii="Times New Roman" w:hAnsi="Times New Roman" w:cs="Times New Roman"/>
          <w:vertAlign w:val="baseline"/>
          <w:lang w:val="en-US" w:eastAsia="zh-CN"/>
        </w:rPr>
        <w:t>、1座3000m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w:t>
      </w:r>
      <w:r>
        <w:rPr>
          <w:rFonts w:hint="default" w:ascii="Times New Roman" w:hAnsi="Times New Roman" w:cs="Times New Roman"/>
          <w:vertAlign w:val="baseline"/>
          <w:lang w:val="en-US" w:eastAsia="zh-CN"/>
        </w:rPr>
        <w:t>可以满足事故废水的收集要求。</w:t>
      </w:r>
    </w:p>
    <w:p>
      <w:pPr>
        <w:pStyle w:val="6"/>
        <w:keepNext/>
        <w:keepLines/>
        <w:pageBreakBefore w:val="0"/>
        <w:widowControl w:val="0"/>
        <w:kinsoku/>
        <w:wordWrap/>
        <w:overflowPunct/>
        <w:topLinePunct w:val="0"/>
        <w:autoSpaceDE/>
        <w:autoSpaceDN/>
        <w:bidi w:val="0"/>
        <w:adjustRightInd/>
        <w:snapToGrid/>
        <w:spacing w:before="157" w:beforeLines="50" w:after="0" w:line="360" w:lineRule="auto"/>
        <w:textAlignment w:val="auto"/>
        <w:rPr>
          <w:rFonts w:hint="default" w:ascii="Times New Roman" w:hAnsi="Times New Roman" w:eastAsia="宋体" w:cs="Times New Roman"/>
          <w:color w:val="auto"/>
          <w:szCs w:val="28"/>
          <w:lang w:eastAsia="zh-CN"/>
        </w:rPr>
      </w:pPr>
      <w:bookmarkStart w:id="281" w:name="_Toc7364"/>
      <w:r>
        <w:rPr>
          <w:rFonts w:hint="default" w:ascii="Times New Roman" w:hAnsi="Times New Roman" w:cs="Times New Roman"/>
          <w:color w:val="auto"/>
          <w:szCs w:val="28"/>
          <w:lang w:val="en-US" w:eastAsia="zh-CN"/>
        </w:rPr>
        <w:t>3</w:t>
      </w:r>
      <w:r>
        <w:rPr>
          <w:rFonts w:hint="default" w:ascii="Times New Roman" w:hAnsi="Times New Roman" w:cs="Times New Roman"/>
          <w:color w:val="auto"/>
          <w:szCs w:val="28"/>
        </w:rPr>
        <w:t>.1.</w:t>
      </w:r>
      <w:r>
        <w:rPr>
          <w:rFonts w:hint="default" w:ascii="Times New Roman" w:hAnsi="Times New Roman" w:cs="Times New Roman"/>
          <w:color w:val="auto"/>
          <w:szCs w:val="28"/>
          <w:lang w:val="en-US" w:eastAsia="zh-CN"/>
        </w:rPr>
        <w:t>3</w:t>
      </w:r>
      <w:r>
        <w:rPr>
          <w:rFonts w:hint="default" w:ascii="Times New Roman" w:hAnsi="Times New Roman" w:cs="Times New Roman"/>
          <w:color w:val="auto"/>
          <w:szCs w:val="28"/>
          <w:lang w:eastAsia="zh-CN"/>
        </w:rPr>
        <w:t>产品方案</w:t>
      </w:r>
      <w:bookmarkEnd w:id="281"/>
    </w:p>
    <w:p>
      <w:pPr>
        <w:spacing w:line="360" w:lineRule="auto"/>
        <w:ind w:firstLine="482"/>
        <w:jc w:val="left"/>
        <w:rPr>
          <w:rFonts w:hint="default" w:ascii="Times New Roman" w:hAnsi="Times New Roman" w:cs="Times New Roman"/>
          <w:color w:val="auto"/>
        </w:rPr>
      </w:pPr>
      <w:r>
        <w:rPr>
          <w:rFonts w:hint="default" w:ascii="Times New Roman" w:hAnsi="Times New Roman" w:cs="Times New Roman"/>
          <w:color w:val="auto"/>
        </w:rPr>
        <w:t>根据建设单位提供资料，</w:t>
      </w:r>
      <w:r>
        <w:rPr>
          <w:rFonts w:hint="default" w:ascii="Times New Roman" w:hAnsi="Times New Roman" w:cs="Times New Roman"/>
          <w:color w:val="auto"/>
          <w:lang w:eastAsia="zh-CN"/>
        </w:rPr>
        <w:t>项目产出成品单片重约</w:t>
      </w:r>
      <w:r>
        <w:rPr>
          <w:rFonts w:hint="default" w:ascii="Times New Roman" w:hAnsi="Times New Roman" w:cs="Times New Roman"/>
          <w:color w:val="auto"/>
          <w:lang w:val="en-US" w:eastAsia="zh-CN"/>
        </w:rPr>
        <w:t>17.79g，厚度约为0.16mm，传统生产工艺中</w:t>
      </w:r>
      <w:r>
        <w:rPr>
          <w:rFonts w:hint="default" w:ascii="Times New Roman" w:hAnsi="Times New Roman" w:cs="Times New Roman"/>
          <w:color w:val="auto"/>
        </w:rPr>
        <w:t>1GW单晶硅</w:t>
      </w:r>
      <w:r>
        <w:rPr>
          <w:rFonts w:hint="default" w:ascii="Times New Roman" w:hAnsi="Times New Roman" w:cs="Times New Roman"/>
          <w:color w:val="auto"/>
          <w:lang w:eastAsia="zh-CN"/>
        </w:rPr>
        <w:t>方棒（</w:t>
      </w:r>
      <w:r>
        <w:rPr>
          <w:rFonts w:hint="default" w:ascii="Times New Roman" w:hAnsi="Times New Roman" w:cs="Times New Roman"/>
          <w:color w:val="auto"/>
          <w:lang w:val="en-US" w:eastAsia="zh-CN"/>
        </w:rPr>
        <w:t>3565.06t</w:t>
      </w:r>
      <w:r>
        <w:rPr>
          <w:rFonts w:hint="default" w:ascii="Times New Roman" w:hAnsi="Times New Roman" w:cs="Times New Roman"/>
          <w:color w:val="auto"/>
          <w:lang w:eastAsia="zh-CN"/>
        </w:rPr>
        <w:t>）可产出成品单晶硅</w:t>
      </w:r>
      <w:r>
        <w:rPr>
          <w:rFonts w:hint="default" w:ascii="Times New Roman" w:hAnsi="Times New Roman" w:cs="Times New Roman"/>
          <w:color w:val="auto"/>
        </w:rPr>
        <w:t>切片</w:t>
      </w:r>
      <w:r>
        <w:rPr>
          <w:rFonts w:hint="default" w:ascii="Times New Roman" w:hAnsi="Times New Roman" w:cs="Times New Roman"/>
          <w:color w:val="auto"/>
          <w:lang w:eastAsia="zh-CN"/>
        </w:rPr>
        <w:t>约</w:t>
      </w:r>
      <w:r>
        <w:rPr>
          <w:rFonts w:hint="default" w:ascii="Times New Roman" w:hAnsi="Times New Roman" w:cs="Times New Roman"/>
          <w:color w:val="auto"/>
          <w:lang w:val="en-US" w:eastAsia="zh-CN"/>
        </w:rPr>
        <w:t>161326817</w:t>
      </w:r>
      <w:r>
        <w:rPr>
          <w:rFonts w:hint="default" w:ascii="Times New Roman" w:hAnsi="Times New Roman" w:cs="Times New Roman"/>
          <w:color w:val="auto"/>
        </w:rPr>
        <w:t>片</w:t>
      </w:r>
      <w:r>
        <w:rPr>
          <w:rFonts w:hint="default" w:ascii="Times New Roman" w:hAnsi="Times New Roman" w:cs="Times New Roman"/>
          <w:color w:val="auto"/>
          <w:lang w:eastAsia="zh-CN"/>
        </w:rPr>
        <w:t>（约</w:t>
      </w:r>
      <w:r>
        <w:rPr>
          <w:rFonts w:hint="default" w:ascii="Times New Roman" w:hAnsi="Times New Roman" w:cs="Times New Roman"/>
          <w:color w:val="auto"/>
          <w:lang w:val="en-US" w:eastAsia="zh-CN"/>
        </w:rPr>
        <w:t>2870.00t）</w:t>
      </w:r>
      <w:r>
        <w:rPr>
          <w:rFonts w:hint="default" w:ascii="Times New Roman" w:hAnsi="Times New Roman" w:cs="Times New Roman"/>
          <w:color w:val="auto"/>
          <w:lang w:eastAsia="zh-CN"/>
        </w:rPr>
        <w:t>，废片产出约</w:t>
      </w:r>
      <w:r>
        <w:rPr>
          <w:rFonts w:hint="default" w:ascii="Times New Roman" w:hAnsi="Times New Roman" w:cs="Times New Roman"/>
          <w:color w:val="auto"/>
          <w:lang w:val="en-US" w:eastAsia="zh-CN"/>
        </w:rPr>
        <w:t>8490885片（约151.05t），废片</w:t>
      </w:r>
      <w:r>
        <w:rPr>
          <w:rFonts w:hint="default" w:ascii="Times New Roman" w:hAnsi="Times New Roman" w:cs="Times New Roman"/>
          <w:color w:val="auto"/>
          <w:lang w:eastAsia="zh-CN"/>
        </w:rPr>
        <w:t>率约为</w:t>
      </w:r>
      <w:r>
        <w:rPr>
          <w:rFonts w:hint="default" w:ascii="Times New Roman" w:hAnsi="Times New Roman" w:cs="Times New Roman"/>
          <w:color w:val="auto"/>
          <w:lang w:val="en-US" w:eastAsia="zh-CN"/>
        </w:rPr>
        <w:t>5%；在本项目新增吸杂工艺后，废片率可降低至2%。</w:t>
      </w:r>
      <w:r>
        <w:rPr>
          <w:rFonts w:hint="default" w:ascii="Times New Roman" w:hAnsi="Times New Roman" w:cs="Times New Roman"/>
          <w:color w:val="auto"/>
        </w:rPr>
        <w:t>项目年产</w:t>
      </w:r>
      <w:r>
        <w:rPr>
          <w:rFonts w:hint="default" w:ascii="Times New Roman" w:hAnsi="Times New Roman" w:cs="Times New Roman"/>
          <w:color w:val="auto"/>
          <w:lang w:val="en-US" w:eastAsia="zh-CN"/>
        </w:rPr>
        <w:t>3</w:t>
      </w:r>
      <w:r>
        <w:rPr>
          <w:rFonts w:hint="default" w:ascii="Times New Roman" w:hAnsi="Times New Roman" w:cs="Times New Roman"/>
          <w:color w:val="auto"/>
        </w:rPr>
        <w:t>GW单晶硅切片，</w:t>
      </w:r>
      <w:r>
        <w:rPr>
          <w:rFonts w:hint="default" w:ascii="Times New Roman" w:hAnsi="Times New Roman" w:cs="Times New Roman"/>
          <w:color w:val="auto"/>
          <w:lang w:eastAsia="zh-CN"/>
        </w:rPr>
        <w:t>则产出</w:t>
      </w:r>
      <w:r>
        <w:rPr>
          <w:rFonts w:hint="default" w:ascii="Times New Roman" w:hAnsi="Times New Roman" w:cs="Times New Roman"/>
          <w:color w:val="auto"/>
        </w:rPr>
        <w:t>单晶硅切片</w:t>
      </w:r>
      <w:r>
        <w:rPr>
          <w:rFonts w:hint="default" w:ascii="Times New Roman" w:hAnsi="Times New Roman" w:cs="Times New Roman"/>
          <w:color w:val="auto"/>
          <w:lang w:val="en-US" w:eastAsia="zh-CN"/>
        </w:rPr>
        <w:t>499264044</w:t>
      </w:r>
      <w:r>
        <w:rPr>
          <w:rFonts w:hint="default" w:ascii="Times New Roman" w:hAnsi="Times New Roman" w:cs="Times New Roman"/>
          <w:color w:val="auto"/>
        </w:rPr>
        <w:t>片（</w:t>
      </w:r>
      <w:r>
        <w:rPr>
          <w:rFonts w:hint="default" w:ascii="Times New Roman" w:hAnsi="Times New Roman" w:cs="Times New Roman"/>
          <w:color w:val="auto"/>
          <w:lang w:val="en-US" w:eastAsia="zh-CN"/>
        </w:rPr>
        <w:t>8881.91</w:t>
      </w:r>
      <w:r>
        <w:rPr>
          <w:rFonts w:hint="default" w:ascii="Times New Roman" w:hAnsi="Times New Roman" w:cs="Times New Roman"/>
          <w:color w:val="auto"/>
        </w:rPr>
        <w:t>t/a）</w:t>
      </w:r>
      <w:r>
        <w:rPr>
          <w:rFonts w:hint="default" w:ascii="Times New Roman" w:hAnsi="Times New Roman" w:cs="Times New Roman"/>
          <w:color w:val="auto"/>
          <w:lang w:eastAsia="zh-CN"/>
        </w:rPr>
        <w:t>，废片</w:t>
      </w:r>
      <w:r>
        <w:rPr>
          <w:rFonts w:hint="default" w:ascii="Times New Roman" w:hAnsi="Times New Roman" w:cs="Times New Roman"/>
          <w:color w:val="auto"/>
          <w:lang w:val="en-US" w:eastAsia="zh-CN"/>
        </w:rPr>
        <w:t>3396354</w:t>
      </w:r>
      <w:r>
        <w:rPr>
          <w:rFonts w:hint="default" w:ascii="Times New Roman" w:hAnsi="Times New Roman" w:cs="Times New Roman"/>
          <w:color w:val="auto"/>
          <w:lang w:eastAsia="zh-CN"/>
        </w:rPr>
        <w:t>片（</w:t>
      </w:r>
      <w:r>
        <w:rPr>
          <w:rFonts w:hint="default" w:ascii="Times New Roman" w:hAnsi="Times New Roman" w:cs="Times New Roman"/>
          <w:color w:val="auto"/>
          <w:lang w:val="en-US" w:eastAsia="zh-CN"/>
        </w:rPr>
        <w:t>181.26t/a</w:t>
      </w:r>
      <w:r>
        <w:rPr>
          <w:rFonts w:hint="default" w:ascii="Times New Roman" w:hAnsi="Times New Roman" w:cs="Times New Roman"/>
          <w:color w:val="auto"/>
          <w:lang w:eastAsia="zh-CN"/>
        </w:rPr>
        <w:t>）</w:t>
      </w:r>
      <w:r>
        <w:rPr>
          <w:rFonts w:hint="default" w:ascii="Times New Roman" w:hAnsi="Times New Roman" w:cs="Times New Roman"/>
          <w:color w:val="auto"/>
        </w:rPr>
        <w:t>。</w:t>
      </w:r>
    </w:p>
    <w:p>
      <w:pPr>
        <w:spacing w:line="360" w:lineRule="auto"/>
        <w:ind w:firstLine="482"/>
        <w:jc w:val="left"/>
        <w:rPr>
          <w:rFonts w:hint="default" w:ascii="Times New Roman" w:hAnsi="Times New Roman" w:eastAsia="宋体" w:cs="Times New Roman"/>
          <w:color w:val="auto"/>
          <w:lang w:val="en-US" w:eastAsia="zh-CN"/>
        </w:rPr>
      </w:pPr>
      <w:r>
        <w:rPr>
          <w:rFonts w:hint="default" w:ascii="Times New Roman" w:hAnsi="Times New Roman" w:cs="Times New Roman"/>
          <w:color w:val="auto"/>
          <w:lang w:eastAsia="zh-CN"/>
        </w:rPr>
        <w:t>本项目单晶硅片仅作为初级产品外售，要成为太阳能电池板组件还需进行退火、打磨、刻蚀、镀膜、激光雕刻等一系列工艺，本项目不涉及这些工艺</w:t>
      </w:r>
      <w:r>
        <w:rPr>
          <w:rFonts w:hint="default" w:ascii="Times New Roman" w:hAnsi="Times New Roman" w:eastAsia="宋体" w:cs="Times New Roman"/>
          <w:color w:val="auto"/>
          <w:lang w:val="en-US" w:eastAsia="zh-CN"/>
        </w:rPr>
        <w:t>。</w:t>
      </w:r>
    </w:p>
    <w:p>
      <w:pPr>
        <w:pStyle w:val="133"/>
        <w:numPr>
          <w:ilvl w:val="0"/>
          <w:numId w:val="11"/>
        </w:numPr>
        <w:spacing w:line="360" w:lineRule="auto"/>
        <w:ind w:left="0" w:leftChars="0" w:firstLine="0" w:firstLineChars="0"/>
        <w:jc w:val="center"/>
        <w:rPr>
          <w:rFonts w:hint="default" w:ascii="Times New Roman" w:hAnsi="Times New Roman" w:cs="Times New Roman"/>
          <w:b/>
          <w:bCs/>
          <w:color w:val="auto"/>
        </w:rPr>
      </w:pPr>
      <w:r>
        <w:rPr>
          <w:rFonts w:hint="default" w:ascii="Times New Roman" w:hAnsi="Times New Roman" w:cs="Times New Roman"/>
          <w:b/>
          <w:bCs/>
          <w:color w:val="auto"/>
        </w:rPr>
        <w:t>项目产品方案</w:t>
      </w:r>
    </w:p>
    <w:tbl>
      <w:tblPr>
        <w:tblStyle w:val="44"/>
        <w:tblW w:w="469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0"/>
        <w:gridCol w:w="717"/>
        <w:gridCol w:w="1349"/>
        <w:gridCol w:w="1210"/>
        <w:gridCol w:w="30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7" w:type="pct"/>
            <w:shd w:val="clear" w:color="auto" w:fill="auto"/>
            <w:vAlign w:val="center"/>
          </w:tcPr>
          <w:p>
            <w:pPr>
              <w:pStyle w:val="167"/>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名称</w:t>
            </w:r>
          </w:p>
        </w:tc>
        <w:tc>
          <w:tcPr>
            <w:tcW w:w="448" w:type="pct"/>
            <w:shd w:val="clear" w:color="auto" w:fill="auto"/>
            <w:vAlign w:val="center"/>
          </w:tcPr>
          <w:p>
            <w:pPr>
              <w:pStyle w:val="167"/>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单位</w:t>
            </w:r>
          </w:p>
        </w:tc>
        <w:tc>
          <w:tcPr>
            <w:tcW w:w="843" w:type="pct"/>
            <w:shd w:val="clear" w:color="auto" w:fill="auto"/>
            <w:vAlign w:val="center"/>
          </w:tcPr>
          <w:p>
            <w:pPr>
              <w:pStyle w:val="167"/>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数量</w:t>
            </w:r>
          </w:p>
        </w:tc>
        <w:tc>
          <w:tcPr>
            <w:tcW w:w="756" w:type="pct"/>
            <w:shd w:val="clear" w:color="auto" w:fill="auto"/>
            <w:vAlign w:val="center"/>
          </w:tcPr>
          <w:p>
            <w:pPr>
              <w:pStyle w:val="167"/>
              <w:rPr>
                <w:rFonts w:hint="default" w:ascii="Times New Roman" w:hAnsi="Times New Roman" w:cs="Times New Roman"/>
                <w:color w:val="auto"/>
                <w:lang w:eastAsia="zh-CN"/>
              </w:rPr>
            </w:pPr>
            <w:r>
              <w:rPr>
                <w:rFonts w:hint="default" w:ascii="Times New Roman" w:hAnsi="Times New Roman" w:cs="Times New Roman"/>
                <w:color w:val="auto"/>
                <w:lang w:eastAsia="zh-CN"/>
              </w:rPr>
              <w:t>重量</w:t>
            </w:r>
          </w:p>
        </w:tc>
        <w:tc>
          <w:tcPr>
            <w:tcW w:w="1914" w:type="pct"/>
            <w:shd w:val="clear" w:color="auto" w:fill="auto"/>
            <w:vAlign w:val="center"/>
          </w:tcPr>
          <w:p>
            <w:pPr>
              <w:pStyle w:val="167"/>
              <w:rPr>
                <w:rFonts w:hint="default" w:ascii="Times New Roman" w:hAnsi="Times New Roman" w:cs="Times New Roman"/>
                <w:color w:val="auto"/>
              </w:rPr>
            </w:pPr>
            <w:r>
              <w:rPr>
                <w:rFonts w:hint="default" w:ascii="Times New Roman" w:hAnsi="Times New Roman" w:cs="Times New Roman"/>
                <w:color w:val="auto"/>
                <w:lang w:eastAsia="zh-CN"/>
              </w:rPr>
              <w:t>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7" w:type="pct"/>
            <w:shd w:val="clear" w:color="auto" w:fill="auto"/>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单晶硅片</w:t>
            </w:r>
          </w:p>
        </w:tc>
        <w:tc>
          <w:tcPr>
            <w:tcW w:w="448" w:type="pct"/>
            <w:shd w:val="clear" w:color="auto" w:fill="auto"/>
            <w:vAlign w:val="center"/>
          </w:tcPr>
          <w:p>
            <w:pPr>
              <w:pStyle w:val="167"/>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片</w:t>
            </w:r>
          </w:p>
        </w:tc>
        <w:tc>
          <w:tcPr>
            <w:tcW w:w="843" w:type="pct"/>
            <w:shd w:val="clear" w:color="auto" w:fill="auto"/>
            <w:vAlign w:val="center"/>
          </w:tcPr>
          <w:p>
            <w:pPr>
              <w:pStyle w:val="167"/>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499264044</w:t>
            </w:r>
          </w:p>
        </w:tc>
        <w:tc>
          <w:tcPr>
            <w:tcW w:w="756" w:type="pct"/>
            <w:shd w:val="clear" w:color="auto" w:fill="auto"/>
            <w:vAlign w:val="center"/>
          </w:tcPr>
          <w:p>
            <w:pPr>
              <w:pStyle w:val="16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8881.91t/a</w:t>
            </w:r>
          </w:p>
        </w:tc>
        <w:tc>
          <w:tcPr>
            <w:tcW w:w="1914" w:type="pct"/>
            <w:shd w:val="clear" w:color="auto" w:fill="auto"/>
            <w:vAlign w:val="center"/>
          </w:tcPr>
          <w:p>
            <w:pPr>
              <w:pStyle w:val="167"/>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外售，包装规格为单片包装</w:t>
            </w:r>
          </w:p>
        </w:tc>
      </w:tr>
    </w:tbl>
    <w:p>
      <w:pPr>
        <w:pStyle w:val="133"/>
        <w:keepNext w:val="0"/>
        <w:keepLines w:val="0"/>
        <w:pageBreakBefore w:val="0"/>
        <w:widowControl w:val="0"/>
        <w:numPr>
          <w:ilvl w:val="0"/>
          <w:numId w:val="11"/>
        </w:numPr>
        <w:kinsoku/>
        <w:wordWrap/>
        <w:overflowPunct/>
        <w:topLinePunct w:val="0"/>
        <w:autoSpaceDE/>
        <w:autoSpaceDN/>
        <w:bidi w:val="0"/>
        <w:adjustRightInd/>
        <w:snapToGrid/>
        <w:spacing w:before="157" w:beforeLines="50" w:line="360" w:lineRule="auto"/>
        <w:ind w:left="0" w:leftChars="0" w:firstLine="0" w:firstLineChars="0"/>
        <w:jc w:val="center"/>
        <w:textAlignment w:val="auto"/>
        <w:rPr>
          <w:rFonts w:hint="default" w:ascii="Times New Roman" w:hAnsi="Times New Roman" w:cs="Times New Roman"/>
          <w:b/>
          <w:bCs/>
          <w:color w:val="auto"/>
        </w:rPr>
      </w:pPr>
      <w:bookmarkStart w:id="282" w:name="_Toc11882"/>
      <w:r>
        <w:rPr>
          <w:rFonts w:hint="default" w:ascii="Times New Roman" w:hAnsi="Times New Roman" w:cs="Times New Roman"/>
          <w:b/>
          <w:bCs/>
          <w:color w:val="auto"/>
          <w:lang w:eastAsia="zh-CN"/>
        </w:rPr>
        <w:t>单晶硅片产品规格参数</w:t>
      </w:r>
    </w:p>
    <w:tbl>
      <w:tblPr>
        <w:tblStyle w:val="44"/>
        <w:tblW w:w="432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1"/>
        <w:gridCol w:w="2694"/>
        <w:gridCol w:w="38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pct"/>
            <w:shd w:val="clear" w:color="auto" w:fill="auto"/>
            <w:vAlign w:val="center"/>
          </w:tcPr>
          <w:p>
            <w:pPr>
              <w:pStyle w:val="167"/>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序号</w:t>
            </w:r>
          </w:p>
        </w:tc>
        <w:tc>
          <w:tcPr>
            <w:tcW w:w="1826" w:type="pct"/>
            <w:shd w:val="clear" w:color="auto" w:fill="auto"/>
            <w:vAlign w:val="center"/>
          </w:tcPr>
          <w:p>
            <w:pPr>
              <w:pStyle w:val="167"/>
              <w:rPr>
                <w:rFonts w:hint="default" w:ascii="Times New Roman" w:hAnsi="Times New Roman" w:cs="Times New Roman"/>
                <w:color w:val="auto"/>
                <w:lang w:eastAsia="zh-CN"/>
              </w:rPr>
            </w:pPr>
            <w:r>
              <w:rPr>
                <w:rFonts w:hint="default" w:ascii="Times New Roman" w:hAnsi="Times New Roman" w:cs="Times New Roman"/>
                <w:color w:val="auto"/>
                <w:lang w:eastAsia="zh-CN"/>
              </w:rPr>
              <w:t>项目</w:t>
            </w:r>
          </w:p>
        </w:tc>
        <w:tc>
          <w:tcPr>
            <w:tcW w:w="2637" w:type="pct"/>
            <w:shd w:val="clear" w:color="auto" w:fill="auto"/>
            <w:vAlign w:val="center"/>
          </w:tcPr>
          <w:p>
            <w:pPr>
              <w:pStyle w:val="167"/>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性能参数（太阳能级）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pct"/>
            <w:shd w:val="clear" w:color="auto" w:fill="auto"/>
            <w:vAlign w:val="center"/>
          </w:tcPr>
          <w:p>
            <w:pPr>
              <w:pStyle w:val="167"/>
              <w:keepNext w:val="0"/>
              <w:keepLines w:val="0"/>
              <w:pageBreakBefore w:val="0"/>
              <w:widowControl/>
              <w:kinsoku/>
              <w:wordWrap/>
              <w:overflowPunct/>
              <w:topLinePunct w:val="0"/>
              <w:autoSpaceDE/>
              <w:autoSpaceDN/>
              <w:bidi w:val="0"/>
              <w:adjustRightInd/>
              <w:snapToGrid/>
              <w:ind w:firstLine="0"/>
              <w:textAlignment w:val="auto"/>
              <w:rPr>
                <w:rFonts w:hint="default" w:ascii="Times New Roman" w:hAnsi="Times New Roman" w:eastAsia="宋体" w:cs="Times New Roman"/>
                <w:color w:val="auto"/>
                <w:lang w:eastAsia="zh-CN"/>
              </w:rPr>
            </w:pPr>
            <w:r>
              <w:rPr>
                <w:rFonts w:hint="default" w:ascii="Times New Roman" w:hAnsi="Times New Roman" w:cs="Times New Roman"/>
                <w:color w:val="auto"/>
                <w:lang w:val="en-US" w:eastAsia="zh-CN"/>
              </w:rPr>
              <w:t>1</w:t>
            </w:r>
          </w:p>
        </w:tc>
        <w:tc>
          <w:tcPr>
            <w:tcW w:w="1826" w:type="pct"/>
            <w:shd w:val="clear" w:color="auto" w:fill="auto"/>
            <w:vAlign w:val="center"/>
          </w:tcPr>
          <w:p>
            <w:pPr>
              <w:pStyle w:val="167"/>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规格（尺寸</w:t>
            </w:r>
            <w:r>
              <w:rPr>
                <w:rFonts w:hint="default" w:ascii="Times New Roman" w:hAnsi="Times New Roman" w:eastAsia="宋体" w:cs="Times New Roman"/>
                <w:color w:val="auto"/>
                <w:lang w:val="en-US" w:eastAsia="zh-CN"/>
              </w:rPr>
              <w:t>mm</w:t>
            </w:r>
            <w:r>
              <w:rPr>
                <w:rFonts w:hint="default" w:ascii="Times New Roman" w:hAnsi="Times New Roman" w:eastAsia="宋体" w:cs="Times New Roman"/>
                <w:color w:val="auto"/>
                <w:lang w:eastAsia="zh-CN"/>
              </w:rPr>
              <w:t>）</w:t>
            </w:r>
          </w:p>
        </w:tc>
        <w:tc>
          <w:tcPr>
            <w:tcW w:w="2637" w:type="pct"/>
            <w:shd w:val="clear" w:color="auto" w:fill="auto"/>
            <w:vAlign w:val="center"/>
          </w:tcPr>
          <w:p>
            <w:pPr>
              <w:pStyle w:val="167"/>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210×210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pct"/>
            <w:shd w:val="clear" w:color="auto" w:fill="auto"/>
            <w:vAlign w:val="center"/>
          </w:tcPr>
          <w:p>
            <w:pPr>
              <w:pStyle w:val="167"/>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cs="Times New Roman"/>
                <w:color w:val="auto"/>
                <w:lang w:val="en-US" w:eastAsia="zh-CN"/>
              </w:rPr>
              <w:t>2</w:t>
            </w:r>
          </w:p>
        </w:tc>
        <w:tc>
          <w:tcPr>
            <w:tcW w:w="1826" w:type="pct"/>
            <w:shd w:val="clear" w:color="auto" w:fill="auto"/>
            <w:vAlign w:val="center"/>
          </w:tcPr>
          <w:p>
            <w:pPr>
              <w:pStyle w:val="167"/>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重量（</w:t>
            </w:r>
            <w:r>
              <w:rPr>
                <w:rFonts w:hint="default" w:ascii="Times New Roman" w:hAnsi="Times New Roman" w:eastAsia="宋体" w:cs="Times New Roman"/>
                <w:color w:val="auto"/>
                <w:lang w:val="en-US" w:eastAsia="zh-CN"/>
              </w:rPr>
              <w:t>g</w:t>
            </w:r>
            <w:r>
              <w:rPr>
                <w:rFonts w:hint="default" w:ascii="Times New Roman" w:hAnsi="Times New Roman" w:eastAsia="宋体" w:cs="Times New Roman"/>
                <w:color w:val="auto"/>
                <w:lang w:eastAsia="zh-CN"/>
              </w:rPr>
              <w:t>）</w:t>
            </w:r>
          </w:p>
        </w:tc>
        <w:tc>
          <w:tcPr>
            <w:tcW w:w="2637" w:type="pct"/>
            <w:shd w:val="clear" w:color="auto" w:fill="auto"/>
            <w:vAlign w:val="center"/>
          </w:tcPr>
          <w:p>
            <w:pPr>
              <w:pStyle w:val="167"/>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17.79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pct"/>
            <w:shd w:val="clear" w:color="auto" w:fill="auto"/>
            <w:vAlign w:val="center"/>
          </w:tcPr>
          <w:p>
            <w:pPr>
              <w:pStyle w:val="167"/>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cs="Times New Roman"/>
                <w:color w:val="auto"/>
                <w:lang w:val="en-US" w:eastAsia="zh-CN"/>
              </w:rPr>
              <w:t>3</w:t>
            </w:r>
          </w:p>
        </w:tc>
        <w:tc>
          <w:tcPr>
            <w:tcW w:w="1826" w:type="pct"/>
            <w:shd w:val="clear" w:color="auto" w:fill="auto"/>
            <w:vAlign w:val="center"/>
          </w:tcPr>
          <w:p>
            <w:pPr>
              <w:pStyle w:val="167"/>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导电类型</w:t>
            </w:r>
          </w:p>
        </w:tc>
        <w:tc>
          <w:tcPr>
            <w:tcW w:w="2637" w:type="pct"/>
            <w:shd w:val="clear" w:color="auto" w:fill="auto"/>
            <w:vAlign w:val="center"/>
          </w:tcPr>
          <w:p>
            <w:pPr>
              <w:pStyle w:val="167"/>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P型，掺杂B type或Ga type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pct"/>
            <w:shd w:val="clear" w:color="auto" w:fill="auto"/>
            <w:vAlign w:val="center"/>
          </w:tcPr>
          <w:p>
            <w:pPr>
              <w:pStyle w:val="167"/>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cs="Times New Roman"/>
                <w:color w:val="auto"/>
                <w:lang w:val="en-US" w:eastAsia="zh-CN"/>
              </w:rPr>
              <w:t>4</w:t>
            </w:r>
          </w:p>
        </w:tc>
        <w:tc>
          <w:tcPr>
            <w:tcW w:w="1826" w:type="pct"/>
            <w:shd w:val="clear" w:color="auto" w:fill="auto"/>
            <w:vAlign w:val="center"/>
          </w:tcPr>
          <w:p>
            <w:pPr>
              <w:pStyle w:val="167"/>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晶向</w:t>
            </w:r>
          </w:p>
        </w:tc>
        <w:tc>
          <w:tcPr>
            <w:tcW w:w="2637" w:type="pct"/>
            <w:shd w:val="clear" w:color="auto" w:fill="auto"/>
            <w:vAlign w:val="center"/>
          </w:tcPr>
          <w:p>
            <w:pPr>
              <w:pStyle w:val="167"/>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&lt;100&gt;±3°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pct"/>
            <w:shd w:val="clear" w:color="auto" w:fill="auto"/>
            <w:vAlign w:val="center"/>
          </w:tcPr>
          <w:p>
            <w:pPr>
              <w:pStyle w:val="167"/>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cs="Times New Roman"/>
                <w:color w:val="auto"/>
                <w:lang w:val="en-US" w:eastAsia="zh-CN"/>
              </w:rPr>
              <w:t>5</w:t>
            </w:r>
          </w:p>
        </w:tc>
        <w:tc>
          <w:tcPr>
            <w:tcW w:w="1826" w:type="pct"/>
            <w:shd w:val="clear" w:color="auto" w:fill="auto"/>
            <w:vAlign w:val="center"/>
          </w:tcPr>
          <w:p>
            <w:pPr>
              <w:pStyle w:val="167"/>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电阻率范围(欧母·厘米)</w:t>
            </w:r>
          </w:p>
        </w:tc>
        <w:tc>
          <w:tcPr>
            <w:tcW w:w="2637" w:type="pct"/>
            <w:shd w:val="clear" w:color="auto" w:fill="auto"/>
            <w:vAlign w:val="center"/>
          </w:tcPr>
          <w:p>
            <w:pPr>
              <w:pStyle w:val="167"/>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1~6Ω.cm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pct"/>
            <w:shd w:val="clear" w:color="auto" w:fill="auto"/>
            <w:vAlign w:val="center"/>
          </w:tcPr>
          <w:p>
            <w:pPr>
              <w:pStyle w:val="167"/>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cs="Times New Roman"/>
                <w:color w:val="auto"/>
                <w:lang w:val="en-US" w:eastAsia="zh-CN"/>
              </w:rPr>
              <w:t>6</w:t>
            </w:r>
          </w:p>
        </w:tc>
        <w:tc>
          <w:tcPr>
            <w:tcW w:w="1826" w:type="pct"/>
            <w:shd w:val="clear" w:color="auto" w:fill="auto"/>
            <w:vAlign w:val="center"/>
          </w:tcPr>
          <w:p>
            <w:pPr>
              <w:pStyle w:val="167"/>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少子寿命(μs)</w:t>
            </w:r>
          </w:p>
        </w:tc>
        <w:tc>
          <w:tcPr>
            <w:tcW w:w="2637" w:type="pct"/>
            <w:shd w:val="clear" w:color="auto" w:fill="auto"/>
            <w:vAlign w:val="center"/>
          </w:tcPr>
          <w:p>
            <w:pPr>
              <w:pStyle w:val="167"/>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pct"/>
            <w:shd w:val="clear" w:color="auto" w:fill="auto"/>
            <w:vAlign w:val="center"/>
          </w:tcPr>
          <w:p>
            <w:pPr>
              <w:pStyle w:val="167"/>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cs="Times New Roman"/>
                <w:color w:val="auto"/>
                <w:lang w:val="en-US" w:eastAsia="zh-CN"/>
              </w:rPr>
              <w:t>7</w:t>
            </w:r>
          </w:p>
        </w:tc>
        <w:tc>
          <w:tcPr>
            <w:tcW w:w="1826" w:type="pct"/>
            <w:shd w:val="clear" w:color="auto" w:fill="auto"/>
            <w:vAlign w:val="center"/>
          </w:tcPr>
          <w:p>
            <w:pPr>
              <w:pStyle w:val="167"/>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氧含量(atoms/cm³)</w:t>
            </w:r>
          </w:p>
        </w:tc>
        <w:tc>
          <w:tcPr>
            <w:tcW w:w="2637" w:type="pct"/>
            <w:shd w:val="clear" w:color="auto" w:fill="auto"/>
            <w:vAlign w:val="center"/>
          </w:tcPr>
          <w:p>
            <w:pPr>
              <w:pStyle w:val="167"/>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≤1.0×10</w:t>
            </w:r>
            <w:r>
              <w:rPr>
                <w:rFonts w:hint="default" w:ascii="Times New Roman" w:hAnsi="Times New Roman" w:eastAsia="宋体" w:cs="Times New Roman"/>
                <w:color w:val="auto"/>
                <w:vertAlign w:val="superscript"/>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pct"/>
            <w:shd w:val="clear" w:color="auto" w:fill="auto"/>
            <w:vAlign w:val="center"/>
          </w:tcPr>
          <w:p>
            <w:pPr>
              <w:pStyle w:val="167"/>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cs="Times New Roman"/>
                <w:color w:val="auto"/>
                <w:lang w:val="en-US" w:eastAsia="zh-CN"/>
              </w:rPr>
              <w:t>8</w:t>
            </w:r>
          </w:p>
        </w:tc>
        <w:tc>
          <w:tcPr>
            <w:tcW w:w="1826" w:type="pct"/>
            <w:shd w:val="clear" w:color="auto" w:fill="auto"/>
            <w:vAlign w:val="center"/>
          </w:tcPr>
          <w:p>
            <w:pPr>
              <w:pStyle w:val="167"/>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碳含量(atoms/cm³)</w:t>
            </w:r>
          </w:p>
        </w:tc>
        <w:tc>
          <w:tcPr>
            <w:tcW w:w="2637" w:type="pct"/>
            <w:shd w:val="clear" w:color="auto" w:fill="auto"/>
            <w:vAlign w:val="center"/>
          </w:tcPr>
          <w:p>
            <w:pPr>
              <w:pStyle w:val="167"/>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≤5×10</w:t>
            </w:r>
            <w:r>
              <w:rPr>
                <w:rFonts w:hint="default" w:ascii="Times New Roman" w:hAnsi="Times New Roman" w:eastAsia="宋体" w:cs="Times New Roman"/>
                <w:color w:val="auto"/>
                <w:vertAlign w:val="superscript"/>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pct"/>
            <w:shd w:val="clear" w:color="auto" w:fill="auto"/>
            <w:vAlign w:val="center"/>
          </w:tcPr>
          <w:p>
            <w:pPr>
              <w:pStyle w:val="167"/>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cs="Times New Roman"/>
                <w:color w:val="auto"/>
                <w:lang w:val="en-US" w:eastAsia="zh-CN"/>
              </w:rPr>
              <w:t>9</w:t>
            </w:r>
          </w:p>
        </w:tc>
        <w:tc>
          <w:tcPr>
            <w:tcW w:w="1826" w:type="pct"/>
            <w:shd w:val="clear" w:color="auto" w:fill="auto"/>
            <w:vAlign w:val="center"/>
          </w:tcPr>
          <w:p>
            <w:pPr>
              <w:pStyle w:val="167"/>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位错密度(个/cm</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lang w:val="en-US" w:eastAsia="zh-CN"/>
              </w:rPr>
              <w:t>)</w:t>
            </w:r>
          </w:p>
        </w:tc>
        <w:tc>
          <w:tcPr>
            <w:tcW w:w="2637" w:type="pct"/>
            <w:shd w:val="clear" w:color="auto" w:fill="auto"/>
            <w:vAlign w:val="center"/>
          </w:tcPr>
          <w:p>
            <w:pPr>
              <w:pStyle w:val="167"/>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pct"/>
            <w:shd w:val="clear" w:color="auto" w:fill="auto"/>
            <w:vAlign w:val="center"/>
          </w:tcPr>
          <w:p>
            <w:pPr>
              <w:pStyle w:val="167"/>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cs="Times New Roman"/>
                <w:color w:val="auto"/>
                <w:lang w:val="en-US" w:eastAsia="zh-CN"/>
              </w:rPr>
              <w:t>10</w:t>
            </w:r>
          </w:p>
        </w:tc>
        <w:tc>
          <w:tcPr>
            <w:tcW w:w="1826" w:type="pct"/>
            <w:shd w:val="clear" w:color="auto" w:fill="auto"/>
            <w:vAlign w:val="center"/>
          </w:tcPr>
          <w:p>
            <w:pPr>
              <w:pStyle w:val="167"/>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晶体硅片边长(mm)</w:t>
            </w:r>
          </w:p>
        </w:tc>
        <w:tc>
          <w:tcPr>
            <w:tcW w:w="2637" w:type="pct"/>
            <w:shd w:val="clear" w:color="auto" w:fill="auto"/>
            <w:vAlign w:val="center"/>
          </w:tcPr>
          <w:p>
            <w:pPr>
              <w:pStyle w:val="167"/>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210×210±0.25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pct"/>
            <w:shd w:val="clear" w:color="auto" w:fill="auto"/>
            <w:vAlign w:val="center"/>
          </w:tcPr>
          <w:p>
            <w:pPr>
              <w:pStyle w:val="167"/>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cs="Times New Roman"/>
                <w:color w:val="auto"/>
                <w:lang w:val="en-US" w:eastAsia="zh-CN"/>
              </w:rPr>
              <w:t>11</w:t>
            </w:r>
          </w:p>
        </w:tc>
        <w:tc>
          <w:tcPr>
            <w:tcW w:w="1826" w:type="pct"/>
            <w:shd w:val="clear" w:color="auto" w:fill="auto"/>
            <w:vAlign w:val="center"/>
          </w:tcPr>
          <w:p>
            <w:pPr>
              <w:pStyle w:val="167"/>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对角线(mm)</w:t>
            </w:r>
          </w:p>
        </w:tc>
        <w:tc>
          <w:tcPr>
            <w:tcW w:w="2637" w:type="pct"/>
            <w:shd w:val="clear" w:color="auto" w:fill="auto"/>
            <w:vAlign w:val="center"/>
          </w:tcPr>
          <w:p>
            <w:pPr>
              <w:pStyle w:val="167"/>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295±0.5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pct"/>
            <w:shd w:val="clear" w:color="auto" w:fill="auto"/>
            <w:vAlign w:val="center"/>
          </w:tcPr>
          <w:p>
            <w:pPr>
              <w:pStyle w:val="167"/>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cs="Times New Roman"/>
                <w:color w:val="auto"/>
                <w:lang w:val="en-US" w:eastAsia="zh-CN"/>
              </w:rPr>
              <w:t>12</w:t>
            </w:r>
          </w:p>
        </w:tc>
        <w:tc>
          <w:tcPr>
            <w:tcW w:w="1826" w:type="pct"/>
            <w:shd w:val="clear" w:color="auto" w:fill="auto"/>
            <w:vAlign w:val="center"/>
          </w:tcPr>
          <w:p>
            <w:pPr>
              <w:pStyle w:val="167"/>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厚度值(μm)</w:t>
            </w:r>
          </w:p>
        </w:tc>
        <w:tc>
          <w:tcPr>
            <w:tcW w:w="2637" w:type="pct"/>
            <w:shd w:val="clear" w:color="auto" w:fill="auto"/>
            <w:vAlign w:val="center"/>
          </w:tcPr>
          <w:p>
            <w:pPr>
              <w:pStyle w:val="167"/>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160±5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pct"/>
            <w:shd w:val="clear" w:color="auto" w:fill="auto"/>
            <w:vAlign w:val="center"/>
          </w:tcPr>
          <w:p>
            <w:pPr>
              <w:pStyle w:val="167"/>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cs="Times New Roman"/>
                <w:color w:val="auto"/>
                <w:lang w:val="en-US" w:eastAsia="zh-CN"/>
              </w:rPr>
              <w:t>13</w:t>
            </w:r>
          </w:p>
        </w:tc>
        <w:tc>
          <w:tcPr>
            <w:tcW w:w="1826" w:type="pct"/>
            <w:shd w:val="clear" w:color="auto" w:fill="auto"/>
            <w:vAlign w:val="center"/>
          </w:tcPr>
          <w:p>
            <w:pPr>
              <w:pStyle w:val="167"/>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厚度差异(μm)</w:t>
            </w:r>
          </w:p>
        </w:tc>
        <w:tc>
          <w:tcPr>
            <w:tcW w:w="2637" w:type="pct"/>
            <w:shd w:val="clear" w:color="auto" w:fill="auto"/>
            <w:vAlign w:val="center"/>
          </w:tcPr>
          <w:p>
            <w:pPr>
              <w:pStyle w:val="167"/>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pct"/>
            <w:shd w:val="clear" w:color="auto" w:fill="auto"/>
            <w:vAlign w:val="center"/>
          </w:tcPr>
          <w:p>
            <w:pPr>
              <w:pStyle w:val="167"/>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cs="Times New Roman"/>
                <w:color w:val="auto"/>
                <w:lang w:val="en-US" w:eastAsia="zh-CN"/>
              </w:rPr>
              <w:t>14</w:t>
            </w:r>
          </w:p>
        </w:tc>
        <w:tc>
          <w:tcPr>
            <w:tcW w:w="1826" w:type="pct"/>
            <w:shd w:val="clear" w:color="auto" w:fill="auto"/>
            <w:vAlign w:val="center"/>
          </w:tcPr>
          <w:p>
            <w:pPr>
              <w:pStyle w:val="167"/>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弯曲度(μm)</w:t>
            </w:r>
          </w:p>
        </w:tc>
        <w:tc>
          <w:tcPr>
            <w:tcW w:w="2637" w:type="pct"/>
            <w:shd w:val="clear" w:color="auto" w:fill="auto"/>
            <w:vAlign w:val="center"/>
          </w:tcPr>
          <w:p>
            <w:pPr>
              <w:pStyle w:val="167"/>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pct"/>
            <w:shd w:val="clear" w:color="auto" w:fill="auto"/>
            <w:vAlign w:val="center"/>
          </w:tcPr>
          <w:p>
            <w:pPr>
              <w:pStyle w:val="16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15</w:t>
            </w:r>
          </w:p>
        </w:tc>
        <w:tc>
          <w:tcPr>
            <w:tcW w:w="1826" w:type="pct"/>
            <w:shd w:val="clear" w:color="auto" w:fill="auto"/>
            <w:vAlign w:val="center"/>
          </w:tcPr>
          <w:p>
            <w:pPr>
              <w:pStyle w:val="167"/>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外观状况</w:t>
            </w:r>
          </w:p>
        </w:tc>
        <w:tc>
          <w:tcPr>
            <w:tcW w:w="2637" w:type="pct"/>
            <w:shd w:val="clear" w:color="auto" w:fill="auto"/>
            <w:vAlign w:val="center"/>
          </w:tcPr>
          <w:p>
            <w:pPr>
              <w:pStyle w:val="167"/>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清洁,无污,无指纹,无凹坑,无孔洞</w:t>
            </w:r>
          </w:p>
        </w:tc>
      </w:tr>
    </w:tbl>
    <w:p>
      <w:pPr>
        <w:pStyle w:val="6"/>
        <w:spacing w:beforeLines="50" w:after="0" w:line="360" w:lineRule="auto"/>
        <w:rPr>
          <w:rFonts w:hint="default" w:ascii="Times New Roman" w:hAnsi="Times New Roman" w:eastAsia="宋体" w:cs="Times New Roman"/>
          <w:color w:val="auto"/>
          <w:szCs w:val="28"/>
          <w:lang w:eastAsia="zh-CN"/>
        </w:rPr>
      </w:pPr>
      <w:bookmarkStart w:id="283" w:name="_Toc11586"/>
      <w:r>
        <w:rPr>
          <w:rFonts w:hint="default" w:ascii="Times New Roman" w:hAnsi="Times New Roman" w:cs="Times New Roman"/>
          <w:color w:val="auto"/>
          <w:szCs w:val="28"/>
          <w:lang w:val="en-US" w:eastAsia="zh-CN"/>
        </w:rPr>
        <w:t>3</w:t>
      </w:r>
      <w:r>
        <w:rPr>
          <w:rFonts w:hint="default" w:ascii="Times New Roman" w:hAnsi="Times New Roman" w:cs="Times New Roman"/>
          <w:color w:val="auto"/>
          <w:szCs w:val="28"/>
        </w:rPr>
        <w:t>.1.</w:t>
      </w:r>
      <w:r>
        <w:rPr>
          <w:rFonts w:hint="default" w:ascii="Times New Roman" w:hAnsi="Times New Roman" w:cs="Times New Roman"/>
          <w:color w:val="auto"/>
          <w:szCs w:val="28"/>
          <w:lang w:val="en-US" w:eastAsia="zh-CN"/>
        </w:rPr>
        <w:t>4</w:t>
      </w:r>
      <w:r>
        <w:rPr>
          <w:rFonts w:hint="default" w:ascii="Times New Roman" w:hAnsi="Times New Roman" w:cs="Times New Roman"/>
          <w:color w:val="auto"/>
          <w:szCs w:val="28"/>
        </w:rPr>
        <w:t>原辅材料</w:t>
      </w:r>
      <w:bookmarkEnd w:id="282"/>
      <w:r>
        <w:rPr>
          <w:rFonts w:hint="default" w:ascii="Times New Roman" w:hAnsi="Times New Roman" w:cs="Times New Roman"/>
          <w:color w:val="auto"/>
          <w:szCs w:val="28"/>
          <w:lang w:eastAsia="zh-CN"/>
        </w:rPr>
        <w:t>用量及能源消耗</w:t>
      </w:r>
      <w:bookmarkEnd w:id="283"/>
    </w:p>
    <w:p>
      <w:pPr>
        <w:spacing w:line="360" w:lineRule="auto"/>
        <w:ind w:firstLine="480" w:firstLineChars="200"/>
        <w:rPr>
          <w:rFonts w:hint="default" w:ascii="Times New Roman" w:hAnsi="Times New Roman" w:cs="Times New Roman"/>
          <w:b/>
          <w:bCs/>
          <w:color w:val="auto"/>
        </w:rPr>
      </w:pPr>
      <w:r>
        <w:rPr>
          <w:rFonts w:hint="default" w:ascii="Times New Roman" w:hAnsi="Times New Roman" w:cs="Times New Roman"/>
          <w:color w:val="auto"/>
          <w:lang w:eastAsia="zh-CN"/>
        </w:rPr>
        <w:t>根据建设单位提供的资料，项目的生产工艺仅为将单晶硅方棒切割成单晶硅片，作为初级产品外售，不再进行更深层次加工。</w:t>
      </w:r>
      <w:r>
        <w:rPr>
          <w:rFonts w:hint="default" w:ascii="Times New Roman" w:hAnsi="Times New Roman" w:cs="Times New Roman"/>
          <w:color w:val="auto"/>
        </w:rPr>
        <w:t>本项目主要原辅材料指标见</w:t>
      </w:r>
      <w:r>
        <w:rPr>
          <w:rFonts w:hint="default" w:ascii="Times New Roman" w:hAnsi="Times New Roman" w:cs="Times New Roman"/>
          <w:color w:val="auto"/>
          <w:lang w:eastAsia="zh-CN"/>
        </w:rPr>
        <w:t>下</w:t>
      </w:r>
      <w:r>
        <w:rPr>
          <w:rFonts w:hint="default" w:ascii="Times New Roman" w:hAnsi="Times New Roman" w:cs="Times New Roman"/>
          <w:color w:val="auto"/>
        </w:rPr>
        <w:t>表。</w:t>
      </w:r>
    </w:p>
    <w:p>
      <w:pPr>
        <w:pStyle w:val="133"/>
        <w:numPr>
          <w:ilvl w:val="0"/>
          <w:numId w:val="11"/>
        </w:numPr>
        <w:spacing w:line="360" w:lineRule="auto"/>
        <w:ind w:left="0" w:leftChars="0" w:firstLine="0" w:firstLineChars="0"/>
        <w:jc w:val="center"/>
        <w:rPr>
          <w:rFonts w:hint="default" w:ascii="Times New Roman" w:hAnsi="Times New Roman" w:cs="Times New Roman"/>
          <w:b/>
          <w:bCs/>
          <w:color w:val="auto"/>
        </w:rPr>
      </w:pPr>
      <w:r>
        <w:rPr>
          <w:rFonts w:hint="default" w:ascii="Times New Roman" w:hAnsi="Times New Roman" w:cs="Times New Roman"/>
          <w:b/>
          <w:bCs/>
          <w:color w:val="auto"/>
        </w:rPr>
        <w:t>主要原材料消耗指标表</w:t>
      </w:r>
    </w:p>
    <w:tbl>
      <w:tblPr>
        <w:tblStyle w:val="44"/>
        <w:tblW w:w="495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0"/>
        <w:gridCol w:w="1114"/>
        <w:gridCol w:w="857"/>
        <w:gridCol w:w="1222"/>
        <w:gridCol w:w="916"/>
        <w:gridCol w:w="968"/>
        <w:gridCol w:w="847"/>
        <w:gridCol w:w="782"/>
        <w:gridCol w:w="11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 w:hRule="atLeast"/>
          <w:jc w:val="center"/>
        </w:trPr>
        <w:tc>
          <w:tcPr>
            <w:tcW w:w="989" w:type="pct"/>
            <w:gridSpan w:val="2"/>
            <w:vAlign w:val="center"/>
          </w:tcPr>
          <w:p>
            <w:pPr>
              <w:pStyle w:val="167"/>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原料名称</w:t>
            </w:r>
          </w:p>
        </w:tc>
        <w:tc>
          <w:tcPr>
            <w:tcW w:w="506" w:type="pct"/>
            <w:vAlign w:val="center"/>
          </w:tcPr>
          <w:p>
            <w:pPr>
              <w:pStyle w:val="167"/>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单位</w:t>
            </w:r>
          </w:p>
        </w:tc>
        <w:tc>
          <w:tcPr>
            <w:tcW w:w="722" w:type="pct"/>
            <w:vAlign w:val="center"/>
          </w:tcPr>
          <w:p>
            <w:pPr>
              <w:pStyle w:val="167"/>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需求量</w:t>
            </w:r>
          </w:p>
        </w:tc>
        <w:tc>
          <w:tcPr>
            <w:tcW w:w="541" w:type="pct"/>
            <w:vAlign w:val="center"/>
          </w:tcPr>
          <w:p>
            <w:pPr>
              <w:pStyle w:val="167"/>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主要成分</w:t>
            </w:r>
          </w:p>
        </w:tc>
        <w:tc>
          <w:tcPr>
            <w:tcW w:w="572" w:type="pct"/>
            <w:vAlign w:val="center"/>
          </w:tcPr>
          <w:p>
            <w:pPr>
              <w:pStyle w:val="167"/>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最大储存量</w:t>
            </w:r>
          </w:p>
        </w:tc>
        <w:tc>
          <w:tcPr>
            <w:tcW w:w="500" w:type="pct"/>
            <w:vAlign w:val="center"/>
          </w:tcPr>
          <w:p>
            <w:pPr>
              <w:pStyle w:val="167"/>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贮存方式</w:t>
            </w:r>
          </w:p>
        </w:tc>
        <w:tc>
          <w:tcPr>
            <w:tcW w:w="462" w:type="pct"/>
            <w:vAlign w:val="center"/>
          </w:tcPr>
          <w:p>
            <w:pPr>
              <w:pStyle w:val="167"/>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贮存位置</w:t>
            </w:r>
          </w:p>
        </w:tc>
        <w:tc>
          <w:tcPr>
            <w:tcW w:w="703" w:type="pct"/>
            <w:vAlign w:val="center"/>
          </w:tcPr>
          <w:p>
            <w:pPr>
              <w:pStyle w:val="167"/>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1" w:type="pct"/>
            <w:vAlign w:val="center"/>
          </w:tcPr>
          <w:p>
            <w:pPr>
              <w:pStyle w:val="167"/>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原料</w:t>
            </w:r>
          </w:p>
        </w:tc>
        <w:tc>
          <w:tcPr>
            <w:tcW w:w="658" w:type="pct"/>
            <w:vAlign w:val="center"/>
          </w:tcPr>
          <w:p>
            <w:pPr>
              <w:pStyle w:val="167"/>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单晶硅棒</w:t>
            </w:r>
          </w:p>
        </w:tc>
        <w:tc>
          <w:tcPr>
            <w:tcW w:w="506" w:type="pct"/>
            <w:vAlign w:val="center"/>
          </w:tcPr>
          <w:p>
            <w:pPr>
              <w:pStyle w:val="167"/>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t/a</w:t>
            </w:r>
          </w:p>
        </w:tc>
        <w:tc>
          <w:tcPr>
            <w:tcW w:w="1222" w:type="dxa"/>
            <w:vAlign w:val="center"/>
          </w:tcPr>
          <w:p>
            <w:pPr>
              <w:pStyle w:val="167"/>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10695.18</w:t>
            </w:r>
          </w:p>
        </w:tc>
        <w:tc>
          <w:tcPr>
            <w:tcW w:w="541" w:type="pct"/>
            <w:vAlign w:val="center"/>
          </w:tcPr>
          <w:p>
            <w:pPr>
              <w:pStyle w:val="167"/>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Si</w:t>
            </w:r>
          </w:p>
        </w:tc>
        <w:tc>
          <w:tcPr>
            <w:tcW w:w="968" w:type="dxa"/>
            <w:vAlign w:val="center"/>
          </w:tcPr>
          <w:p>
            <w:pPr>
              <w:pStyle w:val="167"/>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 xml:space="preserve"> </w:t>
            </w:r>
          </w:p>
        </w:tc>
        <w:tc>
          <w:tcPr>
            <w:tcW w:w="500" w:type="pct"/>
            <w:vAlign w:val="center"/>
          </w:tcPr>
          <w:p>
            <w:pPr>
              <w:pStyle w:val="167"/>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462" w:type="pct"/>
            <w:vAlign w:val="center"/>
          </w:tcPr>
          <w:p>
            <w:pPr>
              <w:pStyle w:val="167"/>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703" w:type="pct"/>
            <w:vAlign w:val="center"/>
          </w:tcPr>
          <w:p>
            <w:pPr>
              <w:pStyle w:val="167"/>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厂区内生产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1" w:type="pct"/>
            <w:vMerge w:val="restart"/>
            <w:vAlign w:val="center"/>
          </w:tcPr>
          <w:p>
            <w:pPr>
              <w:pStyle w:val="167"/>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辅料</w:t>
            </w:r>
          </w:p>
        </w:tc>
        <w:tc>
          <w:tcPr>
            <w:tcW w:w="658" w:type="pct"/>
            <w:vAlign w:val="center"/>
          </w:tcPr>
          <w:p>
            <w:pPr>
              <w:pStyle w:val="167"/>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金刚石线</w:t>
            </w:r>
          </w:p>
        </w:tc>
        <w:tc>
          <w:tcPr>
            <w:tcW w:w="506" w:type="pct"/>
            <w:vAlign w:val="center"/>
          </w:tcPr>
          <w:p>
            <w:pPr>
              <w:pStyle w:val="167"/>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km/a</w:t>
            </w:r>
          </w:p>
        </w:tc>
        <w:tc>
          <w:tcPr>
            <w:tcW w:w="1222" w:type="dxa"/>
            <w:vAlign w:val="center"/>
          </w:tcPr>
          <w:p>
            <w:pPr>
              <w:pStyle w:val="167"/>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886950</w:t>
            </w:r>
          </w:p>
        </w:tc>
        <w:tc>
          <w:tcPr>
            <w:tcW w:w="541" w:type="pct"/>
            <w:vAlign w:val="center"/>
          </w:tcPr>
          <w:p>
            <w:pPr>
              <w:pStyle w:val="167"/>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石英</w:t>
            </w:r>
          </w:p>
        </w:tc>
        <w:tc>
          <w:tcPr>
            <w:tcW w:w="968" w:type="dxa"/>
            <w:vAlign w:val="center"/>
          </w:tcPr>
          <w:p>
            <w:pPr>
              <w:pStyle w:val="167"/>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34091 </w:t>
            </w:r>
          </w:p>
        </w:tc>
        <w:tc>
          <w:tcPr>
            <w:tcW w:w="500" w:type="pct"/>
            <w:vAlign w:val="center"/>
          </w:tcPr>
          <w:p>
            <w:pPr>
              <w:pStyle w:val="167"/>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线圈码放</w:t>
            </w:r>
          </w:p>
        </w:tc>
        <w:tc>
          <w:tcPr>
            <w:tcW w:w="462" w:type="pct"/>
            <w:vAlign w:val="center"/>
          </w:tcPr>
          <w:p>
            <w:pPr>
              <w:pStyle w:val="167"/>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切片车间</w:t>
            </w:r>
          </w:p>
        </w:tc>
        <w:tc>
          <w:tcPr>
            <w:tcW w:w="703" w:type="pct"/>
            <w:vAlign w:val="center"/>
          </w:tcPr>
          <w:p>
            <w:pPr>
              <w:pStyle w:val="167"/>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1" w:type="pct"/>
            <w:vMerge w:val="continue"/>
            <w:vAlign w:val="center"/>
          </w:tcPr>
          <w:p>
            <w:pPr>
              <w:pStyle w:val="167"/>
              <w:rPr>
                <w:rFonts w:hint="default" w:ascii="Times New Roman" w:hAnsi="Times New Roman" w:eastAsia="宋体" w:cs="Times New Roman"/>
                <w:color w:val="auto"/>
                <w:sz w:val="21"/>
                <w:szCs w:val="21"/>
                <w:lang w:eastAsia="zh-CN"/>
              </w:rPr>
            </w:pPr>
          </w:p>
        </w:tc>
        <w:tc>
          <w:tcPr>
            <w:tcW w:w="658" w:type="pct"/>
            <w:vAlign w:val="center"/>
          </w:tcPr>
          <w:p>
            <w:pPr>
              <w:pStyle w:val="167"/>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工业酒精</w:t>
            </w:r>
          </w:p>
        </w:tc>
        <w:tc>
          <w:tcPr>
            <w:tcW w:w="506" w:type="pct"/>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t/a</w:t>
            </w:r>
          </w:p>
        </w:tc>
        <w:tc>
          <w:tcPr>
            <w:tcW w:w="1222" w:type="dxa"/>
            <w:vAlign w:val="center"/>
          </w:tcPr>
          <w:p>
            <w:pPr>
              <w:pStyle w:val="167"/>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3.6</w:t>
            </w:r>
          </w:p>
        </w:tc>
        <w:tc>
          <w:tcPr>
            <w:tcW w:w="541" w:type="pct"/>
            <w:vAlign w:val="center"/>
          </w:tcPr>
          <w:p>
            <w:pPr>
              <w:pStyle w:val="167"/>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95%乙醇</w:t>
            </w:r>
          </w:p>
        </w:tc>
        <w:tc>
          <w:tcPr>
            <w:tcW w:w="968" w:type="dxa"/>
            <w:vAlign w:val="center"/>
          </w:tcPr>
          <w:p>
            <w:pPr>
              <w:pStyle w:val="167"/>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500" w:type="pct"/>
            <w:vAlign w:val="center"/>
          </w:tcPr>
          <w:p>
            <w:pPr>
              <w:pStyle w:val="167"/>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液态，桶装</w:t>
            </w:r>
          </w:p>
        </w:tc>
        <w:tc>
          <w:tcPr>
            <w:tcW w:w="462" w:type="pct"/>
            <w:vAlign w:val="center"/>
          </w:tcPr>
          <w:p>
            <w:pPr>
              <w:pStyle w:val="167"/>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eastAsia="zh-CN"/>
              </w:rPr>
              <w:t>化学品库</w:t>
            </w:r>
          </w:p>
        </w:tc>
        <w:tc>
          <w:tcPr>
            <w:tcW w:w="703" w:type="pct"/>
            <w:vAlign w:val="center"/>
          </w:tcPr>
          <w:p>
            <w:pPr>
              <w:pStyle w:val="167"/>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331" w:type="pct"/>
            <w:vMerge w:val="continue"/>
            <w:vAlign w:val="center"/>
          </w:tcPr>
          <w:p>
            <w:pPr>
              <w:pStyle w:val="167"/>
              <w:rPr>
                <w:rFonts w:hint="default" w:ascii="Times New Roman" w:hAnsi="Times New Roman" w:cs="Times New Roman"/>
                <w:color w:val="auto"/>
                <w:sz w:val="21"/>
                <w:szCs w:val="21"/>
              </w:rPr>
            </w:pPr>
            <w:bookmarkStart w:id="1189" w:name="_GoBack" w:colFirst="3" w:colLast="3"/>
          </w:p>
        </w:tc>
        <w:tc>
          <w:tcPr>
            <w:tcW w:w="658" w:type="pct"/>
            <w:vAlign w:val="center"/>
          </w:tcPr>
          <w:p>
            <w:pPr>
              <w:pStyle w:val="167"/>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氢氟酸</w:t>
            </w:r>
          </w:p>
        </w:tc>
        <w:tc>
          <w:tcPr>
            <w:tcW w:w="506" w:type="pct"/>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t/a</w:t>
            </w:r>
          </w:p>
        </w:tc>
        <w:tc>
          <w:tcPr>
            <w:tcW w:w="1222" w:type="dxa"/>
            <w:vAlign w:val="center"/>
          </w:tcPr>
          <w:p>
            <w:pPr>
              <w:pStyle w:val="167"/>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273.75</w:t>
            </w:r>
          </w:p>
        </w:tc>
        <w:tc>
          <w:tcPr>
            <w:tcW w:w="916" w:type="dxa"/>
            <w:vAlign w:val="center"/>
          </w:tcPr>
          <w:p>
            <w:pPr>
              <w:pStyle w:val="167"/>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rPr>
              <w:t>HF</w:t>
            </w:r>
            <w:r>
              <w:rPr>
                <w:rFonts w:hint="default" w:ascii="Times New Roman" w:hAnsi="Times New Roman" w:cs="Times New Roman"/>
                <w:color w:val="auto"/>
                <w:lang w:eastAsia="en-US"/>
              </w:rPr>
              <w:t xml:space="preserve"> </w:t>
            </w:r>
            <w:r>
              <w:rPr>
                <w:rFonts w:hint="default" w:ascii="Times New Roman" w:hAnsi="Times New Roman" w:cs="Times New Roman"/>
                <w:color w:val="auto"/>
              </w:rPr>
              <w:t>49%</w:t>
            </w:r>
          </w:p>
        </w:tc>
        <w:tc>
          <w:tcPr>
            <w:tcW w:w="968" w:type="dxa"/>
            <w:vAlign w:val="center"/>
          </w:tcPr>
          <w:p>
            <w:pPr>
              <w:pStyle w:val="167"/>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23</w:t>
            </w:r>
          </w:p>
        </w:tc>
        <w:tc>
          <w:tcPr>
            <w:tcW w:w="500" w:type="pct"/>
            <w:vAlign w:val="center"/>
          </w:tcPr>
          <w:p>
            <w:pPr>
              <w:pStyle w:val="167"/>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液态，桶装</w:t>
            </w:r>
          </w:p>
        </w:tc>
        <w:tc>
          <w:tcPr>
            <w:tcW w:w="462" w:type="pct"/>
            <w:vAlign w:val="center"/>
          </w:tcPr>
          <w:p>
            <w:pPr>
              <w:pStyle w:val="167"/>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化学品库</w:t>
            </w:r>
          </w:p>
        </w:tc>
        <w:tc>
          <w:tcPr>
            <w:tcW w:w="703" w:type="pct"/>
            <w:vAlign w:val="center"/>
          </w:tcPr>
          <w:p>
            <w:pPr>
              <w:pStyle w:val="167"/>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331" w:type="pct"/>
            <w:vMerge w:val="continue"/>
            <w:vAlign w:val="center"/>
          </w:tcPr>
          <w:p>
            <w:pPr>
              <w:pStyle w:val="167"/>
              <w:rPr>
                <w:rFonts w:hint="default" w:ascii="Times New Roman" w:hAnsi="Times New Roman" w:cs="Times New Roman"/>
                <w:color w:val="auto"/>
                <w:sz w:val="21"/>
                <w:szCs w:val="21"/>
              </w:rPr>
            </w:pPr>
          </w:p>
        </w:tc>
        <w:tc>
          <w:tcPr>
            <w:tcW w:w="658" w:type="pct"/>
            <w:vAlign w:val="center"/>
          </w:tcPr>
          <w:p>
            <w:pPr>
              <w:pStyle w:val="167"/>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盐酸</w:t>
            </w:r>
          </w:p>
        </w:tc>
        <w:tc>
          <w:tcPr>
            <w:tcW w:w="506" w:type="pct"/>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t/a</w:t>
            </w:r>
          </w:p>
        </w:tc>
        <w:tc>
          <w:tcPr>
            <w:tcW w:w="1222" w:type="dxa"/>
            <w:vAlign w:val="center"/>
          </w:tcPr>
          <w:p>
            <w:pPr>
              <w:pStyle w:val="167"/>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w:t>
            </w:r>
          </w:p>
        </w:tc>
        <w:tc>
          <w:tcPr>
            <w:tcW w:w="916" w:type="dxa"/>
            <w:vAlign w:val="center"/>
          </w:tcPr>
          <w:p>
            <w:pPr>
              <w:pStyle w:val="16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HCl</w:t>
            </w:r>
          </w:p>
          <w:p>
            <w:pPr>
              <w:pStyle w:val="167"/>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lang w:val="en-US" w:eastAsia="zh-CN"/>
              </w:rPr>
              <w:t>31</w:t>
            </w:r>
            <w:r>
              <w:rPr>
                <w:rFonts w:hint="default" w:ascii="Times New Roman" w:hAnsi="Times New Roman" w:cs="Times New Roman"/>
                <w:color w:val="auto"/>
              </w:rPr>
              <w:t>%</w:t>
            </w:r>
            <w:r>
              <w:rPr>
                <w:rFonts w:hint="default" w:ascii="Times New Roman" w:hAnsi="Times New Roman" w:cs="Times New Roman"/>
                <w:color w:val="auto"/>
                <w:lang w:eastAsia="en-US"/>
              </w:rPr>
              <w:t xml:space="preserve"> </w:t>
            </w:r>
          </w:p>
        </w:tc>
        <w:tc>
          <w:tcPr>
            <w:tcW w:w="968" w:type="dxa"/>
            <w:vAlign w:val="center"/>
          </w:tcPr>
          <w:p>
            <w:pPr>
              <w:pStyle w:val="167"/>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0.5</w:t>
            </w:r>
          </w:p>
        </w:tc>
        <w:tc>
          <w:tcPr>
            <w:tcW w:w="500" w:type="pct"/>
            <w:vAlign w:val="center"/>
          </w:tcPr>
          <w:p>
            <w:pPr>
              <w:pStyle w:val="167"/>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液态，桶装</w:t>
            </w:r>
          </w:p>
        </w:tc>
        <w:tc>
          <w:tcPr>
            <w:tcW w:w="462" w:type="pct"/>
            <w:vAlign w:val="center"/>
          </w:tcPr>
          <w:p>
            <w:pPr>
              <w:pStyle w:val="167"/>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化学品库</w:t>
            </w:r>
          </w:p>
        </w:tc>
        <w:tc>
          <w:tcPr>
            <w:tcW w:w="703" w:type="pct"/>
            <w:vAlign w:val="center"/>
          </w:tcPr>
          <w:p>
            <w:pPr>
              <w:pStyle w:val="167"/>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1" w:type="pct"/>
            <w:vMerge w:val="continue"/>
            <w:vAlign w:val="center"/>
          </w:tcPr>
          <w:p>
            <w:pPr>
              <w:pStyle w:val="167"/>
              <w:rPr>
                <w:rFonts w:hint="default" w:ascii="Times New Roman" w:hAnsi="Times New Roman" w:cs="Times New Roman"/>
                <w:color w:val="auto"/>
                <w:sz w:val="21"/>
                <w:szCs w:val="21"/>
              </w:rPr>
            </w:pPr>
          </w:p>
        </w:tc>
        <w:tc>
          <w:tcPr>
            <w:tcW w:w="658" w:type="pct"/>
            <w:vAlign w:val="center"/>
          </w:tcPr>
          <w:p>
            <w:pPr>
              <w:pStyle w:val="167"/>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粘棒胶</w:t>
            </w:r>
          </w:p>
        </w:tc>
        <w:tc>
          <w:tcPr>
            <w:tcW w:w="506" w:type="pct"/>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t/a</w:t>
            </w:r>
          </w:p>
        </w:tc>
        <w:tc>
          <w:tcPr>
            <w:tcW w:w="1222" w:type="dxa"/>
            <w:vAlign w:val="center"/>
          </w:tcPr>
          <w:p>
            <w:pPr>
              <w:pStyle w:val="167"/>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9.18</w:t>
            </w:r>
          </w:p>
        </w:tc>
        <w:tc>
          <w:tcPr>
            <w:tcW w:w="541" w:type="pct"/>
            <w:vAlign w:val="center"/>
          </w:tcPr>
          <w:p>
            <w:pPr>
              <w:pStyle w:val="167"/>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环氧树脂</w:t>
            </w:r>
          </w:p>
        </w:tc>
        <w:tc>
          <w:tcPr>
            <w:tcW w:w="968" w:type="dxa"/>
            <w:vAlign w:val="center"/>
          </w:tcPr>
          <w:p>
            <w:pPr>
              <w:pStyle w:val="167"/>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1 </w:t>
            </w:r>
          </w:p>
        </w:tc>
        <w:tc>
          <w:tcPr>
            <w:tcW w:w="500" w:type="pct"/>
            <w:vAlign w:val="center"/>
          </w:tcPr>
          <w:p>
            <w:pPr>
              <w:pStyle w:val="167"/>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lang w:eastAsia="zh-CN"/>
              </w:rPr>
              <w:t>液态，桶装</w:t>
            </w:r>
          </w:p>
        </w:tc>
        <w:tc>
          <w:tcPr>
            <w:tcW w:w="462" w:type="pct"/>
            <w:vAlign w:val="center"/>
          </w:tcPr>
          <w:p>
            <w:pPr>
              <w:pStyle w:val="167"/>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切片车间</w:t>
            </w:r>
          </w:p>
        </w:tc>
        <w:tc>
          <w:tcPr>
            <w:tcW w:w="703" w:type="pct"/>
            <w:vAlign w:val="center"/>
          </w:tcPr>
          <w:p>
            <w:pPr>
              <w:pStyle w:val="167"/>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1" w:type="pct"/>
            <w:vMerge w:val="continue"/>
            <w:vAlign w:val="center"/>
          </w:tcPr>
          <w:p>
            <w:pPr>
              <w:pStyle w:val="167"/>
              <w:rPr>
                <w:rFonts w:hint="default" w:ascii="Times New Roman" w:hAnsi="Times New Roman" w:cs="Times New Roman"/>
                <w:color w:val="auto"/>
                <w:sz w:val="21"/>
                <w:szCs w:val="21"/>
              </w:rPr>
            </w:pPr>
          </w:p>
        </w:tc>
        <w:tc>
          <w:tcPr>
            <w:tcW w:w="658" w:type="pct"/>
            <w:vAlign w:val="center"/>
          </w:tcPr>
          <w:p>
            <w:pPr>
              <w:pStyle w:val="167"/>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切割原液</w:t>
            </w:r>
          </w:p>
        </w:tc>
        <w:tc>
          <w:tcPr>
            <w:tcW w:w="506" w:type="pct"/>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t/a</w:t>
            </w:r>
          </w:p>
        </w:tc>
        <w:tc>
          <w:tcPr>
            <w:tcW w:w="1222" w:type="dxa"/>
            <w:vAlign w:val="center"/>
          </w:tcPr>
          <w:p>
            <w:pPr>
              <w:pStyle w:val="167"/>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214.5</w:t>
            </w:r>
          </w:p>
        </w:tc>
        <w:tc>
          <w:tcPr>
            <w:tcW w:w="541" w:type="pct"/>
            <w:vAlign w:val="center"/>
          </w:tcPr>
          <w:p>
            <w:pPr>
              <w:pStyle w:val="167"/>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95%聚乙二醇</w:t>
            </w:r>
          </w:p>
        </w:tc>
        <w:tc>
          <w:tcPr>
            <w:tcW w:w="968" w:type="dxa"/>
            <w:vAlign w:val="center"/>
          </w:tcPr>
          <w:p>
            <w:pPr>
              <w:pStyle w:val="167"/>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18 </w:t>
            </w:r>
          </w:p>
        </w:tc>
        <w:tc>
          <w:tcPr>
            <w:tcW w:w="500" w:type="pct"/>
            <w:vAlign w:val="center"/>
          </w:tcPr>
          <w:p>
            <w:pPr>
              <w:pStyle w:val="167"/>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lang w:eastAsia="zh-CN"/>
              </w:rPr>
              <w:t>液态，桶装</w:t>
            </w:r>
          </w:p>
        </w:tc>
        <w:tc>
          <w:tcPr>
            <w:tcW w:w="462" w:type="pct"/>
            <w:vAlign w:val="center"/>
          </w:tcPr>
          <w:p>
            <w:pPr>
              <w:pStyle w:val="167"/>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切片车间</w:t>
            </w:r>
          </w:p>
        </w:tc>
        <w:tc>
          <w:tcPr>
            <w:tcW w:w="703" w:type="pct"/>
            <w:vAlign w:val="center"/>
          </w:tcPr>
          <w:p>
            <w:pPr>
              <w:pStyle w:val="167"/>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1" w:type="pct"/>
            <w:vMerge w:val="continue"/>
            <w:vAlign w:val="center"/>
          </w:tcPr>
          <w:p>
            <w:pPr>
              <w:pStyle w:val="167"/>
              <w:rPr>
                <w:rFonts w:hint="default" w:ascii="Times New Roman" w:hAnsi="Times New Roman" w:cs="Times New Roman"/>
                <w:color w:val="auto"/>
                <w:sz w:val="21"/>
                <w:szCs w:val="21"/>
              </w:rPr>
            </w:pPr>
          </w:p>
        </w:tc>
        <w:tc>
          <w:tcPr>
            <w:tcW w:w="658" w:type="pct"/>
            <w:vAlign w:val="center"/>
          </w:tcPr>
          <w:p>
            <w:pPr>
              <w:pStyle w:val="167"/>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脱胶剂</w:t>
            </w:r>
          </w:p>
        </w:tc>
        <w:tc>
          <w:tcPr>
            <w:tcW w:w="506" w:type="pct"/>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t/a</w:t>
            </w:r>
          </w:p>
        </w:tc>
        <w:tc>
          <w:tcPr>
            <w:tcW w:w="1222" w:type="dxa"/>
            <w:vAlign w:val="center"/>
          </w:tcPr>
          <w:p>
            <w:pPr>
              <w:pStyle w:val="167"/>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76.5</w:t>
            </w:r>
          </w:p>
        </w:tc>
        <w:tc>
          <w:tcPr>
            <w:tcW w:w="541" w:type="pct"/>
            <w:vAlign w:val="center"/>
          </w:tcPr>
          <w:p>
            <w:pPr>
              <w:pStyle w:val="167"/>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乳酸</w:t>
            </w:r>
          </w:p>
        </w:tc>
        <w:tc>
          <w:tcPr>
            <w:tcW w:w="968" w:type="dxa"/>
            <w:vAlign w:val="center"/>
          </w:tcPr>
          <w:p>
            <w:pPr>
              <w:pStyle w:val="167"/>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6 </w:t>
            </w:r>
          </w:p>
        </w:tc>
        <w:tc>
          <w:tcPr>
            <w:tcW w:w="500" w:type="pct"/>
            <w:vAlign w:val="center"/>
          </w:tcPr>
          <w:p>
            <w:pPr>
              <w:pStyle w:val="167"/>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lang w:eastAsia="zh-CN"/>
              </w:rPr>
              <w:t>液态，桶装</w:t>
            </w:r>
          </w:p>
        </w:tc>
        <w:tc>
          <w:tcPr>
            <w:tcW w:w="462" w:type="pct"/>
            <w:vAlign w:val="center"/>
          </w:tcPr>
          <w:p>
            <w:pPr>
              <w:pStyle w:val="167"/>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切片车间</w:t>
            </w:r>
          </w:p>
        </w:tc>
        <w:tc>
          <w:tcPr>
            <w:tcW w:w="703" w:type="pct"/>
            <w:vAlign w:val="center"/>
          </w:tcPr>
          <w:p>
            <w:pPr>
              <w:pStyle w:val="167"/>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1" w:type="pct"/>
            <w:vMerge w:val="continue"/>
            <w:vAlign w:val="center"/>
          </w:tcPr>
          <w:p>
            <w:pPr>
              <w:pStyle w:val="167"/>
              <w:rPr>
                <w:rFonts w:hint="default" w:ascii="Times New Roman" w:hAnsi="Times New Roman" w:cs="Times New Roman"/>
                <w:color w:val="auto"/>
                <w:sz w:val="21"/>
                <w:szCs w:val="21"/>
              </w:rPr>
            </w:pPr>
          </w:p>
        </w:tc>
        <w:tc>
          <w:tcPr>
            <w:tcW w:w="658" w:type="pct"/>
            <w:vAlign w:val="center"/>
          </w:tcPr>
          <w:p>
            <w:pPr>
              <w:pStyle w:val="167"/>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双氧水</w:t>
            </w:r>
          </w:p>
        </w:tc>
        <w:tc>
          <w:tcPr>
            <w:tcW w:w="506" w:type="pct"/>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t/a</w:t>
            </w:r>
          </w:p>
        </w:tc>
        <w:tc>
          <w:tcPr>
            <w:tcW w:w="1222" w:type="dxa"/>
            <w:vAlign w:val="center"/>
          </w:tcPr>
          <w:p>
            <w:pPr>
              <w:pStyle w:val="167"/>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153</w:t>
            </w:r>
          </w:p>
        </w:tc>
        <w:tc>
          <w:tcPr>
            <w:tcW w:w="541" w:type="pct"/>
            <w:vAlign w:val="center"/>
          </w:tcPr>
          <w:p>
            <w:pPr>
              <w:pStyle w:val="167"/>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H2O2</w:t>
            </w:r>
          </w:p>
        </w:tc>
        <w:tc>
          <w:tcPr>
            <w:tcW w:w="968" w:type="dxa"/>
            <w:vAlign w:val="center"/>
          </w:tcPr>
          <w:p>
            <w:pPr>
              <w:pStyle w:val="167"/>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13 </w:t>
            </w:r>
          </w:p>
        </w:tc>
        <w:tc>
          <w:tcPr>
            <w:tcW w:w="500" w:type="pct"/>
            <w:vAlign w:val="center"/>
          </w:tcPr>
          <w:p>
            <w:pPr>
              <w:pStyle w:val="167"/>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lang w:eastAsia="zh-CN"/>
              </w:rPr>
              <w:t>液态，桶装</w:t>
            </w:r>
          </w:p>
        </w:tc>
        <w:tc>
          <w:tcPr>
            <w:tcW w:w="462" w:type="pct"/>
            <w:vAlign w:val="center"/>
          </w:tcPr>
          <w:p>
            <w:pPr>
              <w:pStyle w:val="167"/>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切片车间</w:t>
            </w:r>
          </w:p>
        </w:tc>
        <w:tc>
          <w:tcPr>
            <w:tcW w:w="703" w:type="pct"/>
            <w:vAlign w:val="center"/>
          </w:tcPr>
          <w:p>
            <w:pPr>
              <w:pStyle w:val="167"/>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1" w:type="pct"/>
            <w:vMerge w:val="continue"/>
            <w:vAlign w:val="center"/>
          </w:tcPr>
          <w:p>
            <w:pPr>
              <w:pStyle w:val="167"/>
              <w:rPr>
                <w:rFonts w:hint="default" w:ascii="Times New Roman" w:hAnsi="Times New Roman" w:cs="Times New Roman"/>
                <w:color w:val="auto"/>
                <w:sz w:val="21"/>
                <w:szCs w:val="21"/>
              </w:rPr>
            </w:pPr>
          </w:p>
        </w:tc>
        <w:tc>
          <w:tcPr>
            <w:tcW w:w="658" w:type="pct"/>
            <w:vAlign w:val="center"/>
          </w:tcPr>
          <w:p>
            <w:pPr>
              <w:pStyle w:val="167"/>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清洗剂</w:t>
            </w:r>
          </w:p>
        </w:tc>
        <w:tc>
          <w:tcPr>
            <w:tcW w:w="506" w:type="pct"/>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t/a</w:t>
            </w:r>
          </w:p>
        </w:tc>
        <w:tc>
          <w:tcPr>
            <w:tcW w:w="1222" w:type="dxa"/>
            <w:vAlign w:val="center"/>
          </w:tcPr>
          <w:p>
            <w:pPr>
              <w:pStyle w:val="167"/>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339</w:t>
            </w:r>
          </w:p>
        </w:tc>
        <w:tc>
          <w:tcPr>
            <w:tcW w:w="541" w:type="pct"/>
            <w:vAlign w:val="center"/>
          </w:tcPr>
          <w:p>
            <w:pPr>
              <w:pStyle w:val="167"/>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968" w:type="dxa"/>
            <w:vAlign w:val="center"/>
          </w:tcPr>
          <w:p>
            <w:pPr>
              <w:pStyle w:val="167"/>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28 </w:t>
            </w:r>
          </w:p>
        </w:tc>
        <w:tc>
          <w:tcPr>
            <w:tcW w:w="500" w:type="pct"/>
            <w:vAlign w:val="center"/>
          </w:tcPr>
          <w:p>
            <w:pPr>
              <w:pStyle w:val="167"/>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lang w:eastAsia="zh-CN"/>
              </w:rPr>
              <w:t>液态，桶装</w:t>
            </w:r>
          </w:p>
        </w:tc>
        <w:tc>
          <w:tcPr>
            <w:tcW w:w="462" w:type="pct"/>
            <w:vAlign w:val="center"/>
          </w:tcPr>
          <w:p>
            <w:pPr>
              <w:pStyle w:val="167"/>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切片车间</w:t>
            </w:r>
          </w:p>
        </w:tc>
        <w:tc>
          <w:tcPr>
            <w:tcW w:w="703" w:type="pct"/>
            <w:vAlign w:val="center"/>
          </w:tcPr>
          <w:p>
            <w:pPr>
              <w:pStyle w:val="167"/>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1" w:type="pct"/>
            <w:vMerge w:val="continue"/>
            <w:vAlign w:val="center"/>
          </w:tcPr>
          <w:p>
            <w:pPr>
              <w:pStyle w:val="167"/>
              <w:rPr>
                <w:rFonts w:hint="default" w:ascii="Times New Roman" w:hAnsi="Times New Roman" w:cs="Times New Roman"/>
                <w:color w:val="auto"/>
                <w:sz w:val="21"/>
                <w:szCs w:val="21"/>
              </w:rPr>
            </w:pPr>
          </w:p>
        </w:tc>
        <w:tc>
          <w:tcPr>
            <w:tcW w:w="658" w:type="pct"/>
            <w:vAlign w:val="center"/>
          </w:tcPr>
          <w:p>
            <w:pPr>
              <w:pStyle w:val="167"/>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氢氧化钠</w:t>
            </w:r>
          </w:p>
        </w:tc>
        <w:tc>
          <w:tcPr>
            <w:tcW w:w="506" w:type="pct"/>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t/a</w:t>
            </w:r>
          </w:p>
        </w:tc>
        <w:tc>
          <w:tcPr>
            <w:tcW w:w="1222" w:type="dxa"/>
            <w:vAlign w:val="center"/>
          </w:tcPr>
          <w:p>
            <w:pPr>
              <w:pStyle w:val="167"/>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27</w:t>
            </w:r>
          </w:p>
        </w:tc>
        <w:tc>
          <w:tcPr>
            <w:tcW w:w="541" w:type="pct"/>
            <w:vAlign w:val="center"/>
          </w:tcPr>
          <w:p>
            <w:pPr>
              <w:pStyle w:val="167"/>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NaOH</w:t>
            </w:r>
          </w:p>
        </w:tc>
        <w:tc>
          <w:tcPr>
            <w:tcW w:w="968" w:type="dxa"/>
            <w:vAlign w:val="center"/>
          </w:tcPr>
          <w:p>
            <w:pPr>
              <w:pStyle w:val="167"/>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3 </w:t>
            </w:r>
          </w:p>
        </w:tc>
        <w:tc>
          <w:tcPr>
            <w:tcW w:w="500" w:type="pct"/>
            <w:vAlign w:val="center"/>
          </w:tcPr>
          <w:p>
            <w:pPr>
              <w:pStyle w:val="167"/>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固态，桶装</w:t>
            </w:r>
          </w:p>
        </w:tc>
        <w:tc>
          <w:tcPr>
            <w:tcW w:w="462" w:type="pct"/>
            <w:vAlign w:val="center"/>
          </w:tcPr>
          <w:p>
            <w:pPr>
              <w:pStyle w:val="167"/>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化学品库</w:t>
            </w:r>
          </w:p>
        </w:tc>
        <w:tc>
          <w:tcPr>
            <w:tcW w:w="703" w:type="pct"/>
            <w:vAlign w:val="center"/>
          </w:tcPr>
          <w:p>
            <w:pPr>
              <w:pStyle w:val="167"/>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外购</w:t>
            </w:r>
          </w:p>
        </w:tc>
      </w:tr>
      <w:bookmarkEnd w:id="1189"/>
    </w:tbl>
    <w:p>
      <w:pPr>
        <w:snapToGrid w:val="0"/>
        <w:spacing w:beforeLines="50" w:line="360" w:lineRule="auto"/>
        <w:ind w:firstLine="482" w:firstLineChars="200"/>
        <w:jc w:val="left"/>
        <w:rPr>
          <w:rFonts w:hint="default" w:ascii="Times New Roman" w:hAnsi="Times New Roman" w:eastAsia="宋体" w:cs="Times New Roman"/>
          <w:color w:val="auto"/>
        </w:rPr>
      </w:pPr>
      <w:r>
        <w:rPr>
          <w:rFonts w:hint="default" w:ascii="Times New Roman" w:hAnsi="Times New Roman" w:eastAsia="宋体" w:cs="Times New Roman"/>
          <w:b/>
          <w:bCs/>
          <w:color w:val="auto"/>
          <w:lang w:eastAsia="zh-CN"/>
        </w:rPr>
        <w:t>单晶硅棒：</w:t>
      </w:r>
      <w:r>
        <w:rPr>
          <w:rFonts w:hint="default" w:ascii="Times New Roman" w:hAnsi="Times New Roman" w:eastAsia="宋体" w:cs="Times New Roman"/>
          <w:color w:val="auto"/>
          <w:lang w:eastAsia="zh-CN"/>
        </w:rPr>
        <w:t>项目切片所需的单晶硅方棒均由建设单位</w:t>
      </w:r>
      <w:r>
        <w:rPr>
          <w:rFonts w:hint="default" w:ascii="Times New Roman" w:hAnsi="Times New Roman" w:cs="Times New Roman"/>
          <w:color w:val="auto"/>
          <w:lang w:eastAsia="zh-CN"/>
        </w:rPr>
        <w:t>从厂区内其他项目的</w:t>
      </w:r>
      <w:r>
        <w:rPr>
          <w:rFonts w:hint="default" w:ascii="Times New Roman" w:hAnsi="Times New Roman" w:eastAsia="宋体" w:cs="Times New Roman"/>
          <w:color w:val="auto"/>
          <w:lang w:eastAsia="zh-CN"/>
        </w:rPr>
        <w:t>拉棒生产线提供</w:t>
      </w:r>
      <w:r>
        <w:rPr>
          <w:rFonts w:hint="default" w:ascii="Times New Roman" w:hAnsi="Times New Roman" w:eastAsia="宋体" w:cs="Times New Roman"/>
          <w:color w:val="auto"/>
        </w:rPr>
        <w:t>。</w:t>
      </w:r>
    </w:p>
    <w:p>
      <w:pPr>
        <w:keepNext w:val="0"/>
        <w:keepLines w:val="0"/>
        <w:pageBreakBefore w:val="0"/>
        <w:widowControl w:val="0"/>
        <w:kinsoku/>
        <w:wordWrap/>
        <w:overflowPunct/>
        <w:topLinePunct w:val="0"/>
        <w:autoSpaceDE/>
        <w:autoSpaceDN/>
        <w:bidi w:val="0"/>
        <w:adjustRightInd/>
        <w:snapToGrid w:val="0"/>
        <w:spacing w:line="360" w:lineRule="auto"/>
        <w:ind w:firstLine="482" w:firstLineChars="200"/>
        <w:jc w:val="left"/>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b/>
          <w:bCs/>
          <w:color w:val="auto"/>
          <w:lang w:eastAsia="zh-CN"/>
        </w:rPr>
        <w:t>金刚石线：</w:t>
      </w:r>
      <w:r>
        <w:rPr>
          <w:rFonts w:hint="default" w:ascii="Times New Roman" w:hAnsi="Times New Roman" w:eastAsia="宋体" w:cs="Times New Roman"/>
          <w:color w:val="auto"/>
          <w:lang w:val="en-US" w:eastAsia="zh-CN"/>
        </w:rPr>
        <w:t>是通过一定的工序将金刚石微粉颗粒均匀地固结在高强度钢线基体上制成的，是一种具有金刚石微型锯齿的切割工具，通过与被切割物间高速磨削运动，来达到切割的目的。金刚石线的质量将直接影响硅片的损失率和使用性能。</w:t>
      </w:r>
    </w:p>
    <w:p>
      <w:pPr>
        <w:keepNext w:val="0"/>
        <w:keepLines w:val="0"/>
        <w:pageBreakBefore w:val="0"/>
        <w:widowControl w:val="0"/>
        <w:kinsoku/>
        <w:wordWrap/>
        <w:overflowPunct/>
        <w:topLinePunct w:val="0"/>
        <w:autoSpaceDE/>
        <w:autoSpaceDN/>
        <w:bidi w:val="0"/>
        <w:adjustRightInd/>
        <w:snapToGrid w:val="0"/>
        <w:spacing w:line="360" w:lineRule="auto"/>
        <w:ind w:firstLine="482" w:firstLineChars="200"/>
        <w:jc w:val="left"/>
        <w:textAlignment w:val="auto"/>
        <w:rPr>
          <w:rFonts w:hint="default" w:ascii="Times New Roman" w:hAnsi="Times New Roman" w:eastAsia="宋体" w:cs="Times New Roman"/>
          <w:color w:val="auto"/>
          <w:lang w:val="en-US" w:eastAsia="zh-CN"/>
        </w:rPr>
      </w:pPr>
      <w:r>
        <w:rPr>
          <w:rFonts w:hint="default" w:ascii="Times New Roman" w:hAnsi="Times New Roman" w:cs="Times New Roman"/>
          <w:b/>
          <w:bCs/>
          <w:color w:val="auto"/>
          <w:lang w:val="en-US" w:eastAsia="zh-CN"/>
        </w:rPr>
        <w:t>工业酒精：</w:t>
      </w:r>
      <w:r>
        <w:rPr>
          <w:rFonts w:hint="default" w:ascii="Times New Roman" w:hAnsi="Times New Roman" w:eastAsia="宋体" w:cs="Times New Roman"/>
          <w:color w:val="auto"/>
          <w:lang w:val="en-US" w:eastAsia="zh-CN"/>
        </w:rPr>
        <w:t>即工业上使用的酒精，也称变性酒精、工业火酒。工业酒精的纯度一般为95%和99%。主要有合成和酿造两种方式生产，合成的一般成本很低，乙醇含量高，酿造的工业酒精一般乙醇含量大于或等于95%，甲醇含量低于1%。</w:t>
      </w:r>
    </w:p>
    <w:p>
      <w:pPr>
        <w:keepNext w:val="0"/>
        <w:keepLines w:val="0"/>
        <w:pageBreakBefore w:val="0"/>
        <w:widowControl w:val="0"/>
        <w:kinsoku/>
        <w:wordWrap/>
        <w:overflowPunct/>
        <w:topLinePunct w:val="0"/>
        <w:autoSpaceDE/>
        <w:autoSpaceDN/>
        <w:bidi w:val="0"/>
        <w:adjustRightInd/>
        <w:snapToGrid w:val="0"/>
        <w:spacing w:line="360" w:lineRule="auto"/>
        <w:ind w:firstLine="482" w:firstLineChars="200"/>
        <w:jc w:val="left"/>
        <w:textAlignment w:val="auto"/>
        <w:rPr>
          <w:rFonts w:hint="default" w:ascii="Times New Roman" w:hAnsi="Times New Roman" w:eastAsia="宋体" w:cs="Times New Roman"/>
          <w:color w:val="auto"/>
          <w:lang w:val="en-US" w:eastAsia="zh-CN"/>
        </w:rPr>
      </w:pPr>
      <w:r>
        <w:rPr>
          <w:rFonts w:hint="default" w:ascii="Times New Roman" w:hAnsi="Times New Roman" w:cs="Times New Roman"/>
          <w:b/>
          <w:bCs/>
          <w:color w:val="auto"/>
          <w:lang w:val="en-US" w:eastAsia="zh-CN"/>
        </w:rPr>
        <w:t>氢氟酸：</w:t>
      </w:r>
      <w:r>
        <w:rPr>
          <w:rFonts w:hint="default" w:ascii="Times New Roman" w:hAnsi="Times New Roman" w:eastAsia="宋体" w:cs="Times New Roman"/>
          <w:color w:val="auto"/>
          <w:lang w:val="en-US" w:eastAsia="zh-CN"/>
        </w:rPr>
        <w:t>氢氟酸是氟化氢气体的水溶液，为无色透明至淡黄色冒烟液体，有刺激性气味，易挥发，空气中即冒白烟，分子式HF。对金、铂、铅、蜡及聚乙烯塑料不起腐蚀作用，但对许多金属发生腐蚀。易溶于水、乙醇，微溶于乙醚。</w:t>
      </w:r>
      <w:r>
        <w:rPr>
          <w:rFonts w:hint="default" w:ascii="Times New Roman" w:hAnsi="Times New Roman" w:cs="Times New Roman"/>
          <w:color w:val="auto"/>
          <w:lang w:val="en-US" w:eastAsia="zh-CN"/>
        </w:rPr>
        <w:t>市场销售的氢氟酸浓度通常为49%，</w:t>
      </w:r>
      <w:r>
        <w:rPr>
          <w:rFonts w:hint="default" w:ascii="Times New Roman" w:hAnsi="Times New Roman" w:eastAsia="宋体" w:cs="Times New Roman"/>
          <w:color w:val="auto"/>
          <w:lang w:val="en-US" w:eastAsia="zh-CN"/>
        </w:rPr>
        <w:t>因为氢原子和氟原子间结合的能力相对较强，使得氢氟酸在水中不能完全电离，所以理论上低浓度的氢氟酸是一种弱酸。</w:t>
      </w:r>
    </w:p>
    <w:p>
      <w:pPr>
        <w:keepNext w:val="0"/>
        <w:keepLines w:val="0"/>
        <w:pageBreakBefore w:val="0"/>
        <w:widowControl w:val="0"/>
        <w:kinsoku/>
        <w:wordWrap/>
        <w:overflowPunct/>
        <w:topLinePunct w:val="0"/>
        <w:autoSpaceDE/>
        <w:autoSpaceDN/>
        <w:bidi w:val="0"/>
        <w:adjustRightInd/>
        <w:snapToGrid w:val="0"/>
        <w:spacing w:line="360" w:lineRule="auto"/>
        <w:ind w:firstLine="482" w:firstLineChars="200"/>
        <w:jc w:val="left"/>
        <w:textAlignment w:val="auto"/>
        <w:rPr>
          <w:rFonts w:hint="default" w:ascii="Times New Roman" w:hAnsi="Times New Roman" w:cs="Times New Roman"/>
          <w:color w:val="auto"/>
          <w:lang w:val="en-US" w:eastAsia="zh-CN"/>
        </w:rPr>
      </w:pPr>
      <w:r>
        <w:rPr>
          <w:rFonts w:hint="default" w:ascii="Times New Roman" w:hAnsi="Times New Roman" w:cs="Times New Roman"/>
          <w:b/>
          <w:bCs/>
          <w:color w:val="auto"/>
          <w:lang w:val="en-US" w:eastAsia="zh-CN"/>
        </w:rPr>
        <w:t>盐酸：</w:t>
      </w:r>
      <w:r>
        <w:rPr>
          <w:rFonts w:hint="default" w:ascii="Times New Roman" w:hAnsi="Times New Roman" w:cs="Times New Roman"/>
          <w:color w:val="auto"/>
          <w:lang w:val="en-US" w:eastAsia="zh-CN"/>
        </w:rPr>
        <w:t>盐酸是</w:t>
      </w:r>
      <w:r>
        <w:rPr>
          <w:rFonts w:hint="default" w:ascii="Times New Roman" w:hAnsi="Times New Roman" w:cs="Times New Roman"/>
          <w:color w:val="auto"/>
          <w:lang w:val="en-US" w:eastAsia="zh-CN"/>
        </w:rPr>
        <w:fldChar w:fldCharType="begin"/>
      </w:r>
      <w:r>
        <w:rPr>
          <w:rFonts w:hint="default" w:ascii="Times New Roman" w:hAnsi="Times New Roman" w:cs="Times New Roman"/>
          <w:color w:val="auto"/>
          <w:lang w:val="en-US" w:eastAsia="zh-CN"/>
        </w:rPr>
        <w:instrText xml:space="preserve"> HYPERLINK "https://baike.so.com/doc/2962673-3125501.html" \t "https://baike.so.com/doc/_blank" </w:instrText>
      </w:r>
      <w:r>
        <w:rPr>
          <w:rFonts w:hint="default" w:ascii="Times New Roman" w:hAnsi="Times New Roman" w:cs="Times New Roman"/>
          <w:color w:val="auto"/>
          <w:lang w:val="en-US" w:eastAsia="zh-CN"/>
        </w:rPr>
        <w:fldChar w:fldCharType="separate"/>
      </w:r>
      <w:r>
        <w:rPr>
          <w:rFonts w:hint="default" w:ascii="Times New Roman" w:hAnsi="Times New Roman" w:cs="Times New Roman"/>
          <w:color w:val="auto"/>
          <w:lang w:val="en-US" w:eastAsia="zh-CN"/>
        </w:rPr>
        <w:t>氯化氢</w:t>
      </w:r>
      <w:r>
        <w:rPr>
          <w:rFonts w:hint="default" w:ascii="Times New Roman" w:hAnsi="Times New Roman" w:cs="Times New Roman"/>
          <w:color w:val="auto"/>
          <w:lang w:val="en-US" w:eastAsia="zh-CN"/>
        </w:rPr>
        <w:fldChar w:fldCharType="end"/>
      </w:r>
      <w:r>
        <w:rPr>
          <w:rFonts w:hint="default" w:ascii="Times New Roman" w:hAnsi="Times New Roman" w:cs="Times New Roman"/>
          <w:color w:val="auto"/>
          <w:lang w:val="en-US" w:eastAsia="zh-CN"/>
        </w:rPr>
        <w:t>(HCl)的水溶液，工业用途广泛。盐酸的性状为无色透明的液体，有强烈的刺鼻气味，具有较高的腐蚀性。浓盐酸(质量分数约为37%)具有极强的挥发性，因此盛有浓盐酸的容器打开后氯化氢气体会挥发，与空气中的水蒸气结合产生盐酸小液滴，使瓶口上方出现酸雾。</w:t>
      </w:r>
    </w:p>
    <w:p>
      <w:pPr>
        <w:keepNext w:val="0"/>
        <w:keepLines w:val="0"/>
        <w:pageBreakBefore w:val="0"/>
        <w:widowControl w:val="0"/>
        <w:kinsoku/>
        <w:wordWrap/>
        <w:overflowPunct/>
        <w:topLinePunct w:val="0"/>
        <w:autoSpaceDE/>
        <w:autoSpaceDN/>
        <w:bidi w:val="0"/>
        <w:adjustRightInd/>
        <w:snapToGrid w:val="0"/>
        <w:spacing w:line="360" w:lineRule="auto"/>
        <w:ind w:firstLine="482" w:firstLineChars="200"/>
        <w:jc w:val="left"/>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b/>
          <w:bCs/>
          <w:color w:val="auto"/>
          <w:lang w:val="en-US" w:eastAsia="zh-CN"/>
        </w:rPr>
        <w:t>粘棒胶：</w:t>
      </w:r>
      <w:r>
        <w:rPr>
          <w:rFonts w:hint="default" w:ascii="Times New Roman" w:hAnsi="Times New Roman" w:cs="Times New Roman"/>
          <w:b w:val="0"/>
          <w:bCs w:val="0"/>
          <w:color w:val="auto"/>
          <w:lang w:val="en-US" w:eastAsia="zh-CN"/>
        </w:rPr>
        <w:t>主要成分为环氧树脂，</w:t>
      </w:r>
      <w:r>
        <w:rPr>
          <w:rFonts w:hint="default" w:ascii="Times New Roman" w:hAnsi="Times New Roman" w:eastAsia="宋体" w:cs="Times New Roman"/>
          <w:color w:val="auto"/>
          <w:lang w:val="en-US" w:eastAsia="zh-CN"/>
        </w:rPr>
        <w:t>指以环氧树脂为主体所制得的胶粘剂</w:t>
      </w:r>
      <w:r>
        <w:rPr>
          <w:rFonts w:hint="default" w:ascii="Times New Roman" w:hAnsi="Times New Roman" w:cs="Times New Roman"/>
          <w:color w:val="auto"/>
          <w:lang w:val="en-US" w:eastAsia="zh-CN"/>
        </w:rPr>
        <w:t>。</w:t>
      </w:r>
      <w:r>
        <w:rPr>
          <w:rFonts w:hint="default" w:ascii="Times New Roman" w:hAnsi="Times New Roman" w:eastAsia="宋体" w:cs="Times New Roman"/>
          <w:color w:val="auto"/>
          <w:lang w:val="en-US" w:eastAsia="zh-CN"/>
        </w:rPr>
        <w:t>环氧树脂胶的基本特性：双组份胶水，需AB混合使用，通用性强，可填充较大的空隙。环氧树脂胶的操作环境：室温固化，室内、室外均可，可手工混胶也可使用AB胶专用设备（如AB胶枪）。环氧树脂胶适用温度一般都在-50至+150度，适用于一般环境，防水、耐油，耐强酸强碱，放置于避免阳光直接照射的阴凉地方，保质期限12个月。适用范围：一般可在-60～100°C使用，采用新型树脂、特殊固化剂和填料可配制出耐超低温胶(-196°C)、耐高温胶(350°C)、导电、导磁、导热、点焊、应变、光敏、阻燃、水下胶等特种胶黏剂。毒性较低，无生理副作用，对人体无害，可配制出气味小、无毒性的环保型胶黏剂。韧性不佳，脆性较大，通常要进行增韧改性。</w:t>
      </w:r>
    </w:p>
    <w:p>
      <w:pPr>
        <w:keepNext w:val="0"/>
        <w:keepLines w:val="0"/>
        <w:pageBreakBefore w:val="0"/>
        <w:widowControl w:val="0"/>
        <w:kinsoku/>
        <w:wordWrap/>
        <w:overflowPunct/>
        <w:topLinePunct w:val="0"/>
        <w:autoSpaceDE/>
        <w:autoSpaceDN/>
        <w:bidi w:val="0"/>
        <w:adjustRightInd/>
        <w:snapToGrid w:val="0"/>
        <w:spacing w:line="360" w:lineRule="auto"/>
        <w:ind w:firstLine="482" w:firstLineChars="200"/>
        <w:jc w:val="left"/>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b/>
          <w:bCs/>
          <w:color w:val="auto"/>
          <w:lang w:val="en-US" w:eastAsia="zh-CN"/>
        </w:rPr>
        <w:t>切割原液：</w:t>
      </w:r>
      <w:r>
        <w:rPr>
          <w:rFonts w:hint="default" w:ascii="Times New Roman" w:hAnsi="Times New Roman" w:eastAsia="宋体" w:cs="Times New Roman"/>
          <w:color w:val="auto"/>
          <w:lang w:val="en-US" w:eastAsia="zh-CN"/>
        </w:rPr>
        <w:t>主要成分为聚乙二醇，聚乙二醇是环氧乙烷水解产物的聚合物，化学式是HO(CH</w:t>
      </w:r>
      <w:r>
        <w:rPr>
          <w:rFonts w:hint="default" w:ascii="Times New Roman" w:hAnsi="Times New Roman" w:eastAsia="宋体" w:cs="Times New Roman"/>
          <w:color w:val="auto"/>
          <w:vertAlign w:val="subscript"/>
          <w:lang w:val="en-US" w:eastAsia="zh-CN"/>
        </w:rPr>
        <w:t>2</w:t>
      </w:r>
      <w:r>
        <w:rPr>
          <w:rFonts w:hint="default" w:ascii="Times New Roman" w:hAnsi="Times New Roman" w:eastAsia="宋体" w:cs="Times New Roman"/>
          <w:color w:val="auto"/>
          <w:lang w:val="en-US" w:eastAsia="zh-CN"/>
        </w:rPr>
        <w:t>CH</w:t>
      </w:r>
      <w:r>
        <w:rPr>
          <w:rFonts w:hint="default" w:ascii="Times New Roman" w:hAnsi="Times New Roman" w:eastAsia="宋体" w:cs="Times New Roman"/>
          <w:color w:val="auto"/>
          <w:vertAlign w:val="subscript"/>
          <w:lang w:val="en-US" w:eastAsia="zh-CN"/>
        </w:rPr>
        <w:t>2</w:t>
      </w:r>
      <w:r>
        <w:rPr>
          <w:rFonts w:hint="default" w:ascii="Times New Roman" w:hAnsi="Times New Roman" w:eastAsia="宋体" w:cs="Times New Roman"/>
          <w:color w:val="auto"/>
          <w:lang w:val="en-US" w:eastAsia="zh-CN"/>
        </w:rPr>
        <w:t>O)</w:t>
      </w:r>
      <w:r>
        <w:rPr>
          <w:rFonts w:hint="default" w:ascii="Times New Roman" w:hAnsi="Times New Roman" w:eastAsia="宋体" w:cs="Times New Roman"/>
          <w:color w:val="auto"/>
          <w:vertAlign w:val="subscript"/>
          <w:lang w:val="en-US" w:eastAsia="zh-CN"/>
        </w:rPr>
        <w:t>n</w:t>
      </w:r>
      <w:r>
        <w:rPr>
          <w:rFonts w:hint="default" w:ascii="Times New Roman" w:hAnsi="Times New Roman" w:eastAsia="宋体" w:cs="Times New Roman"/>
          <w:color w:val="auto"/>
          <w:lang w:val="en-US" w:eastAsia="zh-CN"/>
        </w:rPr>
        <w:t>H，无毒、无刺激性</w:t>
      </w:r>
      <w:r>
        <w:rPr>
          <w:rFonts w:hint="default" w:ascii="Times New Roman" w:hAnsi="Times New Roman" w:cs="Times New Roman"/>
          <w:color w:val="auto"/>
          <w:lang w:val="en-US" w:eastAsia="zh-CN"/>
        </w:rPr>
        <w:t>、</w:t>
      </w:r>
      <w:r>
        <w:rPr>
          <w:rFonts w:hint="default" w:ascii="Times New Roman" w:hAnsi="Times New Roman" w:eastAsia="宋体" w:cs="Times New Roman"/>
          <w:color w:val="auto"/>
          <w:lang w:val="en-US" w:eastAsia="zh-CN"/>
        </w:rPr>
        <w:t>味微苦</w:t>
      </w:r>
      <w:r>
        <w:rPr>
          <w:rFonts w:hint="default" w:ascii="Times New Roman" w:hAnsi="Times New Roman" w:cs="Times New Roman"/>
          <w:color w:val="auto"/>
          <w:lang w:val="en-US" w:eastAsia="zh-CN"/>
        </w:rPr>
        <w:t>、</w:t>
      </w:r>
      <w:r>
        <w:rPr>
          <w:rFonts w:hint="default" w:ascii="Times New Roman" w:hAnsi="Times New Roman" w:eastAsia="宋体" w:cs="Times New Roman"/>
          <w:color w:val="auto"/>
          <w:lang w:val="en-US" w:eastAsia="zh-CN"/>
        </w:rPr>
        <w:t>具有良好的水溶性，并与许多有机物组分有良好的相溶性。具有优良的润滑性、保湿性、分散性、粘接性，可作为抗静电剂及柔软剂等使用，在化妆品、制药、化纤、橡胶、塑料、造纸、油漆、电镀、农药、金属加工及食品加工等行业中均有着极为广泛的应用。</w:t>
      </w:r>
    </w:p>
    <w:p>
      <w:pPr>
        <w:keepNext w:val="0"/>
        <w:keepLines w:val="0"/>
        <w:pageBreakBefore w:val="0"/>
        <w:widowControl w:val="0"/>
        <w:kinsoku/>
        <w:wordWrap/>
        <w:overflowPunct/>
        <w:topLinePunct w:val="0"/>
        <w:autoSpaceDE/>
        <w:autoSpaceDN/>
        <w:bidi w:val="0"/>
        <w:adjustRightInd/>
        <w:snapToGrid w:val="0"/>
        <w:spacing w:line="360" w:lineRule="auto"/>
        <w:ind w:firstLine="482" w:firstLineChars="200"/>
        <w:jc w:val="left"/>
        <w:textAlignment w:val="auto"/>
        <w:rPr>
          <w:rFonts w:hint="default" w:ascii="Times New Roman" w:hAnsi="Times New Roman" w:cs="Times New Roman"/>
          <w:color w:val="auto"/>
          <w:lang w:val="en-US" w:eastAsia="zh-CN"/>
        </w:rPr>
      </w:pPr>
      <w:r>
        <w:rPr>
          <w:rFonts w:hint="default" w:ascii="Times New Roman" w:hAnsi="Times New Roman" w:cs="Times New Roman"/>
          <w:b/>
          <w:bCs/>
          <w:color w:val="auto"/>
          <w:lang w:eastAsia="zh-CN"/>
        </w:rPr>
        <w:t>脱胶剂：</w:t>
      </w:r>
      <w:r>
        <w:rPr>
          <w:rFonts w:hint="default" w:ascii="Times New Roman" w:hAnsi="Times New Roman" w:cs="Times New Roman"/>
          <w:color w:val="auto"/>
          <w:lang w:eastAsia="zh-CN"/>
        </w:rPr>
        <w:t>主要是乳酸，通过电加热的方式使溶液保持在</w:t>
      </w:r>
      <w:r>
        <w:rPr>
          <w:rFonts w:hint="default" w:ascii="Times New Roman" w:hAnsi="Times New Roman" w:cs="Times New Roman"/>
          <w:color w:val="auto"/>
          <w:lang w:val="en-US" w:eastAsia="zh-CN"/>
        </w:rPr>
        <w:t>50~60℃，用于溶解粘棒胶，使得单晶硅片脱离树脂板。</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cs="Times New Roman"/>
          <w:color w:val="auto"/>
          <w:lang w:eastAsia="zh-CN"/>
        </w:rPr>
      </w:pPr>
      <w:r>
        <w:rPr>
          <w:rFonts w:hint="default" w:ascii="Times New Roman" w:hAnsi="Times New Roman" w:cs="Times New Roman"/>
          <w:color w:val="auto"/>
          <w:lang w:eastAsia="zh-CN"/>
        </w:rPr>
        <w:t>乳酸（IUPAC学名:2-羟基丙酸）是一种化合物，它在多种生物化学过程中起作用。它是一种羧酸，分子式是C</w:t>
      </w:r>
      <w:r>
        <w:rPr>
          <w:rFonts w:hint="default" w:ascii="Times New Roman" w:hAnsi="Times New Roman" w:cs="Times New Roman"/>
          <w:color w:val="auto"/>
          <w:vertAlign w:val="subscript"/>
          <w:lang w:eastAsia="zh-CN"/>
        </w:rPr>
        <w:t>3</w:t>
      </w:r>
      <w:r>
        <w:rPr>
          <w:rFonts w:hint="default" w:ascii="Times New Roman" w:hAnsi="Times New Roman" w:cs="Times New Roman"/>
          <w:color w:val="auto"/>
          <w:lang w:eastAsia="zh-CN"/>
        </w:rPr>
        <w:t>H</w:t>
      </w:r>
      <w:r>
        <w:rPr>
          <w:rFonts w:hint="default" w:ascii="Times New Roman" w:hAnsi="Times New Roman" w:cs="Times New Roman"/>
          <w:color w:val="auto"/>
          <w:vertAlign w:val="subscript"/>
          <w:lang w:eastAsia="zh-CN"/>
        </w:rPr>
        <w:t>6</w:t>
      </w:r>
      <w:r>
        <w:rPr>
          <w:rFonts w:hint="default" w:ascii="Times New Roman" w:hAnsi="Times New Roman" w:cs="Times New Roman"/>
          <w:color w:val="auto"/>
          <w:lang w:eastAsia="zh-CN"/>
        </w:rPr>
        <w:t>O</w:t>
      </w:r>
      <w:r>
        <w:rPr>
          <w:rFonts w:hint="default" w:ascii="Times New Roman" w:hAnsi="Times New Roman" w:cs="Times New Roman"/>
          <w:color w:val="auto"/>
          <w:vertAlign w:val="subscript"/>
          <w:lang w:eastAsia="zh-CN"/>
        </w:rPr>
        <w:t>3</w:t>
      </w:r>
      <w:r>
        <w:rPr>
          <w:rFonts w:hint="default" w:ascii="Times New Roman" w:hAnsi="Times New Roman" w:cs="Times New Roman"/>
          <w:color w:val="auto"/>
          <w:lang w:eastAsia="zh-CN"/>
        </w:rPr>
        <w:t>。它是一个含有羟基的羧酸，因此是一个α-羟酸(AHA)。在水溶液中它的羧基释放出一个质子，而产生乳酸根离子CH</w:t>
      </w:r>
      <w:r>
        <w:rPr>
          <w:rFonts w:hint="default" w:ascii="Times New Roman" w:hAnsi="Times New Roman" w:cs="Times New Roman"/>
          <w:color w:val="auto"/>
          <w:vertAlign w:val="subscript"/>
          <w:lang w:eastAsia="zh-CN"/>
        </w:rPr>
        <w:t>3</w:t>
      </w:r>
      <w:r>
        <w:rPr>
          <w:rFonts w:hint="default" w:ascii="Times New Roman" w:hAnsi="Times New Roman" w:cs="Times New Roman"/>
          <w:color w:val="auto"/>
          <w:lang w:eastAsia="zh-CN"/>
        </w:rPr>
        <w:t>CHOHCOO。在发酵过程中乳酸脱氢酶将丙酮酸转换为左旋乳酸。在一般的新陈代谢和运动中乳酸不断被产生，但是其浓度一般不会上升。</w:t>
      </w:r>
    </w:p>
    <w:p>
      <w:pPr>
        <w:keepNext w:val="0"/>
        <w:keepLines w:val="0"/>
        <w:pageBreakBefore w:val="0"/>
        <w:widowControl w:val="0"/>
        <w:kinsoku/>
        <w:wordWrap/>
        <w:overflowPunct/>
        <w:topLinePunct w:val="0"/>
        <w:autoSpaceDE/>
        <w:autoSpaceDN/>
        <w:bidi w:val="0"/>
        <w:adjustRightInd/>
        <w:snapToGrid w:val="0"/>
        <w:spacing w:line="360" w:lineRule="auto"/>
        <w:ind w:firstLine="482" w:firstLineChars="200"/>
        <w:jc w:val="left"/>
        <w:textAlignment w:val="auto"/>
        <w:rPr>
          <w:rFonts w:hint="default" w:ascii="Times New Roman" w:hAnsi="Times New Roman" w:cs="Times New Roman"/>
          <w:b w:val="0"/>
          <w:bCs w:val="0"/>
          <w:color w:val="auto"/>
          <w:lang w:val="en-US" w:eastAsia="zh-CN"/>
        </w:rPr>
      </w:pPr>
      <w:r>
        <w:rPr>
          <w:rFonts w:hint="default" w:ascii="Times New Roman" w:hAnsi="Times New Roman" w:cs="Times New Roman"/>
          <w:b/>
          <w:bCs/>
          <w:color w:val="auto"/>
          <w:lang w:val="en-US" w:eastAsia="zh-CN"/>
        </w:rPr>
        <w:t>双氧水：</w:t>
      </w:r>
      <w:r>
        <w:rPr>
          <w:rFonts w:hint="default" w:ascii="Times New Roman" w:hAnsi="Times New Roman" w:cs="Times New Roman"/>
          <w:color w:val="auto"/>
          <w:lang w:eastAsia="zh-CN"/>
        </w:rPr>
        <w:t>双氧水学名叫过氧化氢，双氧水是一种氧化剂，弱酸性，纯过氧化氢是一种无色无味的透明液体。双氧水的作用主要是漂白和消毒，一般来说，浓度为3%的双氧水主要是用于杀菌消毒。浓度为10%的双氧水则主要是用于漂白，双氧水的漂白效果很好。</w:t>
      </w:r>
    </w:p>
    <w:p>
      <w:pPr>
        <w:keepNext w:val="0"/>
        <w:keepLines w:val="0"/>
        <w:pageBreakBefore w:val="0"/>
        <w:widowControl w:val="0"/>
        <w:kinsoku/>
        <w:wordWrap/>
        <w:overflowPunct/>
        <w:topLinePunct w:val="0"/>
        <w:autoSpaceDE/>
        <w:autoSpaceDN/>
        <w:bidi w:val="0"/>
        <w:adjustRightInd/>
        <w:snapToGrid w:val="0"/>
        <w:spacing w:line="360" w:lineRule="auto"/>
        <w:ind w:firstLine="482" w:firstLineChars="200"/>
        <w:jc w:val="left"/>
        <w:textAlignment w:val="auto"/>
        <w:rPr>
          <w:rFonts w:hint="default" w:ascii="Times New Roman" w:hAnsi="Times New Roman" w:cs="Times New Roman"/>
          <w:color w:val="auto"/>
          <w:lang w:eastAsia="zh-CN"/>
        </w:rPr>
      </w:pPr>
      <w:r>
        <w:rPr>
          <w:rFonts w:hint="default" w:ascii="Times New Roman" w:hAnsi="Times New Roman" w:cs="Times New Roman"/>
          <w:b/>
          <w:bCs/>
          <w:color w:val="auto"/>
          <w:lang w:val="en-US" w:eastAsia="zh-CN"/>
        </w:rPr>
        <w:t>清洗剂：</w:t>
      </w:r>
      <w:r>
        <w:rPr>
          <w:rFonts w:hint="default" w:ascii="Times New Roman" w:hAnsi="Times New Roman" w:cs="Times New Roman"/>
          <w:color w:val="auto"/>
          <w:lang w:eastAsia="zh-CN"/>
        </w:rPr>
        <w:t>主要是以阴离子</w:t>
      </w:r>
      <w:r>
        <w:rPr>
          <w:rFonts w:hint="default" w:ascii="Times New Roman" w:hAnsi="Times New Roman" w:cs="Times New Roman"/>
          <w:color w:val="auto"/>
          <w:lang w:eastAsia="zh-CN"/>
        </w:rPr>
        <w:fldChar w:fldCharType="begin"/>
      </w:r>
      <w:r>
        <w:rPr>
          <w:rFonts w:hint="default" w:ascii="Times New Roman" w:hAnsi="Times New Roman" w:cs="Times New Roman"/>
          <w:color w:val="auto"/>
          <w:lang w:eastAsia="zh-CN"/>
        </w:rPr>
        <w:instrText xml:space="preserve"> HYPERLINK "https://baike.so.com/doc/5368890-5604728.html" \t "https://baike.so.com/doc/_blank" </w:instrText>
      </w:r>
      <w:r>
        <w:rPr>
          <w:rFonts w:hint="default" w:ascii="Times New Roman" w:hAnsi="Times New Roman" w:cs="Times New Roman"/>
          <w:color w:val="auto"/>
          <w:lang w:eastAsia="zh-CN"/>
        </w:rPr>
        <w:fldChar w:fldCharType="separate"/>
      </w:r>
      <w:r>
        <w:rPr>
          <w:rFonts w:hint="default" w:ascii="Times New Roman" w:hAnsi="Times New Roman" w:cs="Times New Roman"/>
          <w:color w:val="auto"/>
          <w:lang w:eastAsia="zh-CN"/>
        </w:rPr>
        <w:t>表面活性剂</w:t>
      </w:r>
      <w:r>
        <w:rPr>
          <w:rFonts w:hint="default" w:ascii="Times New Roman" w:hAnsi="Times New Roman" w:cs="Times New Roman"/>
          <w:color w:val="auto"/>
          <w:lang w:eastAsia="zh-CN"/>
        </w:rPr>
        <w:fldChar w:fldCharType="end"/>
      </w:r>
      <w:r>
        <w:rPr>
          <w:rFonts w:hint="default" w:ascii="Times New Roman" w:hAnsi="Times New Roman" w:cs="Times New Roman"/>
          <w:color w:val="auto"/>
          <w:lang w:eastAsia="zh-CN"/>
        </w:rPr>
        <w:t>为主增加其它各种化学药剂等复配而成的水系工业清洗剂，主要成分为氢氧化钾、葡萄糖酸钠、葡庚糖酸钠、木质素磺酸钠，广泛应用于塑胶、光学玻璃镜片、金属制品等各种材料清洗表面各种油污、污渍、油脂等。</w:t>
      </w:r>
    </w:p>
    <w:p>
      <w:pPr>
        <w:keepNext w:val="0"/>
        <w:keepLines w:val="0"/>
        <w:pageBreakBefore w:val="0"/>
        <w:widowControl w:val="0"/>
        <w:kinsoku/>
        <w:wordWrap/>
        <w:overflowPunct/>
        <w:topLinePunct w:val="0"/>
        <w:autoSpaceDE/>
        <w:autoSpaceDN/>
        <w:bidi w:val="0"/>
        <w:adjustRightInd/>
        <w:snapToGrid w:val="0"/>
        <w:spacing w:line="360" w:lineRule="auto"/>
        <w:ind w:firstLine="482" w:firstLineChars="200"/>
        <w:jc w:val="left"/>
        <w:textAlignment w:val="auto"/>
        <w:rPr>
          <w:rFonts w:hint="default" w:ascii="Times New Roman" w:hAnsi="Times New Roman" w:cs="Times New Roman"/>
          <w:color w:val="auto"/>
          <w:lang w:eastAsia="zh-CN"/>
        </w:rPr>
      </w:pPr>
      <w:r>
        <w:rPr>
          <w:rFonts w:hint="default" w:ascii="Times New Roman" w:hAnsi="Times New Roman" w:cs="Times New Roman"/>
          <w:b/>
          <w:bCs/>
          <w:color w:val="auto"/>
          <w:lang w:val="en-US" w:eastAsia="zh-CN"/>
        </w:rPr>
        <w:t>氢氧化钠：</w:t>
      </w:r>
      <w:r>
        <w:rPr>
          <w:rFonts w:hint="default" w:ascii="Times New Roman" w:hAnsi="Times New Roman" w:cs="Times New Roman"/>
          <w:color w:val="auto"/>
          <w:lang w:eastAsia="zh-CN"/>
        </w:rPr>
        <w:fldChar w:fldCharType="begin"/>
      </w:r>
      <w:r>
        <w:rPr>
          <w:rFonts w:hint="default" w:ascii="Times New Roman" w:hAnsi="Times New Roman" w:cs="Times New Roman"/>
          <w:color w:val="auto"/>
          <w:lang w:eastAsia="zh-CN"/>
        </w:rPr>
        <w:instrText xml:space="preserve"> HYPERLINK "https://baike.so.com/doc/804239-850746.html" \t "https://baike.so.com/doc/_blank" </w:instrText>
      </w:r>
      <w:r>
        <w:rPr>
          <w:rFonts w:hint="default" w:ascii="Times New Roman" w:hAnsi="Times New Roman" w:cs="Times New Roman"/>
          <w:color w:val="auto"/>
          <w:lang w:eastAsia="zh-CN"/>
        </w:rPr>
        <w:fldChar w:fldCharType="separate"/>
      </w:r>
      <w:r>
        <w:rPr>
          <w:rFonts w:hint="default" w:ascii="Times New Roman" w:hAnsi="Times New Roman" w:cs="Times New Roman"/>
          <w:color w:val="auto"/>
          <w:lang w:eastAsia="zh-CN"/>
        </w:rPr>
        <w:t>化学式</w:t>
      </w:r>
      <w:r>
        <w:rPr>
          <w:rFonts w:hint="default" w:ascii="Times New Roman" w:hAnsi="Times New Roman" w:cs="Times New Roman"/>
          <w:color w:val="auto"/>
          <w:lang w:eastAsia="zh-CN"/>
        </w:rPr>
        <w:fldChar w:fldCharType="end"/>
      </w:r>
      <w:r>
        <w:rPr>
          <w:rFonts w:hint="default" w:ascii="Times New Roman" w:hAnsi="Times New Roman" w:cs="Times New Roman"/>
          <w:color w:val="auto"/>
          <w:lang w:eastAsia="zh-CN"/>
        </w:rPr>
        <w:t>为NaOH，俗称烧碱、火碱、苛性钠，为一种具有强腐蚀性的</w:t>
      </w:r>
      <w:r>
        <w:rPr>
          <w:rFonts w:hint="default" w:ascii="Times New Roman" w:hAnsi="Times New Roman" w:cs="Times New Roman"/>
          <w:color w:val="auto"/>
          <w:lang w:eastAsia="zh-CN"/>
        </w:rPr>
        <w:fldChar w:fldCharType="begin"/>
      </w:r>
      <w:r>
        <w:rPr>
          <w:rFonts w:hint="default" w:ascii="Times New Roman" w:hAnsi="Times New Roman" w:cs="Times New Roman"/>
          <w:color w:val="auto"/>
          <w:lang w:eastAsia="zh-CN"/>
        </w:rPr>
        <w:instrText xml:space="preserve"> HYPERLINK "https://baike.so.com/doc/81217-85715.html" \t "https://baike.so.com/doc/_blank" </w:instrText>
      </w:r>
      <w:r>
        <w:rPr>
          <w:rFonts w:hint="default" w:ascii="Times New Roman" w:hAnsi="Times New Roman" w:cs="Times New Roman"/>
          <w:color w:val="auto"/>
          <w:lang w:eastAsia="zh-CN"/>
        </w:rPr>
        <w:fldChar w:fldCharType="separate"/>
      </w:r>
      <w:r>
        <w:rPr>
          <w:rFonts w:hint="default" w:ascii="Times New Roman" w:hAnsi="Times New Roman" w:cs="Times New Roman"/>
          <w:color w:val="auto"/>
          <w:lang w:eastAsia="zh-CN"/>
        </w:rPr>
        <w:t>强碱</w:t>
      </w:r>
      <w:r>
        <w:rPr>
          <w:rFonts w:hint="default" w:ascii="Times New Roman" w:hAnsi="Times New Roman" w:cs="Times New Roman"/>
          <w:color w:val="auto"/>
          <w:lang w:eastAsia="zh-CN"/>
        </w:rPr>
        <w:fldChar w:fldCharType="end"/>
      </w:r>
      <w:r>
        <w:rPr>
          <w:rFonts w:hint="default" w:ascii="Times New Roman" w:hAnsi="Times New Roman" w:cs="Times New Roman"/>
          <w:color w:val="auto"/>
          <w:lang w:eastAsia="zh-CN"/>
        </w:rPr>
        <w:t>，一般为片状或颗粒形态，易溶于水并形成碱性溶液，另有</w:t>
      </w:r>
      <w:r>
        <w:rPr>
          <w:rFonts w:hint="default" w:ascii="Times New Roman" w:hAnsi="Times New Roman" w:cs="Times New Roman"/>
          <w:color w:val="auto"/>
          <w:lang w:eastAsia="zh-CN"/>
        </w:rPr>
        <w:fldChar w:fldCharType="begin"/>
      </w:r>
      <w:r>
        <w:rPr>
          <w:rFonts w:hint="default" w:ascii="Times New Roman" w:hAnsi="Times New Roman" w:cs="Times New Roman"/>
          <w:color w:val="auto"/>
          <w:lang w:eastAsia="zh-CN"/>
        </w:rPr>
        <w:instrText xml:space="preserve"> HYPERLINK "https://baike.so.com/doc/2628817-2775779.html" \t "https://baike.so.com/doc/_blank" </w:instrText>
      </w:r>
      <w:r>
        <w:rPr>
          <w:rFonts w:hint="default" w:ascii="Times New Roman" w:hAnsi="Times New Roman" w:cs="Times New Roman"/>
          <w:color w:val="auto"/>
          <w:lang w:eastAsia="zh-CN"/>
        </w:rPr>
        <w:fldChar w:fldCharType="separate"/>
      </w:r>
      <w:r>
        <w:rPr>
          <w:rFonts w:hint="default" w:ascii="Times New Roman" w:hAnsi="Times New Roman" w:cs="Times New Roman"/>
          <w:color w:val="auto"/>
          <w:lang w:eastAsia="zh-CN"/>
        </w:rPr>
        <w:t>潮解性</w:t>
      </w:r>
      <w:r>
        <w:rPr>
          <w:rFonts w:hint="default" w:ascii="Times New Roman" w:hAnsi="Times New Roman" w:cs="Times New Roman"/>
          <w:color w:val="auto"/>
          <w:lang w:eastAsia="zh-CN"/>
        </w:rPr>
        <w:fldChar w:fldCharType="end"/>
      </w:r>
      <w:r>
        <w:rPr>
          <w:rFonts w:hint="default" w:ascii="Times New Roman" w:hAnsi="Times New Roman" w:cs="Times New Roman"/>
          <w:color w:val="auto"/>
          <w:lang w:eastAsia="zh-CN"/>
        </w:rPr>
        <w:t>，易吸取空气中的水蒸气（潮解）和二氧化碳（变质）。</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cs="Times New Roman"/>
          <w:color w:val="auto"/>
          <w:lang w:eastAsia="zh-CN"/>
        </w:rPr>
      </w:pPr>
      <w:r>
        <w:rPr>
          <w:rFonts w:hint="default" w:ascii="Times New Roman" w:hAnsi="Times New Roman" w:cs="Times New Roman"/>
          <w:color w:val="auto"/>
          <w:lang w:eastAsia="zh-CN"/>
        </w:rPr>
        <w:t>NaOH是</w:t>
      </w:r>
      <w:r>
        <w:rPr>
          <w:rFonts w:hint="default" w:ascii="Times New Roman" w:hAnsi="Times New Roman" w:cs="Times New Roman"/>
          <w:color w:val="auto"/>
          <w:lang w:eastAsia="zh-CN"/>
        </w:rPr>
        <w:fldChar w:fldCharType="begin"/>
      </w:r>
      <w:r>
        <w:rPr>
          <w:rFonts w:hint="default" w:ascii="Times New Roman" w:hAnsi="Times New Roman" w:cs="Times New Roman"/>
          <w:color w:val="auto"/>
          <w:lang w:eastAsia="zh-CN"/>
        </w:rPr>
        <w:instrText xml:space="preserve"> HYPERLINK "https://baike.so.com/doc/6554657-6768406.html" \t "https://baike.so.com/doc/_blank" </w:instrText>
      </w:r>
      <w:r>
        <w:rPr>
          <w:rFonts w:hint="default" w:ascii="Times New Roman" w:hAnsi="Times New Roman" w:cs="Times New Roman"/>
          <w:color w:val="auto"/>
          <w:lang w:eastAsia="zh-CN"/>
        </w:rPr>
        <w:fldChar w:fldCharType="separate"/>
      </w:r>
      <w:r>
        <w:rPr>
          <w:rFonts w:hint="default" w:ascii="Times New Roman" w:hAnsi="Times New Roman" w:cs="Times New Roman"/>
          <w:color w:val="auto"/>
          <w:lang w:eastAsia="zh-CN"/>
        </w:rPr>
        <w:t>化学实验室</w:t>
      </w:r>
      <w:r>
        <w:rPr>
          <w:rFonts w:hint="default" w:ascii="Times New Roman" w:hAnsi="Times New Roman" w:cs="Times New Roman"/>
          <w:color w:val="auto"/>
          <w:lang w:eastAsia="zh-CN"/>
        </w:rPr>
        <w:fldChar w:fldCharType="end"/>
      </w:r>
      <w:r>
        <w:rPr>
          <w:rFonts w:hint="default" w:ascii="Times New Roman" w:hAnsi="Times New Roman" w:cs="Times New Roman"/>
          <w:color w:val="auto"/>
          <w:lang w:eastAsia="zh-CN"/>
        </w:rPr>
        <w:t>其中一种必备的化学品，亦为常见的化工品之一。纯品是无色透明的晶体。密度2.130g/cm³。熔点318.4℃。沸点1390℃。工业品含有少量的</w:t>
      </w:r>
      <w:r>
        <w:rPr>
          <w:rFonts w:hint="default" w:ascii="Times New Roman" w:hAnsi="Times New Roman" w:cs="Times New Roman"/>
          <w:color w:val="auto"/>
          <w:lang w:eastAsia="zh-CN"/>
        </w:rPr>
        <w:fldChar w:fldCharType="begin"/>
      </w:r>
      <w:r>
        <w:rPr>
          <w:rFonts w:hint="default" w:ascii="Times New Roman" w:hAnsi="Times New Roman" w:cs="Times New Roman"/>
          <w:color w:val="auto"/>
          <w:lang w:eastAsia="zh-CN"/>
        </w:rPr>
        <w:instrText xml:space="preserve"> HYPERLINK "https://baike.so.com/doc/1243217-1314844.html" \t "https://baike.so.com/doc/_blank" </w:instrText>
      </w:r>
      <w:r>
        <w:rPr>
          <w:rFonts w:hint="default" w:ascii="Times New Roman" w:hAnsi="Times New Roman" w:cs="Times New Roman"/>
          <w:color w:val="auto"/>
          <w:lang w:eastAsia="zh-CN"/>
        </w:rPr>
        <w:fldChar w:fldCharType="separate"/>
      </w:r>
      <w:r>
        <w:rPr>
          <w:rFonts w:hint="default" w:ascii="Times New Roman" w:hAnsi="Times New Roman" w:cs="Times New Roman"/>
          <w:color w:val="auto"/>
          <w:lang w:eastAsia="zh-CN"/>
        </w:rPr>
        <w:t>氯化钠</w:t>
      </w:r>
      <w:r>
        <w:rPr>
          <w:rFonts w:hint="default" w:ascii="Times New Roman" w:hAnsi="Times New Roman" w:cs="Times New Roman"/>
          <w:color w:val="auto"/>
          <w:lang w:eastAsia="zh-CN"/>
        </w:rPr>
        <w:fldChar w:fldCharType="end"/>
      </w:r>
      <w:r>
        <w:rPr>
          <w:rFonts w:hint="default" w:ascii="Times New Roman" w:hAnsi="Times New Roman" w:cs="Times New Roman"/>
          <w:color w:val="auto"/>
          <w:lang w:eastAsia="zh-CN"/>
        </w:rPr>
        <w:t>和碳酸钠，是白色不透明的晶体。有块状，片状，粒状和棒状等。氢氧化钠可作为碱性清洗剂，溶于乙醇和甘油，不溶于丙醇、乙醚。在高温下对碳钠也有腐蚀作用。与氯、溴、碘等卤素发生歧化反应，与酸类起中和作用而生成盐和水。</w:t>
      </w:r>
    </w:p>
    <w:p>
      <w:pPr>
        <w:pStyle w:val="6"/>
        <w:spacing w:beforeLines="50" w:after="0" w:line="360" w:lineRule="auto"/>
        <w:rPr>
          <w:rFonts w:hint="default" w:ascii="Times New Roman" w:hAnsi="Times New Roman" w:cs="Times New Roman"/>
          <w:color w:val="auto"/>
          <w:szCs w:val="28"/>
        </w:rPr>
      </w:pPr>
      <w:bookmarkStart w:id="284" w:name="_Toc10105"/>
      <w:r>
        <w:rPr>
          <w:rFonts w:hint="default" w:ascii="Times New Roman" w:hAnsi="Times New Roman" w:cs="Times New Roman"/>
          <w:color w:val="auto"/>
          <w:szCs w:val="28"/>
          <w:lang w:val="en-US" w:eastAsia="zh-CN"/>
        </w:rPr>
        <w:t>3</w:t>
      </w:r>
      <w:r>
        <w:rPr>
          <w:rFonts w:hint="default" w:ascii="Times New Roman" w:hAnsi="Times New Roman" w:cs="Times New Roman"/>
          <w:color w:val="auto"/>
          <w:szCs w:val="28"/>
        </w:rPr>
        <w:t>.1.</w:t>
      </w:r>
      <w:r>
        <w:rPr>
          <w:rFonts w:hint="default" w:ascii="Times New Roman" w:hAnsi="Times New Roman" w:cs="Times New Roman"/>
          <w:color w:val="auto"/>
          <w:szCs w:val="28"/>
          <w:lang w:val="en-US" w:eastAsia="zh-CN"/>
        </w:rPr>
        <w:t>5</w:t>
      </w:r>
      <w:r>
        <w:rPr>
          <w:rFonts w:hint="default" w:ascii="Times New Roman" w:hAnsi="Times New Roman" w:cs="Times New Roman"/>
          <w:color w:val="auto"/>
          <w:szCs w:val="28"/>
        </w:rPr>
        <w:t>主要生产设备一览表</w:t>
      </w:r>
      <w:bookmarkEnd w:id="284"/>
    </w:p>
    <w:p>
      <w:pPr>
        <w:pStyle w:val="133"/>
        <w:numPr>
          <w:ilvl w:val="0"/>
          <w:numId w:val="11"/>
        </w:numPr>
        <w:spacing w:line="360" w:lineRule="auto"/>
        <w:ind w:left="0" w:leftChars="0" w:firstLine="0" w:firstLineChars="0"/>
        <w:jc w:val="center"/>
        <w:rPr>
          <w:rFonts w:hint="default" w:ascii="Times New Roman" w:hAnsi="Times New Roman" w:cs="Times New Roman"/>
          <w:b/>
          <w:bCs/>
          <w:color w:val="auto"/>
        </w:rPr>
      </w:pPr>
      <w:r>
        <w:rPr>
          <w:rFonts w:hint="default" w:ascii="Times New Roman" w:hAnsi="Times New Roman" w:cs="Times New Roman"/>
          <w:b/>
          <w:bCs/>
          <w:color w:val="auto"/>
        </w:rPr>
        <w:t>主要生产设备一览表</w:t>
      </w:r>
    </w:p>
    <w:tbl>
      <w:tblPr>
        <w:tblStyle w:val="44"/>
        <w:tblW w:w="79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5"/>
        <w:gridCol w:w="2679"/>
        <w:gridCol w:w="2131"/>
        <w:gridCol w:w="989"/>
        <w:gridCol w:w="12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25" w:type="dxa"/>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序号</w:t>
            </w:r>
          </w:p>
        </w:tc>
        <w:tc>
          <w:tcPr>
            <w:tcW w:w="2679" w:type="dxa"/>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名称</w:t>
            </w:r>
          </w:p>
        </w:tc>
        <w:tc>
          <w:tcPr>
            <w:tcW w:w="2131" w:type="dxa"/>
            <w:vAlign w:val="center"/>
          </w:tcPr>
          <w:p>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规格</w:t>
            </w:r>
          </w:p>
        </w:tc>
        <w:tc>
          <w:tcPr>
            <w:tcW w:w="989" w:type="dxa"/>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单位</w:t>
            </w:r>
          </w:p>
        </w:tc>
        <w:tc>
          <w:tcPr>
            <w:tcW w:w="1211" w:type="dxa"/>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25" w:type="dxa"/>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w:t>
            </w:r>
          </w:p>
        </w:tc>
        <w:tc>
          <w:tcPr>
            <w:tcW w:w="2679" w:type="dxa"/>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金刚线切片机</w:t>
            </w:r>
          </w:p>
        </w:tc>
        <w:tc>
          <w:tcPr>
            <w:tcW w:w="2131" w:type="dxa"/>
            <w:vAlign w:val="center"/>
          </w:tcPr>
          <w:p>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700X切片机</w:t>
            </w:r>
          </w:p>
        </w:tc>
        <w:tc>
          <w:tcPr>
            <w:tcW w:w="989" w:type="dxa"/>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台</w:t>
            </w:r>
          </w:p>
        </w:tc>
        <w:tc>
          <w:tcPr>
            <w:tcW w:w="1211" w:type="dxa"/>
            <w:vAlign w:val="center"/>
          </w:tcPr>
          <w:p>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25" w:type="dxa"/>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w:t>
            </w:r>
          </w:p>
        </w:tc>
        <w:tc>
          <w:tcPr>
            <w:tcW w:w="2679" w:type="dxa"/>
            <w:vAlign w:val="center"/>
          </w:tcPr>
          <w:p>
            <w:pPr>
              <w:widowControl/>
              <w:jc w:val="center"/>
              <w:rPr>
                <w:rFonts w:hint="default" w:ascii="Times New Roman" w:hAnsi="Times New Roman" w:eastAsia="宋体" w:cs="Times New Roman"/>
                <w:color w:val="auto"/>
                <w:kern w:val="0"/>
                <w:sz w:val="21"/>
                <w:szCs w:val="21"/>
                <w:lang w:eastAsia="zh-CN"/>
              </w:rPr>
            </w:pPr>
            <w:r>
              <w:rPr>
                <w:rFonts w:hint="default" w:ascii="Times New Roman" w:hAnsi="Times New Roman" w:cs="Times New Roman"/>
                <w:color w:val="auto"/>
                <w:kern w:val="0"/>
                <w:sz w:val="21"/>
                <w:szCs w:val="21"/>
                <w:lang w:eastAsia="zh-CN"/>
              </w:rPr>
              <w:t>脱插清洗一体机</w:t>
            </w:r>
          </w:p>
        </w:tc>
        <w:tc>
          <w:tcPr>
            <w:tcW w:w="2131" w:type="dxa"/>
            <w:vAlign w:val="center"/>
          </w:tcPr>
          <w:p>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FA-PSLYAQ00</w:t>
            </w:r>
          </w:p>
        </w:tc>
        <w:tc>
          <w:tcPr>
            <w:tcW w:w="989" w:type="dxa"/>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台</w:t>
            </w:r>
          </w:p>
        </w:tc>
        <w:tc>
          <w:tcPr>
            <w:tcW w:w="1211" w:type="dxa"/>
            <w:vAlign w:val="center"/>
          </w:tcPr>
          <w:p>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25" w:type="dxa"/>
            <w:vAlign w:val="center"/>
          </w:tcPr>
          <w:p>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3</w:t>
            </w:r>
          </w:p>
        </w:tc>
        <w:tc>
          <w:tcPr>
            <w:tcW w:w="2679" w:type="dxa"/>
            <w:vAlign w:val="center"/>
          </w:tcPr>
          <w:p>
            <w:pPr>
              <w:widowControl/>
              <w:jc w:val="center"/>
              <w:rPr>
                <w:rFonts w:hint="default" w:ascii="Times New Roman" w:hAnsi="Times New Roman" w:cs="Times New Roman"/>
                <w:color w:val="auto"/>
                <w:kern w:val="0"/>
                <w:sz w:val="21"/>
                <w:szCs w:val="21"/>
                <w:lang w:eastAsia="zh-CN"/>
              </w:rPr>
            </w:pPr>
            <w:r>
              <w:rPr>
                <w:rFonts w:hint="default" w:ascii="Times New Roman" w:hAnsi="Times New Roman" w:cs="Times New Roman"/>
                <w:color w:val="auto"/>
                <w:kern w:val="0"/>
                <w:sz w:val="21"/>
                <w:szCs w:val="21"/>
                <w:lang w:eastAsia="zh-CN"/>
              </w:rPr>
              <w:t>脱胶机</w:t>
            </w:r>
          </w:p>
        </w:tc>
        <w:tc>
          <w:tcPr>
            <w:tcW w:w="2131" w:type="dxa"/>
            <w:vAlign w:val="center"/>
          </w:tcPr>
          <w:p>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w:t>
            </w:r>
          </w:p>
        </w:tc>
        <w:tc>
          <w:tcPr>
            <w:tcW w:w="989" w:type="dxa"/>
            <w:vAlign w:val="center"/>
          </w:tcPr>
          <w:p>
            <w:pPr>
              <w:widowControl/>
              <w:jc w:val="center"/>
              <w:rPr>
                <w:rFonts w:hint="default" w:ascii="Times New Roman" w:hAnsi="Times New Roman" w:eastAsia="宋体" w:cs="Times New Roman"/>
                <w:color w:val="auto"/>
                <w:kern w:val="0"/>
                <w:sz w:val="21"/>
                <w:szCs w:val="21"/>
                <w:lang w:eastAsia="zh-CN"/>
              </w:rPr>
            </w:pPr>
            <w:r>
              <w:rPr>
                <w:rFonts w:hint="default" w:ascii="Times New Roman" w:hAnsi="Times New Roman" w:cs="Times New Roman"/>
                <w:color w:val="auto"/>
                <w:kern w:val="0"/>
                <w:sz w:val="21"/>
                <w:szCs w:val="21"/>
                <w:lang w:eastAsia="zh-CN"/>
              </w:rPr>
              <w:t>台</w:t>
            </w:r>
          </w:p>
        </w:tc>
        <w:tc>
          <w:tcPr>
            <w:tcW w:w="1211" w:type="dxa"/>
            <w:vAlign w:val="center"/>
          </w:tcPr>
          <w:p>
            <w:pPr>
              <w:widowControl/>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25" w:type="dxa"/>
            <w:vAlign w:val="center"/>
          </w:tcPr>
          <w:p>
            <w:pPr>
              <w:widowControl/>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4</w:t>
            </w:r>
          </w:p>
        </w:tc>
        <w:tc>
          <w:tcPr>
            <w:tcW w:w="2679" w:type="dxa"/>
            <w:vAlign w:val="center"/>
          </w:tcPr>
          <w:p>
            <w:pPr>
              <w:widowControl/>
              <w:jc w:val="center"/>
              <w:rPr>
                <w:rFonts w:hint="default" w:ascii="Times New Roman" w:hAnsi="Times New Roman" w:cs="Times New Roman"/>
                <w:color w:val="auto"/>
                <w:kern w:val="0"/>
                <w:sz w:val="21"/>
                <w:szCs w:val="21"/>
                <w:lang w:eastAsia="zh-CN"/>
              </w:rPr>
            </w:pPr>
            <w:r>
              <w:rPr>
                <w:rFonts w:hint="default" w:ascii="Times New Roman" w:hAnsi="Times New Roman" w:cs="Times New Roman"/>
                <w:color w:val="auto"/>
                <w:kern w:val="0"/>
                <w:sz w:val="21"/>
                <w:szCs w:val="21"/>
                <w:lang w:eastAsia="zh-CN"/>
              </w:rPr>
              <w:t>链式吸杂设备</w:t>
            </w:r>
          </w:p>
        </w:tc>
        <w:tc>
          <w:tcPr>
            <w:tcW w:w="2131" w:type="dxa"/>
            <w:vAlign w:val="center"/>
          </w:tcPr>
          <w:p>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IG14400-A</w:t>
            </w:r>
          </w:p>
        </w:tc>
        <w:tc>
          <w:tcPr>
            <w:tcW w:w="989" w:type="dxa"/>
            <w:vAlign w:val="center"/>
          </w:tcPr>
          <w:p>
            <w:pPr>
              <w:widowControl/>
              <w:jc w:val="center"/>
              <w:rPr>
                <w:rFonts w:hint="default" w:ascii="Times New Roman" w:hAnsi="Times New Roman" w:eastAsia="宋体" w:cs="Times New Roman"/>
                <w:color w:val="auto"/>
                <w:kern w:val="0"/>
                <w:sz w:val="21"/>
                <w:szCs w:val="21"/>
                <w:lang w:eastAsia="zh-CN"/>
              </w:rPr>
            </w:pPr>
            <w:r>
              <w:rPr>
                <w:rFonts w:hint="default" w:ascii="Times New Roman" w:hAnsi="Times New Roman" w:cs="Times New Roman"/>
                <w:color w:val="auto"/>
                <w:kern w:val="0"/>
                <w:sz w:val="21"/>
                <w:szCs w:val="21"/>
                <w:lang w:eastAsia="zh-CN"/>
              </w:rPr>
              <w:t>套</w:t>
            </w:r>
          </w:p>
        </w:tc>
        <w:tc>
          <w:tcPr>
            <w:tcW w:w="1211" w:type="dxa"/>
            <w:vAlign w:val="center"/>
          </w:tcPr>
          <w:p>
            <w:pPr>
              <w:widowControl/>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25" w:type="dxa"/>
            <w:vAlign w:val="center"/>
          </w:tcPr>
          <w:p>
            <w:pPr>
              <w:widowControl/>
              <w:jc w:val="center"/>
              <w:rPr>
                <w:rFonts w:hint="default" w:ascii="Times New Roman" w:hAnsi="Times New Roman" w:eastAsia="宋体" w:cs="Times New Roman"/>
                <w:color w:val="auto"/>
                <w:kern w:val="0"/>
                <w:sz w:val="21"/>
                <w:szCs w:val="21"/>
                <w:lang w:eastAsia="zh-CN"/>
              </w:rPr>
            </w:pPr>
            <w:r>
              <w:rPr>
                <w:rFonts w:hint="default" w:ascii="Times New Roman" w:hAnsi="Times New Roman" w:cs="Times New Roman"/>
                <w:color w:val="auto"/>
                <w:kern w:val="0"/>
                <w:sz w:val="21"/>
                <w:szCs w:val="21"/>
                <w:lang w:val="en-US" w:eastAsia="zh-CN"/>
              </w:rPr>
              <w:t>5</w:t>
            </w:r>
          </w:p>
        </w:tc>
        <w:tc>
          <w:tcPr>
            <w:tcW w:w="2679" w:type="dxa"/>
            <w:vAlign w:val="center"/>
          </w:tcPr>
          <w:p>
            <w:pPr>
              <w:widowControl/>
              <w:jc w:val="center"/>
              <w:rPr>
                <w:rFonts w:hint="default" w:ascii="Times New Roman" w:hAnsi="Times New Roman" w:eastAsia="宋体" w:cs="Times New Roman"/>
                <w:color w:val="auto"/>
                <w:kern w:val="0"/>
                <w:sz w:val="21"/>
                <w:szCs w:val="21"/>
                <w:lang w:eastAsia="zh-CN"/>
              </w:rPr>
            </w:pPr>
            <w:r>
              <w:rPr>
                <w:rFonts w:hint="default" w:ascii="Times New Roman" w:hAnsi="Times New Roman" w:cs="Times New Roman"/>
                <w:color w:val="auto"/>
                <w:kern w:val="0"/>
                <w:sz w:val="21"/>
                <w:szCs w:val="21"/>
                <w:lang w:eastAsia="zh-CN"/>
              </w:rPr>
              <w:t>分选机</w:t>
            </w:r>
          </w:p>
        </w:tc>
        <w:tc>
          <w:tcPr>
            <w:tcW w:w="2131" w:type="dxa"/>
            <w:vAlign w:val="center"/>
          </w:tcPr>
          <w:p>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WS100A</w:t>
            </w:r>
          </w:p>
        </w:tc>
        <w:tc>
          <w:tcPr>
            <w:tcW w:w="989" w:type="dxa"/>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台</w:t>
            </w:r>
          </w:p>
        </w:tc>
        <w:tc>
          <w:tcPr>
            <w:tcW w:w="1211" w:type="dxa"/>
            <w:vAlign w:val="center"/>
          </w:tcPr>
          <w:p>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25" w:type="dxa"/>
            <w:vAlign w:val="center"/>
          </w:tcPr>
          <w:p>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6</w:t>
            </w:r>
          </w:p>
        </w:tc>
        <w:tc>
          <w:tcPr>
            <w:tcW w:w="2679" w:type="dxa"/>
            <w:vAlign w:val="center"/>
          </w:tcPr>
          <w:p>
            <w:pPr>
              <w:widowControl/>
              <w:jc w:val="center"/>
              <w:rPr>
                <w:rFonts w:hint="default" w:ascii="Times New Roman" w:hAnsi="Times New Roman" w:eastAsia="宋体" w:cs="Times New Roman"/>
                <w:color w:val="auto"/>
                <w:kern w:val="0"/>
                <w:sz w:val="21"/>
                <w:szCs w:val="21"/>
                <w:lang w:eastAsia="zh-CN"/>
              </w:rPr>
            </w:pPr>
            <w:r>
              <w:rPr>
                <w:rFonts w:hint="default" w:ascii="Times New Roman" w:hAnsi="Times New Roman" w:cs="Times New Roman"/>
                <w:color w:val="auto"/>
                <w:kern w:val="0"/>
                <w:sz w:val="21"/>
                <w:szCs w:val="21"/>
                <w:lang w:eastAsia="zh-CN"/>
              </w:rPr>
              <w:t>自动打包线</w:t>
            </w:r>
          </w:p>
        </w:tc>
        <w:tc>
          <w:tcPr>
            <w:tcW w:w="2131" w:type="dxa"/>
            <w:vAlign w:val="center"/>
          </w:tcPr>
          <w:p>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w:t>
            </w:r>
          </w:p>
        </w:tc>
        <w:tc>
          <w:tcPr>
            <w:tcW w:w="989" w:type="dxa"/>
            <w:vAlign w:val="center"/>
          </w:tcPr>
          <w:p>
            <w:pPr>
              <w:widowControl/>
              <w:jc w:val="center"/>
              <w:rPr>
                <w:rFonts w:hint="default" w:ascii="Times New Roman" w:hAnsi="Times New Roman" w:eastAsia="宋体" w:cs="Times New Roman"/>
                <w:color w:val="auto"/>
                <w:kern w:val="0"/>
                <w:sz w:val="21"/>
                <w:szCs w:val="21"/>
                <w:lang w:eastAsia="zh-CN"/>
              </w:rPr>
            </w:pPr>
            <w:r>
              <w:rPr>
                <w:rFonts w:hint="default" w:ascii="Times New Roman" w:hAnsi="Times New Roman" w:cs="Times New Roman"/>
                <w:color w:val="auto"/>
                <w:kern w:val="0"/>
                <w:sz w:val="21"/>
                <w:szCs w:val="21"/>
                <w:lang w:eastAsia="zh-CN"/>
              </w:rPr>
              <w:t>条</w:t>
            </w:r>
          </w:p>
        </w:tc>
        <w:tc>
          <w:tcPr>
            <w:tcW w:w="1211" w:type="dxa"/>
            <w:vAlign w:val="center"/>
          </w:tcPr>
          <w:p>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25" w:type="dxa"/>
            <w:vAlign w:val="center"/>
          </w:tcPr>
          <w:p>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7</w:t>
            </w:r>
          </w:p>
        </w:tc>
        <w:tc>
          <w:tcPr>
            <w:tcW w:w="2679" w:type="dxa"/>
            <w:vAlign w:val="center"/>
          </w:tcPr>
          <w:p>
            <w:pPr>
              <w:widowControl/>
              <w:jc w:val="center"/>
              <w:rPr>
                <w:rFonts w:hint="default" w:ascii="Times New Roman" w:hAnsi="Times New Roman" w:cs="Times New Roman"/>
                <w:color w:val="auto"/>
                <w:kern w:val="0"/>
                <w:sz w:val="21"/>
                <w:szCs w:val="21"/>
                <w:lang w:eastAsia="zh-CN"/>
              </w:rPr>
            </w:pPr>
            <w:r>
              <w:rPr>
                <w:rFonts w:hint="default" w:ascii="Times New Roman" w:hAnsi="Times New Roman" w:cs="Times New Roman"/>
                <w:color w:val="auto"/>
                <w:kern w:val="0"/>
                <w:sz w:val="21"/>
                <w:szCs w:val="21"/>
                <w:lang w:eastAsia="zh-CN"/>
              </w:rPr>
              <w:t>自动粘棒线</w:t>
            </w:r>
          </w:p>
        </w:tc>
        <w:tc>
          <w:tcPr>
            <w:tcW w:w="2131" w:type="dxa"/>
            <w:vAlign w:val="center"/>
          </w:tcPr>
          <w:p>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w:t>
            </w:r>
          </w:p>
        </w:tc>
        <w:tc>
          <w:tcPr>
            <w:tcW w:w="989" w:type="dxa"/>
            <w:vAlign w:val="center"/>
          </w:tcPr>
          <w:p>
            <w:pPr>
              <w:widowControl/>
              <w:jc w:val="center"/>
              <w:rPr>
                <w:rFonts w:hint="default" w:ascii="Times New Roman" w:hAnsi="Times New Roman" w:eastAsia="宋体" w:cs="Times New Roman"/>
                <w:color w:val="auto"/>
                <w:kern w:val="0"/>
                <w:sz w:val="21"/>
                <w:szCs w:val="21"/>
                <w:lang w:eastAsia="zh-CN"/>
              </w:rPr>
            </w:pPr>
            <w:r>
              <w:rPr>
                <w:rFonts w:hint="default" w:ascii="Times New Roman" w:hAnsi="Times New Roman" w:cs="Times New Roman"/>
                <w:color w:val="auto"/>
                <w:kern w:val="0"/>
                <w:sz w:val="21"/>
                <w:szCs w:val="21"/>
                <w:lang w:eastAsia="zh-CN"/>
              </w:rPr>
              <w:t>条</w:t>
            </w:r>
          </w:p>
        </w:tc>
        <w:tc>
          <w:tcPr>
            <w:tcW w:w="1211" w:type="dxa"/>
            <w:vAlign w:val="center"/>
          </w:tcPr>
          <w:p>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25" w:type="dxa"/>
            <w:vAlign w:val="center"/>
          </w:tcPr>
          <w:p>
            <w:pPr>
              <w:widowControl/>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8</w:t>
            </w:r>
          </w:p>
        </w:tc>
        <w:tc>
          <w:tcPr>
            <w:tcW w:w="2679" w:type="dxa"/>
            <w:vAlign w:val="center"/>
          </w:tcPr>
          <w:p>
            <w:pPr>
              <w:widowControl/>
              <w:jc w:val="center"/>
              <w:rPr>
                <w:rFonts w:hint="default" w:ascii="Times New Roman" w:hAnsi="Times New Roman" w:cs="Times New Roman"/>
                <w:color w:val="auto"/>
                <w:kern w:val="0"/>
                <w:sz w:val="21"/>
                <w:szCs w:val="21"/>
                <w:lang w:eastAsia="zh-CN"/>
              </w:rPr>
            </w:pPr>
            <w:r>
              <w:rPr>
                <w:rFonts w:hint="default" w:ascii="Times New Roman" w:hAnsi="Times New Roman" w:cs="Times New Roman"/>
                <w:color w:val="auto"/>
                <w:kern w:val="0"/>
                <w:sz w:val="21"/>
                <w:szCs w:val="21"/>
                <w:lang w:eastAsia="zh-CN"/>
              </w:rPr>
              <w:t>纯水制备系统</w:t>
            </w:r>
          </w:p>
        </w:tc>
        <w:tc>
          <w:tcPr>
            <w:tcW w:w="2131" w:type="dxa"/>
            <w:vAlign w:val="center"/>
          </w:tcPr>
          <w:p>
            <w:pPr>
              <w:widowControl/>
              <w:jc w:val="center"/>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lang w:val="en-US" w:eastAsia="zh-CN"/>
              </w:rPr>
              <w:t>120m</w:t>
            </w:r>
            <w:r>
              <w:rPr>
                <w:rFonts w:hint="default" w:ascii="Times New Roman" w:hAnsi="Times New Roman" w:cs="Times New Roman"/>
                <w:color w:val="auto"/>
                <w:kern w:val="0"/>
                <w:sz w:val="21"/>
                <w:szCs w:val="21"/>
                <w:vertAlign w:val="superscript"/>
                <w:lang w:val="en-US" w:eastAsia="zh-CN"/>
              </w:rPr>
              <w:t>3</w:t>
            </w:r>
            <w:r>
              <w:rPr>
                <w:rFonts w:hint="default" w:ascii="Times New Roman" w:hAnsi="Times New Roman" w:cs="Times New Roman"/>
                <w:color w:val="auto"/>
                <w:kern w:val="0"/>
                <w:sz w:val="21"/>
                <w:szCs w:val="21"/>
                <w:vertAlign w:val="baseline"/>
                <w:lang w:val="en-US" w:eastAsia="zh-CN"/>
              </w:rPr>
              <w:t>/h</w:t>
            </w:r>
          </w:p>
        </w:tc>
        <w:tc>
          <w:tcPr>
            <w:tcW w:w="989" w:type="dxa"/>
            <w:vAlign w:val="center"/>
          </w:tcPr>
          <w:p>
            <w:pPr>
              <w:widowControl/>
              <w:jc w:val="center"/>
              <w:rPr>
                <w:rFonts w:hint="default" w:ascii="Times New Roman" w:hAnsi="Times New Roman" w:cs="Times New Roman"/>
                <w:color w:val="auto"/>
                <w:kern w:val="0"/>
                <w:sz w:val="21"/>
                <w:szCs w:val="21"/>
                <w:lang w:eastAsia="zh-CN"/>
              </w:rPr>
            </w:pPr>
            <w:r>
              <w:rPr>
                <w:rFonts w:hint="default" w:ascii="Times New Roman" w:hAnsi="Times New Roman" w:cs="Times New Roman"/>
                <w:color w:val="auto"/>
                <w:kern w:val="0"/>
                <w:sz w:val="21"/>
                <w:szCs w:val="21"/>
                <w:lang w:eastAsia="zh-CN"/>
              </w:rPr>
              <w:t>套</w:t>
            </w:r>
          </w:p>
        </w:tc>
        <w:tc>
          <w:tcPr>
            <w:tcW w:w="1211" w:type="dxa"/>
            <w:vAlign w:val="center"/>
          </w:tcPr>
          <w:p>
            <w:pPr>
              <w:widowControl/>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1</w:t>
            </w:r>
          </w:p>
        </w:tc>
      </w:tr>
    </w:tbl>
    <w:p>
      <w:pPr>
        <w:pStyle w:val="6"/>
        <w:spacing w:beforeLines="50" w:after="0" w:line="360" w:lineRule="auto"/>
        <w:rPr>
          <w:rFonts w:hint="default" w:ascii="Times New Roman" w:hAnsi="Times New Roman" w:eastAsia="宋体" w:cs="Times New Roman"/>
          <w:color w:val="auto"/>
          <w:szCs w:val="28"/>
          <w:lang w:eastAsia="zh-CN"/>
        </w:rPr>
      </w:pPr>
      <w:bookmarkStart w:id="285" w:name="_Toc13427"/>
      <w:r>
        <w:rPr>
          <w:rFonts w:hint="default" w:ascii="Times New Roman" w:hAnsi="Times New Roman" w:cs="Times New Roman"/>
          <w:color w:val="auto"/>
          <w:szCs w:val="28"/>
          <w:lang w:val="en-US" w:eastAsia="zh-CN"/>
        </w:rPr>
        <w:t>3</w:t>
      </w:r>
      <w:r>
        <w:rPr>
          <w:rFonts w:hint="default" w:ascii="Times New Roman" w:hAnsi="Times New Roman" w:cs="Times New Roman"/>
          <w:color w:val="auto"/>
          <w:szCs w:val="28"/>
        </w:rPr>
        <w:t>.1.9</w:t>
      </w:r>
      <w:r>
        <w:rPr>
          <w:rFonts w:hint="default" w:ascii="Times New Roman" w:hAnsi="Times New Roman" w:cs="Times New Roman"/>
          <w:color w:val="auto"/>
          <w:szCs w:val="28"/>
          <w:lang w:eastAsia="zh-CN"/>
        </w:rPr>
        <w:t>公用工程及配套设施</w:t>
      </w:r>
      <w:bookmarkEnd w:id="285"/>
    </w:p>
    <w:p>
      <w:pPr>
        <w:spacing w:line="360" w:lineRule="auto"/>
        <w:ind w:firstLine="482" w:firstLineChars="200"/>
        <w:jc w:val="left"/>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一、公用工程</w:t>
      </w:r>
    </w:p>
    <w:p>
      <w:pPr>
        <w:spacing w:line="360" w:lineRule="auto"/>
        <w:ind w:firstLine="480" w:firstLineChars="200"/>
        <w:jc w:val="lef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1、供水</w:t>
      </w:r>
    </w:p>
    <w:p>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lang w:eastAsia="zh-CN"/>
        </w:rPr>
      </w:pPr>
      <w:r>
        <w:rPr>
          <w:rFonts w:hint="default" w:ascii="Times New Roman" w:hAnsi="Times New Roman" w:cs="Times New Roman"/>
          <w:color w:val="auto"/>
        </w:rPr>
        <w:t>项目生产和生活用水水源由园区自来水供水管道引水至厂区</w:t>
      </w:r>
      <w:r>
        <w:rPr>
          <w:rFonts w:hint="default" w:ascii="Times New Roman" w:hAnsi="Times New Roman" w:cs="Times New Roman"/>
          <w:color w:val="auto"/>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kern w:val="44"/>
          <w:lang w:eastAsia="zh-CN"/>
        </w:rPr>
      </w:pPr>
      <w:r>
        <w:rPr>
          <w:rFonts w:hint="default" w:ascii="Times New Roman" w:hAnsi="Times New Roman" w:cs="Times New Roman"/>
          <w:color w:val="auto"/>
          <w:lang w:eastAsia="zh-CN"/>
        </w:rPr>
        <w:t>生产用水主要使用纯水，切片车间设置</w:t>
      </w:r>
      <w:r>
        <w:rPr>
          <w:rFonts w:hint="default" w:ascii="Times New Roman" w:hAnsi="Times New Roman" w:cs="Times New Roman"/>
          <w:color w:val="auto"/>
          <w:lang w:val="en-US" w:eastAsia="zh-CN"/>
        </w:rPr>
        <w:t>1套制备规模为120m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vertAlign w:val="baseline"/>
          <w:lang w:val="en-US" w:eastAsia="zh-CN"/>
        </w:rPr>
        <w:t>/h的纯水制备系统，采用</w:t>
      </w:r>
      <w:r>
        <w:rPr>
          <w:rFonts w:hint="default" w:ascii="Times New Roman" w:hAnsi="Times New Roman" w:cs="Times New Roman"/>
          <w:color w:val="auto"/>
          <w:kern w:val="44"/>
          <w:lang w:eastAsia="zh-CN"/>
        </w:rPr>
        <w:t>“沉淀+反渗透+钠型阳离子树脂交换法”制备纯水。</w:t>
      </w:r>
    </w:p>
    <w:p>
      <w:pPr>
        <w:spacing w:line="360" w:lineRule="auto"/>
        <w:ind w:firstLine="480" w:firstLineChars="200"/>
        <w:jc w:val="lef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2、排水</w:t>
      </w:r>
    </w:p>
    <w:p>
      <w:pPr>
        <w:pStyle w:val="174"/>
        <w:ind w:firstLine="480"/>
        <w:rPr>
          <w:rFonts w:hint="default" w:ascii="Times New Roman" w:hAnsi="Times New Roman" w:cs="Times New Roman"/>
          <w:color w:val="auto"/>
          <w:szCs w:val="24"/>
        </w:rPr>
      </w:pPr>
      <w:r>
        <w:rPr>
          <w:rFonts w:hint="default" w:ascii="Times New Roman" w:hAnsi="Times New Roman" w:cs="Times New Roman"/>
          <w:color w:val="auto"/>
          <w:szCs w:val="24"/>
        </w:rPr>
        <w:t>项目排水系统采用雨污分流制。</w:t>
      </w:r>
    </w:p>
    <w:p>
      <w:pPr>
        <w:pStyle w:val="174"/>
        <w:ind w:firstLine="480"/>
        <w:rPr>
          <w:rFonts w:hint="default" w:ascii="Times New Roman" w:hAnsi="Times New Roman" w:cs="Times New Roman"/>
          <w:color w:val="auto"/>
        </w:rPr>
      </w:pPr>
      <w:r>
        <w:rPr>
          <w:rFonts w:hint="default" w:ascii="Times New Roman" w:hAnsi="Times New Roman" w:cs="Times New Roman"/>
          <w:color w:val="auto"/>
          <w:szCs w:val="24"/>
        </w:rPr>
        <w:t>雨水收集后排入厂区雨水管道，然后排入园区雨水管网。</w:t>
      </w:r>
      <w:r>
        <w:rPr>
          <w:rFonts w:hint="default" w:ascii="Times New Roman" w:hAnsi="Times New Roman" w:cs="Times New Roman"/>
          <w:color w:val="auto"/>
        </w:rPr>
        <w:t>外排废水处理达到</w:t>
      </w:r>
      <w:r>
        <w:rPr>
          <w:rFonts w:hint="default" w:ascii="Times New Roman" w:hAnsi="Times New Roman" w:cs="Times New Roman" w:eastAsiaTheme="minorEastAsia"/>
          <w:color w:val="auto"/>
        </w:rPr>
        <w:t>《电子工业水污染物排放标准》(GB39731-2020)间接排放标准值</w:t>
      </w:r>
      <w:r>
        <w:rPr>
          <w:rFonts w:hint="default" w:ascii="Times New Roman" w:hAnsi="Times New Roman" w:cs="Times New Roman"/>
          <w:color w:val="auto"/>
        </w:rPr>
        <w:t>后进入市政污水管网，进入楚雄市富民工业园区污水处理厂进行处理。</w:t>
      </w:r>
    </w:p>
    <w:p>
      <w:pPr>
        <w:pStyle w:val="174"/>
        <w:ind w:firstLine="480"/>
        <w:rPr>
          <w:rFonts w:hint="default" w:ascii="Times New Roman" w:hAnsi="Times New Roman" w:cs="Times New Roman"/>
          <w:color w:val="auto"/>
          <w:szCs w:val="24"/>
        </w:rPr>
      </w:pPr>
      <w:r>
        <w:rPr>
          <w:rFonts w:hint="default" w:ascii="Times New Roman" w:hAnsi="Times New Roman" w:cs="Times New Roman"/>
          <w:snapToGrid w:val="0"/>
          <w:color w:val="auto"/>
        </w:rPr>
        <w:t>3、供电</w:t>
      </w:r>
    </w:p>
    <w:p>
      <w:pPr>
        <w:pStyle w:val="2"/>
        <w:rPr>
          <w:rFonts w:hint="default" w:ascii="Times New Roman" w:hAnsi="Times New Roman" w:cs="Times New Roman"/>
          <w:color w:val="auto"/>
          <w:szCs w:val="24"/>
        </w:rPr>
      </w:pPr>
      <w:r>
        <w:rPr>
          <w:rFonts w:hint="default" w:ascii="Times New Roman" w:hAnsi="Times New Roman" w:cs="Times New Roman"/>
          <w:color w:val="auto"/>
          <w:szCs w:val="24"/>
        </w:rPr>
        <w:t>本项目</w:t>
      </w:r>
      <w:r>
        <w:rPr>
          <w:rFonts w:hint="default" w:ascii="Times New Roman" w:hAnsi="Times New Roman" w:cs="Times New Roman"/>
          <w:color w:val="auto"/>
          <w:szCs w:val="24"/>
          <w:lang w:eastAsia="zh-CN"/>
        </w:rPr>
        <w:t>依托厂区内现有</w:t>
      </w:r>
      <w:r>
        <w:rPr>
          <w:rFonts w:hint="default" w:ascii="Times New Roman" w:hAnsi="Times New Roman" w:cs="Times New Roman"/>
          <w:color w:val="auto"/>
          <w:szCs w:val="24"/>
          <w:lang w:val="en-US" w:eastAsia="zh-CN"/>
        </w:rPr>
        <w:t>110KV变电站供电</w:t>
      </w:r>
      <w:r>
        <w:rPr>
          <w:rFonts w:hint="default" w:ascii="Times New Roman" w:hAnsi="Times New Roman" w:cs="Times New Roman"/>
          <w:color w:val="auto"/>
          <w:szCs w:val="24"/>
        </w:rPr>
        <w:t>。</w:t>
      </w:r>
    </w:p>
    <w:p>
      <w:pPr>
        <w:pStyle w:val="174"/>
        <w:ind w:firstLine="480"/>
        <w:rPr>
          <w:rFonts w:hint="default" w:ascii="Times New Roman" w:hAnsi="Times New Roman" w:cs="Times New Roman"/>
          <w:snapToGrid w:val="0"/>
          <w:color w:val="auto"/>
        </w:rPr>
      </w:pPr>
      <w:r>
        <w:rPr>
          <w:rFonts w:hint="default" w:ascii="Times New Roman" w:hAnsi="Times New Roman" w:cs="Times New Roman"/>
          <w:snapToGrid w:val="0"/>
          <w:color w:val="auto"/>
        </w:rPr>
        <w:t>4、消防</w:t>
      </w:r>
    </w:p>
    <w:p>
      <w:pPr>
        <w:pStyle w:val="174"/>
        <w:ind w:firstLine="480"/>
        <w:rPr>
          <w:rFonts w:hint="default" w:ascii="Times New Roman" w:hAnsi="Times New Roman" w:cs="Times New Roman"/>
          <w:snapToGrid w:val="0"/>
          <w:color w:val="auto"/>
        </w:rPr>
      </w:pPr>
      <w:r>
        <w:rPr>
          <w:rFonts w:hint="default" w:ascii="Times New Roman" w:hAnsi="Times New Roman" w:cs="Times New Roman"/>
          <w:snapToGrid w:val="0"/>
          <w:color w:val="auto"/>
        </w:rPr>
        <w:t>室外消火栓给水系统与室外生产生活给水管道系统合用，在厂区内形成环状管网，室外每隔100m左右设置地下式室外消火栓。</w:t>
      </w:r>
    </w:p>
    <w:p>
      <w:pPr>
        <w:pStyle w:val="174"/>
        <w:ind w:firstLine="480"/>
        <w:rPr>
          <w:rFonts w:hint="default" w:ascii="Times New Roman" w:hAnsi="Times New Roman" w:cs="Times New Roman"/>
          <w:snapToGrid w:val="0"/>
          <w:color w:val="auto"/>
          <w:lang w:val="en-US" w:eastAsia="zh-CN"/>
        </w:rPr>
      </w:pPr>
      <w:r>
        <w:rPr>
          <w:rFonts w:hint="default" w:ascii="Times New Roman" w:hAnsi="Times New Roman" w:cs="Times New Roman"/>
          <w:snapToGrid w:val="0"/>
          <w:color w:val="auto"/>
        </w:rPr>
        <w:t>在厂区内各主要建筑均设有室内消火栓消防系统。在消防泵房内设有消火栓加压泵，消防泵从生产消防联合水池吸水，加压后以两路DN100mm出口与厂区室内消火栓管网相连接，并两路送至厂区内各主要建筑物。室内消火栓箱内设有电动报警控制按钮。</w:t>
      </w:r>
    </w:p>
    <w:p>
      <w:pPr>
        <w:spacing w:line="360" w:lineRule="auto"/>
        <w:ind w:firstLine="482" w:firstLineChars="200"/>
        <w:jc w:val="left"/>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二、配套设施</w:t>
      </w:r>
    </w:p>
    <w:p>
      <w:pPr>
        <w:pStyle w:val="174"/>
        <w:ind w:firstLine="480"/>
        <w:rPr>
          <w:rFonts w:hint="default" w:ascii="Times New Roman" w:hAnsi="Times New Roman" w:cs="Times New Roman"/>
          <w:snapToGrid w:val="0"/>
          <w:color w:val="auto"/>
          <w:lang w:val="en-US" w:eastAsia="zh-CN"/>
        </w:rPr>
      </w:pPr>
      <w:r>
        <w:rPr>
          <w:rFonts w:hint="default" w:ascii="Times New Roman" w:hAnsi="Times New Roman" w:cs="Times New Roman"/>
          <w:snapToGrid w:val="0"/>
          <w:color w:val="auto"/>
          <w:lang w:val="en-US" w:eastAsia="zh-CN"/>
        </w:rPr>
        <w:t>1、纯水制备系统</w:t>
      </w:r>
    </w:p>
    <w:p>
      <w:pPr>
        <w:pStyle w:val="5"/>
        <w:spacing w:line="360" w:lineRule="auto"/>
        <w:ind w:left="0" w:leftChars="0" w:firstLine="480" w:firstLineChars="200"/>
        <w:rPr>
          <w:rFonts w:hint="default" w:ascii="Times New Roman" w:hAnsi="Times New Roman" w:cs="Times New Roman"/>
          <w:bCs/>
          <w:color w:val="auto"/>
        </w:rPr>
      </w:pPr>
      <w:r>
        <w:rPr>
          <w:rFonts w:hint="default" w:ascii="Times New Roman" w:hAnsi="Times New Roman" w:cs="Times New Roman"/>
          <w:bCs/>
          <w:color w:val="auto"/>
          <w:szCs w:val="24"/>
        </w:rPr>
        <w:t>纯化水制取：自来水通过接入源水箱内由前级泵抽取进入多介质过滤器内过滤处理，在前级抽取泵旁设置一个压力缓冲罐对水体压力进行缓冲处理；水体经过过滤处理后进入活性炭过滤器处理，去除有害物质；水体再进入全自动再生软水机内，通过设备处理后得到软水；水体排除进入保安过滤器过滤处理后，由一级高压泵抽取进入一级反渗透系统处理，去除重金属离子及其他矿物质离子，完成后进入中水箱进行空气过滤；经空气过滤后由二级高压泵抽取进入二级反渗透系统处理，进一步去除水体中的金属离子和其他离子；二级反渗透完成后制成的纯化水进入纯化水罐存储并配备浸入式紫外线灭菌器和空气过滤器；存储的纯化水通过纯水泵抽取进入终端灭菌过滤器处理后便供给用水点，完成纯化水的制取。</w:t>
      </w:r>
    </w:p>
    <w:p>
      <w:pPr>
        <w:pStyle w:val="2"/>
        <w:rPr>
          <w:rFonts w:hint="default" w:ascii="Times New Roman" w:hAnsi="Times New Roman" w:cs="Times New Roman"/>
          <w:color w:val="auto"/>
          <w:lang w:val="en-US" w:eastAsia="zh-CN"/>
        </w:rPr>
      </w:pPr>
      <w:r>
        <w:rPr>
          <w:rFonts w:hint="default" w:ascii="Times New Roman" w:hAnsi="Times New Roman" w:cs="Times New Roman"/>
          <w:bCs/>
          <w:color w:val="auto"/>
        </w:rPr>
        <w:t>工艺流程排水：在纯化水制取过程当中，主要的排水节点在源水供给到多介质过滤时的压力排水，两次反渗透处理时的浓水排水，全自动软水制备机采样排水和不合格水排水；根据</w:t>
      </w:r>
      <w:r>
        <w:rPr>
          <w:rFonts w:hint="default" w:ascii="Times New Roman" w:hAnsi="Times New Roman" w:cs="Times New Roman"/>
          <w:bCs/>
          <w:color w:val="auto"/>
          <w:lang w:eastAsia="zh-CN"/>
        </w:rPr>
        <w:t>建设单位其他厂区纯水制备系统实际制取效率看，纯水制取率仅为</w:t>
      </w:r>
      <w:r>
        <w:rPr>
          <w:rFonts w:hint="default" w:ascii="Times New Roman" w:hAnsi="Times New Roman" w:cs="Times New Roman"/>
          <w:bCs/>
          <w:color w:val="auto"/>
          <w:lang w:val="en-US" w:eastAsia="zh-CN"/>
        </w:rPr>
        <w:t>40%左右</w:t>
      </w:r>
      <w:r>
        <w:rPr>
          <w:rFonts w:hint="default" w:ascii="Times New Roman" w:hAnsi="Times New Roman" w:cs="Times New Roman"/>
          <w:bCs/>
          <w:color w:val="auto"/>
        </w:rPr>
        <w:t>。</w:t>
      </w:r>
    </w:p>
    <w:p>
      <w:pPr>
        <w:keepNext/>
        <w:keepLines/>
        <w:pageBreakBefore w:val="0"/>
        <w:widowControl w:val="0"/>
        <w:kinsoku/>
        <w:wordWrap/>
        <w:overflowPunct/>
        <w:topLinePunct w:val="0"/>
        <w:autoSpaceDE/>
        <w:autoSpaceDN/>
        <w:bidi w:val="0"/>
        <w:adjustRightInd/>
        <w:snapToGrid/>
        <w:spacing w:beforeLines="50" w:after="0" w:line="360" w:lineRule="auto"/>
        <w:jc w:val="center"/>
        <w:textAlignment w:val="auto"/>
        <w:outlineLvl w:val="9"/>
        <w:rPr>
          <w:rFonts w:hint="default" w:ascii="Times New Roman" w:hAnsi="Times New Roman" w:cs="Times New Roman"/>
          <w:color w:val="auto"/>
        </w:rPr>
      </w:pPr>
      <w:r>
        <w:rPr>
          <w:rFonts w:hint="default" w:ascii="Times New Roman" w:hAnsi="Times New Roman" w:cs="Times New Roman"/>
          <w:color w:val="auto"/>
        </w:rPr>
        <w:drawing>
          <wp:inline distT="0" distB="0" distL="0" distR="0">
            <wp:extent cx="4785995" cy="4643120"/>
            <wp:effectExtent l="0" t="0" r="14605" b="5080"/>
            <wp:docPr id="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1"/>
                    <pic:cNvPicPr>
                      <a:picLocks noChangeAspect="1" noChangeArrowheads="1"/>
                    </pic:cNvPicPr>
                  </pic:nvPicPr>
                  <pic:blipFill>
                    <a:blip r:embed="rId16" cstate="print"/>
                    <a:srcRect/>
                    <a:stretch>
                      <a:fillRect/>
                    </a:stretch>
                  </pic:blipFill>
                  <pic:spPr>
                    <a:xfrm>
                      <a:off x="0" y="0"/>
                      <a:ext cx="4785995" cy="4643120"/>
                    </a:xfrm>
                    <a:prstGeom prst="rect">
                      <a:avLst/>
                    </a:prstGeom>
                    <a:noFill/>
                    <a:ln w="9525">
                      <a:noFill/>
                      <a:miter lim="800000"/>
                      <a:headEnd/>
                      <a:tailEnd/>
                    </a:ln>
                  </pic:spPr>
                </pic:pic>
              </a:graphicData>
            </a:graphic>
          </wp:inline>
        </w:drawing>
      </w:r>
    </w:p>
    <w:p>
      <w:pPr>
        <w:pStyle w:val="133"/>
        <w:widowControl/>
        <w:numPr>
          <w:ilvl w:val="0"/>
          <w:numId w:val="12"/>
        </w:numPr>
        <w:spacing w:line="360" w:lineRule="auto"/>
        <w:ind w:left="420" w:leftChars="0" w:hanging="420" w:firstLineChars="0"/>
        <w:jc w:val="center"/>
        <w:rPr>
          <w:rFonts w:hint="default" w:ascii="Times New Roman" w:hAnsi="Times New Roman" w:eastAsia="宋体" w:cs="Times New Roman"/>
          <w:b/>
          <w:bCs/>
          <w:color w:val="auto"/>
          <w:lang w:val="en-US" w:eastAsia="zh-CN"/>
        </w:rPr>
      </w:pPr>
      <w:r>
        <w:rPr>
          <w:rFonts w:hint="default" w:ascii="Times New Roman" w:hAnsi="Times New Roman" w:cs="Times New Roman"/>
          <w:b/>
          <w:bCs/>
          <w:color w:val="auto"/>
          <w:lang w:val="en-US" w:eastAsia="zh-CN"/>
        </w:rPr>
        <w:t>纯水制备工艺流程图</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2、空压系统</w:t>
      </w:r>
    </w:p>
    <w:p>
      <w:pPr>
        <w:pStyle w:val="63"/>
        <w:spacing w:line="360" w:lineRule="auto"/>
        <w:ind w:firstLine="480"/>
        <w:jc w:val="left"/>
        <w:rPr>
          <w:rFonts w:hint="default" w:ascii="Times New Roman" w:hAnsi="Times New Roman" w:cs="Times New Roman"/>
          <w:color w:val="auto"/>
          <w:szCs w:val="24"/>
        </w:rPr>
      </w:pPr>
      <w:r>
        <w:rPr>
          <w:rFonts w:hint="default" w:ascii="Times New Roman" w:hAnsi="Times New Roman" w:cs="Times New Roman"/>
          <w:color w:val="auto"/>
          <w:szCs w:val="24"/>
        </w:rPr>
        <w:t>空压站设置在</w:t>
      </w:r>
      <w:r>
        <w:rPr>
          <w:rFonts w:hint="default" w:ascii="Times New Roman" w:hAnsi="Times New Roman" w:cs="Times New Roman"/>
          <w:color w:val="auto"/>
          <w:szCs w:val="24"/>
          <w:lang w:eastAsia="zh-CN"/>
        </w:rPr>
        <w:t>切片车间内，主要作用是</w:t>
      </w:r>
      <w:r>
        <w:rPr>
          <w:rFonts w:hint="default" w:ascii="Times New Roman" w:hAnsi="Times New Roman" w:cs="Times New Roman"/>
          <w:color w:val="auto"/>
          <w:lang w:val="en-US" w:eastAsia="zh-CN"/>
        </w:rPr>
        <w:t>提供</w:t>
      </w:r>
      <w:r>
        <w:rPr>
          <w:rFonts w:hint="default" w:ascii="Times New Roman" w:hAnsi="Times New Roman" w:cs="Times New Roman"/>
          <w:color w:val="auto"/>
          <w:szCs w:val="24"/>
        </w:rPr>
        <w:t>工艺生产用气</w:t>
      </w:r>
      <w:r>
        <w:rPr>
          <w:rFonts w:hint="default" w:ascii="Times New Roman" w:hAnsi="Times New Roman" w:cs="Times New Roman"/>
          <w:color w:val="auto"/>
          <w:szCs w:val="24"/>
          <w:lang w:eastAsia="zh-CN"/>
        </w:rPr>
        <w:t>以及</w:t>
      </w:r>
      <w:r>
        <w:rPr>
          <w:rFonts w:hint="default" w:ascii="Times New Roman" w:hAnsi="Times New Roman" w:cs="Times New Roman"/>
          <w:color w:val="auto"/>
          <w:szCs w:val="24"/>
        </w:rPr>
        <w:t>干燥压缩空气。</w:t>
      </w:r>
    </w:p>
    <w:p>
      <w:pPr>
        <w:pStyle w:val="6"/>
        <w:spacing w:beforeLines="50" w:after="0" w:line="360" w:lineRule="auto"/>
        <w:rPr>
          <w:rFonts w:hint="default" w:ascii="Times New Roman" w:hAnsi="Times New Roman" w:cs="Times New Roman"/>
          <w:color w:val="auto"/>
          <w:szCs w:val="28"/>
        </w:rPr>
      </w:pPr>
      <w:bookmarkStart w:id="286" w:name="_Toc24213"/>
      <w:r>
        <w:rPr>
          <w:rFonts w:hint="default" w:ascii="Times New Roman" w:hAnsi="Times New Roman" w:cs="Times New Roman"/>
          <w:color w:val="auto"/>
          <w:szCs w:val="28"/>
          <w:lang w:val="en-US" w:eastAsia="zh-CN"/>
        </w:rPr>
        <w:t>3</w:t>
      </w:r>
      <w:r>
        <w:rPr>
          <w:rFonts w:hint="default" w:ascii="Times New Roman" w:hAnsi="Times New Roman" w:cs="Times New Roman"/>
          <w:color w:val="auto"/>
          <w:szCs w:val="28"/>
        </w:rPr>
        <w:t>.1.</w:t>
      </w:r>
      <w:r>
        <w:rPr>
          <w:rFonts w:hint="default" w:ascii="Times New Roman" w:hAnsi="Times New Roman" w:cs="Times New Roman"/>
          <w:color w:val="auto"/>
          <w:szCs w:val="28"/>
          <w:lang w:val="en-US" w:eastAsia="zh-CN"/>
        </w:rPr>
        <w:t>10</w:t>
      </w:r>
      <w:r>
        <w:rPr>
          <w:rFonts w:hint="default" w:ascii="Times New Roman" w:hAnsi="Times New Roman" w:cs="Times New Roman"/>
          <w:color w:val="auto"/>
          <w:szCs w:val="28"/>
        </w:rPr>
        <w:t>工作制度及劳动定员</w:t>
      </w:r>
      <w:bookmarkEnd w:id="286"/>
    </w:p>
    <w:p>
      <w:pPr>
        <w:spacing w:line="360" w:lineRule="auto"/>
        <w:ind w:firstLine="480" w:firstLineChars="200"/>
        <w:jc w:val="left"/>
        <w:rPr>
          <w:rFonts w:hint="default" w:ascii="Times New Roman" w:hAnsi="Times New Roman" w:cs="Times New Roman"/>
          <w:color w:val="auto"/>
        </w:rPr>
      </w:pPr>
      <w:r>
        <w:rPr>
          <w:rFonts w:hint="default" w:ascii="Times New Roman" w:hAnsi="Times New Roman" w:cs="Times New Roman"/>
          <w:color w:val="auto"/>
        </w:rPr>
        <w:t>项目年工作日为3</w:t>
      </w:r>
      <w:r>
        <w:rPr>
          <w:rFonts w:hint="default" w:ascii="Times New Roman" w:hAnsi="Times New Roman" w:cs="Times New Roman"/>
          <w:color w:val="auto"/>
          <w:lang w:val="en-US" w:eastAsia="zh-CN"/>
        </w:rPr>
        <w:t>65</w:t>
      </w:r>
      <w:r>
        <w:rPr>
          <w:rFonts w:hint="default" w:ascii="Times New Roman" w:hAnsi="Times New Roman" w:cs="Times New Roman"/>
          <w:color w:val="auto"/>
        </w:rPr>
        <w:t>天，24小时连续生产，3班制每班工作8小时；本项目劳动定员</w:t>
      </w:r>
      <w:r>
        <w:rPr>
          <w:rFonts w:hint="default" w:ascii="Times New Roman" w:hAnsi="Times New Roman" w:cs="Times New Roman"/>
          <w:color w:val="auto"/>
          <w:lang w:val="en-US" w:eastAsia="zh-CN"/>
        </w:rPr>
        <w:t>200</w:t>
      </w:r>
      <w:r>
        <w:rPr>
          <w:rFonts w:hint="default" w:ascii="Times New Roman" w:hAnsi="Times New Roman" w:cs="Times New Roman"/>
          <w:color w:val="auto"/>
        </w:rPr>
        <w:t>人。</w:t>
      </w:r>
    </w:p>
    <w:p>
      <w:pPr>
        <w:pStyle w:val="6"/>
        <w:spacing w:before="0" w:after="0" w:line="360" w:lineRule="auto"/>
        <w:rPr>
          <w:rFonts w:hint="default" w:ascii="Times New Roman" w:hAnsi="Times New Roman" w:cs="Times New Roman"/>
          <w:color w:val="auto"/>
          <w:szCs w:val="28"/>
        </w:rPr>
      </w:pPr>
      <w:bookmarkStart w:id="287" w:name="_Toc24879"/>
      <w:r>
        <w:rPr>
          <w:rFonts w:hint="default" w:ascii="Times New Roman" w:hAnsi="Times New Roman" w:cs="Times New Roman"/>
          <w:color w:val="auto"/>
          <w:szCs w:val="28"/>
          <w:lang w:val="en-US" w:eastAsia="zh-CN"/>
        </w:rPr>
        <w:t>3</w:t>
      </w:r>
      <w:r>
        <w:rPr>
          <w:rFonts w:hint="default" w:ascii="Times New Roman" w:hAnsi="Times New Roman" w:cs="Times New Roman"/>
          <w:color w:val="auto"/>
          <w:szCs w:val="28"/>
        </w:rPr>
        <w:t>.1.1</w:t>
      </w:r>
      <w:r>
        <w:rPr>
          <w:rFonts w:hint="default" w:ascii="Times New Roman" w:hAnsi="Times New Roman" w:cs="Times New Roman"/>
          <w:color w:val="auto"/>
          <w:szCs w:val="28"/>
          <w:lang w:val="en-US" w:eastAsia="zh-CN"/>
        </w:rPr>
        <w:t>1</w:t>
      </w:r>
      <w:r>
        <w:rPr>
          <w:rFonts w:hint="default" w:ascii="Times New Roman" w:hAnsi="Times New Roman" w:cs="Times New Roman"/>
          <w:color w:val="auto"/>
          <w:szCs w:val="28"/>
        </w:rPr>
        <w:t>总平面布置</w:t>
      </w:r>
      <w:bookmarkEnd w:id="287"/>
    </w:p>
    <w:p>
      <w:pPr>
        <w:pStyle w:val="185"/>
        <w:spacing w:line="360" w:lineRule="auto"/>
        <w:ind w:firstLine="480"/>
        <w:rPr>
          <w:rFonts w:hint="default" w:ascii="Times New Roman" w:hAnsi="Times New Roman" w:cs="Times New Roman"/>
        </w:rPr>
      </w:pPr>
      <w:r>
        <w:rPr>
          <w:rFonts w:hint="default" w:ascii="Times New Roman" w:hAnsi="Times New Roman" w:cs="Times New Roman"/>
        </w:rPr>
        <w:t>整个厂区大致可分为三个功能区：生活区、生产区及生产辅助区，共设置3个出入口，分别为主要阳光大道一侧的主出入口（西北侧）、园区2号路的物流入口（东侧）及次出入口（东侧）。</w:t>
      </w:r>
    </w:p>
    <w:p>
      <w:pPr>
        <w:pStyle w:val="185"/>
        <w:spacing w:line="360" w:lineRule="auto"/>
        <w:ind w:firstLine="480"/>
        <w:rPr>
          <w:rFonts w:hint="default" w:ascii="Times New Roman" w:hAnsi="Times New Roman" w:cs="Times New Roman"/>
        </w:rPr>
      </w:pPr>
      <w:r>
        <w:rPr>
          <w:rFonts w:hint="default" w:ascii="Times New Roman" w:hAnsi="Times New Roman" w:cs="Times New Roman"/>
        </w:rPr>
        <w:t>主出入口进入后为厂内的办公生活区，办公生活区集中布置在厂区西北侧，设有办公楼、综合楼、职工宿舍、职工食堂等；生产区及生产辅助区位于厂区的中部，储运工程设施主要布置在厂区东侧，方便物料运输；本项目</w:t>
      </w:r>
      <w:r>
        <w:rPr>
          <w:rFonts w:hint="default" w:ascii="Times New Roman" w:hAnsi="Times New Roman" w:cs="Times New Roman"/>
          <w:lang w:eastAsia="zh-CN"/>
        </w:rPr>
        <w:t>主要依托厂区西侧已建成的切片车间</w:t>
      </w:r>
      <w:r>
        <w:rPr>
          <w:rFonts w:hint="default" w:ascii="Times New Roman" w:hAnsi="Times New Roman" w:cs="Times New Roman"/>
        </w:rPr>
        <w:t>。</w:t>
      </w:r>
    </w:p>
    <w:p>
      <w:pPr>
        <w:pStyle w:val="185"/>
        <w:spacing w:line="360" w:lineRule="auto"/>
        <w:ind w:firstLine="480"/>
        <w:rPr>
          <w:rFonts w:hint="default" w:ascii="Times New Roman" w:hAnsi="Times New Roman" w:cs="Times New Roman"/>
        </w:rPr>
      </w:pPr>
      <w:r>
        <w:rPr>
          <w:rFonts w:hint="default" w:ascii="Times New Roman" w:hAnsi="Times New Roman" w:cs="Times New Roman"/>
        </w:rPr>
        <w:t>厂区内主要建筑物周围均建有环行道路，可满足厂内人、物流交通运输和消防扑救。厂内主要为道路运输，设计道路均为城市型道路，混凝土路面，宽度4.0m、6.0m，转弯半径12.0m。同时，充分利用厂区空地进行绿化，既保证了厂区所必须绿化面积，也美化了厂区环境，还起到了隔音防尘的作用。厂区整体布局与城市整体规划对地块的要求相统一。</w:t>
      </w:r>
    </w:p>
    <w:p>
      <w:pPr>
        <w:spacing w:line="360" w:lineRule="auto"/>
        <w:ind w:firstLine="480" w:firstLineChars="200"/>
        <w:jc w:val="left"/>
        <w:rPr>
          <w:rFonts w:hint="default" w:ascii="Times New Roman" w:hAnsi="Times New Roman" w:cs="Times New Roman"/>
        </w:rPr>
      </w:pPr>
      <w:r>
        <w:rPr>
          <w:rFonts w:hint="default" w:ascii="Times New Roman" w:hAnsi="Times New Roman" w:cs="Times New Roman"/>
        </w:rPr>
        <w:t>综合上述，项目总平面布置充分考虑生产流线配合、分区功能明确，总体布局基本合理。</w:t>
      </w:r>
    </w:p>
    <w:p>
      <w:pPr>
        <w:pStyle w:val="4"/>
        <w:spacing w:before="0" w:after="0" w:line="360" w:lineRule="auto"/>
        <w:rPr>
          <w:rFonts w:hint="default" w:ascii="Times New Roman" w:hAnsi="Times New Roman" w:eastAsia="宋体" w:cs="Times New Roman"/>
          <w:color w:val="auto"/>
          <w:sz w:val="28"/>
          <w:szCs w:val="28"/>
        </w:rPr>
      </w:pPr>
      <w:bookmarkStart w:id="288" w:name="_Toc14795"/>
      <w:r>
        <w:rPr>
          <w:rFonts w:hint="default" w:ascii="Times New Roman" w:hAnsi="Times New Roman" w:eastAsia="宋体" w:cs="Times New Roman"/>
          <w:color w:val="auto"/>
          <w:sz w:val="28"/>
          <w:szCs w:val="28"/>
          <w:lang w:val="en-US" w:eastAsia="zh-CN"/>
        </w:rPr>
        <w:t>3</w:t>
      </w:r>
      <w:r>
        <w:rPr>
          <w:rFonts w:hint="default" w:ascii="Times New Roman" w:hAnsi="Times New Roman" w:eastAsia="宋体" w:cs="Times New Roman"/>
          <w:color w:val="auto"/>
          <w:sz w:val="28"/>
          <w:szCs w:val="28"/>
        </w:rPr>
        <w:t>.2建设项目污染物影响因素分析</w:t>
      </w:r>
      <w:bookmarkEnd w:id="288"/>
    </w:p>
    <w:p>
      <w:pPr>
        <w:pStyle w:val="6"/>
        <w:spacing w:before="0" w:after="0" w:line="360" w:lineRule="auto"/>
        <w:rPr>
          <w:rFonts w:hint="default" w:ascii="Times New Roman" w:hAnsi="Times New Roman" w:cs="Times New Roman"/>
          <w:color w:val="auto"/>
          <w:szCs w:val="28"/>
        </w:rPr>
      </w:pPr>
      <w:bookmarkStart w:id="289" w:name="_Toc9322"/>
      <w:r>
        <w:rPr>
          <w:rFonts w:hint="default" w:ascii="Times New Roman" w:hAnsi="Times New Roman" w:cs="Times New Roman"/>
          <w:color w:val="auto"/>
          <w:szCs w:val="28"/>
          <w:lang w:val="en-US" w:eastAsia="zh-CN"/>
        </w:rPr>
        <w:t>3</w:t>
      </w:r>
      <w:r>
        <w:rPr>
          <w:rFonts w:hint="default" w:ascii="Times New Roman" w:hAnsi="Times New Roman" w:cs="Times New Roman"/>
          <w:color w:val="auto"/>
          <w:szCs w:val="28"/>
        </w:rPr>
        <w:t>.2.1施工期污染分析</w:t>
      </w:r>
      <w:bookmarkEnd w:id="289"/>
    </w:p>
    <w:p>
      <w:pPr>
        <w:snapToGrid w:val="0"/>
        <w:spacing w:line="360" w:lineRule="auto"/>
        <w:ind w:firstLine="464" w:firstLineChars="200"/>
        <w:rPr>
          <w:rFonts w:hint="default" w:ascii="Times New Roman" w:hAnsi="Times New Roman" w:cs="Times New Roman"/>
          <w:color w:val="auto"/>
          <w:spacing w:val="-4"/>
          <w:kern w:val="0"/>
        </w:rPr>
      </w:pPr>
      <w:bookmarkStart w:id="290" w:name="_Toc69114968"/>
      <w:r>
        <w:rPr>
          <w:rFonts w:hint="default" w:ascii="Times New Roman" w:hAnsi="Times New Roman" w:cs="Times New Roman"/>
          <w:color w:val="auto"/>
          <w:spacing w:val="-4"/>
          <w:kern w:val="0"/>
        </w:rPr>
        <w:t>本项目依托</w:t>
      </w:r>
      <w:r>
        <w:rPr>
          <w:rFonts w:hint="default" w:ascii="Times New Roman" w:hAnsi="Times New Roman" w:cs="Times New Roman"/>
          <w:color w:val="auto"/>
          <w:spacing w:val="-4"/>
          <w:kern w:val="0"/>
          <w:lang w:eastAsia="zh-CN"/>
        </w:rPr>
        <w:t>厂区内已建成</w:t>
      </w:r>
      <w:r>
        <w:rPr>
          <w:rFonts w:hint="default" w:ascii="Times New Roman" w:hAnsi="Times New Roman" w:cs="Times New Roman"/>
          <w:color w:val="auto"/>
          <w:spacing w:val="-4"/>
          <w:kern w:val="0"/>
        </w:rPr>
        <w:t>厂房及基础设施，施工期主要进行设备安装，产生的污染相对较少。</w:t>
      </w:r>
    </w:p>
    <w:p>
      <w:pPr>
        <w:snapToGrid w:val="0"/>
        <w:spacing w:line="360" w:lineRule="auto"/>
        <w:ind w:firstLine="464" w:firstLineChars="200"/>
        <w:rPr>
          <w:rFonts w:hint="default" w:ascii="Times New Roman" w:hAnsi="Times New Roman" w:cs="Times New Roman"/>
          <w:color w:val="auto"/>
          <w:spacing w:val="-4"/>
          <w:kern w:val="0"/>
        </w:rPr>
      </w:pPr>
      <w:r>
        <w:rPr>
          <w:rFonts w:hint="default" w:ascii="Times New Roman" w:hAnsi="Times New Roman" w:cs="Times New Roman"/>
          <w:color w:val="auto"/>
          <w:spacing w:val="-4"/>
          <w:kern w:val="0"/>
        </w:rPr>
        <w:t>1、施工期大气污染源分析</w:t>
      </w:r>
    </w:p>
    <w:p>
      <w:pPr>
        <w:autoSpaceDE w:val="0"/>
        <w:autoSpaceDN w:val="0"/>
        <w:spacing w:line="360" w:lineRule="auto"/>
        <w:ind w:firstLine="482"/>
        <w:rPr>
          <w:rFonts w:hint="default" w:ascii="Times New Roman" w:hAnsi="Times New Roman" w:cs="Times New Roman"/>
          <w:color w:val="auto"/>
          <w:kern w:val="0"/>
        </w:rPr>
      </w:pPr>
      <w:r>
        <w:rPr>
          <w:rFonts w:hint="default" w:ascii="Times New Roman" w:hAnsi="Times New Roman" w:cs="Times New Roman"/>
          <w:color w:val="auto"/>
          <w:kern w:val="0"/>
        </w:rPr>
        <w:t>施工期的大气污染源主要来自施工期交通运输尾气，排放的主要污染物为NOx、CO和烃类物等。</w:t>
      </w:r>
    </w:p>
    <w:p>
      <w:pPr>
        <w:pStyle w:val="133"/>
        <w:numPr>
          <w:ilvl w:val="0"/>
          <w:numId w:val="13"/>
        </w:numPr>
        <w:spacing w:line="360" w:lineRule="auto"/>
        <w:ind w:left="420" w:firstLineChars="0"/>
        <w:jc w:val="center"/>
        <w:rPr>
          <w:rFonts w:hint="default" w:ascii="Times New Roman" w:hAnsi="Times New Roman" w:cs="Times New Roman"/>
          <w:b/>
          <w:bCs/>
          <w:color w:val="auto"/>
        </w:rPr>
      </w:pPr>
      <w:r>
        <w:rPr>
          <w:rFonts w:hint="default" w:ascii="Times New Roman" w:hAnsi="Times New Roman" w:cs="Times New Roman"/>
          <w:b/>
          <w:bCs/>
          <w:color w:val="auto"/>
        </w:rPr>
        <w:t>机动车辆污染物排放系数</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9"/>
        <w:gridCol w:w="2130"/>
        <w:gridCol w:w="2131"/>
        <w:gridCol w:w="2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vMerge w:val="restart"/>
            <w:shd w:val="clear" w:color="auto" w:fill="auto"/>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污染物</w:t>
            </w:r>
          </w:p>
        </w:tc>
        <w:tc>
          <w:tcPr>
            <w:tcW w:w="2130" w:type="dxa"/>
            <w:shd w:val="clear" w:color="auto" w:fill="auto"/>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以汽油为燃料（g/L）</w:t>
            </w:r>
          </w:p>
        </w:tc>
        <w:tc>
          <w:tcPr>
            <w:tcW w:w="4263" w:type="dxa"/>
            <w:gridSpan w:val="2"/>
            <w:shd w:val="clear" w:color="auto" w:fill="auto"/>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以柴油为燃料（g/L）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vMerge w:val="continue"/>
            <w:shd w:val="clear" w:color="auto" w:fill="auto"/>
            <w:vAlign w:val="center"/>
          </w:tcPr>
          <w:p>
            <w:pPr>
              <w:pStyle w:val="167"/>
              <w:rPr>
                <w:rFonts w:hint="default" w:ascii="Times New Roman" w:hAnsi="Times New Roman" w:cs="Times New Roman"/>
                <w:color w:val="auto"/>
              </w:rPr>
            </w:pPr>
          </w:p>
        </w:tc>
        <w:tc>
          <w:tcPr>
            <w:tcW w:w="2130" w:type="dxa"/>
            <w:shd w:val="clear" w:color="auto" w:fill="auto"/>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小汽车</w:t>
            </w:r>
          </w:p>
        </w:tc>
        <w:tc>
          <w:tcPr>
            <w:tcW w:w="2131" w:type="dxa"/>
            <w:shd w:val="clear" w:color="auto" w:fill="auto"/>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载重车</w:t>
            </w:r>
          </w:p>
        </w:tc>
        <w:tc>
          <w:tcPr>
            <w:tcW w:w="2132" w:type="dxa"/>
            <w:shd w:val="clear" w:color="auto" w:fill="auto"/>
            <w:vAlign w:val="center"/>
          </w:tcPr>
          <w:p>
            <w:pPr>
              <w:pStyle w:val="167"/>
              <w:rPr>
                <w:rFonts w:hint="default" w:ascii="Times New Roman" w:hAnsi="Times New Roman" w:cs="Times New Roman"/>
                <w:color w:val="auto"/>
                <w:sz w:val="24"/>
              </w:rPr>
            </w:pPr>
            <w:r>
              <w:rPr>
                <w:rFonts w:hint="default" w:ascii="Times New Roman" w:hAnsi="Times New Roman" w:cs="Times New Roman"/>
                <w:color w:val="auto"/>
                <w:sz w:val="24"/>
              </w:rPr>
              <w:t>机车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shd w:val="clear" w:color="auto" w:fill="auto"/>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CO</w:t>
            </w:r>
          </w:p>
        </w:tc>
        <w:tc>
          <w:tcPr>
            <w:tcW w:w="2130" w:type="dxa"/>
            <w:shd w:val="clear" w:color="auto" w:fill="auto"/>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169.0</w:t>
            </w:r>
          </w:p>
        </w:tc>
        <w:tc>
          <w:tcPr>
            <w:tcW w:w="2131" w:type="dxa"/>
            <w:shd w:val="clear" w:color="auto" w:fill="auto"/>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27.0</w:t>
            </w:r>
          </w:p>
        </w:tc>
        <w:tc>
          <w:tcPr>
            <w:tcW w:w="2132" w:type="dxa"/>
            <w:shd w:val="clear" w:color="auto" w:fill="auto"/>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shd w:val="clear" w:color="auto" w:fill="auto"/>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NOx</w:t>
            </w:r>
          </w:p>
        </w:tc>
        <w:tc>
          <w:tcPr>
            <w:tcW w:w="2130" w:type="dxa"/>
            <w:shd w:val="clear" w:color="auto" w:fill="auto"/>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21.1</w:t>
            </w:r>
          </w:p>
        </w:tc>
        <w:tc>
          <w:tcPr>
            <w:tcW w:w="2131" w:type="dxa"/>
            <w:shd w:val="clear" w:color="auto" w:fill="auto"/>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44.4</w:t>
            </w:r>
          </w:p>
        </w:tc>
        <w:tc>
          <w:tcPr>
            <w:tcW w:w="2132" w:type="dxa"/>
            <w:shd w:val="clear" w:color="auto" w:fill="auto"/>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shd w:val="clear" w:color="auto" w:fill="auto"/>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烃类</w:t>
            </w:r>
          </w:p>
        </w:tc>
        <w:tc>
          <w:tcPr>
            <w:tcW w:w="2130" w:type="dxa"/>
            <w:shd w:val="clear" w:color="auto" w:fill="auto"/>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33.3</w:t>
            </w:r>
          </w:p>
        </w:tc>
        <w:tc>
          <w:tcPr>
            <w:tcW w:w="2131" w:type="dxa"/>
            <w:shd w:val="clear" w:color="auto" w:fill="auto"/>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4.44</w:t>
            </w:r>
          </w:p>
        </w:tc>
        <w:tc>
          <w:tcPr>
            <w:tcW w:w="2132" w:type="dxa"/>
            <w:shd w:val="clear" w:color="auto" w:fill="auto"/>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6.0</w:t>
            </w:r>
          </w:p>
        </w:tc>
      </w:tr>
    </w:tbl>
    <w:p>
      <w:pPr>
        <w:snapToGrid w:val="0"/>
        <w:spacing w:beforeLines="50" w:line="360" w:lineRule="auto"/>
        <w:ind w:firstLine="480" w:firstLineChars="200"/>
        <w:rPr>
          <w:rFonts w:hint="default" w:ascii="Times New Roman" w:hAnsi="Times New Roman" w:cs="Times New Roman"/>
          <w:color w:val="auto"/>
          <w:kern w:val="0"/>
        </w:rPr>
      </w:pPr>
      <w:r>
        <w:rPr>
          <w:rFonts w:hint="default" w:ascii="Times New Roman" w:hAnsi="Times New Roman" w:cs="Times New Roman"/>
          <w:color w:val="auto"/>
          <w:kern w:val="0"/>
        </w:rPr>
        <w:t>以重型车为例，其额定燃油率为30.19L/100km，按表上表机动车辆污染物排放系数测算，单车污染物平均排放量分别为：CO815.13g/100km，NOx1340.44g/100km，烃类物质134.0g/100km。</w:t>
      </w:r>
    </w:p>
    <w:p>
      <w:pPr>
        <w:snapToGrid w:val="0"/>
        <w:spacing w:line="360" w:lineRule="auto"/>
        <w:ind w:firstLine="480" w:firstLineChars="200"/>
        <w:rPr>
          <w:rFonts w:hint="default" w:ascii="Times New Roman" w:hAnsi="Times New Roman" w:cs="Times New Roman"/>
          <w:color w:val="auto"/>
        </w:rPr>
      </w:pPr>
      <w:bookmarkStart w:id="291" w:name="_Toc237273503"/>
      <w:bookmarkStart w:id="292" w:name="_Toc322069979"/>
      <w:bookmarkStart w:id="293" w:name="_Toc338054022"/>
      <w:bookmarkStart w:id="294" w:name="_Toc298185495"/>
      <w:bookmarkStart w:id="295" w:name="_Toc299952351"/>
      <w:bookmarkStart w:id="296" w:name="_Toc354822884"/>
      <w:r>
        <w:rPr>
          <w:rFonts w:hint="default" w:ascii="Times New Roman" w:hAnsi="Times New Roman" w:cs="Times New Roman"/>
          <w:color w:val="auto"/>
        </w:rPr>
        <w:t>2、施工期水污染</w:t>
      </w:r>
      <w:bookmarkEnd w:id="291"/>
      <w:bookmarkEnd w:id="292"/>
      <w:bookmarkEnd w:id="293"/>
      <w:bookmarkEnd w:id="294"/>
      <w:bookmarkEnd w:id="295"/>
      <w:r>
        <w:rPr>
          <w:rFonts w:hint="default" w:ascii="Times New Roman" w:hAnsi="Times New Roman" w:cs="Times New Roman"/>
          <w:color w:val="auto"/>
        </w:rPr>
        <w:t>源分析</w:t>
      </w:r>
      <w:bookmarkEnd w:id="296"/>
    </w:p>
    <w:p>
      <w:pPr>
        <w:snapToGrid w:val="0"/>
        <w:spacing w:line="360" w:lineRule="auto"/>
        <w:ind w:firstLine="480" w:firstLineChars="200"/>
        <w:rPr>
          <w:rFonts w:hint="default" w:ascii="Times New Roman" w:hAnsi="Times New Roman" w:cs="Times New Roman"/>
          <w:color w:val="auto"/>
          <w:kern w:val="0"/>
        </w:rPr>
      </w:pPr>
      <w:r>
        <w:rPr>
          <w:rFonts w:hint="default" w:ascii="Times New Roman" w:hAnsi="Times New Roman" w:cs="Times New Roman"/>
          <w:color w:val="auto"/>
          <w:kern w:val="0"/>
        </w:rPr>
        <w:t>项目施工期不进行土建工程，产生的废水主要为施工人员的生活废水。</w:t>
      </w:r>
    </w:p>
    <w:p>
      <w:pPr>
        <w:snapToGrid w:val="0"/>
        <w:spacing w:line="360" w:lineRule="auto"/>
        <w:ind w:firstLine="480" w:firstLineChars="200"/>
        <w:rPr>
          <w:rFonts w:hint="default" w:ascii="Times New Roman" w:hAnsi="Times New Roman" w:cs="Times New Roman"/>
          <w:color w:val="auto"/>
          <w:kern w:val="0"/>
        </w:rPr>
      </w:pPr>
      <w:r>
        <w:rPr>
          <w:rFonts w:hint="default" w:ascii="Times New Roman" w:hAnsi="Times New Roman" w:cs="Times New Roman"/>
          <w:color w:val="auto"/>
          <w:kern w:val="0"/>
        </w:rPr>
        <w:t>项目施工人员办公依托原有项目单晶车间设置的临时办公区域，施工人员不在场区内食宿，吃饭由施工单位统一送餐，住宿由施工人员自行解决。项目施工人员废水主要为盥洗废水，依托单晶车间设置的水冲厕。施工人员用水量按20L/人·d计，项目平均施工人员100人，则项目工程施工人员生活废水产生量为2.0m</w:t>
      </w:r>
      <w:r>
        <w:rPr>
          <w:rFonts w:hint="default" w:ascii="Times New Roman" w:hAnsi="Times New Roman" w:cs="Times New Roman"/>
          <w:color w:val="auto"/>
          <w:kern w:val="0"/>
          <w:vertAlign w:val="superscript"/>
        </w:rPr>
        <w:t>3</w:t>
      </w:r>
      <w:r>
        <w:rPr>
          <w:rFonts w:hint="default" w:ascii="Times New Roman" w:hAnsi="Times New Roman" w:cs="Times New Roman"/>
          <w:color w:val="auto"/>
          <w:kern w:val="0"/>
        </w:rPr>
        <w:t>/d，产生的废水排入市政排污管网，最终进入</w:t>
      </w:r>
      <w:r>
        <w:rPr>
          <w:rFonts w:hint="default" w:ascii="Times New Roman" w:hAnsi="Times New Roman" w:cs="Times New Roman"/>
          <w:color w:val="auto"/>
          <w:kern w:val="0"/>
          <w:lang w:eastAsia="zh-CN"/>
        </w:rPr>
        <w:t>楚雄市富民工业园区污水处理厂</w:t>
      </w:r>
      <w:r>
        <w:rPr>
          <w:rFonts w:hint="default" w:ascii="Times New Roman" w:hAnsi="Times New Roman" w:cs="Times New Roman"/>
          <w:color w:val="auto"/>
          <w:kern w:val="0"/>
        </w:rPr>
        <w:t>。</w:t>
      </w:r>
    </w:p>
    <w:p>
      <w:pPr>
        <w:snapToGrid w:val="0"/>
        <w:spacing w:line="360" w:lineRule="auto"/>
        <w:ind w:firstLine="480" w:firstLineChars="200"/>
        <w:rPr>
          <w:rFonts w:hint="default" w:ascii="Times New Roman" w:hAnsi="Times New Roman" w:cs="Times New Roman"/>
          <w:color w:val="auto"/>
          <w:kern w:val="0"/>
        </w:rPr>
      </w:pPr>
      <w:bookmarkStart w:id="297" w:name="_Toc354822886"/>
      <w:r>
        <w:rPr>
          <w:rFonts w:hint="default" w:ascii="Times New Roman" w:hAnsi="Times New Roman" w:cs="Times New Roman"/>
          <w:color w:val="auto"/>
          <w:kern w:val="0"/>
        </w:rPr>
        <w:t>3、施工期噪声污染源分析</w:t>
      </w:r>
      <w:bookmarkEnd w:id="297"/>
    </w:p>
    <w:p>
      <w:pPr>
        <w:snapToGrid w:val="0"/>
        <w:spacing w:line="360" w:lineRule="auto"/>
        <w:ind w:firstLine="480" w:firstLineChars="200"/>
        <w:rPr>
          <w:rFonts w:hint="default" w:ascii="Times New Roman" w:hAnsi="Times New Roman" w:cs="Times New Roman"/>
          <w:color w:val="auto"/>
          <w:kern w:val="0"/>
        </w:rPr>
      </w:pPr>
      <w:bookmarkStart w:id="298" w:name="_Toc354822887"/>
      <w:r>
        <w:rPr>
          <w:rFonts w:hint="default" w:ascii="Times New Roman" w:hAnsi="Times New Roman" w:cs="Times New Roman"/>
          <w:color w:val="auto"/>
          <w:kern w:val="0"/>
        </w:rPr>
        <w:t>施工噪声主要为设备安装产生的机械噪声以及交通运输噪声，多为瞬时噪声，且设备安装多在室内进行，经厂房隔声、距离衰减后对外环境较小。</w:t>
      </w:r>
    </w:p>
    <w:p>
      <w:pPr>
        <w:snapToGrid w:val="0"/>
        <w:spacing w:line="360" w:lineRule="auto"/>
        <w:ind w:firstLine="480" w:firstLineChars="200"/>
        <w:rPr>
          <w:rFonts w:hint="default" w:ascii="Times New Roman" w:hAnsi="Times New Roman" w:cs="Times New Roman"/>
          <w:color w:val="auto"/>
          <w:kern w:val="0"/>
        </w:rPr>
      </w:pPr>
      <w:r>
        <w:rPr>
          <w:rFonts w:hint="default" w:ascii="Times New Roman" w:hAnsi="Times New Roman" w:cs="Times New Roman"/>
          <w:color w:val="auto"/>
          <w:kern w:val="0"/>
        </w:rPr>
        <w:t>4、施工期固体污染源分析</w:t>
      </w:r>
      <w:bookmarkEnd w:id="298"/>
    </w:p>
    <w:p>
      <w:pPr>
        <w:snapToGrid w:val="0"/>
        <w:spacing w:line="360" w:lineRule="auto"/>
        <w:ind w:firstLine="480" w:firstLineChars="200"/>
        <w:rPr>
          <w:rFonts w:hint="default" w:ascii="Times New Roman" w:hAnsi="Times New Roman" w:cs="Times New Roman"/>
          <w:color w:val="auto"/>
          <w:kern w:val="0"/>
        </w:rPr>
      </w:pPr>
      <w:r>
        <w:rPr>
          <w:rFonts w:hint="default" w:ascii="Times New Roman" w:hAnsi="Times New Roman" w:cs="Times New Roman"/>
          <w:color w:val="auto"/>
          <w:kern w:val="0"/>
        </w:rPr>
        <w:t>施工固废主要为设备安装产生的废弃包装物、施工人员产生的生活垃圾。</w:t>
      </w:r>
    </w:p>
    <w:p>
      <w:pPr>
        <w:snapToGrid w:val="0"/>
        <w:spacing w:line="360" w:lineRule="auto"/>
        <w:ind w:firstLine="480" w:firstLineChars="200"/>
        <w:rPr>
          <w:rFonts w:hint="default" w:ascii="Times New Roman" w:hAnsi="Times New Roman" w:cs="Times New Roman"/>
          <w:color w:val="FF0000"/>
          <w:kern w:val="0"/>
          <w:lang w:eastAsia="zh-CN"/>
        </w:rPr>
      </w:pPr>
      <w:r>
        <w:rPr>
          <w:rFonts w:hint="default" w:ascii="Times New Roman" w:hAnsi="Times New Roman" w:cs="Times New Roman"/>
          <w:color w:val="auto"/>
          <w:kern w:val="0"/>
        </w:rPr>
        <w:t>设备安装产生的废弃包装物，产生量约为1t，可外售给废旧资源回收企业；施工期间施工人员约为100人，按0.5kg/d·人的垃圾产生量计算，生活垃圾产生量为50kg/d、18t/a，集中收集一起委托环卫部门定期清运。</w:t>
      </w:r>
    </w:p>
    <w:p>
      <w:pPr>
        <w:pStyle w:val="6"/>
        <w:spacing w:before="0" w:after="0" w:line="360" w:lineRule="auto"/>
        <w:rPr>
          <w:rFonts w:hint="default" w:ascii="Times New Roman" w:hAnsi="Times New Roman" w:cs="Times New Roman"/>
          <w:color w:val="auto"/>
          <w:szCs w:val="28"/>
        </w:rPr>
      </w:pPr>
      <w:bookmarkStart w:id="299" w:name="_Toc1573"/>
      <w:r>
        <w:rPr>
          <w:rFonts w:hint="default" w:ascii="Times New Roman" w:hAnsi="Times New Roman" w:cs="Times New Roman"/>
          <w:color w:val="auto"/>
          <w:szCs w:val="28"/>
        </w:rPr>
        <w:t>3.2.2运营期工艺流程分析</w:t>
      </w:r>
      <w:bookmarkEnd w:id="290"/>
      <w:bookmarkEnd w:id="299"/>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本项目主要生产工艺为单晶硅切片工艺。</w:t>
      </w:r>
    </w:p>
    <w:p>
      <w:pPr>
        <w:rPr>
          <w:rFonts w:hint="default" w:ascii="Times New Roman" w:hAnsi="Times New Roman" w:cs="Times New Roman"/>
          <w:color w:val="auto"/>
        </w:rPr>
      </w:pPr>
      <w:r>
        <w:rPr>
          <w:rFonts w:hint="default" w:ascii="Times New Roman" w:hAnsi="Times New Roman" w:cs="Times New Roman"/>
          <w:color w:val="auto"/>
        </w:rPr>
        <w:object>
          <v:shape id="_x0000_i1026" o:spt="75" type="#_x0000_t75" style="height:357.15pt;width:415.2pt;" o:ole="t" filled="f" o:preferrelative="t" stroked="f" coordsize="21600,21600">
            <v:path/>
            <v:fill on="f" focussize="0,0"/>
            <v:stroke on="f"/>
            <v:imagedata r:id="rId18" o:title=""/>
            <o:lock v:ext="edit" aspectratio="f"/>
            <w10:wrap type="none"/>
            <w10:anchorlock/>
          </v:shape>
          <o:OLEObject Type="Embed" ProgID="Visio.Drawing.15" ShapeID="_x0000_i1026" DrawAspect="Content" ObjectID="_1468075727" r:id="rId17">
            <o:LockedField>false</o:LockedField>
          </o:OLEObject>
        </w:object>
      </w:r>
    </w:p>
    <w:p>
      <w:pPr>
        <w:pStyle w:val="133"/>
        <w:keepNext w:val="0"/>
        <w:keepLines w:val="0"/>
        <w:pageBreakBefore w:val="0"/>
        <w:widowControl/>
        <w:numPr>
          <w:ilvl w:val="0"/>
          <w:numId w:val="12"/>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cs="Times New Roman"/>
          <w:b/>
          <w:bCs/>
          <w:color w:val="auto"/>
        </w:rPr>
      </w:pPr>
      <w:r>
        <w:rPr>
          <w:rFonts w:hint="default" w:ascii="Times New Roman" w:hAnsi="Times New Roman" w:cs="Times New Roman"/>
          <w:b/>
          <w:bCs/>
          <w:color w:val="auto"/>
        </w:rPr>
        <w:t>单晶硅切片生产工艺流程及产污节点图</w:t>
      </w:r>
    </w:p>
    <w:p>
      <w:pPr>
        <w:snapToGrid w:val="0"/>
        <w:spacing w:line="360" w:lineRule="auto"/>
        <w:ind w:firstLine="482" w:firstLineChars="200"/>
        <w:rPr>
          <w:rFonts w:hint="default" w:ascii="Times New Roman" w:hAnsi="Times New Roman" w:cs="Times New Roman"/>
          <w:b/>
          <w:color w:val="auto"/>
        </w:rPr>
      </w:pPr>
      <w:r>
        <w:rPr>
          <w:rFonts w:hint="default" w:ascii="Times New Roman" w:hAnsi="Times New Roman" w:cs="Times New Roman"/>
          <w:b/>
          <w:color w:val="auto"/>
        </w:rPr>
        <w:t>生产工艺简述：</w:t>
      </w:r>
    </w:p>
    <w:p>
      <w:pPr>
        <w:snapToGrid w:val="0"/>
        <w:spacing w:line="360" w:lineRule="auto"/>
        <w:ind w:firstLine="480" w:firstLineChars="200"/>
        <w:rPr>
          <w:rFonts w:hint="default" w:ascii="Times New Roman" w:hAnsi="Times New Roman" w:cs="Times New Roman"/>
          <w:snapToGrid w:val="0"/>
          <w:color w:val="auto"/>
          <w:szCs w:val="20"/>
        </w:rPr>
      </w:pPr>
      <w:r>
        <w:rPr>
          <w:rFonts w:hint="default" w:ascii="Times New Roman" w:hAnsi="Times New Roman" w:cs="Times New Roman"/>
          <w:snapToGrid w:val="0"/>
          <w:color w:val="auto"/>
          <w:szCs w:val="20"/>
          <w:lang w:val="en-US" w:eastAsia="zh-CN"/>
        </w:rPr>
        <w:t>1</w:t>
      </w:r>
      <w:r>
        <w:rPr>
          <w:rFonts w:hint="default" w:ascii="Times New Roman" w:hAnsi="Times New Roman" w:cs="Times New Roman"/>
          <w:snapToGrid w:val="0"/>
          <w:color w:val="auto"/>
          <w:szCs w:val="20"/>
        </w:rPr>
        <w:t>、晶棒粘接</w:t>
      </w:r>
    </w:p>
    <w:p>
      <w:pPr>
        <w:snapToGrid w:val="0"/>
        <w:spacing w:line="360" w:lineRule="auto"/>
        <w:ind w:firstLine="480" w:firstLineChars="200"/>
        <w:rPr>
          <w:rFonts w:hint="default" w:ascii="Times New Roman" w:hAnsi="Times New Roman" w:cs="Times New Roman"/>
          <w:snapToGrid w:val="0"/>
          <w:color w:val="auto"/>
          <w:szCs w:val="20"/>
        </w:rPr>
      </w:pPr>
      <w:r>
        <w:rPr>
          <w:rFonts w:hint="default" w:ascii="Times New Roman" w:hAnsi="Times New Roman" w:cs="Times New Roman"/>
          <w:snapToGrid w:val="0"/>
          <w:color w:val="auto"/>
          <w:szCs w:val="20"/>
        </w:rPr>
        <w:t>单晶硅棒粘接前，先使用</w:t>
      </w:r>
      <w:r>
        <w:rPr>
          <w:rFonts w:hint="default" w:ascii="Times New Roman" w:hAnsi="Times New Roman" w:cs="Times New Roman"/>
          <w:snapToGrid w:val="0"/>
          <w:color w:val="auto"/>
          <w:szCs w:val="20"/>
          <w:lang w:eastAsia="zh-CN"/>
        </w:rPr>
        <w:t>工业</w:t>
      </w:r>
      <w:r>
        <w:rPr>
          <w:rFonts w:hint="default" w:ascii="Times New Roman" w:hAnsi="Times New Roman" w:cs="Times New Roman"/>
          <w:snapToGrid w:val="0"/>
          <w:color w:val="auto"/>
          <w:szCs w:val="20"/>
        </w:rPr>
        <w:t>酒精擦拭表面，然后用</w:t>
      </w:r>
      <w:r>
        <w:rPr>
          <w:rFonts w:hint="default" w:ascii="Times New Roman" w:hAnsi="Times New Roman" w:cs="Times New Roman"/>
          <w:snapToGrid w:val="0"/>
          <w:color w:val="auto"/>
          <w:szCs w:val="20"/>
          <w:lang w:eastAsia="zh-CN"/>
        </w:rPr>
        <w:t>粘棒胶</w:t>
      </w:r>
      <w:r>
        <w:rPr>
          <w:rFonts w:hint="default" w:ascii="Times New Roman" w:hAnsi="Times New Roman" w:cs="Times New Roman"/>
          <w:snapToGrid w:val="0"/>
          <w:color w:val="auto"/>
          <w:szCs w:val="20"/>
        </w:rPr>
        <w:t>（环氧树脂胶）粘接在固定专用树脂板上，再固定到铁板制具上，保证后续硅片切割的完整性和高效性。酒精擦拭和粘接过程中会挥发产生G</w:t>
      </w:r>
      <w:r>
        <w:rPr>
          <w:rFonts w:hint="default" w:ascii="Times New Roman" w:hAnsi="Times New Roman" w:cs="Times New Roman"/>
          <w:snapToGrid w:val="0"/>
          <w:color w:val="auto"/>
          <w:szCs w:val="20"/>
          <w:lang w:val="en-US" w:eastAsia="zh-CN"/>
        </w:rPr>
        <w:t>1</w:t>
      </w:r>
      <w:r>
        <w:rPr>
          <w:rFonts w:hint="default" w:ascii="Times New Roman" w:hAnsi="Times New Roman" w:cs="Times New Roman"/>
          <w:snapToGrid w:val="0"/>
          <w:color w:val="auto"/>
          <w:szCs w:val="20"/>
        </w:rPr>
        <w:t>有机废气。</w:t>
      </w:r>
    </w:p>
    <w:p>
      <w:pPr>
        <w:snapToGrid w:val="0"/>
        <w:spacing w:line="360" w:lineRule="auto"/>
        <w:ind w:firstLine="480" w:firstLineChars="200"/>
        <w:rPr>
          <w:rFonts w:hint="default" w:ascii="Times New Roman" w:hAnsi="Times New Roman" w:cs="Times New Roman"/>
          <w:snapToGrid w:val="0"/>
          <w:color w:val="auto"/>
          <w:szCs w:val="20"/>
        </w:rPr>
      </w:pPr>
      <w:r>
        <w:rPr>
          <w:rFonts w:hint="default" w:ascii="Times New Roman" w:hAnsi="Times New Roman" w:cs="Times New Roman"/>
          <w:snapToGrid w:val="0"/>
          <w:color w:val="auto"/>
          <w:szCs w:val="20"/>
          <w:lang w:val="en-US" w:eastAsia="zh-CN"/>
        </w:rPr>
        <w:t>2</w:t>
      </w:r>
      <w:r>
        <w:rPr>
          <w:rFonts w:hint="default" w:ascii="Times New Roman" w:hAnsi="Times New Roman" w:cs="Times New Roman"/>
          <w:snapToGrid w:val="0"/>
          <w:color w:val="auto"/>
          <w:szCs w:val="20"/>
        </w:rPr>
        <w:t>、切片</w:t>
      </w:r>
    </w:p>
    <w:p>
      <w:pPr>
        <w:snapToGrid w:val="0"/>
        <w:spacing w:line="360" w:lineRule="auto"/>
        <w:ind w:firstLine="480" w:firstLineChars="200"/>
        <w:rPr>
          <w:rFonts w:hint="default" w:ascii="Times New Roman" w:hAnsi="Times New Roman" w:cs="Times New Roman"/>
          <w:snapToGrid w:val="0"/>
          <w:color w:val="auto"/>
          <w:szCs w:val="20"/>
        </w:rPr>
      </w:pPr>
      <w:r>
        <w:rPr>
          <w:rFonts w:hint="default" w:ascii="Times New Roman" w:hAnsi="Times New Roman" w:cs="Times New Roman"/>
          <w:snapToGrid w:val="0"/>
          <w:color w:val="auto"/>
          <w:szCs w:val="20"/>
        </w:rPr>
        <w:t>切片设备采用高效、节能的金刚线切割工艺，通过金刚线的高速运动，将单晶硅棒切割成具有精确几何尺寸的薄硅片。切割</w:t>
      </w:r>
      <w:r>
        <w:rPr>
          <w:rFonts w:hint="default" w:ascii="Times New Roman" w:hAnsi="Times New Roman" w:cs="Times New Roman"/>
          <w:snapToGrid w:val="0"/>
          <w:color w:val="auto"/>
          <w:szCs w:val="20"/>
          <w:lang w:eastAsia="zh-CN"/>
        </w:rPr>
        <w:t>原</w:t>
      </w:r>
      <w:r>
        <w:rPr>
          <w:rFonts w:hint="default" w:ascii="Times New Roman" w:hAnsi="Times New Roman" w:cs="Times New Roman"/>
          <w:snapToGrid w:val="0"/>
          <w:color w:val="auto"/>
          <w:szCs w:val="20"/>
        </w:rPr>
        <w:t>液（聚乙二醇）与纯水按比例</w:t>
      </w:r>
      <w:r>
        <w:rPr>
          <w:rFonts w:hint="default" w:ascii="Times New Roman" w:hAnsi="Times New Roman" w:cs="Times New Roman"/>
          <w:snapToGrid w:val="0"/>
          <w:color w:val="auto"/>
          <w:szCs w:val="20"/>
          <w:lang w:val="en-US" w:eastAsia="zh-CN"/>
        </w:rPr>
        <w:t>1：400</w:t>
      </w:r>
      <w:r>
        <w:rPr>
          <w:rFonts w:hint="default" w:ascii="Times New Roman" w:hAnsi="Times New Roman" w:cs="Times New Roman"/>
          <w:snapToGrid w:val="0"/>
          <w:color w:val="auto"/>
          <w:szCs w:val="20"/>
        </w:rPr>
        <w:t>配制，</w:t>
      </w:r>
      <w:r>
        <w:rPr>
          <w:rFonts w:hint="default" w:ascii="Times New Roman" w:hAnsi="Times New Roman" w:cs="Times New Roman"/>
          <w:snapToGrid w:val="0"/>
          <w:color w:val="auto"/>
          <w:szCs w:val="20"/>
          <w:lang w:eastAsia="zh-CN"/>
        </w:rPr>
        <w:t>配制好的溶液在切片过程中不断喷洒冲洗切割区域，起到冷却切片和冲走硅粉的作用。在该过程中</w:t>
      </w:r>
      <w:r>
        <w:rPr>
          <w:rFonts w:hint="default" w:ascii="Times New Roman" w:hAnsi="Times New Roman" w:cs="Times New Roman"/>
          <w:snapToGrid w:val="0"/>
          <w:color w:val="auto"/>
          <w:szCs w:val="20"/>
        </w:rPr>
        <w:t>会产生</w:t>
      </w:r>
      <w:r>
        <w:rPr>
          <w:rFonts w:hint="default" w:ascii="Times New Roman" w:hAnsi="Times New Roman" w:cs="Times New Roman"/>
          <w:snapToGrid w:val="0"/>
          <w:color w:val="auto"/>
          <w:szCs w:val="20"/>
          <w:lang w:eastAsia="zh-CN"/>
        </w:rPr>
        <w:t>切割粉尘</w:t>
      </w:r>
      <w:r>
        <w:rPr>
          <w:rFonts w:hint="default" w:ascii="Times New Roman" w:hAnsi="Times New Roman" w:cs="Times New Roman"/>
          <w:snapToGrid w:val="0"/>
          <w:color w:val="auto"/>
          <w:szCs w:val="20"/>
          <w:lang w:val="en-US" w:eastAsia="zh-CN"/>
        </w:rPr>
        <w:t>G2、</w:t>
      </w:r>
      <w:r>
        <w:rPr>
          <w:rFonts w:hint="default" w:ascii="Times New Roman" w:hAnsi="Times New Roman" w:cs="Times New Roman"/>
          <w:snapToGrid w:val="0"/>
          <w:color w:val="auto"/>
          <w:szCs w:val="20"/>
          <w:lang w:eastAsia="zh-CN"/>
        </w:rPr>
        <w:t>切割废水</w:t>
      </w:r>
      <w:r>
        <w:rPr>
          <w:rFonts w:hint="default" w:ascii="Times New Roman" w:hAnsi="Times New Roman" w:cs="Times New Roman"/>
          <w:snapToGrid w:val="0"/>
          <w:color w:val="auto"/>
          <w:szCs w:val="20"/>
        </w:rPr>
        <w:t>W</w:t>
      </w:r>
      <w:r>
        <w:rPr>
          <w:rFonts w:hint="default" w:ascii="Times New Roman" w:hAnsi="Times New Roman" w:cs="Times New Roman"/>
          <w:snapToGrid w:val="0"/>
          <w:color w:val="auto"/>
          <w:szCs w:val="20"/>
          <w:lang w:val="en-US" w:eastAsia="zh-CN"/>
        </w:rPr>
        <w:t>1，切割完成后产生</w:t>
      </w:r>
      <w:r>
        <w:rPr>
          <w:rFonts w:hint="default" w:ascii="Times New Roman" w:hAnsi="Times New Roman" w:cs="Times New Roman"/>
          <w:snapToGrid w:val="0"/>
          <w:color w:val="auto"/>
          <w:szCs w:val="20"/>
        </w:rPr>
        <w:t>废金刚线S</w:t>
      </w:r>
      <w:r>
        <w:rPr>
          <w:rFonts w:hint="default" w:ascii="Times New Roman" w:hAnsi="Times New Roman" w:cs="Times New Roman"/>
          <w:snapToGrid w:val="0"/>
          <w:color w:val="auto"/>
          <w:szCs w:val="20"/>
          <w:lang w:val="en-US" w:eastAsia="zh-CN"/>
        </w:rPr>
        <w:t>1</w:t>
      </w:r>
      <w:r>
        <w:rPr>
          <w:rFonts w:hint="default" w:ascii="Times New Roman" w:hAnsi="Times New Roman" w:cs="Times New Roman"/>
          <w:snapToGrid w:val="0"/>
          <w:color w:val="auto"/>
          <w:szCs w:val="20"/>
        </w:rPr>
        <w:t>。</w:t>
      </w:r>
    </w:p>
    <w:p>
      <w:pPr>
        <w:snapToGrid w:val="0"/>
        <w:spacing w:line="360" w:lineRule="auto"/>
        <w:ind w:firstLine="480" w:firstLineChars="200"/>
        <w:rPr>
          <w:rFonts w:hint="default" w:ascii="Times New Roman" w:hAnsi="Times New Roman" w:cs="Times New Roman"/>
          <w:snapToGrid w:val="0"/>
          <w:color w:val="auto"/>
          <w:szCs w:val="20"/>
        </w:rPr>
      </w:pPr>
      <w:r>
        <w:rPr>
          <w:rFonts w:hint="default" w:ascii="Times New Roman" w:hAnsi="Times New Roman" w:cs="Times New Roman"/>
          <w:snapToGrid w:val="0"/>
          <w:color w:val="auto"/>
          <w:szCs w:val="20"/>
          <w:lang w:val="en-US" w:eastAsia="zh-CN"/>
        </w:rPr>
        <w:t>3</w:t>
      </w:r>
      <w:r>
        <w:rPr>
          <w:rFonts w:hint="default" w:ascii="Times New Roman" w:hAnsi="Times New Roman" w:cs="Times New Roman"/>
          <w:snapToGrid w:val="0"/>
          <w:color w:val="auto"/>
          <w:szCs w:val="20"/>
        </w:rPr>
        <w:t>、脱胶</w:t>
      </w:r>
    </w:p>
    <w:p>
      <w:pPr>
        <w:snapToGrid w:val="0"/>
        <w:spacing w:line="360" w:lineRule="auto"/>
        <w:ind w:firstLine="480" w:firstLineChars="200"/>
        <w:rPr>
          <w:rFonts w:hint="default" w:ascii="Times New Roman" w:hAnsi="Times New Roman" w:cs="Times New Roman"/>
          <w:snapToGrid w:val="0"/>
          <w:color w:val="auto"/>
          <w:szCs w:val="20"/>
        </w:rPr>
      </w:pPr>
      <w:r>
        <w:rPr>
          <w:rFonts w:hint="default" w:ascii="Times New Roman" w:hAnsi="Times New Roman" w:cs="Times New Roman"/>
          <w:snapToGrid w:val="0"/>
          <w:color w:val="auto"/>
          <w:szCs w:val="20"/>
          <w:lang w:eastAsia="zh-CN"/>
        </w:rPr>
        <w:t>切片完成后，单晶硅片仍粘接在树脂板上，全部送入全自动脱胶机内进行脱胶处理，脱胶原理主要是利用粘接剂（环氧树脂胶）在</w:t>
      </w:r>
      <w:r>
        <w:rPr>
          <w:rFonts w:hint="default" w:ascii="Times New Roman" w:hAnsi="Times New Roman" w:cs="Times New Roman"/>
          <w:snapToGrid w:val="0"/>
          <w:color w:val="auto"/>
          <w:szCs w:val="20"/>
        </w:rPr>
        <w:t>50~60℃</w:t>
      </w:r>
      <w:r>
        <w:rPr>
          <w:rFonts w:hint="default" w:ascii="Times New Roman" w:hAnsi="Times New Roman" w:cs="Times New Roman"/>
          <w:snapToGrid w:val="0"/>
          <w:color w:val="auto"/>
          <w:szCs w:val="20"/>
          <w:lang w:eastAsia="zh-CN"/>
        </w:rPr>
        <w:t>的乳酸中会软化脱离的特性，在全自动脱胶机内浸泡</w:t>
      </w:r>
      <w:r>
        <w:rPr>
          <w:rFonts w:hint="default" w:ascii="Times New Roman" w:hAnsi="Times New Roman" w:cs="Times New Roman"/>
          <w:snapToGrid w:val="0"/>
          <w:color w:val="auto"/>
          <w:szCs w:val="20"/>
          <w:lang w:val="en-US" w:eastAsia="zh-CN"/>
        </w:rPr>
        <w:t>10分钟左右，即可将单晶硅片取下送入清洗工段。</w:t>
      </w:r>
    </w:p>
    <w:p>
      <w:pPr>
        <w:snapToGrid w:val="0"/>
        <w:spacing w:line="360" w:lineRule="auto"/>
        <w:ind w:firstLine="480" w:firstLineChars="200"/>
        <w:rPr>
          <w:rFonts w:hint="default" w:ascii="Times New Roman" w:hAnsi="Times New Roman" w:cs="Times New Roman"/>
          <w:snapToGrid w:val="0"/>
          <w:color w:val="auto"/>
          <w:szCs w:val="20"/>
        </w:rPr>
      </w:pPr>
      <w:r>
        <w:rPr>
          <w:rFonts w:hint="default" w:ascii="Times New Roman" w:hAnsi="Times New Roman" w:cs="Times New Roman"/>
          <w:snapToGrid w:val="0"/>
          <w:color w:val="auto"/>
          <w:szCs w:val="20"/>
        </w:rPr>
        <w:t>脱胶剥离后的废胶无法再次利用，</w:t>
      </w:r>
      <w:r>
        <w:rPr>
          <w:rFonts w:hint="default" w:ascii="Times New Roman" w:hAnsi="Times New Roman" w:cs="Times New Roman"/>
          <w:snapToGrid w:val="0"/>
          <w:color w:val="auto"/>
          <w:szCs w:val="20"/>
          <w:lang w:eastAsia="zh-CN"/>
        </w:rPr>
        <w:t>产生</w:t>
      </w:r>
      <w:r>
        <w:rPr>
          <w:rFonts w:hint="default" w:ascii="Times New Roman" w:hAnsi="Times New Roman" w:cs="Times New Roman"/>
          <w:snapToGrid w:val="0"/>
          <w:color w:val="auto"/>
          <w:szCs w:val="20"/>
        </w:rPr>
        <w:t>废胶S</w:t>
      </w:r>
      <w:r>
        <w:rPr>
          <w:rFonts w:hint="default" w:ascii="Times New Roman" w:hAnsi="Times New Roman" w:cs="Times New Roman"/>
          <w:snapToGrid w:val="0"/>
          <w:color w:val="auto"/>
          <w:szCs w:val="20"/>
          <w:lang w:val="en-US" w:eastAsia="zh-CN"/>
        </w:rPr>
        <w:t>2</w:t>
      </w:r>
      <w:r>
        <w:rPr>
          <w:rFonts w:hint="default" w:ascii="Times New Roman" w:hAnsi="Times New Roman" w:cs="Times New Roman"/>
          <w:snapToGrid w:val="0"/>
          <w:color w:val="auto"/>
          <w:szCs w:val="20"/>
        </w:rPr>
        <w:t>；</w:t>
      </w:r>
      <w:r>
        <w:rPr>
          <w:rFonts w:hint="default" w:ascii="Times New Roman" w:hAnsi="Times New Roman" w:cs="Times New Roman"/>
          <w:snapToGrid w:val="0"/>
          <w:color w:val="auto"/>
          <w:szCs w:val="20"/>
          <w:lang w:eastAsia="zh-CN"/>
        </w:rPr>
        <w:t>脱胶剂</w:t>
      </w:r>
      <w:r>
        <w:rPr>
          <w:rFonts w:hint="default" w:ascii="Times New Roman" w:hAnsi="Times New Roman" w:cs="Times New Roman"/>
          <w:snapToGrid w:val="0"/>
          <w:color w:val="auto"/>
          <w:szCs w:val="20"/>
        </w:rPr>
        <w:t>乳酸可重复使用，一般一天更换一次，更换后的</w:t>
      </w:r>
      <w:r>
        <w:rPr>
          <w:rFonts w:hint="default" w:ascii="Times New Roman" w:hAnsi="Times New Roman" w:cs="Times New Roman"/>
          <w:snapToGrid w:val="0"/>
          <w:color w:val="auto"/>
          <w:szCs w:val="20"/>
          <w:lang w:eastAsia="zh-CN"/>
        </w:rPr>
        <w:t>废</w:t>
      </w:r>
      <w:r>
        <w:rPr>
          <w:rFonts w:hint="default" w:ascii="Times New Roman" w:hAnsi="Times New Roman" w:cs="Times New Roman"/>
          <w:snapToGrid w:val="0"/>
          <w:color w:val="auto"/>
          <w:szCs w:val="20"/>
        </w:rPr>
        <w:t>乳酸作为脱胶废水W</w:t>
      </w:r>
      <w:r>
        <w:rPr>
          <w:rFonts w:hint="default" w:ascii="Times New Roman" w:hAnsi="Times New Roman" w:cs="Times New Roman"/>
          <w:snapToGrid w:val="0"/>
          <w:color w:val="auto"/>
          <w:szCs w:val="20"/>
          <w:lang w:val="en-US" w:eastAsia="zh-CN"/>
        </w:rPr>
        <w:t>2</w:t>
      </w:r>
      <w:r>
        <w:rPr>
          <w:rFonts w:hint="default" w:ascii="Times New Roman" w:hAnsi="Times New Roman" w:cs="Times New Roman"/>
          <w:snapToGrid w:val="0"/>
          <w:color w:val="auto"/>
          <w:szCs w:val="20"/>
        </w:rPr>
        <w:t>。</w:t>
      </w:r>
    </w:p>
    <w:p>
      <w:pPr>
        <w:snapToGrid w:val="0"/>
        <w:spacing w:line="360" w:lineRule="auto"/>
        <w:ind w:firstLine="480" w:firstLineChars="200"/>
        <w:rPr>
          <w:rFonts w:hint="default" w:ascii="Times New Roman" w:hAnsi="Times New Roman" w:cs="Times New Roman"/>
          <w:snapToGrid w:val="0"/>
          <w:color w:val="auto"/>
          <w:szCs w:val="20"/>
        </w:rPr>
      </w:pPr>
      <w:r>
        <w:rPr>
          <w:rFonts w:hint="default" w:ascii="Times New Roman" w:hAnsi="Times New Roman" w:cs="Times New Roman"/>
          <w:snapToGrid w:val="0"/>
          <w:color w:val="auto"/>
          <w:szCs w:val="20"/>
          <w:lang w:val="en-US" w:eastAsia="zh-CN"/>
        </w:rPr>
        <w:t>4</w:t>
      </w:r>
      <w:r>
        <w:rPr>
          <w:rFonts w:hint="default" w:ascii="Times New Roman" w:hAnsi="Times New Roman" w:cs="Times New Roman"/>
          <w:snapToGrid w:val="0"/>
          <w:color w:val="auto"/>
          <w:szCs w:val="20"/>
        </w:rPr>
        <w:t>、切片初洗</w:t>
      </w:r>
    </w:p>
    <w:p>
      <w:pPr>
        <w:snapToGrid w:val="0"/>
        <w:spacing w:line="360" w:lineRule="auto"/>
        <w:ind w:firstLine="480" w:firstLineChars="200"/>
        <w:rPr>
          <w:rFonts w:hint="default" w:ascii="Times New Roman" w:hAnsi="Times New Roman" w:cs="Times New Roman"/>
          <w:snapToGrid w:val="0"/>
          <w:color w:val="auto"/>
          <w:szCs w:val="20"/>
        </w:rPr>
      </w:pPr>
      <w:r>
        <w:rPr>
          <w:rFonts w:hint="default" w:ascii="Times New Roman" w:hAnsi="Times New Roman" w:cs="Times New Roman"/>
          <w:color w:val="auto"/>
          <w:lang w:eastAsia="zh-CN"/>
        </w:rPr>
        <w:t>切片之后的单晶硅片</w:t>
      </w:r>
      <w:r>
        <w:rPr>
          <w:rFonts w:hint="default" w:ascii="Times New Roman" w:hAnsi="Times New Roman" w:cs="Times New Roman"/>
          <w:color w:val="auto"/>
        </w:rPr>
        <w:t>表面有大量的沾污物，</w:t>
      </w:r>
      <w:r>
        <w:rPr>
          <w:rFonts w:hint="default" w:ascii="Times New Roman" w:hAnsi="Times New Roman" w:cs="Times New Roman"/>
          <w:color w:val="auto"/>
          <w:lang w:eastAsia="zh-CN"/>
        </w:rPr>
        <w:t>先使用纯水制备产生的浓</w:t>
      </w:r>
      <w:r>
        <w:rPr>
          <w:rFonts w:hint="default" w:ascii="Times New Roman" w:hAnsi="Times New Roman" w:cs="Times New Roman"/>
          <w:color w:val="auto"/>
        </w:rPr>
        <w:t>水初洗除去大部分沾污物，初洗</w:t>
      </w:r>
      <w:r>
        <w:rPr>
          <w:rFonts w:hint="default" w:ascii="Times New Roman" w:hAnsi="Times New Roman" w:cs="Times New Roman"/>
          <w:color w:val="auto"/>
          <w:lang w:eastAsia="zh-CN"/>
        </w:rPr>
        <w:t>完成后</w:t>
      </w:r>
      <w:r>
        <w:rPr>
          <w:rFonts w:hint="default" w:ascii="Times New Roman" w:hAnsi="Times New Roman" w:cs="Times New Roman"/>
          <w:snapToGrid w:val="0"/>
          <w:color w:val="auto"/>
          <w:szCs w:val="20"/>
          <w:lang w:eastAsia="zh-CN"/>
        </w:rPr>
        <w:t>单晶硅片进入下一道精洗工序，该过程产生</w:t>
      </w:r>
      <w:r>
        <w:rPr>
          <w:rFonts w:hint="default" w:ascii="Times New Roman" w:hAnsi="Times New Roman" w:cs="Times New Roman"/>
          <w:color w:val="auto"/>
          <w:lang w:eastAsia="zh-CN"/>
        </w:rPr>
        <w:t>初洗</w:t>
      </w:r>
      <w:r>
        <w:rPr>
          <w:rFonts w:hint="default" w:ascii="Times New Roman" w:hAnsi="Times New Roman" w:cs="Times New Roman"/>
          <w:color w:val="auto"/>
        </w:rPr>
        <w:t>废水W</w:t>
      </w:r>
      <w:r>
        <w:rPr>
          <w:rFonts w:hint="default" w:ascii="Times New Roman" w:hAnsi="Times New Roman" w:cs="Times New Roman"/>
          <w:color w:val="auto"/>
          <w:lang w:val="en-US" w:eastAsia="zh-CN"/>
        </w:rPr>
        <w:t>3</w:t>
      </w:r>
      <w:r>
        <w:rPr>
          <w:rFonts w:hint="default" w:ascii="Times New Roman" w:hAnsi="Times New Roman" w:cs="Times New Roman"/>
          <w:color w:val="auto"/>
        </w:rPr>
        <w:t>。</w:t>
      </w:r>
    </w:p>
    <w:p>
      <w:pPr>
        <w:snapToGrid w:val="0"/>
        <w:spacing w:line="360" w:lineRule="auto"/>
        <w:ind w:firstLine="480" w:firstLineChars="200"/>
        <w:rPr>
          <w:rFonts w:hint="default" w:ascii="Times New Roman" w:hAnsi="Times New Roman" w:cs="Times New Roman"/>
          <w:snapToGrid w:val="0"/>
          <w:color w:val="auto"/>
          <w:szCs w:val="20"/>
        </w:rPr>
      </w:pPr>
      <w:r>
        <w:rPr>
          <w:rFonts w:hint="default" w:ascii="Times New Roman" w:hAnsi="Times New Roman" w:cs="Times New Roman"/>
          <w:snapToGrid w:val="0"/>
          <w:color w:val="auto"/>
          <w:szCs w:val="20"/>
          <w:lang w:val="en-US" w:eastAsia="zh-CN"/>
        </w:rPr>
        <w:t>5</w:t>
      </w:r>
      <w:r>
        <w:rPr>
          <w:rFonts w:hint="default" w:ascii="Times New Roman" w:hAnsi="Times New Roman" w:cs="Times New Roman"/>
          <w:snapToGrid w:val="0"/>
          <w:color w:val="auto"/>
          <w:szCs w:val="20"/>
        </w:rPr>
        <w:t>、超声波清洗</w:t>
      </w:r>
    </w:p>
    <w:p>
      <w:pPr>
        <w:snapToGrid w:val="0"/>
        <w:spacing w:line="360" w:lineRule="auto"/>
        <w:ind w:firstLine="480" w:firstLineChars="200"/>
        <w:rPr>
          <w:rFonts w:hint="default" w:ascii="Times New Roman" w:hAnsi="Times New Roman" w:eastAsia="宋体" w:cs="Times New Roman"/>
          <w:color w:val="auto"/>
          <w:lang w:val="en-US" w:eastAsia="zh-CN"/>
        </w:rPr>
      </w:pPr>
      <w:r>
        <w:rPr>
          <w:rFonts w:hint="default" w:ascii="Times New Roman" w:hAnsi="Times New Roman" w:cs="Times New Roman"/>
          <w:color w:val="auto"/>
          <w:lang w:eastAsia="zh-CN"/>
        </w:rPr>
        <w:t>简单清洗后的硅片，放置于脱插清洗一体机内进行全自动超声波清洗。</w:t>
      </w:r>
      <w:r>
        <w:rPr>
          <w:rFonts w:hint="default" w:ascii="Times New Roman" w:hAnsi="Times New Roman" w:cs="Times New Roman"/>
          <w:color w:val="auto"/>
        </w:rPr>
        <w:t>超声波清洗原理是超声波以正压和负压重复交替变化的方式传播，在清洗水中不断产生数以万计的微细气泡。由于正压和负压的作用，使气泡破裂时对空穴周围产生巨大的冲击，放出巨大能量，从而去除粘附在表面的杂质，利用超声波清洗可达到比人工或机械清洗更好的效果。</w:t>
      </w:r>
      <w:r>
        <w:rPr>
          <w:rFonts w:hint="default" w:ascii="Times New Roman" w:hAnsi="Times New Roman" w:cs="Times New Roman"/>
          <w:color w:val="auto"/>
          <w:lang w:eastAsia="zh-CN"/>
        </w:rPr>
        <w:t>清洗一体机工作流程为：硅片上料→自动分片→自动插片→自动进入清洗工序→上料台→超声清洗→超声碱洗→超声碱洗→超声碱洗→超声漂洗→超声漂洗→超声漂洗→超声漂洗→慢提拉脱水→烘干→下料→机器臂抓取花篮送入自动检片机入口。该过程烘干工序采用电加热烘干，烘干过程的热风通过切片车间顶部的</w:t>
      </w:r>
      <w:r>
        <w:rPr>
          <w:rFonts w:hint="default" w:ascii="Times New Roman" w:hAnsi="Times New Roman" w:cs="Times New Roman"/>
          <w:color w:val="auto"/>
          <w:lang w:val="en-US" w:eastAsia="zh-CN"/>
        </w:rPr>
        <w:t>3根热排风排气筒排出。</w:t>
      </w:r>
    </w:p>
    <w:p>
      <w:pPr>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lang w:eastAsia="zh-CN"/>
        </w:rPr>
        <w:t>超声波清洗使用到的主要为双氧水、清洗剂、</w:t>
      </w:r>
      <w:r>
        <w:rPr>
          <w:rFonts w:hint="default" w:ascii="Times New Roman" w:hAnsi="Times New Roman" w:cs="Times New Roman"/>
          <w:color w:val="auto"/>
          <w:lang w:val="en-US" w:eastAsia="zh-CN"/>
        </w:rPr>
        <w:t>5%氢氧化钠溶液、纯水，首先使用</w:t>
      </w:r>
      <w:r>
        <w:rPr>
          <w:rFonts w:hint="default" w:ascii="Times New Roman" w:hAnsi="Times New Roman" w:cs="Times New Roman"/>
          <w:color w:val="auto"/>
          <w:lang w:eastAsia="zh-CN"/>
        </w:rPr>
        <w:t>双氧水、清洗剂，</w:t>
      </w:r>
      <w:r>
        <w:rPr>
          <w:rFonts w:hint="default" w:ascii="Times New Roman" w:hAnsi="Times New Roman" w:cs="Times New Roman"/>
          <w:color w:val="auto"/>
        </w:rPr>
        <w:t>去除粘附在硅片表面杂质和粘合剂</w:t>
      </w:r>
      <w:r>
        <w:rPr>
          <w:rFonts w:hint="default" w:ascii="Times New Roman" w:hAnsi="Times New Roman" w:cs="Times New Roman"/>
          <w:color w:val="auto"/>
          <w:lang w:eastAsia="zh-CN"/>
        </w:rPr>
        <w:t>、油污等，然后使用</w:t>
      </w:r>
      <w:r>
        <w:rPr>
          <w:rFonts w:hint="default" w:ascii="Times New Roman" w:hAnsi="Times New Roman" w:cs="Times New Roman"/>
          <w:color w:val="auto"/>
          <w:lang w:val="en-US" w:eastAsia="zh-CN"/>
        </w:rPr>
        <w:t>5%的氢氧化钠溶液进行碱洗，再次去除硅片表面残留物，最后使用纯水冲洗烘干后送往检验环节</w:t>
      </w:r>
      <w:r>
        <w:rPr>
          <w:rFonts w:hint="default" w:ascii="Times New Roman" w:hAnsi="Times New Roman" w:cs="Times New Roman"/>
          <w:color w:val="auto"/>
        </w:rPr>
        <w:t>。</w:t>
      </w:r>
      <w:r>
        <w:rPr>
          <w:rFonts w:hint="default" w:ascii="Times New Roman" w:hAnsi="Times New Roman" w:cs="Times New Roman"/>
          <w:color w:val="auto"/>
          <w:lang w:eastAsia="zh-CN"/>
        </w:rPr>
        <w:t>该过程主要产生</w:t>
      </w:r>
      <w:r>
        <w:rPr>
          <w:rFonts w:hint="default" w:ascii="Times New Roman" w:hAnsi="Times New Roman" w:cs="Times New Roman"/>
          <w:color w:val="auto"/>
          <w:lang w:val="en-US" w:eastAsia="zh-CN"/>
        </w:rPr>
        <w:t>W4清洗废水</w:t>
      </w:r>
      <w:r>
        <w:rPr>
          <w:rFonts w:hint="default" w:ascii="Times New Roman" w:hAnsi="Times New Roman" w:cs="Times New Roman"/>
          <w:color w:val="auto"/>
        </w:rPr>
        <w:t>。</w:t>
      </w:r>
    </w:p>
    <w:p>
      <w:pPr>
        <w:snapToGrid w:val="0"/>
        <w:spacing w:line="360" w:lineRule="auto"/>
        <w:ind w:firstLine="480" w:firstLineChars="200"/>
        <w:rPr>
          <w:rFonts w:hint="default" w:ascii="Times New Roman" w:hAnsi="Times New Roman" w:cs="Times New Roman"/>
          <w:snapToGrid w:val="0"/>
          <w:color w:val="auto"/>
          <w:szCs w:val="20"/>
        </w:rPr>
      </w:pPr>
      <w:r>
        <w:rPr>
          <w:rFonts w:hint="default" w:ascii="Times New Roman" w:hAnsi="Times New Roman" w:cs="Times New Roman"/>
          <w:snapToGrid w:val="0"/>
          <w:color w:val="auto"/>
          <w:szCs w:val="20"/>
          <w:lang w:val="en-US" w:eastAsia="zh-CN"/>
        </w:rPr>
        <w:t>6</w:t>
      </w:r>
      <w:r>
        <w:rPr>
          <w:rFonts w:hint="default" w:ascii="Times New Roman" w:hAnsi="Times New Roman" w:cs="Times New Roman"/>
          <w:snapToGrid w:val="0"/>
          <w:color w:val="auto"/>
          <w:szCs w:val="20"/>
        </w:rPr>
        <w:t>、检验</w:t>
      </w:r>
    </w:p>
    <w:p>
      <w:pPr>
        <w:snapToGrid w:val="0"/>
        <w:spacing w:line="360" w:lineRule="auto"/>
        <w:ind w:firstLine="480" w:firstLineChars="200"/>
        <w:rPr>
          <w:rFonts w:hint="default" w:ascii="Times New Roman" w:hAnsi="Times New Roman" w:eastAsia="宋体" w:cs="Times New Roman"/>
          <w:snapToGrid w:val="0"/>
          <w:color w:val="auto"/>
          <w:szCs w:val="20"/>
          <w:lang w:eastAsia="zh-CN"/>
        </w:rPr>
      </w:pPr>
      <w:r>
        <w:rPr>
          <w:rFonts w:hint="default" w:ascii="Times New Roman" w:hAnsi="Times New Roman" w:cs="Times New Roman"/>
          <w:snapToGrid w:val="0"/>
          <w:color w:val="auto"/>
          <w:szCs w:val="20"/>
        </w:rPr>
        <w:t>清洗之后</w:t>
      </w:r>
      <w:r>
        <w:rPr>
          <w:rFonts w:hint="default" w:ascii="Times New Roman" w:hAnsi="Times New Roman" w:cs="Times New Roman"/>
          <w:snapToGrid w:val="0"/>
          <w:color w:val="auto"/>
          <w:szCs w:val="20"/>
          <w:lang w:eastAsia="zh-CN"/>
        </w:rPr>
        <w:t>的所有单晶硅片都要</w:t>
      </w:r>
      <w:r>
        <w:rPr>
          <w:rFonts w:hint="default" w:ascii="Times New Roman" w:hAnsi="Times New Roman" w:cs="Times New Roman"/>
          <w:snapToGrid w:val="0"/>
          <w:color w:val="auto"/>
          <w:szCs w:val="20"/>
        </w:rPr>
        <w:t>进行检验，在检验过程中，</w:t>
      </w:r>
      <w:r>
        <w:rPr>
          <w:rFonts w:hint="default" w:ascii="Times New Roman" w:hAnsi="Times New Roman" w:cs="Times New Roman"/>
          <w:snapToGrid w:val="0"/>
          <w:color w:val="auto"/>
          <w:szCs w:val="20"/>
          <w:lang w:eastAsia="zh-CN"/>
        </w:rPr>
        <w:t>对</w:t>
      </w:r>
      <w:r>
        <w:rPr>
          <w:rFonts w:hint="default" w:ascii="Times New Roman" w:hAnsi="Times New Roman" w:cs="Times New Roman"/>
          <w:snapToGrid w:val="0"/>
          <w:color w:val="auto"/>
          <w:szCs w:val="20"/>
        </w:rPr>
        <w:t>表面电阻率、翘曲度、总厚度超差和平整度等</w:t>
      </w:r>
      <w:r>
        <w:rPr>
          <w:rFonts w:hint="default" w:ascii="Times New Roman" w:hAnsi="Times New Roman" w:cs="Times New Roman"/>
          <w:snapToGrid w:val="0"/>
          <w:color w:val="auto"/>
          <w:szCs w:val="20"/>
          <w:lang w:eastAsia="zh-CN"/>
        </w:rPr>
        <w:t>进行</w:t>
      </w:r>
      <w:r>
        <w:rPr>
          <w:rFonts w:hint="default" w:ascii="Times New Roman" w:hAnsi="Times New Roman" w:cs="Times New Roman"/>
          <w:snapToGrid w:val="0"/>
          <w:color w:val="auto"/>
          <w:szCs w:val="20"/>
        </w:rPr>
        <w:t>测试，所有这些测量参数都采用无接触方法测试，不合格产品率约为</w:t>
      </w:r>
      <w:r>
        <w:rPr>
          <w:rFonts w:hint="default" w:ascii="Times New Roman" w:hAnsi="Times New Roman" w:cs="Times New Roman"/>
          <w:snapToGrid w:val="0"/>
          <w:color w:val="auto"/>
          <w:szCs w:val="20"/>
          <w:lang w:val="en-US" w:eastAsia="zh-CN"/>
        </w:rPr>
        <w:t>5</w:t>
      </w:r>
      <w:r>
        <w:rPr>
          <w:rFonts w:hint="default" w:ascii="Times New Roman" w:hAnsi="Times New Roman" w:cs="Times New Roman"/>
          <w:snapToGrid w:val="0"/>
          <w:color w:val="auto"/>
          <w:szCs w:val="20"/>
        </w:rPr>
        <w:t>%，</w:t>
      </w:r>
      <w:r>
        <w:rPr>
          <w:rFonts w:hint="default" w:ascii="Times New Roman" w:hAnsi="Times New Roman" w:cs="Times New Roman"/>
          <w:snapToGrid w:val="0"/>
          <w:color w:val="auto"/>
          <w:szCs w:val="20"/>
          <w:lang w:eastAsia="zh-CN"/>
        </w:rPr>
        <w:t>不合格切片中大部分是由于切片表面杂质较多，不满足检测要求，不合格切片送入吸杂车间进行吸杂。</w:t>
      </w:r>
    </w:p>
    <w:p>
      <w:pPr>
        <w:snapToGrid w:val="0"/>
        <w:spacing w:line="360" w:lineRule="auto"/>
        <w:ind w:firstLine="480" w:firstLineChars="200"/>
        <w:rPr>
          <w:rFonts w:hint="default" w:ascii="Times New Roman" w:hAnsi="Times New Roman" w:eastAsia="宋体" w:cs="Times New Roman"/>
          <w:snapToGrid w:val="0"/>
          <w:color w:val="auto"/>
          <w:szCs w:val="20"/>
          <w:lang w:val="en-US" w:eastAsia="zh-CN"/>
        </w:rPr>
      </w:pPr>
      <w:r>
        <w:rPr>
          <w:rFonts w:hint="default" w:ascii="Times New Roman" w:hAnsi="Times New Roman" w:cs="Times New Roman"/>
          <w:snapToGrid w:val="0"/>
          <w:color w:val="auto"/>
          <w:szCs w:val="20"/>
          <w:lang w:val="en-US" w:eastAsia="zh-CN"/>
        </w:rPr>
        <w:t>7、吸杂</w:t>
      </w:r>
    </w:p>
    <w:p>
      <w:pPr>
        <w:snapToGrid w:val="0"/>
        <w:spacing w:line="360" w:lineRule="auto"/>
        <w:ind w:firstLine="480" w:firstLineChars="200"/>
        <w:rPr>
          <w:rFonts w:hint="default" w:ascii="Times New Roman" w:hAnsi="Times New Roman" w:eastAsia="宋体" w:cs="Times New Roman"/>
          <w:snapToGrid w:val="0"/>
          <w:color w:val="auto"/>
          <w:szCs w:val="20"/>
          <w:lang w:val="en-US" w:eastAsia="zh-CN"/>
        </w:rPr>
      </w:pPr>
      <w:r>
        <w:rPr>
          <w:rFonts w:hint="default" w:ascii="Times New Roman" w:hAnsi="Times New Roman" w:cs="Times New Roman"/>
          <w:snapToGrid w:val="0"/>
          <w:color w:val="auto"/>
          <w:szCs w:val="20"/>
          <w:lang w:eastAsia="zh-CN"/>
        </w:rPr>
        <w:t>本项目新增两条吸杂生产线，主要对检验不合格的切片再次进行吸杂处理，去除切片表面杂质，吸杂工艺的原理主要是用氢氟酸、盐酸按一定比例配比对切片进行酸洗。该过程中氢氟酸挥发会产生酸洗废气</w:t>
      </w:r>
      <w:r>
        <w:rPr>
          <w:rFonts w:hint="default" w:ascii="Times New Roman" w:hAnsi="Times New Roman" w:cs="Times New Roman"/>
          <w:snapToGrid w:val="0"/>
          <w:color w:val="auto"/>
          <w:szCs w:val="20"/>
          <w:lang w:val="en-US" w:eastAsia="zh-CN"/>
        </w:rPr>
        <w:t>G3，盐酸为稀盐酸（浓度为31%），不易挥发；酸洗后的酸液不再使用，作为废酸液W5。吸杂处理后的切片再次送检，不合格品作为</w:t>
      </w:r>
      <w:r>
        <w:rPr>
          <w:rFonts w:hint="default" w:ascii="Times New Roman" w:hAnsi="Times New Roman" w:cs="Times New Roman"/>
          <w:snapToGrid w:val="0"/>
          <w:color w:val="auto"/>
          <w:szCs w:val="20"/>
        </w:rPr>
        <w:t>S</w:t>
      </w:r>
      <w:r>
        <w:rPr>
          <w:rFonts w:hint="default" w:ascii="Times New Roman" w:hAnsi="Times New Roman" w:cs="Times New Roman"/>
          <w:snapToGrid w:val="0"/>
          <w:color w:val="auto"/>
          <w:szCs w:val="20"/>
          <w:lang w:val="en-US" w:eastAsia="zh-CN"/>
        </w:rPr>
        <w:t>3</w:t>
      </w:r>
      <w:r>
        <w:rPr>
          <w:rFonts w:hint="default" w:ascii="Times New Roman" w:hAnsi="Times New Roman" w:cs="Times New Roman"/>
          <w:snapToGrid w:val="0"/>
          <w:color w:val="auto"/>
          <w:szCs w:val="20"/>
          <w:lang w:eastAsia="zh-CN"/>
        </w:rPr>
        <w:t>废切片</w:t>
      </w:r>
      <w:r>
        <w:rPr>
          <w:rFonts w:hint="default" w:ascii="Times New Roman" w:hAnsi="Times New Roman" w:cs="Times New Roman"/>
          <w:snapToGrid w:val="0"/>
          <w:color w:val="auto"/>
          <w:szCs w:val="20"/>
        </w:rPr>
        <w:t>。</w:t>
      </w:r>
      <w:r>
        <w:rPr>
          <w:rFonts w:hint="default" w:ascii="Times New Roman" w:hAnsi="Times New Roman" w:cs="Times New Roman"/>
          <w:snapToGrid w:val="0"/>
          <w:color w:val="auto"/>
          <w:szCs w:val="20"/>
          <w:lang w:eastAsia="zh-CN"/>
        </w:rPr>
        <w:t>根据建设单位提供资料，经吸杂工艺处理后可将不合格产品率从</w:t>
      </w:r>
      <w:r>
        <w:rPr>
          <w:rFonts w:hint="default" w:ascii="Times New Roman" w:hAnsi="Times New Roman" w:cs="Times New Roman"/>
          <w:snapToGrid w:val="0"/>
          <w:color w:val="auto"/>
          <w:szCs w:val="20"/>
          <w:lang w:val="en-US" w:eastAsia="zh-CN"/>
        </w:rPr>
        <w:t>5%降低至2%。</w:t>
      </w:r>
    </w:p>
    <w:p>
      <w:pPr>
        <w:snapToGrid w:val="0"/>
        <w:spacing w:line="360" w:lineRule="auto"/>
        <w:ind w:firstLine="480" w:firstLineChars="200"/>
        <w:rPr>
          <w:rFonts w:hint="default" w:ascii="Times New Roman" w:hAnsi="Times New Roman" w:cs="Times New Roman"/>
          <w:snapToGrid w:val="0"/>
          <w:color w:val="auto"/>
          <w:szCs w:val="20"/>
        </w:rPr>
      </w:pPr>
      <w:r>
        <w:rPr>
          <w:rFonts w:hint="default" w:ascii="Times New Roman" w:hAnsi="Times New Roman" w:cs="Times New Roman"/>
          <w:snapToGrid w:val="0"/>
          <w:color w:val="auto"/>
          <w:szCs w:val="20"/>
          <w:lang w:val="en-US" w:eastAsia="zh-CN"/>
        </w:rPr>
        <w:t>8</w:t>
      </w:r>
      <w:r>
        <w:rPr>
          <w:rFonts w:hint="default" w:ascii="Times New Roman" w:hAnsi="Times New Roman" w:cs="Times New Roman"/>
          <w:snapToGrid w:val="0"/>
          <w:color w:val="auto"/>
          <w:szCs w:val="20"/>
        </w:rPr>
        <w:t>、包装入库</w:t>
      </w:r>
    </w:p>
    <w:p>
      <w:pPr>
        <w:snapToGrid w:val="0"/>
        <w:spacing w:line="360" w:lineRule="auto"/>
        <w:ind w:firstLine="480" w:firstLineChars="200"/>
        <w:rPr>
          <w:rFonts w:hint="default" w:ascii="Times New Roman" w:hAnsi="Times New Roman" w:cs="Times New Roman"/>
          <w:snapToGrid w:val="0"/>
          <w:color w:val="auto"/>
          <w:szCs w:val="20"/>
        </w:rPr>
      </w:pPr>
      <w:r>
        <w:rPr>
          <w:rFonts w:hint="default" w:ascii="Times New Roman" w:hAnsi="Times New Roman" w:cs="Times New Roman"/>
          <w:snapToGrid w:val="0"/>
          <w:color w:val="auto"/>
          <w:szCs w:val="20"/>
        </w:rPr>
        <w:t>将检测合格的产品进行电阻率分档，按规格、数量进行包装</w:t>
      </w:r>
      <w:r>
        <w:rPr>
          <w:rFonts w:hint="default" w:ascii="Times New Roman" w:hAnsi="Times New Roman" w:cs="Times New Roman"/>
          <w:snapToGrid w:val="0"/>
          <w:color w:val="auto"/>
          <w:szCs w:val="20"/>
          <w:lang w:eastAsia="zh-CN"/>
        </w:rPr>
        <w:t>并送入成品仓库储存</w:t>
      </w:r>
      <w:r>
        <w:rPr>
          <w:rFonts w:hint="default" w:ascii="Times New Roman" w:hAnsi="Times New Roman" w:cs="Times New Roman"/>
          <w:snapToGrid w:val="0"/>
          <w:color w:val="auto"/>
          <w:szCs w:val="20"/>
        </w:rPr>
        <w:t>。　</w:t>
      </w:r>
    </w:p>
    <w:p>
      <w:pPr>
        <w:pStyle w:val="133"/>
        <w:numPr>
          <w:ilvl w:val="0"/>
          <w:numId w:val="11"/>
        </w:numPr>
        <w:spacing w:line="360" w:lineRule="auto"/>
        <w:ind w:left="0" w:leftChars="0" w:firstLine="0" w:firstLineChars="0"/>
        <w:jc w:val="center"/>
        <w:rPr>
          <w:rFonts w:hint="default" w:ascii="Times New Roman" w:hAnsi="Times New Roman" w:cs="Times New Roman"/>
          <w:b/>
          <w:bCs/>
          <w:color w:val="auto"/>
        </w:rPr>
      </w:pPr>
      <w:r>
        <w:rPr>
          <w:rFonts w:hint="default" w:ascii="Times New Roman" w:hAnsi="Times New Roman" w:cs="Times New Roman"/>
          <w:b/>
          <w:bCs/>
          <w:color w:val="auto"/>
          <w:lang w:eastAsia="zh-CN"/>
        </w:rPr>
        <w:t>项目</w:t>
      </w:r>
      <w:r>
        <w:rPr>
          <w:rFonts w:hint="default" w:ascii="Times New Roman" w:hAnsi="Times New Roman" w:cs="Times New Roman"/>
          <w:b/>
          <w:bCs/>
          <w:color w:val="auto"/>
        </w:rPr>
        <w:t>产污环节一览表</w:t>
      </w:r>
    </w:p>
    <w:tbl>
      <w:tblPr>
        <w:tblStyle w:val="44"/>
        <w:tblW w:w="564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1"/>
        <w:gridCol w:w="640"/>
        <w:gridCol w:w="1405"/>
        <w:gridCol w:w="1210"/>
        <w:gridCol w:w="1710"/>
        <w:gridCol w:w="2073"/>
        <w:gridCol w:w="17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309" w:type="pct"/>
            <w:tcMar>
              <w:left w:w="0" w:type="dxa"/>
              <w:right w:w="0" w:type="dxa"/>
            </w:tcMar>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项目</w:t>
            </w:r>
          </w:p>
        </w:tc>
        <w:tc>
          <w:tcPr>
            <w:tcW w:w="1087" w:type="pct"/>
            <w:gridSpan w:val="2"/>
            <w:tcMar>
              <w:left w:w="0" w:type="dxa"/>
              <w:right w:w="0" w:type="dxa"/>
            </w:tcMar>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产污环节</w:t>
            </w:r>
          </w:p>
        </w:tc>
        <w:tc>
          <w:tcPr>
            <w:tcW w:w="643" w:type="pct"/>
            <w:tcMar>
              <w:left w:w="0" w:type="dxa"/>
              <w:right w:w="0" w:type="dxa"/>
            </w:tcMar>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污染物</w:t>
            </w:r>
          </w:p>
        </w:tc>
        <w:tc>
          <w:tcPr>
            <w:tcW w:w="909" w:type="pct"/>
            <w:tcMar>
              <w:left w:w="0" w:type="dxa"/>
              <w:right w:w="0" w:type="dxa"/>
            </w:tcMar>
            <w:vAlign w:val="center"/>
          </w:tcPr>
          <w:p>
            <w:pPr>
              <w:pStyle w:val="167"/>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cs="Times New Roman"/>
                <w:color w:val="auto"/>
              </w:rPr>
              <w:t>主要污染</w:t>
            </w:r>
            <w:r>
              <w:rPr>
                <w:rFonts w:hint="default" w:ascii="Times New Roman" w:hAnsi="Times New Roman" w:cs="Times New Roman"/>
                <w:color w:val="auto"/>
                <w:lang w:eastAsia="zh-CN"/>
              </w:rPr>
              <w:t>因子</w:t>
            </w:r>
          </w:p>
        </w:tc>
        <w:tc>
          <w:tcPr>
            <w:tcW w:w="1102" w:type="pct"/>
            <w:tcMar>
              <w:left w:w="0" w:type="dxa"/>
              <w:right w:w="0" w:type="dxa"/>
            </w:tcMar>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治理措施</w:t>
            </w:r>
          </w:p>
        </w:tc>
        <w:tc>
          <w:tcPr>
            <w:tcW w:w="947" w:type="pct"/>
            <w:tcMar>
              <w:left w:w="0" w:type="dxa"/>
              <w:right w:w="0" w:type="dxa"/>
            </w:tcMar>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排放方式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5" w:hRule="atLeast"/>
          <w:jc w:val="center"/>
        </w:trPr>
        <w:tc>
          <w:tcPr>
            <w:tcW w:w="309" w:type="pct"/>
            <w:vMerge w:val="restart"/>
            <w:tcMar>
              <w:left w:w="0" w:type="dxa"/>
              <w:right w:w="0" w:type="dxa"/>
            </w:tcMar>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废气</w:t>
            </w:r>
          </w:p>
        </w:tc>
        <w:tc>
          <w:tcPr>
            <w:tcW w:w="340" w:type="pct"/>
            <w:tcMar>
              <w:left w:w="0" w:type="dxa"/>
              <w:right w:w="0" w:type="dxa"/>
            </w:tcMar>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G1</w:t>
            </w:r>
          </w:p>
        </w:tc>
        <w:tc>
          <w:tcPr>
            <w:tcW w:w="747" w:type="pct"/>
            <w:tcMar>
              <w:left w:w="0" w:type="dxa"/>
              <w:right w:w="0" w:type="dxa"/>
            </w:tcMar>
            <w:vAlign w:val="center"/>
          </w:tcPr>
          <w:p>
            <w:pPr>
              <w:pStyle w:val="167"/>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酒精擦拭、粘棒过程</w:t>
            </w:r>
          </w:p>
        </w:tc>
        <w:tc>
          <w:tcPr>
            <w:tcW w:w="643" w:type="pct"/>
            <w:tcMar>
              <w:left w:w="0" w:type="dxa"/>
              <w:right w:w="0" w:type="dxa"/>
            </w:tcMar>
            <w:vAlign w:val="center"/>
          </w:tcPr>
          <w:p>
            <w:pPr>
              <w:pStyle w:val="167"/>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有机废气</w:t>
            </w:r>
          </w:p>
        </w:tc>
        <w:tc>
          <w:tcPr>
            <w:tcW w:w="909" w:type="pct"/>
            <w:tcMar>
              <w:left w:w="0" w:type="dxa"/>
              <w:right w:w="0" w:type="dxa"/>
            </w:tcMar>
            <w:vAlign w:val="center"/>
          </w:tcPr>
          <w:p>
            <w:pPr>
              <w:pStyle w:val="167"/>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cs="Times New Roman"/>
                <w:color w:val="auto"/>
                <w:lang w:eastAsia="zh-CN"/>
              </w:rPr>
              <w:t>非甲烷总烃</w:t>
            </w:r>
          </w:p>
        </w:tc>
        <w:tc>
          <w:tcPr>
            <w:tcW w:w="1102" w:type="pct"/>
            <w:tcMar>
              <w:left w:w="0" w:type="dxa"/>
              <w:right w:w="0" w:type="dxa"/>
            </w:tcMar>
            <w:vAlign w:val="center"/>
          </w:tcPr>
          <w:p>
            <w:pPr>
              <w:pStyle w:val="167"/>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活性炭吸附塔</w:t>
            </w:r>
          </w:p>
        </w:tc>
        <w:tc>
          <w:tcPr>
            <w:tcW w:w="947" w:type="pct"/>
            <w:tcMar>
              <w:left w:w="0" w:type="dxa"/>
              <w:right w:w="0" w:type="dxa"/>
            </w:tcMar>
            <w:vAlign w:val="center"/>
          </w:tcPr>
          <w:p>
            <w:pPr>
              <w:pStyle w:val="167"/>
              <w:rPr>
                <w:rFonts w:hint="default" w:ascii="Times New Roman" w:hAnsi="Times New Roman" w:eastAsia="宋体" w:cs="Times New Roman"/>
                <w:color w:val="auto"/>
                <w:lang w:val="en-US" w:eastAsia="zh-CN"/>
              </w:rPr>
            </w:pPr>
            <w:r>
              <w:rPr>
                <w:rFonts w:hint="default" w:ascii="Times New Roman" w:hAnsi="Times New Roman" w:cs="Times New Roman"/>
                <w:color w:val="auto"/>
                <w:lang w:eastAsia="zh-CN"/>
              </w:rPr>
              <w:t>通过</w:t>
            </w:r>
            <w:r>
              <w:rPr>
                <w:rFonts w:hint="default" w:ascii="Times New Roman" w:hAnsi="Times New Roman" w:cs="Times New Roman"/>
                <w:color w:val="auto"/>
                <w:lang w:val="en-US" w:eastAsia="zh-CN"/>
              </w:rPr>
              <w:t>15m排气筒DA008排放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09" w:type="pct"/>
            <w:vMerge w:val="continue"/>
            <w:tcMar>
              <w:left w:w="0" w:type="dxa"/>
              <w:right w:w="0" w:type="dxa"/>
            </w:tcMar>
            <w:vAlign w:val="center"/>
          </w:tcPr>
          <w:p>
            <w:pPr>
              <w:pStyle w:val="167"/>
              <w:rPr>
                <w:rFonts w:hint="default" w:ascii="Times New Roman" w:hAnsi="Times New Roman" w:cs="Times New Roman"/>
                <w:color w:val="auto"/>
              </w:rPr>
            </w:pPr>
          </w:p>
        </w:tc>
        <w:tc>
          <w:tcPr>
            <w:tcW w:w="340" w:type="pct"/>
            <w:tcMar>
              <w:left w:w="0" w:type="dxa"/>
              <w:right w:w="0" w:type="dxa"/>
            </w:tcMar>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G2</w:t>
            </w:r>
          </w:p>
        </w:tc>
        <w:tc>
          <w:tcPr>
            <w:tcW w:w="747" w:type="pct"/>
            <w:tcMar>
              <w:left w:w="0" w:type="dxa"/>
              <w:right w:w="0" w:type="dxa"/>
            </w:tcMar>
            <w:vAlign w:val="center"/>
          </w:tcPr>
          <w:p>
            <w:pPr>
              <w:pStyle w:val="167"/>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切片过程</w:t>
            </w:r>
          </w:p>
        </w:tc>
        <w:tc>
          <w:tcPr>
            <w:tcW w:w="643" w:type="pct"/>
            <w:tcMar>
              <w:left w:w="0" w:type="dxa"/>
              <w:right w:w="0" w:type="dxa"/>
            </w:tcMar>
            <w:vAlign w:val="center"/>
          </w:tcPr>
          <w:p>
            <w:pPr>
              <w:pStyle w:val="167"/>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切割粉尘</w:t>
            </w:r>
          </w:p>
        </w:tc>
        <w:tc>
          <w:tcPr>
            <w:tcW w:w="909" w:type="pct"/>
            <w:tcMar>
              <w:left w:w="0" w:type="dxa"/>
              <w:right w:w="0" w:type="dxa"/>
            </w:tcMar>
            <w:vAlign w:val="center"/>
          </w:tcPr>
          <w:p>
            <w:pPr>
              <w:pStyle w:val="167"/>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cs="Times New Roman"/>
                <w:color w:val="auto"/>
                <w:lang w:eastAsia="zh-CN"/>
              </w:rPr>
              <w:t>颗粒物</w:t>
            </w:r>
          </w:p>
        </w:tc>
        <w:tc>
          <w:tcPr>
            <w:tcW w:w="1102" w:type="pct"/>
            <w:tcMar>
              <w:left w:w="0" w:type="dxa"/>
              <w:right w:w="0" w:type="dxa"/>
            </w:tcMar>
            <w:vAlign w:val="center"/>
          </w:tcPr>
          <w:p>
            <w:pPr>
              <w:pStyle w:val="167"/>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文丘里洗涤塔</w:t>
            </w:r>
          </w:p>
        </w:tc>
        <w:tc>
          <w:tcPr>
            <w:tcW w:w="947" w:type="pct"/>
            <w:tcMar>
              <w:left w:w="0" w:type="dxa"/>
              <w:right w:w="0" w:type="dxa"/>
            </w:tcMar>
            <w:vAlign w:val="center"/>
          </w:tcPr>
          <w:p>
            <w:pPr>
              <w:pStyle w:val="167"/>
              <w:rPr>
                <w:rFonts w:hint="default" w:ascii="Times New Roman" w:hAnsi="Times New Roman" w:cs="Times New Roman"/>
                <w:color w:val="auto"/>
              </w:rPr>
            </w:pPr>
            <w:r>
              <w:rPr>
                <w:rFonts w:hint="default" w:ascii="Times New Roman" w:hAnsi="Times New Roman" w:cs="Times New Roman"/>
                <w:color w:val="auto"/>
                <w:lang w:eastAsia="zh-CN"/>
              </w:rPr>
              <w:t>通过</w:t>
            </w:r>
            <w:r>
              <w:rPr>
                <w:rFonts w:hint="default" w:ascii="Times New Roman" w:hAnsi="Times New Roman" w:cs="Times New Roman"/>
                <w:color w:val="auto"/>
                <w:lang w:val="en-US" w:eastAsia="zh-CN"/>
              </w:rPr>
              <w:t>15m排气筒DA009排放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09" w:type="pct"/>
            <w:vMerge w:val="continue"/>
            <w:tcMar>
              <w:left w:w="0" w:type="dxa"/>
              <w:right w:w="0" w:type="dxa"/>
            </w:tcMar>
            <w:vAlign w:val="center"/>
          </w:tcPr>
          <w:p>
            <w:pPr>
              <w:pStyle w:val="167"/>
              <w:rPr>
                <w:rFonts w:hint="default" w:ascii="Times New Roman" w:hAnsi="Times New Roman" w:cs="Times New Roman"/>
                <w:color w:val="auto"/>
              </w:rPr>
            </w:pPr>
          </w:p>
        </w:tc>
        <w:tc>
          <w:tcPr>
            <w:tcW w:w="340" w:type="pct"/>
            <w:tcMar>
              <w:left w:w="0" w:type="dxa"/>
              <w:right w:w="0" w:type="dxa"/>
            </w:tcMar>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G3</w:t>
            </w:r>
          </w:p>
        </w:tc>
        <w:tc>
          <w:tcPr>
            <w:tcW w:w="747" w:type="pct"/>
            <w:tcMar>
              <w:left w:w="0" w:type="dxa"/>
              <w:right w:w="0" w:type="dxa"/>
            </w:tcMar>
            <w:vAlign w:val="center"/>
          </w:tcPr>
          <w:p>
            <w:pPr>
              <w:pStyle w:val="167"/>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吸杂车间酸洗过程</w:t>
            </w:r>
          </w:p>
        </w:tc>
        <w:tc>
          <w:tcPr>
            <w:tcW w:w="643" w:type="pct"/>
            <w:tcMar>
              <w:left w:w="0" w:type="dxa"/>
              <w:right w:w="0" w:type="dxa"/>
            </w:tcMar>
            <w:vAlign w:val="center"/>
          </w:tcPr>
          <w:p>
            <w:pPr>
              <w:pStyle w:val="167"/>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酸洗废气</w:t>
            </w:r>
          </w:p>
        </w:tc>
        <w:tc>
          <w:tcPr>
            <w:tcW w:w="909" w:type="pct"/>
            <w:tcMar>
              <w:left w:w="0" w:type="dxa"/>
              <w:right w:w="0" w:type="dxa"/>
            </w:tcMar>
            <w:vAlign w:val="center"/>
          </w:tcPr>
          <w:p>
            <w:pPr>
              <w:pStyle w:val="167"/>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cs="Times New Roman"/>
                <w:color w:val="auto"/>
                <w:lang w:eastAsia="zh-CN"/>
              </w:rPr>
              <w:t>氟化物</w:t>
            </w:r>
          </w:p>
        </w:tc>
        <w:tc>
          <w:tcPr>
            <w:tcW w:w="1102" w:type="pct"/>
            <w:tcMar>
              <w:left w:w="0" w:type="dxa"/>
              <w:right w:w="0" w:type="dxa"/>
            </w:tcMar>
            <w:vAlign w:val="center"/>
          </w:tcPr>
          <w:p>
            <w:pPr>
              <w:pStyle w:val="167"/>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四级氢氧化钠洗涤塔</w:t>
            </w:r>
          </w:p>
        </w:tc>
        <w:tc>
          <w:tcPr>
            <w:tcW w:w="947" w:type="pct"/>
            <w:tcMar>
              <w:left w:w="0" w:type="dxa"/>
              <w:right w:w="0" w:type="dxa"/>
            </w:tcMar>
            <w:vAlign w:val="center"/>
          </w:tcPr>
          <w:p>
            <w:pPr>
              <w:pStyle w:val="167"/>
              <w:rPr>
                <w:rFonts w:hint="default" w:ascii="Times New Roman" w:hAnsi="Times New Roman" w:cs="Times New Roman"/>
                <w:color w:val="auto"/>
              </w:rPr>
            </w:pPr>
            <w:r>
              <w:rPr>
                <w:rFonts w:hint="default" w:ascii="Times New Roman" w:hAnsi="Times New Roman" w:cs="Times New Roman"/>
                <w:color w:val="auto"/>
                <w:lang w:eastAsia="zh-CN"/>
              </w:rPr>
              <w:t>通过</w:t>
            </w:r>
            <w:r>
              <w:rPr>
                <w:rFonts w:hint="default" w:ascii="Times New Roman" w:hAnsi="Times New Roman" w:cs="Times New Roman"/>
                <w:color w:val="auto"/>
                <w:lang w:val="en-US" w:eastAsia="zh-CN"/>
              </w:rPr>
              <w:t>15m排气筒DA0011排放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309" w:type="pct"/>
            <w:vMerge w:val="continue"/>
            <w:tcMar>
              <w:left w:w="0" w:type="dxa"/>
              <w:right w:w="0" w:type="dxa"/>
            </w:tcMar>
            <w:vAlign w:val="center"/>
          </w:tcPr>
          <w:p>
            <w:pPr>
              <w:pStyle w:val="167"/>
              <w:rPr>
                <w:rFonts w:hint="default" w:ascii="Times New Roman" w:hAnsi="Times New Roman" w:cs="Times New Roman"/>
                <w:color w:val="auto"/>
              </w:rPr>
            </w:pPr>
          </w:p>
        </w:tc>
        <w:tc>
          <w:tcPr>
            <w:tcW w:w="340" w:type="pct"/>
            <w:tcMar>
              <w:left w:w="0" w:type="dxa"/>
              <w:right w:w="0" w:type="dxa"/>
            </w:tcMar>
            <w:vAlign w:val="center"/>
          </w:tcPr>
          <w:p>
            <w:pPr>
              <w:pStyle w:val="167"/>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G4</w:t>
            </w:r>
          </w:p>
        </w:tc>
        <w:tc>
          <w:tcPr>
            <w:tcW w:w="747" w:type="pct"/>
            <w:tcMar>
              <w:left w:w="0" w:type="dxa"/>
              <w:right w:w="0" w:type="dxa"/>
            </w:tcMar>
            <w:vAlign w:val="center"/>
          </w:tcPr>
          <w:p>
            <w:pPr>
              <w:pStyle w:val="167"/>
              <w:rPr>
                <w:rFonts w:hint="default" w:ascii="Times New Roman" w:hAnsi="Times New Roman" w:cs="Times New Roman"/>
                <w:color w:val="auto"/>
                <w:lang w:eastAsia="zh-CN"/>
              </w:rPr>
            </w:pPr>
            <w:r>
              <w:rPr>
                <w:rFonts w:hint="default" w:ascii="Times New Roman" w:hAnsi="Times New Roman" w:cs="Times New Roman"/>
                <w:color w:val="auto"/>
                <w:lang w:eastAsia="zh-CN"/>
              </w:rPr>
              <w:t>综合污水处理站废水处理过程</w:t>
            </w:r>
          </w:p>
        </w:tc>
        <w:tc>
          <w:tcPr>
            <w:tcW w:w="643" w:type="pct"/>
            <w:tcMar>
              <w:left w:w="0" w:type="dxa"/>
              <w:right w:w="0" w:type="dxa"/>
            </w:tcMar>
            <w:vAlign w:val="center"/>
          </w:tcPr>
          <w:p>
            <w:pPr>
              <w:pStyle w:val="167"/>
              <w:rPr>
                <w:rFonts w:hint="default" w:ascii="Times New Roman" w:hAnsi="Times New Roman" w:cs="Times New Roman"/>
                <w:color w:val="auto"/>
                <w:lang w:eastAsia="zh-CN"/>
              </w:rPr>
            </w:pPr>
            <w:r>
              <w:rPr>
                <w:rFonts w:hint="default" w:ascii="Times New Roman" w:hAnsi="Times New Roman" w:cs="Times New Roman"/>
                <w:color w:val="auto"/>
                <w:lang w:eastAsia="zh-CN"/>
              </w:rPr>
              <w:t>恶臭</w:t>
            </w:r>
          </w:p>
        </w:tc>
        <w:tc>
          <w:tcPr>
            <w:tcW w:w="909" w:type="pct"/>
            <w:tcMar>
              <w:left w:w="0" w:type="dxa"/>
              <w:right w:w="0" w:type="dxa"/>
            </w:tcMar>
            <w:vAlign w:val="center"/>
          </w:tcPr>
          <w:p>
            <w:pPr>
              <w:pStyle w:val="167"/>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cs="Times New Roman"/>
                <w:color w:val="auto"/>
                <w:lang w:eastAsia="zh-CN"/>
              </w:rPr>
              <w:t>氨、硫化氢</w:t>
            </w:r>
          </w:p>
        </w:tc>
        <w:tc>
          <w:tcPr>
            <w:tcW w:w="1102" w:type="pct"/>
            <w:tcMar>
              <w:left w:w="0" w:type="dxa"/>
              <w:right w:w="0" w:type="dxa"/>
            </w:tcMar>
            <w:vAlign w:val="center"/>
          </w:tcPr>
          <w:p>
            <w:pPr>
              <w:pStyle w:val="167"/>
              <w:rPr>
                <w:rFonts w:hint="default" w:ascii="Times New Roman" w:hAnsi="Times New Roman" w:cs="Times New Roman"/>
                <w:color w:val="auto"/>
                <w:lang w:eastAsia="zh-CN"/>
              </w:rPr>
            </w:pPr>
            <w:r>
              <w:rPr>
                <w:rFonts w:hint="default" w:ascii="Times New Roman" w:hAnsi="Times New Roman" w:cs="Times New Roman"/>
                <w:color w:val="auto"/>
                <w:lang w:eastAsia="zh-CN"/>
              </w:rPr>
              <w:t>除臭系统</w:t>
            </w:r>
          </w:p>
        </w:tc>
        <w:tc>
          <w:tcPr>
            <w:tcW w:w="947" w:type="pct"/>
            <w:tcMar>
              <w:left w:w="0" w:type="dxa"/>
              <w:right w:w="0" w:type="dxa"/>
            </w:tcMar>
            <w:vAlign w:val="center"/>
          </w:tcPr>
          <w:p>
            <w:pPr>
              <w:pStyle w:val="167"/>
              <w:rPr>
                <w:rFonts w:hint="default" w:ascii="Times New Roman" w:hAnsi="Times New Roman" w:cs="Times New Roman"/>
                <w:color w:val="auto"/>
                <w:lang w:eastAsia="zh-CN"/>
              </w:rPr>
            </w:pPr>
            <w:r>
              <w:rPr>
                <w:rFonts w:hint="default" w:ascii="Times New Roman" w:hAnsi="Times New Roman" w:cs="Times New Roman"/>
                <w:color w:val="auto"/>
                <w:lang w:eastAsia="zh-CN"/>
              </w:rPr>
              <w:t>通过</w:t>
            </w:r>
            <w:r>
              <w:rPr>
                <w:rFonts w:hint="default" w:ascii="Times New Roman" w:hAnsi="Times New Roman" w:cs="Times New Roman"/>
                <w:color w:val="auto"/>
                <w:lang w:val="en-US" w:eastAsia="zh-CN"/>
              </w:rPr>
              <w:t>15m排气筒DA0010排放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309" w:type="pct"/>
            <w:vMerge w:val="restart"/>
            <w:tcMar>
              <w:left w:w="0" w:type="dxa"/>
              <w:right w:w="0" w:type="dxa"/>
            </w:tcMar>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废水</w:t>
            </w:r>
          </w:p>
        </w:tc>
        <w:tc>
          <w:tcPr>
            <w:tcW w:w="340" w:type="pct"/>
            <w:tcMar>
              <w:left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W1</w:t>
            </w:r>
          </w:p>
        </w:tc>
        <w:tc>
          <w:tcPr>
            <w:tcW w:w="747" w:type="pct"/>
            <w:tcMar>
              <w:left w:w="0" w:type="dxa"/>
              <w:right w:w="0" w:type="dxa"/>
            </w:tcMar>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切片冲洗过程</w:t>
            </w:r>
          </w:p>
        </w:tc>
        <w:tc>
          <w:tcPr>
            <w:tcW w:w="643" w:type="pct"/>
            <w:tcMar>
              <w:left w:w="0" w:type="dxa"/>
              <w:right w:w="0" w:type="dxa"/>
            </w:tcMar>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切割废水</w:t>
            </w:r>
          </w:p>
        </w:tc>
        <w:tc>
          <w:tcPr>
            <w:tcW w:w="909" w:type="pct"/>
            <w:tcMar>
              <w:left w:w="0" w:type="dxa"/>
              <w:right w:w="0" w:type="dxa"/>
            </w:tcMar>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COD、SS</w:t>
            </w:r>
          </w:p>
        </w:tc>
        <w:tc>
          <w:tcPr>
            <w:tcW w:w="1102" w:type="pct"/>
            <w:tcMar>
              <w:left w:w="0" w:type="dxa"/>
              <w:right w:w="0" w:type="dxa"/>
            </w:tcMar>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经</w:t>
            </w:r>
            <w:r>
              <w:rPr>
                <w:rFonts w:hint="default" w:ascii="Times New Roman" w:hAnsi="Times New Roman" w:cs="Times New Roman"/>
                <w:color w:val="auto"/>
                <w:sz w:val="21"/>
                <w:szCs w:val="21"/>
                <w:lang w:eastAsia="zh-CN"/>
              </w:rPr>
              <w:t>隔膜板框压滤机</w:t>
            </w:r>
            <w:r>
              <w:rPr>
                <w:rFonts w:hint="default" w:ascii="Times New Roman" w:hAnsi="Times New Roman" w:cs="Times New Roman"/>
                <w:color w:val="auto"/>
                <w:sz w:val="21"/>
                <w:szCs w:val="21"/>
              </w:rPr>
              <w:t>压滤处理后再进入</w:t>
            </w:r>
            <w:r>
              <w:rPr>
                <w:rFonts w:hint="default" w:ascii="Times New Roman" w:hAnsi="Times New Roman" w:cs="Times New Roman"/>
                <w:color w:val="auto"/>
                <w:sz w:val="21"/>
                <w:szCs w:val="21"/>
                <w:lang w:eastAsia="zh-CN"/>
              </w:rPr>
              <w:t>综合污水处理站处理</w:t>
            </w:r>
          </w:p>
        </w:tc>
        <w:tc>
          <w:tcPr>
            <w:tcW w:w="947" w:type="pct"/>
            <w:vMerge w:val="restart"/>
            <w:tcMar>
              <w:left w:w="0" w:type="dxa"/>
              <w:right w:w="0" w:type="dxa"/>
            </w:tcMar>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处理达标的废水通过项目西侧的废水总排口排入市政污水管网，最终进入楚雄市富民工业园区污水处理厂进行处理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309" w:type="pct"/>
            <w:vMerge w:val="continue"/>
            <w:tcMar>
              <w:left w:w="0" w:type="dxa"/>
              <w:right w:w="0" w:type="dxa"/>
            </w:tcMar>
            <w:vAlign w:val="center"/>
          </w:tcPr>
          <w:p>
            <w:pPr>
              <w:pStyle w:val="167"/>
              <w:rPr>
                <w:rFonts w:hint="default" w:ascii="Times New Roman" w:hAnsi="Times New Roman" w:cs="Times New Roman"/>
                <w:color w:val="auto"/>
              </w:rPr>
            </w:pPr>
          </w:p>
        </w:tc>
        <w:tc>
          <w:tcPr>
            <w:tcW w:w="340" w:type="pct"/>
            <w:tcMar>
              <w:left w:w="0" w:type="dxa"/>
              <w:right w:w="0" w:type="dxa"/>
            </w:tcMar>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W</w:t>
            </w:r>
            <w:r>
              <w:rPr>
                <w:rFonts w:hint="default" w:ascii="Times New Roman" w:hAnsi="Times New Roman" w:cs="Times New Roman"/>
                <w:color w:val="auto"/>
                <w:sz w:val="21"/>
                <w:szCs w:val="21"/>
                <w:lang w:val="en-US" w:eastAsia="zh-CN"/>
              </w:rPr>
              <w:t>2</w:t>
            </w:r>
          </w:p>
        </w:tc>
        <w:tc>
          <w:tcPr>
            <w:tcW w:w="747" w:type="pct"/>
            <w:tcMar>
              <w:left w:w="0" w:type="dxa"/>
              <w:right w:w="0" w:type="dxa"/>
            </w:tcMar>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脱胶过程</w:t>
            </w:r>
          </w:p>
        </w:tc>
        <w:tc>
          <w:tcPr>
            <w:tcW w:w="643" w:type="pct"/>
            <w:tcMar>
              <w:left w:w="0" w:type="dxa"/>
              <w:right w:w="0" w:type="dxa"/>
            </w:tcMar>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eastAsia="zh-CN"/>
              </w:rPr>
              <w:t>脱胶废水</w:t>
            </w:r>
          </w:p>
        </w:tc>
        <w:tc>
          <w:tcPr>
            <w:tcW w:w="909" w:type="pct"/>
            <w:tcMar>
              <w:left w:w="0" w:type="dxa"/>
              <w:right w:w="0" w:type="dxa"/>
            </w:tcMar>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pH、</w:t>
            </w:r>
            <w:r>
              <w:rPr>
                <w:rFonts w:hint="default" w:ascii="Times New Roman" w:hAnsi="Times New Roman" w:cs="Times New Roman"/>
                <w:color w:val="auto"/>
                <w:sz w:val="21"/>
                <w:szCs w:val="21"/>
                <w:lang w:val="en-US" w:eastAsia="zh-CN"/>
              </w:rPr>
              <w:t>COD</w:t>
            </w:r>
          </w:p>
        </w:tc>
        <w:tc>
          <w:tcPr>
            <w:tcW w:w="1102" w:type="pct"/>
            <w:vMerge w:val="restart"/>
            <w:tcMar>
              <w:left w:w="0" w:type="dxa"/>
              <w:right w:w="0" w:type="dxa"/>
            </w:tcMar>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进入综合污水处理站处理</w:t>
            </w:r>
          </w:p>
        </w:tc>
        <w:tc>
          <w:tcPr>
            <w:tcW w:w="947" w:type="pct"/>
            <w:vMerge w:val="continue"/>
            <w:tcMar>
              <w:left w:w="0" w:type="dxa"/>
              <w:right w:w="0" w:type="dxa"/>
            </w:tcMar>
            <w:vAlign w:val="center"/>
          </w:tcPr>
          <w:p>
            <w:pP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09" w:type="pct"/>
            <w:vMerge w:val="continue"/>
            <w:tcMar>
              <w:left w:w="0" w:type="dxa"/>
              <w:right w:w="0" w:type="dxa"/>
            </w:tcMar>
            <w:vAlign w:val="center"/>
          </w:tcPr>
          <w:p>
            <w:pPr>
              <w:pStyle w:val="167"/>
              <w:rPr>
                <w:rFonts w:hint="default" w:ascii="Times New Roman" w:hAnsi="Times New Roman" w:cs="Times New Roman"/>
                <w:color w:val="auto"/>
              </w:rPr>
            </w:pPr>
          </w:p>
        </w:tc>
        <w:tc>
          <w:tcPr>
            <w:tcW w:w="340" w:type="pct"/>
            <w:tcMar>
              <w:left w:w="0" w:type="dxa"/>
              <w:right w:w="0" w:type="dxa"/>
            </w:tcMar>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W</w:t>
            </w:r>
            <w:r>
              <w:rPr>
                <w:rFonts w:hint="default" w:ascii="Times New Roman" w:hAnsi="Times New Roman" w:cs="Times New Roman"/>
                <w:color w:val="auto"/>
                <w:sz w:val="21"/>
                <w:szCs w:val="21"/>
                <w:lang w:val="en-US" w:eastAsia="zh-CN"/>
              </w:rPr>
              <w:t>3</w:t>
            </w:r>
          </w:p>
        </w:tc>
        <w:tc>
          <w:tcPr>
            <w:tcW w:w="747" w:type="pct"/>
            <w:tcMar>
              <w:left w:w="0" w:type="dxa"/>
              <w:right w:w="0" w:type="dxa"/>
            </w:tcMar>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切片初洗过程</w:t>
            </w:r>
          </w:p>
        </w:tc>
        <w:tc>
          <w:tcPr>
            <w:tcW w:w="643" w:type="pct"/>
            <w:tcMar>
              <w:left w:w="0" w:type="dxa"/>
              <w:right w:w="0" w:type="dxa"/>
            </w:tcMar>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初洗废水</w:t>
            </w:r>
          </w:p>
        </w:tc>
        <w:tc>
          <w:tcPr>
            <w:tcW w:w="909" w:type="pct"/>
            <w:tcMar>
              <w:left w:w="0" w:type="dxa"/>
              <w:right w:w="0" w:type="dxa"/>
            </w:tcMar>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pH、SS、</w:t>
            </w:r>
            <w:r>
              <w:rPr>
                <w:rFonts w:hint="default" w:ascii="Times New Roman" w:hAnsi="Times New Roman" w:cs="Times New Roman"/>
                <w:color w:val="auto"/>
                <w:sz w:val="21"/>
                <w:szCs w:val="21"/>
                <w:lang w:val="en-US" w:eastAsia="zh-CN"/>
              </w:rPr>
              <w:t>COD</w:t>
            </w:r>
          </w:p>
        </w:tc>
        <w:tc>
          <w:tcPr>
            <w:tcW w:w="1102" w:type="pct"/>
            <w:vMerge w:val="continue"/>
            <w:tcMar>
              <w:left w:w="0" w:type="dxa"/>
              <w:right w:w="0" w:type="dxa"/>
            </w:tcMar>
            <w:vAlign w:val="center"/>
          </w:tcPr>
          <w:p>
            <w:pPr>
              <w:jc w:val="center"/>
              <w:rPr>
                <w:rFonts w:hint="default" w:ascii="Times New Roman" w:hAnsi="Times New Roman" w:cs="Times New Roman"/>
                <w:color w:val="auto"/>
                <w:sz w:val="21"/>
                <w:szCs w:val="21"/>
              </w:rPr>
            </w:pPr>
          </w:p>
        </w:tc>
        <w:tc>
          <w:tcPr>
            <w:tcW w:w="947" w:type="pct"/>
            <w:vMerge w:val="continue"/>
            <w:tcMar>
              <w:left w:w="0" w:type="dxa"/>
              <w:right w:w="0" w:type="dxa"/>
            </w:tcMar>
            <w:vAlign w:val="center"/>
          </w:tcPr>
          <w:p>
            <w:pP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309" w:type="pct"/>
            <w:vMerge w:val="continue"/>
            <w:tcMar>
              <w:left w:w="0" w:type="dxa"/>
              <w:right w:w="0" w:type="dxa"/>
            </w:tcMar>
            <w:vAlign w:val="center"/>
          </w:tcPr>
          <w:p>
            <w:pPr>
              <w:pStyle w:val="167"/>
              <w:rPr>
                <w:rFonts w:hint="default" w:ascii="Times New Roman" w:hAnsi="Times New Roman" w:cs="Times New Roman"/>
                <w:color w:val="auto"/>
              </w:rPr>
            </w:pPr>
          </w:p>
        </w:tc>
        <w:tc>
          <w:tcPr>
            <w:tcW w:w="340" w:type="pct"/>
            <w:tcMar>
              <w:left w:w="0" w:type="dxa"/>
              <w:right w:w="0" w:type="dxa"/>
            </w:tcMar>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W</w:t>
            </w:r>
            <w:r>
              <w:rPr>
                <w:rFonts w:hint="default" w:ascii="Times New Roman" w:hAnsi="Times New Roman" w:cs="Times New Roman"/>
                <w:color w:val="auto"/>
                <w:sz w:val="21"/>
                <w:szCs w:val="21"/>
                <w:lang w:val="en-US" w:eastAsia="zh-CN"/>
              </w:rPr>
              <w:t>4</w:t>
            </w:r>
          </w:p>
        </w:tc>
        <w:tc>
          <w:tcPr>
            <w:tcW w:w="747" w:type="pct"/>
            <w:tcMar>
              <w:left w:w="0" w:type="dxa"/>
              <w:right w:w="0" w:type="dxa"/>
            </w:tcMar>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eastAsia="zh-CN"/>
              </w:rPr>
              <w:t>切片清洗过程</w:t>
            </w:r>
          </w:p>
        </w:tc>
        <w:tc>
          <w:tcPr>
            <w:tcW w:w="643" w:type="pct"/>
            <w:tcMar>
              <w:left w:w="0" w:type="dxa"/>
              <w:right w:w="0" w:type="dxa"/>
            </w:tcMar>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精洗废水</w:t>
            </w:r>
          </w:p>
        </w:tc>
        <w:tc>
          <w:tcPr>
            <w:tcW w:w="909" w:type="pct"/>
            <w:tcMar>
              <w:left w:w="0" w:type="dxa"/>
              <w:right w:w="0" w:type="dxa"/>
            </w:tcMar>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pH、</w:t>
            </w:r>
            <w:r>
              <w:rPr>
                <w:rFonts w:hint="default" w:ascii="Times New Roman" w:hAnsi="Times New Roman" w:cs="Times New Roman"/>
                <w:color w:val="auto"/>
                <w:sz w:val="21"/>
                <w:szCs w:val="21"/>
                <w:lang w:val="en-US" w:eastAsia="zh-CN"/>
              </w:rPr>
              <w:t>COD、阴离子表面活性剂</w:t>
            </w:r>
          </w:p>
        </w:tc>
        <w:tc>
          <w:tcPr>
            <w:tcW w:w="1102" w:type="pct"/>
            <w:vMerge w:val="continue"/>
            <w:tcMar>
              <w:left w:w="0" w:type="dxa"/>
              <w:right w:w="0" w:type="dxa"/>
            </w:tcMar>
            <w:vAlign w:val="center"/>
          </w:tcPr>
          <w:p>
            <w:pPr>
              <w:rPr>
                <w:rFonts w:hint="default" w:ascii="Times New Roman" w:hAnsi="Times New Roman" w:cs="Times New Roman"/>
                <w:color w:val="auto"/>
                <w:sz w:val="21"/>
                <w:szCs w:val="21"/>
              </w:rPr>
            </w:pPr>
          </w:p>
        </w:tc>
        <w:tc>
          <w:tcPr>
            <w:tcW w:w="947" w:type="pct"/>
            <w:vMerge w:val="continue"/>
            <w:tcMar>
              <w:left w:w="0" w:type="dxa"/>
              <w:right w:w="0" w:type="dxa"/>
            </w:tcMar>
            <w:vAlign w:val="center"/>
          </w:tcPr>
          <w:p>
            <w:pP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309" w:type="pct"/>
            <w:vMerge w:val="continue"/>
            <w:tcMar>
              <w:left w:w="0" w:type="dxa"/>
              <w:right w:w="0" w:type="dxa"/>
            </w:tcMar>
            <w:vAlign w:val="center"/>
          </w:tcPr>
          <w:p>
            <w:pPr>
              <w:pStyle w:val="167"/>
              <w:rPr>
                <w:rFonts w:hint="default" w:ascii="Times New Roman" w:hAnsi="Times New Roman" w:cs="Times New Roman"/>
                <w:color w:val="auto"/>
              </w:rPr>
            </w:pPr>
          </w:p>
        </w:tc>
        <w:tc>
          <w:tcPr>
            <w:tcW w:w="340" w:type="pct"/>
            <w:tcMar>
              <w:left w:w="0" w:type="dxa"/>
              <w:right w:w="0" w:type="dxa"/>
            </w:tcMar>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W5</w:t>
            </w:r>
          </w:p>
        </w:tc>
        <w:tc>
          <w:tcPr>
            <w:tcW w:w="747" w:type="pct"/>
            <w:tcMar>
              <w:left w:w="0" w:type="dxa"/>
              <w:right w:w="0" w:type="dxa"/>
            </w:tcMar>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吸杂过程</w:t>
            </w:r>
          </w:p>
        </w:tc>
        <w:tc>
          <w:tcPr>
            <w:tcW w:w="643" w:type="pct"/>
            <w:tcMar>
              <w:left w:w="0" w:type="dxa"/>
              <w:right w:w="0" w:type="dxa"/>
            </w:tcMar>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废酸液</w:t>
            </w:r>
          </w:p>
        </w:tc>
        <w:tc>
          <w:tcPr>
            <w:tcW w:w="909" w:type="pct"/>
            <w:tcMar>
              <w:left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pH、</w:t>
            </w:r>
            <w:r>
              <w:rPr>
                <w:rFonts w:hint="default" w:ascii="Times New Roman" w:hAnsi="Times New Roman" w:cs="Times New Roman"/>
                <w:color w:val="auto"/>
                <w:sz w:val="21"/>
                <w:szCs w:val="21"/>
                <w:lang w:val="en-US" w:eastAsia="zh-CN"/>
              </w:rPr>
              <w:t>氟化物</w:t>
            </w:r>
          </w:p>
        </w:tc>
        <w:tc>
          <w:tcPr>
            <w:tcW w:w="1102" w:type="pct"/>
            <w:vMerge w:val="restart"/>
            <w:tcMar>
              <w:left w:w="0" w:type="dxa"/>
              <w:right w:w="0" w:type="dxa"/>
            </w:tcMar>
            <w:vAlign w:val="center"/>
          </w:tcPr>
          <w:p>
            <w:pPr>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经含氟废水处理站处理后再进入综合污水处理站处理</w:t>
            </w:r>
          </w:p>
        </w:tc>
        <w:tc>
          <w:tcPr>
            <w:tcW w:w="947" w:type="pct"/>
            <w:vMerge w:val="continue"/>
            <w:tcMar>
              <w:left w:w="0" w:type="dxa"/>
              <w:right w:w="0" w:type="dxa"/>
            </w:tcMar>
            <w:vAlign w:val="center"/>
          </w:tcPr>
          <w:p>
            <w:pP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09" w:type="pct"/>
            <w:vMerge w:val="continue"/>
            <w:tcMar>
              <w:left w:w="0" w:type="dxa"/>
              <w:right w:w="0" w:type="dxa"/>
            </w:tcMar>
            <w:vAlign w:val="center"/>
          </w:tcPr>
          <w:p>
            <w:pPr>
              <w:pStyle w:val="167"/>
              <w:rPr>
                <w:rFonts w:hint="default" w:ascii="Times New Roman" w:hAnsi="Times New Roman" w:cs="Times New Roman"/>
                <w:color w:val="auto"/>
              </w:rPr>
            </w:pPr>
          </w:p>
        </w:tc>
        <w:tc>
          <w:tcPr>
            <w:tcW w:w="340" w:type="pct"/>
            <w:tcMar>
              <w:left w:w="0" w:type="dxa"/>
              <w:right w:w="0" w:type="dxa"/>
            </w:tcMar>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W6</w:t>
            </w:r>
          </w:p>
        </w:tc>
        <w:tc>
          <w:tcPr>
            <w:tcW w:w="747" w:type="pct"/>
            <w:tcMar>
              <w:left w:w="0" w:type="dxa"/>
              <w:right w:w="0" w:type="dxa"/>
            </w:tcMar>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酸洗废气治理过程</w:t>
            </w:r>
          </w:p>
        </w:tc>
        <w:tc>
          <w:tcPr>
            <w:tcW w:w="643" w:type="pct"/>
            <w:tcMar>
              <w:left w:w="0" w:type="dxa"/>
              <w:right w:w="0" w:type="dxa"/>
            </w:tcMar>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洗涤废水</w:t>
            </w:r>
          </w:p>
        </w:tc>
        <w:tc>
          <w:tcPr>
            <w:tcW w:w="909" w:type="pct"/>
            <w:tcMar>
              <w:left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pH、</w:t>
            </w:r>
            <w:r>
              <w:rPr>
                <w:rFonts w:hint="default" w:ascii="Times New Roman" w:hAnsi="Times New Roman" w:cs="Times New Roman"/>
                <w:color w:val="auto"/>
                <w:sz w:val="21"/>
                <w:szCs w:val="21"/>
                <w:lang w:val="en-US" w:eastAsia="zh-CN"/>
              </w:rPr>
              <w:t>氟化物</w:t>
            </w:r>
          </w:p>
        </w:tc>
        <w:tc>
          <w:tcPr>
            <w:tcW w:w="1102" w:type="pct"/>
            <w:vMerge w:val="continue"/>
            <w:tcMar>
              <w:left w:w="0" w:type="dxa"/>
              <w:right w:w="0" w:type="dxa"/>
            </w:tcMar>
            <w:vAlign w:val="center"/>
          </w:tcPr>
          <w:p>
            <w:pPr>
              <w:jc w:val="center"/>
              <w:rPr>
                <w:rFonts w:hint="default" w:ascii="Times New Roman" w:hAnsi="Times New Roman" w:cs="Times New Roman"/>
                <w:color w:val="auto"/>
                <w:sz w:val="21"/>
                <w:szCs w:val="21"/>
                <w:lang w:eastAsia="zh-CN"/>
              </w:rPr>
            </w:pPr>
          </w:p>
        </w:tc>
        <w:tc>
          <w:tcPr>
            <w:tcW w:w="947" w:type="pct"/>
            <w:vMerge w:val="continue"/>
            <w:tcMar>
              <w:left w:w="0" w:type="dxa"/>
              <w:right w:w="0" w:type="dxa"/>
            </w:tcMar>
            <w:vAlign w:val="center"/>
          </w:tcPr>
          <w:p>
            <w:pP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309" w:type="pct"/>
            <w:vMerge w:val="continue"/>
            <w:tcMar>
              <w:left w:w="0" w:type="dxa"/>
              <w:right w:w="0" w:type="dxa"/>
            </w:tcMar>
            <w:vAlign w:val="center"/>
          </w:tcPr>
          <w:p>
            <w:pPr>
              <w:pStyle w:val="167"/>
              <w:rPr>
                <w:rFonts w:hint="default" w:ascii="Times New Roman" w:hAnsi="Times New Roman" w:cs="Times New Roman"/>
                <w:color w:val="auto"/>
              </w:rPr>
            </w:pPr>
          </w:p>
        </w:tc>
        <w:tc>
          <w:tcPr>
            <w:tcW w:w="340" w:type="pct"/>
            <w:tcMar>
              <w:left w:w="0" w:type="dxa"/>
              <w:right w:w="0" w:type="dxa"/>
            </w:tcMar>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W7</w:t>
            </w:r>
          </w:p>
        </w:tc>
        <w:tc>
          <w:tcPr>
            <w:tcW w:w="747" w:type="pct"/>
            <w:tcMar>
              <w:left w:w="0" w:type="dxa"/>
              <w:right w:w="0" w:type="dxa"/>
            </w:tcMar>
            <w:vAlign w:val="center"/>
          </w:tcPr>
          <w:p>
            <w:pPr>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废水处理过程</w:t>
            </w:r>
          </w:p>
        </w:tc>
        <w:tc>
          <w:tcPr>
            <w:tcW w:w="643" w:type="pct"/>
            <w:tcMar>
              <w:left w:w="0" w:type="dxa"/>
              <w:right w:w="0" w:type="dxa"/>
            </w:tcMar>
            <w:vAlign w:val="center"/>
          </w:tcPr>
          <w:p>
            <w:pPr>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碱吸收废水</w:t>
            </w:r>
          </w:p>
        </w:tc>
        <w:tc>
          <w:tcPr>
            <w:tcW w:w="909" w:type="pct"/>
            <w:tcMar>
              <w:left w:w="0" w:type="dxa"/>
              <w:right w:w="0" w:type="dxa"/>
            </w:tcMar>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pH</w:t>
            </w:r>
          </w:p>
        </w:tc>
        <w:tc>
          <w:tcPr>
            <w:tcW w:w="1102" w:type="pct"/>
            <w:tcMar>
              <w:left w:w="0" w:type="dxa"/>
              <w:right w:w="0" w:type="dxa"/>
            </w:tcMar>
            <w:vAlign w:val="center"/>
          </w:tcPr>
          <w:p>
            <w:pPr>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进入综合污水处理站处理</w:t>
            </w:r>
          </w:p>
        </w:tc>
        <w:tc>
          <w:tcPr>
            <w:tcW w:w="947" w:type="pct"/>
            <w:vMerge w:val="continue"/>
            <w:tcMar>
              <w:left w:w="0" w:type="dxa"/>
              <w:right w:w="0" w:type="dxa"/>
            </w:tcMar>
            <w:vAlign w:val="center"/>
          </w:tcPr>
          <w:p>
            <w:pP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309" w:type="pct"/>
            <w:vMerge w:val="continue"/>
            <w:tcMar>
              <w:left w:w="0" w:type="dxa"/>
              <w:right w:w="0" w:type="dxa"/>
            </w:tcMar>
            <w:vAlign w:val="center"/>
          </w:tcPr>
          <w:p>
            <w:pPr>
              <w:pStyle w:val="167"/>
              <w:rPr>
                <w:rFonts w:hint="default" w:ascii="Times New Roman" w:hAnsi="Times New Roman" w:cs="Times New Roman"/>
                <w:color w:val="auto"/>
              </w:rPr>
            </w:pPr>
          </w:p>
        </w:tc>
        <w:tc>
          <w:tcPr>
            <w:tcW w:w="1087" w:type="pct"/>
            <w:gridSpan w:val="2"/>
            <w:tcMar>
              <w:left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生活废水</w:t>
            </w:r>
          </w:p>
        </w:tc>
        <w:tc>
          <w:tcPr>
            <w:tcW w:w="643" w:type="pct"/>
            <w:tcMar>
              <w:left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COD、SS、BOD</w:t>
            </w:r>
            <w:r>
              <w:rPr>
                <w:rFonts w:hint="default" w:ascii="Times New Roman" w:hAnsi="Times New Roman" w:cs="Times New Roman"/>
                <w:color w:val="auto"/>
                <w:sz w:val="21"/>
                <w:szCs w:val="21"/>
                <w:vertAlign w:val="subscript"/>
              </w:rPr>
              <w:t>5</w:t>
            </w:r>
            <w:r>
              <w:rPr>
                <w:rFonts w:hint="default" w:ascii="Times New Roman" w:hAnsi="Times New Roman" w:cs="Times New Roman"/>
                <w:color w:val="auto"/>
                <w:sz w:val="21"/>
                <w:szCs w:val="21"/>
              </w:rPr>
              <w:t>、氨氮、总氮等</w:t>
            </w:r>
          </w:p>
        </w:tc>
        <w:tc>
          <w:tcPr>
            <w:tcW w:w="909" w:type="pct"/>
            <w:tcMar>
              <w:left w:w="0" w:type="dxa"/>
              <w:right w:w="0" w:type="dxa"/>
            </w:tcMar>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COD、SS、BOD</w:t>
            </w:r>
            <w:r>
              <w:rPr>
                <w:rFonts w:hint="default" w:ascii="Times New Roman" w:hAnsi="Times New Roman" w:cs="Times New Roman"/>
                <w:color w:val="auto"/>
                <w:sz w:val="21"/>
                <w:szCs w:val="21"/>
                <w:vertAlign w:val="subscript"/>
              </w:rPr>
              <w:t>5</w:t>
            </w:r>
            <w:r>
              <w:rPr>
                <w:rFonts w:hint="default" w:ascii="Times New Roman" w:hAnsi="Times New Roman" w:cs="Times New Roman"/>
                <w:color w:val="auto"/>
                <w:sz w:val="21"/>
                <w:szCs w:val="21"/>
              </w:rPr>
              <w:t>、氨氮、总氮等</w:t>
            </w:r>
          </w:p>
        </w:tc>
        <w:tc>
          <w:tcPr>
            <w:tcW w:w="1102" w:type="pct"/>
            <w:tcMar>
              <w:left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进入隔油池、</w:t>
            </w:r>
            <w:r>
              <w:rPr>
                <w:rFonts w:hint="default" w:ascii="Times New Roman" w:hAnsi="Times New Roman" w:cs="Times New Roman"/>
                <w:color w:val="auto"/>
                <w:sz w:val="21"/>
                <w:szCs w:val="21"/>
              </w:rPr>
              <w:t>化粪池处理</w:t>
            </w:r>
          </w:p>
        </w:tc>
        <w:tc>
          <w:tcPr>
            <w:tcW w:w="947" w:type="pct"/>
            <w:vMerge w:val="continue"/>
            <w:tcMar>
              <w:left w:w="0" w:type="dxa"/>
              <w:right w:w="0" w:type="dxa"/>
            </w:tcMar>
            <w:vAlign w:val="center"/>
          </w:tcPr>
          <w:p>
            <w:pP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09" w:type="pct"/>
            <w:vMerge w:val="restart"/>
            <w:tcMar>
              <w:left w:w="0" w:type="dxa"/>
              <w:right w:w="0" w:type="dxa"/>
            </w:tcMar>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固废</w:t>
            </w:r>
          </w:p>
        </w:tc>
        <w:tc>
          <w:tcPr>
            <w:tcW w:w="340" w:type="pct"/>
            <w:tcMar>
              <w:left w:w="0" w:type="dxa"/>
              <w:right w:w="0" w:type="dxa"/>
            </w:tcMar>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S1</w:t>
            </w:r>
          </w:p>
        </w:tc>
        <w:tc>
          <w:tcPr>
            <w:tcW w:w="747" w:type="pct"/>
            <w:tcMar>
              <w:left w:w="0" w:type="dxa"/>
              <w:right w:w="0" w:type="dxa"/>
            </w:tcMar>
            <w:vAlign w:val="center"/>
          </w:tcPr>
          <w:p>
            <w:pPr>
              <w:pStyle w:val="167"/>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单晶硅切片过程</w:t>
            </w:r>
          </w:p>
        </w:tc>
        <w:tc>
          <w:tcPr>
            <w:tcW w:w="643" w:type="pct"/>
            <w:tcMar>
              <w:left w:w="0" w:type="dxa"/>
              <w:right w:w="0" w:type="dxa"/>
            </w:tcMar>
            <w:vAlign w:val="center"/>
          </w:tcPr>
          <w:p>
            <w:pPr>
              <w:pStyle w:val="167"/>
              <w:rPr>
                <w:rFonts w:hint="default" w:ascii="Times New Roman" w:hAnsi="Times New Roman" w:cs="Times New Roman"/>
                <w:color w:val="auto"/>
              </w:rPr>
            </w:pPr>
            <w:r>
              <w:rPr>
                <w:rFonts w:hint="default" w:ascii="Times New Roman" w:hAnsi="Times New Roman" w:cs="Times New Roman"/>
                <w:color w:val="auto"/>
                <w:lang w:eastAsia="zh-CN"/>
              </w:rPr>
              <w:t>废金刚线</w:t>
            </w:r>
          </w:p>
        </w:tc>
        <w:tc>
          <w:tcPr>
            <w:tcW w:w="909" w:type="pct"/>
            <w:tcMar>
              <w:left w:w="0" w:type="dxa"/>
              <w:right w:w="0" w:type="dxa"/>
            </w:tcMar>
            <w:vAlign w:val="center"/>
          </w:tcPr>
          <w:p>
            <w:pPr>
              <w:pStyle w:val="167"/>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cs="Times New Roman"/>
                <w:color w:val="auto"/>
                <w:lang w:eastAsia="zh-CN"/>
              </w:rPr>
              <w:t>废金刚线</w:t>
            </w:r>
          </w:p>
        </w:tc>
        <w:tc>
          <w:tcPr>
            <w:tcW w:w="2050" w:type="pct"/>
            <w:gridSpan w:val="2"/>
            <w:tcMar>
              <w:left w:w="0" w:type="dxa"/>
              <w:right w:w="0" w:type="dxa"/>
            </w:tcMar>
            <w:vAlign w:val="center"/>
          </w:tcPr>
          <w:p>
            <w:pPr>
              <w:pStyle w:val="167"/>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暂存在硅泥库，委托废旧资源回收公司回收综合利用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309" w:type="pct"/>
            <w:vMerge w:val="continue"/>
            <w:tcMar>
              <w:left w:w="0" w:type="dxa"/>
              <w:right w:w="0" w:type="dxa"/>
            </w:tcMar>
            <w:vAlign w:val="center"/>
          </w:tcPr>
          <w:p>
            <w:pPr>
              <w:pStyle w:val="167"/>
              <w:rPr>
                <w:rFonts w:hint="default" w:ascii="Times New Roman" w:hAnsi="Times New Roman" w:cs="Times New Roman"/>
                <w:color w:val="auto"/>
              </w:rPr>
            </w:pPr>
          </w:p>
        </w:tc>
        <w:tc>
          <w:tcPr>
            <w:tcW w:w="340" w:type="pct"/>
            <w:tcMar>
              <w:left w:w="0" w:type="dxa"/>
              <w:right w:w="0" w:type="dxa"/>
            </w:tcMar>
            <w:vAlign w:val="center"/>
          </w:tcPr>
          <w:p>
            <w:pPr>
              <w:pStyle w:val="167"/>
              <w:rPr>
                <w:rFonts w:hint="default" w:ascii="Times New Roman" w:hAnsi="Times New Roman" w:eastAsia="宋体" w:cs="Times New Roman"/>
                <w:color w:val="auto"/>
                <w:lang w:eastAsia="zh-CN"/>
              </w:rPr>
            </w:pPr>
            <w:r>
              <w:rPr>
                <w:rFonts w:hint="default" w:ascii="Times New Roman" w:hAnsi="Times New Roman" w:cs="Times New Roman"/>
                <w:color w:val="auto"/>
              </w:rPr>
              <w:t>S</w:t>
            </w:r>
            <w:r>
              <w:rPr>
                <w:rFonts w:hint="default" w:ascii="Times New Roman" w:hAnsi="Times New Roman" w:cs="Times New Roman"/>
                <w:color w:val="auto"/>
                <w:lang w:val="en-US" w:eastAsia="zh-CN"/>
              </w:rPr>
              <w:t>2</w:t>
            </w:r>
          </w:p>
        </w:tc>
        <w:tc>
          <w:tcPr>
            <w:tcW w:w="747" w:type="pct"/>
            <w:tcMar>
              <w:left w:w="0" w:type="dxa"/>
              <w:right w:w="0" w:type="dxa"/>
            </w:tcMar>
            <w:vAlign w:val="center"/>
          </w:tcPr>
          <w:p>
            <w:pPr>
              <w:pStyle w:val="167"/>
              <w:rPr>
                <w:rFonts w:hint="default" w:ascii="Times New Roman" w:hAnsi="Times New Roman" w:eastAsia="宋体" w:cs="Times New Roman"/>
                <w:color w:val="auto"/>
                <w:lang w:eastAsia="zh-CN"/>
              </w:rPr>
            </w:pPr>
            <w:r>
              <w:rPr>
                <w:rFonts w:hint="default" w:ascii="Times New Roman" w:hAnsi="Times New Roman" w:cs="Times New Roman"/>
                <w:color w:val="auto"/>
              </w:rPr>
              <w:t>脱胶过程</w:t>
            </w:r>
          </w:p>
        </w:tc>
        <w:tc>
          <w:tcPr>
            <w:tcW w:w="643" w:type="pct"/>
            <w:tcMar>
              <w:left w:w="0" w:type="dxa"/>
              <w:right w:w="0" w:type="dxa"/>
            </w:tcMar>
            <w:vAlign w:val="center"/>
          </w:tcPr>
          <w:p>
            <w:pPr>
              <w:pStyle w:val="167"/>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废胶</w:t>
            </w:r>
          </w:p>
        </w:tc>
        <w:tc>
          <w:tcPr>
            <w:tcW w:w="909" w:type="pct"/>
            <w:tcMar>
              <w:left w:w="0" w:type="dxa"/>
              <w:right w:w="0" w:type="dxa"/>
            </w:tcMar>
            <w:vAlign w:val="center"/>
          </w:tcPr>
          <w:p>
            <w:pPr>
              <w:pStyle w:val="167"/>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cs="Times New Roman"/>
                <w:color w:val="auto"/>
                <w:lang w:eastAsia="zh-CN"/>
              </w:rPr>
              <w:t>废胶</w:t>
            </w:r>
          </w:p>
        </w:tc>
        <w:tc>
          <w:tcPr>
            <w:tcW w:w="2050" w:type="pct"/>
            <w:gridSpan w:val="2"/>
            <w:tcMar>
              <w:left w:w="0" w:type="dxa"/>
              <w:right w:w="0" w:type="dxa"/>
            </w:tcMar>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暂存在</w:t>
            </w:r>
            <w:r>
              <w:rPr>
                <w:rFonts w:hint="default" w:ascii="Times New Roman" w:hAnsi="Times New Roman" w:cs="Times New Roman"/>
                <w:color w:val="auto"/>
                <w:lang w:eastAsia="zh-CN"/>
              </w:rPr>
              <w:t>危废库内</w:t>
            </w:r>
            <w:r>
              <w:rPr>
                <w:rFonts w:hint="default" w:ascii="Times New Roman" w:hAnsi="Times New Roman" w:cs="Times New Roman"/>
                <w:color w:val="auto"/>
              </w:rPr>
              <w:t>，委托</w:t>
            </w:r>
            <w:r>
              <w:rPr>
                <w:rFonts w:hint="default" w:ascii="Times New Roman" w:hAnsi="Times New Roman" w:cs="Times New Roman"/>
                <w:color w:val="auto"/>
                <w:lang w:eastAsia="zh-CN"/>
              </w:rPr>
              <w:t>有危废处置资质的单位进行</w:t>
            </w:r>
            <w:r>
              <w:rPr>
                <w:rFonts w:hint="default" w:ascii="Times New Roman" w:hAnsi="Times New Roman" w:cs="Times New Roman"/>
                <w:color w:val="auto"/>
              </w:rPr>
              <w:t>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09" w:type="pct"/>
            <w:vMerge w:val="continue"/>
            <w:tcMar>
              <w:left w:w="0" w:type="dxa"/>
              <w:right w:w="0" w:type="dxa"/>
            </w:tcMar>
            <w:vAlign w:val="center"/>
          </w:tcPr>
          <w:p>
            <w:pPr>
              <w:pStyle w:val="167"/>
              <w:rPr>
                <w:rFonts w:hint="default" w:ascii="Times New Roman" w:hAnsi="Times New Roman" w:cs="Times New Roman"/>
                <w:color w:val="auto"/>
              </w:rPr>
            </w:pPr>
          </w:p>
        </w:tc>
        <w:tc>
          <w:tcPr>
            <w:tcW w:w="340" w:type="pct"/>
            <w:tcMar>
              <w:left w:w="0" w:type="dxa"/>
              <w:right w:w="0" w:type="dxa"/>
            </w:tcMar>
            <w:vAlign w:val="center"/>
          </w:tcPr>
          <w:p>
            <w:pPr>
              <w:pStyle w:val="167"/>
              <w:rPr>
                <w:rFonts w:hint="default" w:ascii="Times New Roman" w:hAnsi="Times New Roman" w:eastAsia="宋体" w:cs="Times New Roman"/>
                <w:color w:val="auto"/>
                <w:lang w:eastAsia="zh-CN"/>
              </w:rPr>
            </w:pPr>
            <w:r>
              <w:rPr>
                <w:rFonts w:hint="default" w:ascii="Times New Roman" w:hAnsi="Times New Roman" w:cs="Times New Roman"/>
                <w:color w:val="auto"/>
              </w:rPr>
              <w:t>S</w:t>
            </w:r>
            <w:r>
              <w:rPr>
                <w:rFonts w:hint="default" w:ascii="Times New Roman" w:hAnsi="Times New Roman" w:cs="Times New Roman"/>
                <w:color w:val="auto"/>
                <w:lang w:val="en-US" w:eastAsia="zh-CN"/>
              </w:rPr>
              <w:t>3</w:t>
            </w:r>
          </w:p>
        </w:tc>
        <w:tc>
          <w:tcPr>
            <w:tcW w:w="747" w:type="pct"/>
            <w:tcMar>
              <w:left w:w="0" w:type="dxa"/>
              <w:right w:w="0" w:type="dxa"/>
            </w:tcMar>
            <w:vAlign w:val="center"/>
          </w:tcPr>
          <w:p>
            <w:pPr>
              <w:pStyle w:val="167"/>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切片过程</w:t>
            </w:r>
          </w:p>
        </w:tc>
        <w:tc>
          <w:tcPr>
            <w:tcW w:w="643" w:type="pct"/>
            <w:tcMar>
              <w:left w:w="0" w:type="dxa"/>
              <w:right w:w="0" w:type="dxa"/>
            </w:tcMar>
            <w:vAlign w:val="center"/>
          </w:tcPr>
          <w:p>
            <w:pPr>
              <w:pStyle w:val="167"/>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废切片</w:t>
            </w:r>
          </w:p>
        </w:tc>
        <w:tc>
          <w:tcPr>
            <w:tcW w:w="909" w:type="pct"/>
            <w:tcMar>
              <w:left w:w="0" w:type="dxa"/>
              <w:right w:w="0" w:type="dxa"/>
            </w:tcMar>
            <w:vAlign w:val="center"/>
          </w:tcPr>
          <w:p>
            <w:pPr>
              <w:pStyle w:val="167"/>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cs="Times New Roman"/>
                <w:color w:val="auto"/>
                <w:lang w:eastAsia="zh-CN"/>
              </w:rPr>
              <w:t>废切片</w:t>
            </w:r>
          </w:p>
        </w:tc>
        <w:tc>
          <w:tcPr>
            <w:tcW w:w="2050" w:type="pct"/>
            <w:gridSpan w:val="2"/>
            <w:tcMar>
              <w:left w:w="0" w:type="dxa"/>
              <w:right w:w="0" w:type="dxa"/>
            </w:tcMar>
            <w:vAlign w:val="center"/>
          </w:tcPr>
          <w:p>
            <w:pPr>
              <w:pStyle w:val="167"/>
              <w:rPr>
                <w:rFonts w:hint="default" w:ascii="Times New Roman" w:hAnsi="Times New Roman" w:cs="Times New Roman"/>
                <w:color w:val="auto"/>
              </w:rPr>
            </w:pPr>
            <w:r>
              <w:rPr>
                <w:rFonts w:hint="default" w:ascii="Times New Roman" w:hAnsi="Times New Roman" w:cs="Times New Roman"/>
                <w:color w:val="auto"/>
                <w:lang w:val="en-US" w:eastAsia="zh-CN"/>
              </w:rPr>
              <w:t>破碎</w:t>
            </w:r>
            <w:r>
              <w:rPr>
                <w:rFonts w:hint="default" w:ascii="Times New Roman" w:hAnsi="Times New Roman" w:cs="Times New Roman"/>
                <w:snapToGrid w:val="0"/>
                <w:color w:val="auto"/>
                <w:szCs w:val="20"/>
              </w:rPr>
              <w:t>后回用</w:t>
            </w:r>
            <w:r>
              <w:rPr>
                <w:rFonts w:hint="default" w:ascii="Times New Roman" w:hAnsi="Times New Roman" w:cs="Times New Roman"/>
                <w:snapToGrid w:val="0"/>
                <w:color w:val="auto"/>
                <w:szCs w:val="20"/>
                <w:lang w:eastAsia="zh-CN"/>
              </w:rPr>
              <w:t>于单晶硅棒生产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309" w:type="pct"/>
            <w:vMerge w:val="continue"/>
            <w:tcMar>
              <w:left w:w="0" w:type="dxa"/>
              <w:right w:w="0" w:type="dxa"/>
            </w:tcMar>
            <w:vAlign w:val="center"/>
          </w:tcPr>
          <w:p>
            <w:pPr>
              <w:pStyle w:val="167"/>
              <w:rPr>
                <w:rFonts w:hint="default" w:ascii="Times New Roman" w:hAnsi="Times New Roman" w:cs="Times New Roman"/>
                <w:color w:val="auto"/>
              </w:rPr>
            </w:pPr>
          </w:p>
        </w:tc>
        <w:tc>
          <w:tcPr>
            <w:tcW w:w="340" w:type="pct"/>
            <w:tcMar>
              <w:left w:w="0" w:type="dxa"/>
              <w:right w:w="0" w:type="dxa"/>
            </w:tcMar>
            <w:vAlign w:val="center"/>
          </w:tcPr>
          <w:p>
            <w:pPr>
              <w:pStyle w:val="167"/>
              <w:rPr>
                <w:rFonts w:hint="default" w:ascii="Times New Roman" w:hAnsi="Times New Roman" w:eastAsia="宋体" w:cs="Times New Roman"/>
                <w:color w:val="auto"/>
                <w:lang w:eastAsia="zh-CN"/>
              </w:rPr>
            </w:pPr>
            <w:r>
              <w:rPr>
                <w:rFonts w:hint="default" w:ascii="Times New Roman" w:hAnsi="Times New Roman" w:cs="Times New Roman"/>
                <w:color w:val="auto"/>
              </w:rPr>
              <w:t>S</w:t>
            </w:r>
            <w:r>
              <w:rPr>
                <w:rFonts w:hint="default" w:ascii="Times New Roman" w:hAnsi="Times New Roman" w:cs="Times New Roman"/>
                <w:color w:val="auto"/>
                <w:lang w:val="en-US" w:eastAsia="zh-CN"/>
              </w:rPr>
              <w:t>4</w:t>
            </w:r>
          </w:p>
        </w:tc>
        <w:tc>
          <w:tcPr>
            <w:tcW w:w="747" w:type="pct"/>
            <w:tcMar>
              <w:left w:w="0" w:type="dxa"/>
              <w:right w:w="0" w:type="dxa"/>
            </w:tcMar>
            <w:vAlign w:val="center"/>
          </w:tcPr>
          <w:p>
            <w:pPr>
              <w:pStyle w:val="167"/>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有机废气治理过程</w:t>
            </w:r>
          </w:p>
        </w:tc>
        <w:tc>
          <w:tcPr>
            <w:tcW w:w="643" w:type="pct"/>
            <w:tcMar>
              <w:left w:w="0" w:type="dxa"/>
              <w:right w:w="0" w:type="dxa"/>
            </w:tcMar>
            <w:vAlign w:val="center"/>
          </w:tcPr>
          <w:p>
            <w:pPr>
              <w:pStyle w:val="167"/>
              <w:rPr>
                <w:rFonts w:hint="default" w:ascii="Times New Roman" w:hAnsi="Times New Roman" w:cs="Times New Roman"/>
                <w:color w:val="auto"/>
              </w:rPr>
            </w:pPr>
            <w:r>
              <w:rPr>
                <w:rFonts w:hint="default" w:ascii="Times New Roman" w:hAnsi="Times New Roman" w:cs="Times New Roman"/>
                <w:color w:val="auto"/>
                <w:lang w:eastAsia="zh-CN"/>
              </w:rPr>
              <w:t>废活性炭</w:t>
            </w:r>
          </w:p>
        </w:tc>
        <w:tc>
          <w:tcPr>
            <w:tcW w:w="909" w:type="pct"/>
            <w:tcMar>
              <w:left w:w="0" w:type="dxa"/>
              <w:right w:w="0" w:type="dxa"/>
            </w:tcMar>
            <w:vAlign w:val="center"/>
          </w:tcPr>
          <w:p>
            <w:pPr>
              <w:pStyle w:val="167"/>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cs="Times New Roman"/>
                <w:color w:val="auto"/>
                <w:lang w:eastAsia="zh-CN"/>
              </w:rPr>
              <w:t>废活性炭</w:t>
            </w:r>
          </w:p>
        </w:tc>
        <w:tc>
          <w:tcPr>
            <w:tcW w:w="2050" w:type="pct"/>
            <w:gridSpan w:val="2"/>
            <w:tcMar>
              <w:left w:w="0" w:type="dxa"/>
              <w:right w:w="0" w:type="dxa"/>
            </w:tcMar>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暂存在</w:t>
            </w:r>
            <w:r>
              <w:rPr>
                <w:rFonts w:hint="default" w:ascii="Times New Roman" w:hAnsi="Times New Roman" w:cs="Times New Roman"/>
                <w:color w:val="auto"/>
                <w:lang w:eastAsia="zh-CN"/>
              </w:rPr>
              <w:t>化学品库内设置的危废暂存间内</w:t>
            </w:r>
            <w:r>
              <w:rPr>
                <w:rFonts w:hint="default" w:ascii="Times New Roman" w:hAnsi="Times New Roman" w:cs="Times New Roman"/>
                <w:color w:val="auto"/>
              </w:rPr>
              <w:t>，委托</w:t>
            </w:r>
            <w:r>
              <w:rPr>
                <w:rFonts w:hint="default" w:ascii="Times New Roman" w:hAnsi="Times New Roman" w:cs="Times New Roman"/>
                <w:color w:val="auto"/>
                <w:lang w:eastAsia="zh-CN"/>
              </w:rPr>
              <w:t>有危废处置资质的单位进行</w:t>
            </w:r>
            <w:r>
              <w:rPr>
                <w:rFonts w:hint="default" w:ascii="Times New Roman" w:hAnsi="Times New Roman" w:cs="Times New Roman"/>
                <w:color w:val="auto"/>
              </w:rPr>
              <w:t>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309" w:type="pct"/>
            <w:vMerge w:val="continue"/>
            <w:tcMar>
              <w:left w:w="0" w:type="dxa"/>
              <w:right w:w="0" w:type="dxa"/>
            </w:tcMar>
            <w:vAlign w:val="center"/>
          </w:tcPr>
          <w:p>
            <w:pPr>
              <w:pStyle w:val="167"/>
              <w:rPr>
                <w:rFonts w:hint="default" w:ascii="Times New Roman" w:hAnsi="Times New Roman" w:cs="Times New Roman"/>
                <w:color w:val="auto"/>
              </w:rPr>
            </w:pPr>
          </w:p>
        </w:tc>
        <w:tc>
          <w:tcPr>
            <w:tcW w:w="340" w:type="pct"/>
            <w:tcMar>
              <w:left w:w="0" w:type="dxa"/>
              <w:right w:w="0" w:type="dxa"/>
            </w:tcMar>
            <w:vAlign w:val="center"/>
          </w:tcPr>
          <w:p>
            <w:pPr>
              <w:pStyle w:val="167"/>
              <w:rPr>
                <w:rFonts w:hint="default" w:ascii="Times New Roman" w:hAnsi="Times New Roman" w:eastAsia="宋体" w:cs="Times New Roman"/>
                <w:color w:val="auto"/>
                <w:lang w:eastAsia="zh-CN"/>
              </w:rPr>
            </w:pPr>
            <w:r>
              <w:rPr>
                <w:rFonts w:hint="default" w:ascii="Times New Roman" w:hAnsi="Times New Roman" w:cs="Times New Roman"/>
                <w:color w:val="auto"/>
              </w:rPr>
              <w:t>S</w:t>
            </w:r>
            <w:r>
              <w:rPr>
                <w:rFonts w:hint="default" w:ascii="Times New Roman" w:hAnsi="Times New Roman" w:cs="Times New Roman"/>
                <w:color w:val="auto"/>
                <w:lang w:val="en-US" w:eastAsia="zh-CN"/>
              </w:rPr>
              <w:t>5</w:t>
            </w:r>
          </w:p>
        </w:tc>
        <w:tc>
          <w:tcPr>
            <w:tcW w:w="747" w:type="pct"/>
            <w:tcMar>
              <w:left w:w="0" w:type="dxa"/>
              <w:right w:w="0" w:type="dxa"/>
            </w:tcMar>
            <w:vAlign w:val="center"/>
          </w:tcPr>
          <w:p>
            <w:pPr>
              <w:pStyle w:val="167"/>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隔膜板框压滤机压滤过程</w:t>
            </w:r>
          </w:p>
        </w:tc>
        <w:tc>
          <w:tcPr>
            <w:tcW w:w="643" w:type="pct"/>
            <w:tcMar>
              <w:left w:w="0" w:type="dxa"/>
              <w:right w:w="0" w:type="dxa"/>
            </w:tcMar>
            <w:vAlign w:val="center"/>
          </w:tcPr>
          <w:p>
            <w:pPr>
              <w:pStyle w:val="167"/>
              <w:rPr>
                <w:rFonts w:hint="default" w:ascii="Times New Roman" w:hAnsi="Times New Roman" w:cs="Times New Roman"/>
                <w:color w:val="auto"/>
              </w:rPr>
            </w:pPr>
            <w:r>
              <w:rPr>
                <w:rFonts w:hint="default" w:ascii="Times New Roman" w:hAnsi="Times New Roman" w:cs="Times New Roman"/>
                <w:color w:val="auto"/>
                <w:lang w:eastAsia="zh-CN"/>
              </w:rPr>
              <w:t>压滤硅泥</w:t>
            </w:r>
          </w:p>
        </w:tc>
        <w:tc>
          <w:tcPr>
            <w:tcW w:w="909" w:type="pct"/>
            <w:tcMar>
              <w:left w:w="0" w:type="dxa"/>
              <w:right w:w="0" w:type="dxa"/>
            </w:tcMar>
            <w:vAlign w:val="center"/>
          </w:tcPr>
          <w:p>
            <w:pPr>
              <w:pStyle w:val="167"/>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cs="Times New Roman"/>
                <w:color w:val="auto"/>
                <w:lang w:eastAsia="zh-CN"/>
              </w:rPr>
              <w:t>压滤硅泥</w:t>
            </w:r>
          </w:p>
        </w:tc>
        <w:tc>
          <w:tcPr>
            <w:tcW w:w="2050" w:type="pct"/>
            <w:gridSpan w:val="2"/>
            <w:tcMar>
              <w:left w:w="0" w:type="dxa"/>
              <w:right w:w="0" w:type="dxa"/>
            </w:tcMar>
            <w:vAlign w:val="center"/>
          </w:tcPr>
          <w:p>
            <w:pPr>
              <w:pStyle w:val="167"/>
              <w:rPr>
                <w:rFonts w:hint="default" w:ascii="Times New Roman" w:hAnsi="Times New Roman" w:cs="Times New Roman"/>
                <w:color w:val="auto"/>
              </w:rPr>
            </w:pPr>
            <w:r>
              <w:rPr>
                <w:rFonts w:hint="default" w:ascii="Times New Roman" w:hAnsi="Times New Roman" w:cs="Times New Roman"/>
                <w:color w:val="auto"/>
                <w:lang w:eastAsia="zh-CN"/>
              </w:rPr>
              <w:t>暂存在硅泥库，外售给工业硅生产企业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09" w:type="pct"/>
            <w:vMerge w:val="continue"/>
            <w:tcMar>
              <w:left w:w="0" w:type="dxa"/>
              <w:right w:w="0" w:type="dxa"/>
            </w:tcMar>
            <w:vAlign w:val="center"/>
          </w:tcPr>
          <w:p>
            <w:pPr>
              <w:pStyle w:val="167"/>
              <w:rPr>
                <w:rFonts w:hint="default" w:ascii="Times New Roman" w:hAnsi="Times New Roman" w:cs="Times New Roman"/>
                <w:color w:val="auto"/>
              </w:rPr>
            </w:pPr>
          </w:p>
        </w:tc>
        <w:tc>
          <w:tcPr>
            <w:tcW w:w="340" w:type="pct"/>
            <w:tcMar>
              <w:left w:w="0" w:type="dxa"/>
              <w:right w:w="0" w:type="dxa"/>
            </w:tcMar>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S6</w:t>
            </w:r>
          </w:p>
        </w:tc>
        <w:tc>
          <w:tcPr>
            <w:tcW w:w="747" w:type="pct"/>
            <w:tcMar>
              <w:left w:w="0" w:type="dxa"/>
              <w:right w:w="0" w:type="dxa"/>
            </w:tcMar>
            <w:vAlign w:val="center"/>
          </w:tcPr>
          <w:p>
            <w:pPr>
              <w:pStyle w:val="167"/>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废水处理过程</w:t>
            </w:r>
          </w:p>
        </w:tc>
        <w:tc>
          <w:tcPr>
            <w:tcW w:w="643" w:type="pct"/>
            <w:tcMar>
              <w:left w:w="0" w:type="dxa"/>
              <w:right w:w="0" w:type="dxa"/>
            </w:tcMar>
            <w:vAlign w:val="center"/>
          </w:tcPr>
          <w:p>
            <w:pPr>
              <w:pStyle w:val="167"/>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综合污水处理站污泥</w:t>
            </w:r>
          </w:p>
        </w:tc>
        <w:tc>
          <w:tcPr>
            <w:tcW w:w="909" w:type="pct"/>
            <w:tcMar>
              <w:left w:w="0" w:type="dxa"/>
              <w:right w:w="0" w:type="dxa"/>
            </w:tcMar>
            <w:vAlign w:val="center"/>
          </w:tcPr>
          <w:p>
            <w:pPr>
              <w:pStyle w:val="167"/>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cs="Times New Roman"/>
                <w:color w:val="auto"/>
                <w:lang w:eastAsia="zh-CN"/>
              </w:rPr>
              <w:t>污水处理站污泥</w:t>
            </w:r>
          </w:p>
        </w:tc>
        <w:tc>
          <w:tcPr>
            <w:tcW w:w="2050" w:type="pct"/>
            <w:gridSpan w:val="2"/>
            <w:tcMar>
              <w:left w:w="0" w:type="dxa"/>
              <w:right w:w="0" w:type="dxa"/>
            </w:tcMar>
            <w:vAlign w:val="center"/>
          </w:tcPr>
          <w:p>
            <w:pPr>
              <w:pStyle w:val="167"/>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需进行固废属性鉴别，属于危废则交由有危废处置资质的单位进行处置，属于一般固废则外售给污泥综合利用公司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09" w:type="pct"/>
            <w:vMerge w:val="continue"/>
            <w:tcMar>
              <w:left w:w="0" w:type="dxa"/>
              <w:right w:w="0" w:type="dxa"/>
            </w:tcMar>
            <w:vAlign w:val="center"/>
          </w:tcPr>
          <w:p>
            <w:pPr>
              <w:pStyle w:val="167"/>
              <w:rPr>
                <w:rFonts w:hint="default" w:ascii="Times New Roman" w:hAnsi="Times New Roman" w:cs="Times New Roman"/>
                <w:color w:val="auto"/>
              </w:rPr>
            </w:pPr>
          </w:p>
        </w:tc>
        <w:tc>
          <w:tcPr>
            <w:tcW w:w="340" w:type="pct"/>
            <w:tcMar>
              <w:left w:w="0" w:type="dxa"/>
              <w:right w:w="0" w:type="dxa"/>
            </w:tcMar>
            <w:vAlign w:val="center"/>
          </w:tcPr>
          <w:p>
            <w:pPr>
              <w:pStyle w:val="167"/>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S7</w:t>
            </w:r>
          </w:p>
        </w:tc>
        <w:tc>
          <w:tcPr>
            <w:tcW w:w="747" w:type="pct"/>
            <w:tcMar>
              <w:left w:w="0" w:type="dxa"/>
              <w:right w:w="0" w:type="dxa"/>
            </w:tcMar>
            <w:vAlign w:val="center"/>
          </w:tcPr>
          <w:p>
            <w:pPr>
              <w:pStyle w:val="167"/>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纯水制备过程</w:t>
            </w:r>
          </w:p>
        </w:tc>
        <w:tc>
          <w:tcPr>
            <w:tcW w:w="643" w:type="pct"/>
            <w:tcMar>
              <w:left w:w="0" w:type="dxa"/>
              <w:right w:w="0" w:type="dxa"/>
            </w:tcMar>
            <w:vAlign w:val="center"/>
          </w:tcPr>
          <w:p>
            <w:pPr>
              <w:pStyle w:val="167"/>
              <w:rPr>
                <w:rFonts w:hint="default" w:ascii="Times New Roman" w:hAnsi="Times New Roman" w:cs="Times New Roman"/>
                <w:color w:val="auto"/>
              </w:rPr>
            </w:pPr>
            <w:r>
              <w:rPr>
                <w:rFonts w:hint="default" w:ascii="Times New Roman" w:hAnsi="Times New Roman" w:cs="Times New Roman"/>
                <w:color w:val="auto"/>
                <w:lang w:eastAsia="zh-CN"/>
              </w:rPr>
              <w:t>废反渗透膜和废离子交换树脂</w:t>
            </w:r>
          </w:p>
        </w:tc>
        <w:tc>
          <w:tcPr>
            <w:tcW w:w="909" w:type="pct"/>
            <w:tcMar>
              <w:left w:w="0" w:type="dxa"/>
              <w:right w:w="0" w:type="dxa"/>
            </w:tcMar>
            <w:vAlign w:val="center"/>
          </w:tcPr>
          <w:p>
            <w:pPr>
              <w:pStyle w:val="167"/>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cs="Times New Roman"/>
                <w:color w:val="auto"/>
                <w:lang w:eastAsia="zh-CN"/>
              </w:rPr>
              <w:t>废反渗透膜和废离子交换树脂</w:t>
            </w:r>
          </w:p>
        </w:tc>
        <w:tc>
          <w:tcPr>
            <w:tcW w:w="2050" w:type="pct"/>
            <w:gridSpan w:val="2"/>
            <w:tcMar>
              <w:left w:w="0" w:type="dxa"/>
              <w:right w:w="0" w:type="dxa"/>
            </w:tcMar>
            <w:vAlign w:val="center"/>
          </w:tcPr>
          <w:p>
            <w:pPr>
              <w:pStyle w:val="167"/>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由生产厂家上门回收处置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309" w:type="pct"/>
            <w:vMerge w:val="continue"/>
            <w:tcMar>
              <w:left w:w="0" w:type="dxa"/>
              <w:right w:w="0" w:type="dxa"/>
            </w:tcMar>
            <w:vAlign w:val="center"/>
          </w:tcPr>
          <w:p>
            <w:pPr>
              <w:pStyle w:val="167"/>
              <w:rPr>
                <w:rFonts w:hint="default" w:ascii="Times New Roman" w:hAnsi="Times New Roman" w:cs="Times New Roman"/>
                <w:color w:val="auto"/>
              </w:rPr>
            </w:pPr>
          </w:p>
        </w:tc>
        <w:tc>
          <w:tcPr>
            <w:tcW w:w="1087" w:type="pct"/>
            <w:gridSpan w:val="2"/>
            <w:tcMar>
              <w:left w:w="0" w:type="dxa"/>
              <w:right w:w="0" w:type="dxa"/>
            </w:tcMar>
            <w:vAlign w:val="center"/>
          </w:tcPr>
          <w:p>
            <w:pPr>
              <w:pStyle w:val="167"/>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职工办公生活</w:t>
            </w:r>
          </w:p>
        </w:tc>
        <w:tc>
          <w:tcPr>
            <w:tcW w:w="643" w:type="pct"/>
            <w:tcMar>
              <w:left w:w="0" w:type="dxa"/>
              <w:right w:w="0" w:type="dxa"/>
            </w:tcMar>
            <w:vAlign w:val="center"/>
          </w:tcPr>
          <w:p>
            <w:pPr>
              <w:pStyle w:val="167"/>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生活垃圾</w:t>
            </w:r>
          </w:p>
        </w:tc>
        <w:tc>
          <w:tcPr>
            <w:tcW w:w="909" w:type="pct"/>
            <w:tcMar>
              <w:left w:w="0" w:type="dxa"/>
              <w:right w:w="0" w:type="dxa"/>
            </w:tcMar>
            <w:vAlign w:val="center"/>
          </w:tcPr>
          <w:p>
            <w:pPr>
              <w:pStyle w:val="167"/>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cs="Times New Roman"/>
                <w:color w:val="auto"/>
                <w:lang w:eastAsia="zh-CN"/>
              </w:rPr>
              <w:t>生活垃圾</w:t>
            </w:r>
          </w:p>
        </w:tc>
        <w:tc>
          <w:tcPr>
            <w:tcW w:w="2050" w:type="pct"/>
            <w:gridSpan w:val="2"/>
            <w:tcMar>
              <w:left w:w="0" w:type="dxa"/>
              <w:right w:w="0" w:type="dxa"/>
            </w:tcMar>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由环卫部门定期清运处置</w:t>
            </w:r>
          </w:p>
        </w:tc>
      </w:tr>
    </w:tbl>
    <w:p>
      <w:pPr>
        <w:pStyle w:val="6"/>
        <w:spacing w:beforeLines="50" w:after="0" w:line="360" w:lineRule="auto"/>
        <w:rPr>
          <w:rFonts w:hint="default" w:ascii="Times New Roman" w:hAnsi="Times New Roman" w:cs="Times New Roman"/>
          <w:color w:val="auto"/>
          <w:szCs w:val="28"/>
        </w:rPr>
      </w:pPr>
      <w:bookmarkStart w:id="300" w:name="_Toc16222"/>
      <w:r>
        <w:rPr>
          <w:rFonts w:hint="default" w:ascii="Times New Roman" w:hAnsi="Times New Roman" w:cs="Times New Roman"/>
          <w:color w:val="auto"/>
          <w:szCs w:val="28"/>
          <w:lang w:val="en-US" w:eastAsia="zh-CN"/>
        </w:rPr>
        <w:t>3</w:t>
      </w:r>
      <w:r>
        <w:rPr>
          <w:rFonts w:hint="default" w:ascii="Times New Roman" w:hAnsi="Times New Roman" w:cs="Times New Roman"/>
          <w:color w:val="auto"/>
          <w:szCs w:val="28"/>
        </w:rPr>
        <w:t>.2.3</w:t>
      </w:r>
      <w:r>
        <w:rPr>
          <w:rFonts w:hint="default" w:ascii="Times New Roman" w:hAnsi="Times New Roman" w:cs="Times New Roman"/>
          <w:color w:val="auto"/>
          <w:szCs w:val="28"/>
          <w:lang w:eastAsia="zh-CN"/>
        </w:rPr>
        <w:t>硅</w:t>
      </w:r>
      <w:r>
        <w:rPr>
          <w:rFonts w:hint="default" w:ascii="Times New Roman" w:hAnsi="Times New Roman" w:cs="Times New Roman"/>
          <w:color w:val="auto"/>
          <w:szCs w:val="28"/>
        </w:rPr>
        <w:t>物料平衡</w:t>
      </w:r>
      <w:bookmarkEnd w:id="300"/>
    </w:p>
    <w:p>
      <w:pPr>
        <w:snapToGrid w:val="0"/>
        <w:spacing w:line="360" w:lineRule="auto"/>
        <w:ind w:firstLine="480" w:firstLineChars="200"/>
        <w:rPr>
          <w:rFonts w:hint="default" w:ascii="Times New Roman" w:hAnsi="Times New Roman" w:cs="Times New Roman"/>
          <w:snapToGrid w:val="0"/>
          <w:color w:val="auto"/>
          <w:szCs w:val="20"/>
        </w:rPr>
      </w:pPr>
      <w:r>
        <w:rPr>
          <w:rFonts w:hint="default" w:ascii="Times New Roman" w:hAnsi="Times New Roman" w:cs="Times New Roman"/>
          <w:snapToGrid w:val="0"/>
          <w:color w:val="auto"/>
          <w:szCs w:val="20"/>
        </w:rPr>
        <w:t>项目</w:t>
      </w:r>
      <w:r>
        <w:rPr>
          <w:rFonts w:hint="default" w:ascii="Times New Roman" w:hAnsi="Times New Roman" w:cs="Times New Roman"/>
          <w:snapToGrid w:val="0"/>
          <w:color w:val="auto"/>
          <w:szCs w:val="20"/>
          <w:lang w:eastAsia="zh-CN"/>
        </w:rPr>
        <w:t>硅</w:t>
      </w:r>
      <w:r>
        <w:rPr>
          <w:rFonts w:hint="default" w:ascii="Times New Roman" w:hAnsi="Times New Roman" w:cs="Times New Roman"/>
          <w:snapToGrid w:val="0"/>
          <w:color w:val="auto"/>
          <w:szCs w:val="20"/>
        </w:rPr>
        <w:t>物料平衡根据建设单位提供的物料投入及产品产出量按照质量守恒定律进行推算得到。　</w:t>
      </w:r>
    </w:p>
    <w:p>
      <w:pPr>
        <w:pStyle w:val="133"/>
        <w:numPr>
          <w:ilvl w:val="0"/>
          <w:numId w:val="11"/>
        </w:numPr>
        <w:spacing w:line="360" w:lineRule="auto"/>
        <w:ind w:left="0" w:leftChars="0" w:firstLine="0" w:firstLineChars="0"/>
        <w:jc w:val="center"/>
        <w:rPr>
          <w:rFonts w:hint="default" w:ascii="Times New Roman" w:hAnsi="Times New Roman" w:cs="Times New Roman"/>
          <w:b/>
          <w:bCs/>
          <w:color w:val="auto"/>
        </w:rPr>
      </w:pPr>
      <w:r>
        <w:rPr>
          <w:rFonts w:hint="default" w:ascii="Times New Roman" w:hAnsi="Times New Roman" w:cs="Times New Roman"/>
          <w:b/>
          <w:bCs/>
          <w:color w:val="auto"/>
        </w:rPr>
        <w:t>项目</w:t>
      </w:r>
      <w:r>
        <w:rPr>
          <w:rFonts w:hint="default" w:ascii="Times New Roman" w:hAnsi="Times New Roman" w:cs="Times New Roman"/>
          <w:b/>
          <w:bCs/>
          <w:color w:val="auto"/>
          <w:lang w:eastAsia="zh-CN"/>
        </w:rPr>
        <w:t>硅</w:t>
      </w:r>
      <w:r>
        <w:rPr>
          <w:rFonts w:hint="default" w:ascii="Times New Roman" w:hAnsi="Times New Roman" w:cs="Times New Roman"/>
          <w:b/>
          <w:bCs/>
          <w:color w:val="auto"/>
        </w:rPr>
        <w:t>物料平衡</w:t>
      </w:r>
    </w:p>
    <w:tbl>
      <w:tblPr>
        <w:tblStyle w:val="44"/>
        <w:tblW w:w="463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6"/>
        <w:gridCol w:w="1701"/>
        <w:gridCol w:w="972"/>
        <w:gridCol w:w="1837"/>
        <w:gridCol w:w="15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 w:hRule="atLeast"/>
          <w:jc w:val="center"/>
        </w:trPr>
        <w:tc>
          <w:tcPr>
            <w:tcW w:w="2248" w:type="pct"/>
            <w:gridSpan w:val="2"/>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投入（t/a）</w:t>
            </w:r>
          </w:p>
        </w:tc>
        <w:tc>
          <w:tcPr>
            <w:tcW w:w="2751" w:type="pct"/>
            <w:gridSpan w:val="3"/>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产出（t/a）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6" w:hRule="atLeast"/>
          <w:jc w:val="center"/>
        </w:trPr>
        <w:tc>
          <w:tcPr>
            <w:tcW w:w="1173" w:type="pct"/>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单晶硅棒</w:t>
            </w:r>
          </w:p>
        </w:tc>
        <w:tc>
          <w:tcPr>
            <w:tcW w:w="1075" w:type="pct"/>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10695.18</w:t>
            </w:r>
          </w:p>
        </w:tc>
        <w:tc>
          <w:tcPr>
            <w:tcW w:w="614" w:type="pct"/>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产品</w:t>
            </w:r>
          </w:p>
        </w:tc>
        <w:tc>
          <w:tcPr>
            <w:tcW w:w="1161" w:type="pct"/>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单晶硅切片</w:t>
            </w:r>
          </w:p>
        </w:tc>
        <w:tc>
          <w:tcPr>
            <w:tcW w:w="976" w:type="pct"/>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8881.91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 w:hRule="atLeast"/>
          <w:jc w:val="center"/>
        </w:trPr>
        <w:tc>
          <w:tcPr>
            <w:tcW w:w="1173" w:type="pct"/>
            <w:vAlign w:val="center"/>
          </w:tcPr>
          <w:p>
            <w:pPr>
              <w:jc w:val="center"/>
              <w:rPr>
                <w:rFonts w:hint="default" w:ascii="Times New Roman" w:hAnsi="Times New Roman" w:cs="Times New Roman"/>
                <w:color w:val="auto"/>
                <w:sz w:val="21"/>
                <w:szCs w:val="21"/>
              </w:rPr>
            </w:pPr>
          </w:p>
        </w:tc>
        <w:tc>
          <w:tcPr>
            <w:tcW w:w="1075" w:type="pct"/>
            <w:vAlign w:val="center"/>
          </w:tcPr>
          <w:p>
            <w:pPr>
              <w:jc w:val="center"/>
              <w:rPr>
                <w:rFonts w:hint="default" w:ascii="Times New Roman" w:hAnsi="Times New Roman" w:cs="Times New Roman"/>
                <w:color w:val="auto"/>
                <w:sz w:val="21"/>
                <w:szCs w:val="21"/>
              </w:rPr>
            </w:pPr>
          </w:p>
        </w:tc>
        <w:tc>
          <w:tcPr>
            <w:tcW w:w="614" w:type="pct"/>
            <w:vAlign w:val="center"/>
          </w:tcPr>
          <w:p>
            <w:pPr>
              <w:jc w:val="center"/>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eastAsia="zh-CN"/>
              </w:rPr>
              <w:t>废气</w:t>
            </w:r>
          </w:p>
        </w:tc>
        <w:tc>
          <w:tcPr>
            <w:tcW w:w="1161" w:type="pct"/>
            <w:vAlign w:val="center"/>
          </w:tcPr>
          <w:p>
            <w:pPr>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粉尘（硅粉）</w:t>
            </w:r>
          </w:p>
        </w:tc>
        <w:tc>
          <w:tcPr>
            <w:tcW w:w="976" w:type="pct"/>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0.33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 w:hRule="atLeast"/>
          <w:jc w:val="center"/>
        </w:trPr>
        <w:tc>
          <w:tcPr>
            <w:tcW w:w="1173" w:type="pct"/>
            <w:vAlign w:val="center"/>
          </w:tcPr>
          <w:p>
            <w:pPr>
              <w:jc w:val="center"/>
              <w:rPr>
                <w:rFonts w:hint="default" w:ascii="Times New Roman" w:hAnsi="Times New Roman" w:cs="Times New Roman"/>
                <w:color w:val="auto"/>
                <w:sz w:val="21"/>
                <w:szCs w:val="21"/>
              </w:rPr>
            </w:pPr>
          </w:p>
        </w:tc>
        <w:tc>
          <w:tcPr>
            <w:tcW w:w="1075" w:type="pct"/>
            <w:vAlign w:val="center"/>
          </w:tcPr>
          <w:p>
            <w:pPr>
              <w:jc w:val="center"/>
              <w:rPr>
                <w:rFonts w:hint="default" w:ascii="Times New Roman" w:hAnsi="Times New Roman" w:cs="Times New Roman"/>
                <w:color w:val="auto"/>
                <w:sz w:val="21"/>
                <w:szCs w:val="21"/>
              </w:rPr>
            </w:pPr>
          </w:p>
        </w:tc>
        <w:tc>
          <w:tcPr>
            <w:tcW w:w="614" w:type="pct"/>
            <w:vMerge w:val="restart"/>
            <w:vAlign w:val="center"/>
          </w:tcPr>
          <w:p>
            <w:pPr>
              <w:jc w:val="center"/>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eastAsia="zh-CN"/>
              </w:rPr>
              <w:t>固废</w:t>
            </w:r>
          </w:p>
        </w:tc>
        <w:tc>
          <w:tcPr>
            <w:tcW w:w="1161" w:type="pct"/>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废切片</w:t>
            </w:r>
          </w:p>
        </w:tc>
        <w:tc>
          <w:tcPr>
            <w:tcW w:w="976" w:type="pct"/>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181.26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 w:hRule="atLeast"/>
          <w:jc w:val="center"/>
        </w:trPr>
        <w:tc>
          <w:tcPr>
            <w:tcW w:w="1173" w:type="pct"/>
            <w:vAlign w:val="center"/>
          </w:tcPr>
          <w:p>
            <w:pPr>
              <w:jc w:val="center"/>
              <w:rPr>
                <w:rFonts w:hint="default" w:ascii="Times New Roman" w:hAnsi="Times New Roman" w:cs="Times New Roman"/>
                <w:color w:val="auto"/>
                <w:sz w:val="21"/>
                <w:szCs w:val="21"/>
              </w:rPr>
            </w:pPr>
          </w:p>
        </w:tc>
        <w:tc>
          <w:tcPr>
            <w:tcW w:w="1075" w:type="pct"/>
            <w:vAlign w:val="center"/>
          </w:tcPr>
          <w:p>
            <w:pPr>
              <w:jc w:val="center"/>
              <w:rPr>
                <w:rFonts w:hint="default" w:ascii="Times New Roman" w:hAnsi="Times New Roman" w:cs="Times New Roman"/>
                <w:color w:val="auto"/>
                <w:sz w:val="21"/>
                <w:szCs w:val="21"/>
              </w:rPr>
            </w:pPr>
          </w:p>
        </w:tc>
        <w:tc>
          <w:tcPr>
            <w:tcW w:w="614" w:type="pct"/>
            <w:vMerge w:val="continue"/>
            <w:vAlign w:val="center"/>
          </w:tcPr>
          <w:p>
            <w:pPr>
              <w:jc w:val="center"/>
              <w:rPr>
                <w:rFonts w:hint="default" w:ascii="Times New Roman" w:hAnsi="Times New Roman" w:cs="Times New Roman" w:eastAsiaTheme="minorEastAsia"/>
                <w:color w:val="auto"/>
                <w:sz w:val="21"/>
                <w:szCs w:val="21"/>
                <w:lang w:eastAsia="zh-CN"/>
              </w:rPr>
            </w:pPr>
          </w:p>
        </w:tc>
        <w:tc>
          <w:tcPr>
            <w:tcW w:w="1161" w:type="pct"/>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压滤硅泥</w:t>
            </w:r>
          </w:p>
        </w:tc>
        <w:tc>
          <w:tcPr>
            <w:tcW w:w="976" w:type="pct"/>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1631.69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 w:hRule="atLeast"/>
          <w:jc w:val="center"/>
        </w:trPr>
        <w:tc>
          <w:tcPr>
            <w:tcW w:w="1173" w:type="pct"/>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合计</w:t>
            </w:r>
          </w:p>
        </w:tc>
        <w:tc>
          <w:tcPr>
            <w:tcW w:w="1075" w:type="pct"/>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color w:val="auto"/>
                <w:sz w:val="21"/>
                <w:szCs w:val="21"/>
                <w:lang w:val="en-US" w:eastAsia="zh-CN"/>
              </w:rPr>
              <w:t>10695.18</w:t>
            </w:r>
          </w:p>
        </w:tc>
        <w:tc>
          <w:tcPr>
            <w:tcW w:w="1775" w:type="pct"/>
            <w:gridSpan w:val="2"/>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合计</w:t>
            </w:r>
          </w:p>
        </w:tc>
        <w:tc>
          <w:tcPr>
            <w:tcW w:w="976" w:type="pct"/>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10695.18 </w:t>
            </w:r>
          </w:p>
        </w:tc>
      </w:tr>
    </w:tbl>
    <w:p>
      <w:pPr>
        <w:pStyle w:val="6"/>
        <w:keepNext/>
        <w:keepLines/>
        <w:pageBreakBefore w:val="0"/>
        <w:widowControl w:val="0"/>
        <w:kinsoku/>
        <w:wordWrap/>
        <w:overflowPunct/>
        <w:topLinePunct w:val="0"/>
        <w:autoSpaceDE/>
        <w:autoSpaceDN/>
        <w:bidi w:val="0"/>
        <w:adjustRightInd/>
        <w:snapToGrid/>
        <w:spacing w:before="157" w:beforeLines="50" w:after="0" w:line="360" w:lineRule="auto"/>
        <w:textAlignment w:val="auto"/>
        <w:rPr>
          <w:rFonts w:hint="default" w:ascii="Times New Roman" w:hAnsi="Times New Roman" w:cs="Times New Roman"/>
          <w:color w:val="auto"/>
          <w:szCs w:val="28"/>
        </w:rPr>
      </w:pPr>
      <w:bookmarkStart w:id="301" w:name="_Toc69114971"/>
      <w:bookmarkStart w:id="302" w:name="_Toc28388"/>
      <w:r>
        <w:rPr>
          <w:rFonts w:hint="default" w:ascii="Times New Roman" w:hAnsi="Times New Roman" w:cs="Times New Roman"/>
          <w:color w:val="auto"/>
          <w:szCs w:val="28"/>
          <w:lang w:val="en-US" w:eastAsia="zh-CN"/>
        </w:rPr>
        <w:t>3</w:t>
      </w:r>
      <w:r>
        <w:rPr>
          <w:rFonts w:hint="default" w:ascii="Times New Roman" w:hAnsi="Times New Roman" w:cs="Times New Roman"/>
          <w:color w:val="auto"/>
          <w:szCs w:val="28"/>
        </w:rPr>
        <w:t>.2.</w:t>
      </w:r>
      <w:r>
        <w:rPr>
          <w:rFonts w:hint="default" w:ascii="Times New Roman" w:hAnsi="Times New Roman" w:cs="Times New Roman"/>
          <w:color w:val="auto"/>
          <w:szCs w:val="28"/>
          <w:lang w:val="en-US" w:eastAsia="zh-CN"/>
        </w:rPr>
        <w:t>4</w:t>
      </w:r>
      <w:r>
        <w:rPr>
          <w:rFonts w:hint="default" w:ascii="Times New Roman" w:hAnsi="Times New Roman" w:cs="Times New Roman"/>
          <w:color w:val="auto"/>
          <w:szCs w:val="28"/>
        </w:rPr>
        <w:t>营运期污染分析</w:t>
      </w:r>
      <w:bookmarkEnd w:id="301"/>
      <w:bookmarkEnd w:id="302"/>
    </w:p>
    <w:p>
      <w:pPr>
        <w:spacing w:line="360" w:lineRule="auto"/>
        <w:ind w:firstLine="482" w:firstLineChars="200"/>
        <w:rPr>
          <w:rFonts w:hint="default" w:ascii="Times New Roman" w:hAnsi="Times New Roman" w:cs="Times New Roman"/>
          <w:b/>
          <w:color w:val="auto"/>
        </w:rPr>
      </w:pPr>
      <w:r>
        <w:rPr>
          <w:rFonts w:hint="default" w:ascii="Times New Roman" w:hAnsi="Times New Roman" w:cs="Times New Roman"/>
          <w:b/>
          <w:color w:val="auto"/>
        </w:rPr>
        <w:t>一、废气</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本项目排放的废气主要为</w:t>
      </w:r>
      <w:r>
        <w:rPr>
          <w:rFonts w:hint="default" w:ascii="Times New Roman" w:hAnsi="Times New Roman" w:cs="Times New Roman"/>
          <w:color w:val="auto"/>
          <w:lang w:eastAsia="zh-CN"/>
        </w:rPr>
        <w:t>有机废气、切片粉尘、酸洗废气、综合污水处理站恶臭</w:t>
      </w:r>
      <w:r>
        <w:rPr>
          <w:rFonts w:hint="default" w:ascii="Times New Roman" w:hAnsi="Times New Roman" w:cs="Times New Roman"/>
          <w:color w:val="auto"/>
        </w:rPr>
        <w:t>。</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cs="Times New Roman"/>
          <w:color w:val="auto"/>
          <w:lang w:val="en-US" w:eastAsia="zh-CN"/>
        </w:rPr>
        <w:t>1</w:t>
      </w:r>
      <w:r>
        <w:rPr>
          <w:rFonts w:hint="default" w:ascii="Times New Roman" w:hAnsi="Times New Roman" w:cs="Times New Roman"/>
          <w:color w:val="auto"/>
        </w:rPr>
        <w:t>）有机废气</w:t>
      </w:r>
    </w:p>
    <w:p>
      <w:pPr>
        <w:spacing w:line="360" w:lineRule="auto"/>
        <w:ind w:firstLine="480" w:firstLineChars="200"/>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项目有机废气主要为工业酒精擦拭、粘棒过程产生。</w:t>
      </w:r>
    </w:p>
    <w:p>
      <w:pPr>
        <w:spacing w:line="360" w:lineRule="auto"/>
        <w:ind w:firstLine="480" w:firstLineChars="200"/>
        <w:rPr>
          <w:rFonts w:hint="default" w:ascii="Times New Roman" w:hAnsi="Times New Roman" w:eastAsia="宋体" w:cs="Times New Roman"/>
          <w:color w:val="auto"/>
          <w:lang w:val="en-US" w:eastAsia="zh-CN"/>
        </w:rPr>
      </w:pPr>
      <w:r>
        <w:rPr>
          <w:rFonts w:hint="default" w:ascii="Times New Roman" w:hAnsi="Times New Roman" w:cs="Times New Roman"/>
          <w:color w:val="auto"/>
          <w:lang w:eastAsia="zh-CN"/>
        </w:rPr>
        <w:t>项目使用浓度为</w:t>
      </w:r>
      <w:r>
        <w:rPr>
          <w:rFonts w:hint="default" w:ascii="Times New Roman" w:hAnsi="Times New Roman" w:cs="Times New Roman"/>
          <w:color w:val="auto"/>
          <w:lang w:val="en-US" w:eastAsia="zh-CN"/>
        </w:rPr>
        <w:t>95%的工业酒精（年使用量为3.6t）擦拭方棒表面进行清洁，以便后续粘胶，方棒擦拭后自然晾干，酒精完全挥发，则挥发的有机废气量为3.42t/a、0.39kg/h。</w:t>
      </w:r>
    </w:p>
    <w:p>
      <w:pPr>
        <w:spacing w:line="360" w:lineRule="auto"/>
        <w:ind w:firstLine="480" w:firstLineChars="200"/>
        <w:rPr>
          <w:rFonts w:hint="default" w:ascii="Times New Roman" w:hAnsi="Times New Roman" w:eastAsia="宋体" w:cs="Times New Roman"/>
          <w:color w:val="auto"/>
          <w:lang w:val="en-US" w:eastAsia="zh-CN"/>
        </w:rPr>
      </w:pPr>
      <w:r>
        <w:rPr>
          <w:rFonts w:hint="default" w:ascii="Times New Roman" w:hAnsi="Times New Roman" w:cs="Times New Roman"/>
          <w:color w:val="auto"/>
          <w:lang w:eastAsia="zh-CN"/>
        </w:rPr>
        <w:t>粘棒过程使用环氧树脂胶作为粘棒胶，上胶后在等待固化过程中会产生少量有机废气，参照《双酚</w:t>
      </w:r>
      <w:r>
        <w:rPr>
          <w:rFonts w:hint="default" w:ascii="Times New Roman" w:hAnsi="Times New Roman" w:cs="Times New Roman"/>
          <w:color w:val="auto"/>
          <w:lang w:val="en-US" w:eastAsia="zh-CN"/>
        </w:rPr>
        <w:t>A型环氧树脂</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GB/T13657-2011</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技术要求，在150℃温度下60min内最大挥发量为0.6%，本项目使用温度为常温，固化时采用自然晾晒的方式，因此本项目粘棒过程中有机废气的挥发量最大不会超过0.6%，本项目按0.6%计，则本项目粘棒过程有机废气量为0.055t/a、0.006kg/h。</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vertAlign w:val="baseline"/>
          <w:lang w:val="en-US" w:eastAsia="zh-CN"/>
        </w:rPr>
      </w:pPr>
      <w:r>
        <w:rPr>
          <w:rFonts w:hint="default" w:ascii="Times New Roman" w:hAnsi="Times New Roman" w:cs="Times New Roman"/>
          <w:color w:val="auto"/>
          <w:lang w:eastAsia="zh-CN"/>
        </w:rPr>
        <w:t>本项目酒精擦拭和粘棒在同一工段操作，产生的有机废气经集气罩收集后经同</w:t>
      </w:r>
      <w:r>
        <w:rPr>
          <w:rFonts w:hint="default" w:ascii="Times New Roman" w:hAnsi="Times New Roman" w:cs="Times New Roman"/>
          <w:color w:val="auto"/>
          <w:lang w:val="en-US" w:eastAsia="zh-CN"/>
        </w:rPr>
        <w:t>1套活性炭吸附塔治理，因此本项目有机废气产生量为3.475t/a、0.397kg/h。集气罩收集效率按90%计，活性炭吸附塔治理效率按60%计，引风机风量为45000m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vertAlign w:val="baseline"/>
          <w:lang w:val="en-US" w:eastAsia="zh-CN"/>
        </w:rPr>
        <w:t>/h，治理后废气通过15m排气筒DA008排放，</w:t>
      </w:r>
      <w:r>
        <w:rPr>
          <w:rFonts w:hint="default" w:ascii="Times New Roman" w:hAnsi="Times New Roman" w:cs="Times New Roman"/>
          <w:color w:val="auto"/>
          <w:lang w:val="en-US" w:eastAsia="zh-CN"/>
        </w:rPr>
        <w:t>则有机废气有组织排放速率为0.143kg/h、3.18mg/m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vertAlign w:val="baseline"/>
          <w:lang w:val="en-US" w:eastAsia="zh-CN"/>
        </w:rPr>
        <w:t>；无组织排放量为0.347t/a、0.040kg/h。</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lang w:val="en-GB"/>
        </w:rPr>
      </w:pPr>
      <w:r>
        <w:rPr>
          <w:rFonts w:hint="default" w:ascii="Times New Roman" w:hAnsi="Times New Roman" w:cs="Times New Roman"/>
          <w:color w:val="auto"/>
          <w:lang w:eastAsia="zh-CN"/>
        </w:rPr>
        <w:t>由于本项目有机废气是依托切片车间已建成的活性炭吸附塔治理和</w:t>
      </w:r>
      <w:r>
        <w:rPr>
          <w:rFonts w:hint="default" w:ascii="Times New Roman" w:hAnsi="Times New Roman" w:cs="Times New Roman"/>
          <w:color w:val="auto"/>
          <w:lang w:val="en-US" w:eastAsia="zh-CN"/>
        </w:rPr>
        <w:t>排气筒排放，当项目建成后，切片车间有机废气产生总量为9.267t/a、</w:t>
      </w:r>
      <w:r>
        <w:rPr>
          <w:rFonts w:hint="default" w:ascii="Times New Roman" w:hAnsi="Times New Roman" w:cs="Times New Roman"/>
          <w:color w:val="auto"/>
          <w:vertAlign w:val="baseline"/>
          <w:lang w:val="en-US" w:eastAsia="zh-CN"/>
        </w:rPr>
        <w:t>1.058kg/h，有组织有机废气排放速率为0.381kg/h、</w:t>
      </w:r>
      <w:r>
        <w:rPr>
          <w:rFonts w:hint="default" w:ascii="Times New Roman" w:hAnsi="Times New Roman" w:cs="Times New Roman"/>
          <w:color w:val="auto"/>
          <w:vertAlign w:val="baseline"/>
          <w:lang w:val="en-US" w:eastAsia="zh-CN"/>
        </w:rPr>
        <w:t>排放浓度为</w:t>
      </w:r>
      <w:r>
        <w:rPr>
          <w:rFonts w:hint="default" w:ascii="Times New Roman" w:hAnsi="Times New Roman" w:cs="Times New Roman"/>
          <w:color w:val="auto"/>
          <w:vertAlign w:val="baseline"/>
          <w:lang w:val="en-US" w:eastAsia="zh-CN"/>
        </w:rPr>
        <w:t>8.463mg/m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vertAlign w:val="baseline"/>
          <w:lang w:val="en-US" w:eastAsia="zh-CN"/>
        </w:rPr>
        <w:t>；无组织排放量为0.928t/a、0.106kg/h。</w:t>
      </w:r>
    </w:p>
    <w:p>
      <w:pPr>
        <w:pStyle w:val="27"/>
        <w:keepNext w:val="0"/>
        <w:keepLines w:val="0"/>
        <w:pageBreakBefore w:val="0"/>
        <w:widowControl w:val="0"/>
        <w:numPr>
          <w:ilvl w:val="0"/>
          <w:numId w:val="14"/>
        </w:numPr>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lang w:eastAsia="zh-CN"/>
        </w:rPr>
      </w:pPr>
      <w:r>
        <w:rPr>
          <w:rFonts w:hint="default" w:ascii="Times New Roman" w:hAnsi="Times New Roman" w:cs="Times New Roman"/>
          <w:color w:val="auto"/>
          <w:lang w:eastAsia="zh-CN"/>
        </w:rPr>
        <w:t>切片粉尘</w:t>
      </w:r>
    </w:p>
    <w:p>
      <w:pPr>
        <w:pStyle w:val="27"/>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vertAlign w:val="baseline"/>
          <w:lang w:val="en-US" w:eastAsia="zh-CN"/>
        </w:rPr>
      </w:pPr>
      <w:r>
        <w:rPr>
          <w:rFonts w:hint="default" w:ascii="Times New Roman" w:hAnsi="Times New Roman" w:cs="Times New Roman"/>
          <w:color w:val="auto"/>
          <w:lang w:eastAsia="zh-CN"/>
        </w:rPr>
        <w:t>项目切片采用金刚线进行多线程切割，切割过程不断使用配置好的切削液冲洗切割部位，主要是对金刚线降温和带走切割产生的硅粉，但该过程仍会有少量粉尘产生，约硅粉产生量的</w:t>
      </w:r>
      <w:r>
        <w:rPr>
          <w:rFonts w:hint="default" w:ascii="Times New Roman" w:hAnsi="Times New Roman" w:cs="Times New Roman"/>
          <w:color w:val="auto"/>
          <w:lang w:val="en-US" w:eastAsia="zh-CN"/>
        </w:rPr>
        <w:t>1%</w:t>
      </w:r>
      <w:r>
        <w:rPr>
          <w:rFonts w:hint="default" w:ascii="Times New Roman" w:hAnsi="Times New Roman" w:cs="Times New Roman"/>
          <w:color w:val="auto"/>
          <w:lang w:eastAsia="zh-CN"/>
        </w:rPr>
        <w:t>，由于是在密闭的切片机内，若不及时将粉尘通过引风机带走，可能会对切片机设备造成影响。因此本项目粉尘产生量为</w:t>
      </w:r>
      <w:r>
        <w:rPr>
          <w:rFonts w:hint="default" w:ascii="Times New Roman" w:hAnsi="Times New Roman" w:cs="Times New Roman"/>
          <w:color w:val="auto"/>
          <w:lang w:val="en-US" w:eastAsia="zh-CN"/>
        </w:rPr>
        <w:t>16.48t/a、1.88kg/h，经文丘里洗涤塔治理后通过15m排气筒DA009排放，治理效率按98%计，引风机风量为45000m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vertAlign w:val="baseline"/>
          <w:lang w:val="en-US" w:eastAsia="zh-CN"/>
        </w:rPr>
        <w:t>/h，</w:t>
      </w:r>
      <w:r>
        <w:rPr>
          <w:rFonts w:hint="default" w:ascii="Times New Roman" w:hAnsi="Times New Roman" w:cs="Times New Roman"/>
          <w:color w:val="auto"/>
          <w:lang w:val="en-US" w:eastAsia="zh-CN"/>
        </w:rPr>
        <w:t>则排放速率为0.038kg/h、排放浓度为0.836mg/m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vertAlign w:val="baseli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lang w:val="en-GB"/>
        </w:rPr>
      </w:pPr>
      <w:r>
        <w:rPr>
          <w:rFonts w:hint="default" w:ascii="Times New Roman" w:hAnsi="Times New Roman" w:cs="Times New Roman"/>
          <w:color w:val="auto"/>
          <w:lang w:eastAsia="zh-CN"/>
        </w:rPr>
        <w:t>由于本项目切片粉尘是依托切片车间已建成的文丘里洗涤塔治理和</w:t>
      </w:r>
      <w:r>
        <w:rPr>
          <w:rFonts w:hint="default" w:ascii="Times New Roman" w:hAnsi="Times New Roman" w:cs="Times New Roman"/>
          <w:color w:val="auto"/>
          <w:lang w:val="en-US" w:eastAsia="zh-CN"/>
        </w:rPr>
        <w:t>排气筒排放，当项目建成后，切片车间切片粉尘产生总量为43.947t/a、</w:t>
      </w:r>
      <w:r>
        <w:rPr>
          <w:rFonts w:hint="default" w:ascii="Times New Roman" w:hAnsi="Times New Roman" w:cs="Times New Roman"/>
          <w:color w:val="auto"/>
          <w:vertAlign w:val="baseline"/>
          <w:lang w:val="en-US" w:eastAsia="zh-CN"/>
        </w:rPr>
        <w:t>5.017kg/h，有组织有机废气排放速率为0.100kg/h、</w:t>
      </w:r>
      <w:r>
        <w:rPr>
          <w:rFonts w:hint="default" w:ascii="Times New Roman" w:hAnsi="Times New Roman" w:cs="Times New Roman"/>
          <w:color w:val="auto"/>
          <w:vertAlign w:val="baseline"/>
          <w:lang w:val="en-US" w:eastAsia="zh-CN"/>
        </w:rPr>
        <w:t>排放浓度为</w:t>
      </w:r>
      <w:r>
        <w:rPr>
          <w:rFonts w:hint="default" w:ascii="Times New Roman" w:hAnsi="Times New Roman" w:cs="Times New Roman"/>
          <w:color w:val="auto"/>
          <w:vertAlign w:val="baseline"/>
          <w:lang w:val="en-US" w:eastAsia="zh-CN"/>
        </w:rPr>
        <w:t>2.23mg/m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vertAlign w:val="baseline"/>
          <w:lang w:val="en-US" w:eastAsia="zh-CN"/>
        </w:rPr>
        <w:t>。</w:t>
      </w:r>
    </w:p>
    <w:p>
      <w:pPr>
        <w:pStyle w:val="27"/>
        <w:keepNext w:val="0"/>
        <w:keepLines w:val="0"/>
        <w:pageBreakBefore w:val="0"/>
        <w:widowControl w:val="0"/>
        <w:numPr>
          <w:ilvl w:val="0"/>
          <w:numId w:val="14"/>
        </w:numPr>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酸洗废气</w:t>
      </w:r>
    </w:p>
    <w:p>
      <w:pPr>
        <w:spacing w:line="360" w:lineRule="auto"/>
        <w:ind w:firstLine="480" w:firstLineChars="200"/>
        <w:rPr>
          <w:rFonts w:hint="default" w:ascii="Times New Roman" w:hAnsi="Times New Roman" w:cs="Times New Roman"/>
          <w:color w:val="FF0000"/>
        </w:rPr>
      </w:pPr>
      <w:r>
        <w:rPr>
          <w:rFonts w:hint="default" w:ascii="Times New Roman" w:hAnsi="Times New Roman" w:cs="Times New Roman"/>
          <w:color w:val="auto"/>
        </w:rPr>
        <w:t>本项目</w:t>
      </w:r>
      <w:r>
        <w:rPr>
          <w:rFonts w:hint="default" w:ascii="Times New Roman" w:hAnsi="Times New Roman" w:cs="Times New Roman"/>
          <w:color w:val="auto"/>
          <w:lang w:eastAsia="zh-CN"/>
        </w:rPr>
        <w:t>第一次检测不合格的切片运至吸杂车间再次处理，降低废片率，主要使用盐酸、氢氟酸再次对切片表面除杂，使之满足检测要求。酸洗废气中主要污染物为氟化物，由于使用的盐酸浓度为</w:t>
      </w:r>
      <w:r>
        <w:rPr>
          <w:rFonts w:hint="default" w:ascii="Times New Roman" w:hAnsi="Times New Roman" w:cs="Times New Roman"/>
          <w:color w:val="auto"/>
          <w:lang w:val="en-US" w:eastAsia="zh-CN"/>
        </w:rPr>
        <w:t>31%，不易挥发，废气污染物中不考虑氯化氢。</w:t>
      </w:r>
      <w:r>
        <w:rPr>
          <w:rFonts w:hint="default" w:ascii="Times New Roman" w:hAnsi="Times New Roman" w:cs="Times New Roman"/>
          <w:color w:val="auto"/>
        </w:rPr>
        <w:t>使用的酸洗工艺、生产工况与原有项目</w:t>
      </w:r>
      <w:r>
        <w:rPr>
          <w:rFonts w:hint="default" w:ascii="Times New Roman" w:hAnsi="Times New Roman" w:cs="Times New Roman"/>
          <w:color w:val="auto"/>
          <w:lang w:eastAsia="zh-CN"/>
        </w:rPr>
        <w:t>清洗车间大致</w:t>
      </w:r>
      <w:r>
        <w:rPr>
          <w:rFonts w:hint="default" w:ascii="Times New Roman" w:hAnsi="Times New Roman" w:cs="Times New Roman"/>
          <w:color w:val="auto"/>
        </w:rPr>
        <w:t>相同，</w:t>
      </w:r>
      <w:r>
        <w:rPr>
          <w:rFonts w:hint="default" w:ascii="Times New Roman" w:hAnsi="Times New Roman" w:cs="Times New Roman"/>
          <w:color w:val="auto"/>
          <w:lang w:eastAsia="zh-CN"/>
        </w:rPr>
        <w:t>同时酸洗废气也是采用四级氢氧化钠洗涤塔治理后通过</w:t>
      </w:r>
      <w:r>
        <w:rPr>
          <w:rFonts w:hint="default" w:ascii="Times New Roman" w:hAnsi="Times New Roman" w:cs="Times New Roman"/>
          <w:color w:val="auto"/>
          <w:lang w:val="en-US" w:eastAsia="zh-CN"/>
        </w:rPr>
        <w:t>1根15m排气筒DA011排放。</w:t>
      </w:r>
      <w:r>
        <w:rPr>
          <w:rFonts w:hint="default" w:ascii="Times New Roman" w:hAnsi="Times New Roman" w:cs="Times New Roman"/>
          <w:color w:val="auto"/>
        </w:rPr>
        <w:t>因此，本项目产生的酸洗废气中氟化物可类比</w:t>
      </w:r>
      <w:r>
        <w:rPr>
          <w:rFonts w:hint="default" w:ascii="Times New Roman" w:hAnsi="Times New Roman" w:cs="Times New Roman"/>
          <w:color w:val="auto"/>
          <w:lang w:eastAsia="zh-CN"/>
        </w:rPr>
        <w:t>“宇泽半导体（云南）有限公司年产5GW单晶硅拉棒及3GW切片生产线项目（二期2GW拉棒生产线）竣工环境保护验收监测报告”中清洗车间酸洗废气排气筒的</w:t>
      </w:r>
      <w:r>
        <w:rPr>
          <w:rFonts w:hint="default" w:ascii="Times New Roman" w:hAnsi="Times New Roman" w:cs="Times New Roman"/>
          <w:color w:val="auto"/>
        </w:rPr>
        <w:t>验收监测数据。</w:t>
      </w:r>
    </w:p>
    <w:p>
      <w:pPr>
        <w:pStyle w:val="133"/>
        <w:numPr>
          <w:ilvl w:val="0"/>
          <w:numId w:val="11"/>
        </w:numPr>
        <w:spacing w:line="360" w:lineRule="auto"/>
        <w:ind w:left="0" w:leftChars="0" w:firstLine="0" w:firstLineChars="0"/>
        <w:jc w:val="center"/>
        <w:rPr>
          <w:rFonts w:hint="default" w:ascii="Times New Roman" w:hAnsi="Times New Roman" w:eastAsia="宋体" w:cs="Times New Roman"/>
          <w:b/>
          <w:color w:val="auto"/>
          <w:sz w:val="24"/>
          <w:szCs w:val="24"/>
          <w:lang w:val="en-US" w:eastAsia="zh-CN"/>
        </w:rPr>
      </w:pPr>
      <w:r>
        <w:rPr>
          <w:rFonts w:hint="default" w:ascii="Times New Roman" w:hAnsi="Times New Roman" w:cs="Times New Roman"/>
          <w:b/>
          <w:color w:val="auto"/>
          <w:sz w:val="24"/>
          <w:szCs w:val="24"/>
          <w:lang w:val="en-US" w:eastAsia="zh-CN"/>
        </w:rPr>
        <w:t>原有项目</w:t>
      </w:r>
      <w:r>
        <w:rPr>
          <w:rFonts w:hint="default" w:ascii="Times New Roman" w:hAnsi="Times New Roman" w:eastAsia="宋体" w:cs="Times New Roman"/>
          <w:b/>
          <w:color w:val="auto"/>
          <w:sz w:val="24"/>
          <w:szCs w:val="24"/>
          <w:lang w:val="en-US" w:eastAsia="zh-CN"/>
        </w:rPr>
        <w:t>清洗车间酸洗</w:t>
      </w:r>
      <w:r>
        <w:rPr>
          <w:rFonts w:hint="default" w:ascii="Times New Roman" w:hAnsi="Times New Roman" w:cs="Times New Roman"/>
          <w:b/>
          <w:bCs/>
          <w:color w:val="auto"/>
          <w:lang w:val="en-US" w:eastAsia="zh-CN"/>
        </w:rPr>
        <w:t>废气</w:t>
      </w:r>
      <w:r>
        <w:rPr>
          <w:rFonts w:hint="default" w:ascii="Times New Roman" w:hAnsi="Times New Roman" w:eastAsia="宋体" w:cs="Times New Roman"/>
          <w:b/>
          <w:color w:val="auto"/>
          <w:sz w:val="24"/>
          <w:szCs w:val="24"/>
          <w:lang w:val="en-US" w:eastAsia="zh-CN"/>
        </w:rPr>
        <w:t>排气筒检测结果</w:t>
      </w:r>
    </w:p>
    <w:tbl>
      <w:tblPr>
        <w:tblStyle w:val="44"/>
        <w:tblW w:w="9214" w:type="dxa"/>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15" w:type="dxa"/>
          <w:left w:w="15" w:type="dxa"/>
          <w:bottom w:w="15" w:type="dxa"/>
          <w:right w:w="15" w:type="dxa"/>
        </w:tblCellMar>
      </w:tblPr>
      <w:tblGrid>
        <w:gridCol w:w="903"/>
        <w:gridCol w:w="2227"/>
        <w:gridCol w:w="1292"/>
        <w:gridCol w:w="1281"/>
        <w:gridCol w:w="1281"/>
        <w:gridCol w:w="1096"/>
        <w:gridCol w:w="588"/>
        <w:gridCol w:w="546"/>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90" w:hRule="atLeast"/>
          <w:jc w:val="center"/>
        </w:trPr>
        <w:tc>
          <w:tcPr>
            <w:tcW w:w="903"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检测日期</w:t>
            </w:r>
          </w:p>
        </w:tc>
        <w:tc>
          <w:tcPr>
            <w:tcW w:w="8311" w:type="dxa"/>
            <w:gridSpan w:val="7"/>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jc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2023年2月23日</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90" w:hRule="atLeast"/>
          <w:jc w:val="center"/>
        </w:trPr>
        <w:tc>
          <w:tcPr>
            <w:tcW w:w="903"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设备型号规格</w:t>
            </w:r>
          </w:p>
        </w:tc>
        <w:tc>
          <w:tcPr>
            <w:tcW w:w="2227"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w:t>
            </w:r>
          </w:p>
        </w:tc>
        <w:tc>
          <w:tcPr>
            <w:tcW w:w="2573" w:type="dxa"/>
            <w:gridSpan w:val="2"/>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燃料种类名称</w:t>
            </w:r>
          </w:p>
        </w:tc>
        <w:tc>
          <w:tcPr>
            <w:tcW w:w="3511" w:type="dxa"/>
            <w:gridSpan w:val="4"/>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90" w:hRule="atLeast"/>
          <w:jc w:val="center"/>
        </w:trPr>
        <w:tc>
          <w:tcPr>
            <w:tcW w:w="903"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安装时间</w:t>
            </w:r>
          </w:p>
        </w:tc>
        <w:tc>
          <w:tcPr>
            <w:tcW w:w="2227"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2020</w:t>
            </w:r>
          </w:p>
        </w:tc>
        <w:tc>
          <w:tcPr>
            <w:tcW w:w="2573" w:type="dxa"/>
            <w:gridSpan w:val="2"/>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rPr>
              <w:t>排气筒高度（m</w:t>
            </w:r>
            <w:r>
              <w:rPr>
                <w:rFonts w:hint="default" w:ascii="Times New Roman" w:hAnsi="Times New Roman" w:eastAsia="宋体" w:cs="Times New Roman"/>
                <w:b/>
                <w:color w:val="auto"/>
                <w:sz w:val="21"/>
                <w:szCs w:val="21"/>
                <w:lang w:eastAsia="zh-CN"/>
              </w:rPr>
              <w:t>）</w:t>
            </w:r>
          </w:p>
        </w:tc>
        <w:tc>
          <w:tcPr>
            <w:tcW w:w="3511" w:type="dxa"/>
            <w:gridSpan w:val="4"/>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35</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903"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净化设施</w:t>
            </w:r>
          </w:p>
        </w:tc>
        <w:tc>
          <w:tcPr>
            <w:tcW w:w="2227"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四级NaOH溶液喷淋</w:t>
            </w:r>
          </w:p>
        </w:tc>
        <w:tc>
          <w:tcPr>
            <w:tcW w:w="6084" w:type="dxa"/>
            <w:gridSpan w:val="6"/>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废料酸洗废气排气筒</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90" w:hRule="atLeast"/>
          <w:jc w:val="center"/>
        </w:trPr>
        <w:tc>
          <w:tcPr>
            <w:tcW w:w="3130" w:type="dxa"/>
            <w:gridSpan w:val="2"/>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样品编号</w:t>
            </w:r>
          </w:p>
        </w:tc>
        <w:tc>
          <w:tcPr>
            <w:tcW w:w="1292"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FFHW</w:t>
            </w:r>
            <w:r>
              <w:rPr>
                <w:rFonts w:hint="default" w:ascii="Times New Roman" w:hAnsi="Times New Roman" w:eastAsia="宋体" w:cs="Times New Roman"/>
                <w:b/>
                <w:bCs w:val="0"/>
                <w:color w:val="auto"/>
                <w:sz w:val="21"/>
                <w:szCs w:val="21"/>
                <w:lang w:val="en-US" w:eastAsia="zh-CN"/>
              </w:rPr>
              <w:t>20230222002</w:t>
            </w:r>
            <w:r>
              <w:rPr>
                <w:rFonts w:hint="default" w:ascii="Times New Roman" w:hAnsi="Times New Roman" w:eastAsia="宋体" w:cs="Times New Roman"/>
                <w:b/>
                <w:color w:val="auto"/>
                <w:sz w:val="21"/>
                <w:szCs w:val="21"/>
                <w:lang w:val="en-US" w:eastAsia="zh-CN"/>
              </w:rPr>
              <w:t>-6-1-1</w:t>
            </w:r>
          </w:p>
        </w:tc>
        <w:tc>
          <w:tcPr>
            <w:tcW w:w="1281"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default" w:ascii="Times New Roman" w:hAnsi="Times New Roman" w:eastAsia="宋体" w:cs="Times New Roman"/>
                <w:b/>
                <w:color w:val="auto"/>
                <w:sz w:val="21"/>
                <w:szCs w:val="21"/>
                <w:lang w:val="en-US"/>
              </w:rPr>
            </w:pPr>
            <w:r>
              <w:rPr>
                <w:rFonts w:hint="default" w:ascii="Times New Roman" w:hAnsi="Times New Roman" w:eastAsia="宋体" w:cs="Times New Roman"/>
                <w:b/>
                <w:color w:val="auto"/>
                <w:sz w:val="21"/>
                <w:szCs w:val="21"/>
                <w:lang w:val="en-US" w:eastAsia="zh-CN"/>
              </w:rPr>
              <w:t>FFHW</w:t>
            </w:r>
            <w:r>
              <w:rPr>
                <w:rFonts w:hint="default" w:ascii="Times New Roman" w:hAnsi="Times New Roman" w:eastAsia="宋体" w:cs="Times New Roman"/>
                <w:b/>
                <w:bCs w:val="0"/>
                <w:color w:val="auto"/>
                <w:sz w:val="21"/>
                <w:szCs w:val="21"/>
                <w:lang w:val="en-US" w:eastAsia="zh-CN"/>
              </w:rPr>
              <w:t>20230222002</w:t>
            </w:r>
            <w:r>
              <w:rPr>
                <w:rFonts w:hint="default" w:ascii="Times New Roman" w:hAnsi="Times New Roman" w:eastAsia="宋体" w:cs="Times New Roman"/>
                <w:b/>
                <w:color w:val="auto"/>
                <w:sz w:val="21"/>
                <w:szCs w:val="21"/>
                <w:lang w:val="en-US" w:eastAsia="zh-CN"/>
              </w:rPr>
              <w:t>-6-1-2</w:t>
            </w:r>
          </w:p>
        </w:tc>
        <w:tc>
          <w:tcPr>
            <w:tcW w:w="1281"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default" w:ascii="Times New Roman" w:hAnsi="Times New Roman" w:eastAsia="宋体" w:cs="Times New Roman"/>
                <w:b/>
                <w:color w:val="auto"/>
                <w:sz w:val="21"/>
                <w:szCs w:val="21"/>
                <w:lang w:val="en-US"/>
              </w:rPr>
            </w:pPr>
            <w:r>
              <w:rPr>
                <w:rFonts w:hint="default" w:ascii="Times New Roman" w:hAnsi="Times New Roman" w:eastAsia="宋体" w:cs="Times New Roman"/>
                <w:b/>
                <w:color w:val="auto"/>
                <w:sz w:val="21"/>
                <w:szCs w:val="21"/>
                <w:lang w:val="en-US" w:eastAsia="zh-CN"/>
              </w:rPr>
              <w:t>FFHW</w:t>
            </w:r>
            <w:r>
              <w:rPr>
                <w:rFonts w:hint="default" w:ascii="Times New Roman" w:hAnsi="Times New Roman" w:eastAsia="宋体" w:cs="Times New Roman"/>
                <w:b/>
                <w:bCs w:val="0"/>
                <w:color w:val="auto"/>
                <w:sz w:val="21"/>
                <w:szCs w:val="21"/>
                <w:lang w:val="en-US" w:eastAsia="zh-CN"/>
              </w:rPr>
              <w:t>20230222002</w:t>
            </w:r>
            <w:r>
              <w:rPr>
                <w:rFonts w:hint="default" w:ascii="Times New Roman" w:hAnsi="Times New Roman" w:eastAsia="宋体" w:cs="Times New Roman"/>
                <w:b/>
                <w:color w:val="auto"/>
                <w:sz w:val="21"/>
                <w:szCs w:val="21"/>
                <w:lang w:val="en-US" w:eastAsia="zh-CN"/>
              </w:rPr>
              <w:t>-6-1-3</w:t>
            </w:r>
          </w:p>
        </w:tc>
        <w:tc>
          <w:tcPr>
            <w:tcW w:w="1096"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平均值</w:t>
            </w:r>
          </w:p>
        </w:tc>
        <w:tc>
          <w:tcPr>
            <w:tcW w:w="588"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jc w:val="center"/>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lang w:eastAsia="zh-CN"/>
              </w:rPr>
              <w:t>标准限值</w:t>
            </w:r>
          </w:p>
        </w:tc>
        <w:tc>
          <w:tcPr>
            <w:tcW w:w="546"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jc w:val="center"/>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lang w:eastAsia="zh-CN"/>
              </w:rPr>
              <w:t>达标情况</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90" w:hRule="atLeast"/>
          <w:jc w:val="center"/>
        </w:trPr>
        <w:tc>
          <w:tcPr>
            <w:tcW w:w="903"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烟气</w:t>
            </w:r>
          </w:p>
          <w:p>
            <w:pPr>
              <w:keepNext w:val="0"/>
              <w:keepLines w:val="0"/>
              <w:pageBreakBefore w:val="0"/>
              <w:widowControl/>
              <w:kinsoku/>
              <w:wordWrap/>
              <w:overflowPunct/>
              <w:topLinePunct w:val="0"/>
              <w:autoSpaceDE/>
              <w:autoSpaceDN/>
              <w:bidi w:val="0"/>
              <w:adjustRightInd/>
              <w:snapToGrid/>
              <w:spacing w:line="240" w:lineRule="auto"/>
              <w:ind w:lef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参数</w:t>
            </w:r>
          </w:p>
        </w:tc>
        <w:tc>
          <w:tcPr>
            <w:tcW w:w="2227"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管道截面积（</w:t>
            </w:r>
            <w:r>
              <w:rPr>
                <w:rFonts w:hint="default" w:ascii="Times New Roman" w:hAnsi="Times New Roman" w:eastAsia="宋体" w:cs="Times New Roman"/>
                <w:color w:val="auto"/>
                <w:sz w:val="21"/>
                <w:szCs w:val="21"/>
              </w:rPr>
              <w:t>㎡）</w:t>
            </w:r>
          </w:p>
        </w:tc>
        <w:tc>
          <w:tcPr>
            <w:tcW w:w="1292"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1.2272</w:t>
            </w:r>
          </w:p>
        </w:tc>
        <w:tc>
          <w:tcPr>
            <w:tcW w:w="1281"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1.2272</w:t>
            </w:r>
          </w:p>
        </w:tc>
        <w:tc>
          <w:tcPr>
            <w:tcW w:w="1281"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1.2272</w:t>
            </w:r>
          </w:p>
        </w:tc>
        <w:tc>
          <w:tcPr>
            <w:tcW w:w="1096"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1.2272</w:t>
            </w:r>
          </w:p>
        </w:tc>
        <w:tc>
          <w:tcPr>
            <w:tcW w:w="588"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46"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90" w:hRule="atLeast"/>
          <w:jc w:val="center"/>
        </w:trPr>
        <w:tc>
          <w:tcPr>
            <w:tcW w:w="90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jc w:val="center"/>
              <w:rPr>
                <w:rFonts w:hint="default" w:ascii="Times New Roman" w:hAnsi="Times New Roman" w:eastAsia="宋体" w:cs="Times New Roman"/>
                <w:b/>
                <w:color w:val="auto"/>
                <w:sz w:val="21"/>
                <w:szCs w:val="21"/>
              </w:rPr>
            </w:pPr>
          </w:p>
        </w:tc>
        <w:tc>
          <w:tcPr>
            <w:tcW w:w="2227"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烟温（℃）</w:t>
            </w:r>
          </w:p>
        </w:tc>
        <w:tc>
          <w:tcPr>
            <w:tcW w:w="1292"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25.9</w:t>
            </w:r>
          </w:p>
        </w:tc>
        <w:tc>
          <w:tcPr>
            <w:tcW w:w="1281"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25.9</w:t>
            </w:r>
          </w:p>
        </w:tc>
        <w:tc>
          <w:tcPr>
            <w:tcW w:w="1281"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25.5</w:t>
            </w:r>
          </w:p>
        </w:tc>
        <w:tc>
          <w:tcPr>
            <w:tcW w:w="1096"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25.8</w:t>
            </w:r>
          </w:p>
        </w:tc>
        <w:tc>
          <w:tcPr>
            <w:tcW w:w="588"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46"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90" w:hRule="atLeast"/>
          <w:jc w:val="center"/>
        </w:trPr>
        <w:tc>
          <w:tcPr>
            <w:tcW w:w="90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jc w:val="center"/>
              <w:rPr>
                <w:rFonts w:hint="default" w:ascii="Times New Roman" w:hAnsi="Times New Roman" w:eastAsia="宋体" w:cs="Times New Roman"/>
                <w:b/>
                <w:color w:val="auto"/>
                <w:sz w:val="21"/>
                <w:szCs w:val="21"/>
              </w:rPr>
            </w:pPr>
          </w:p>
        </w:tc>
        <w:tc>
          <w:tcPr>
            <w:tcW w:w="2227"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平均烟气流速（m/s）</w:t>
            </w:r>
          </w:p>
        </w:tc>
        <w:tc>
          <w:tcPr>
            <w:tcW w:w="1292"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3.9</w:t>
            </w:r>
          </w:p>
        </w:tc>
        <w:tc>
          <w:tcPr>
            <w:tcW w:w="1281"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4.0</w:t>
            </w:r>
          </w:p>
        </w:tc>
        <w:tc>
          <w:tcPr>
            <w:tcW w:w="1281"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4.1</w:t>
            </w:r>
          </w:p>
        </w:tc>
        <w:tc>
          <w:tcPr>
            <w:tcW w:w="1096"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4.0</w:t>
            </w:r>
          </w:p>
        </w:tc>
        <w:tc>
          <w:tcPr>
            <w:tcW w:w="588"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46"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90" w:hRule="atLeast"/>
          <w:jc w:val="center"/>
        </w:trPr>
        <w:tc>
          <w:tcPr>
            <w:tcW w:w="90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b/>
                <w:color w:val="auto"/>
                <w:sz w:val="21"/>
                <w:szCs w:val="21"/>
              </w:rPr>
            </w:pPr>
          </w:p>
        </w:tc>
        <w:tc>
          <w:tcPr>
            <w:tcW w:w="2227"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平均烟气流量（m³/h）</w:t>
            </w:r>
          </w:p>
        </w:tc>
        <w:tc>
          <w:tcPr>
            <w:tcW w:w="1292"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17230</w:t>
            </w:r>
          </w:p>
        </w:tc>
        <w:tc>
          <w:tcPr>
            <w:tcW w:w="1281"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17671</w:t>
            </w:r>
          </w:p>
        </w:tc>
        <w:tc>
          <w:tcPr>
            <w:tcW w:w="1281"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18333</w:t>
            </w:r>
          </w:p>
        </w:tc>
        <w:tc>
          <w:tcPr>
            <w:tcW w:w="1096"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17745</w:t>
            </w:r>
          </w:p>
        </w:tc>
        <w:tc>
          <w:tcPr>
            <w:tcW w:w="588"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46"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90" w:hRule="atLeast"/>
          <w:jc w:val="center"/>
        </w:trPr>
        <w:tc>
          <w:tcPr>
            <w:tcW w:w="90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b/>
                <w:color w:val="auto"/>
                <w:sz w:val="21"/>
                <w:szCs w:val="21"/>
              </w:rPr>
            </w:pPr>
          </w:p>
        </w:tc>
        <w:tc>
          <w:tcPr>
            <w:tcW w:w="2227"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标干烟气流量（Nm³/h）</w:t>
            </w:r>
          </w:p>
        </w:tc>
        <w:tc>
          <w:tcPr>
            <w:tcW w:w="1292"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default" w:ascii="Times New Roman" w:hAnsi="Times New Roman" w:eastAsia="宋体" w:cs="Times New Roman"/>
                <w:color w:val="auto"/>
                <w:spacing w:val="-5"/>
                <w:sz w:val="21"/>
                <w:szCs w:val="21"/>
                <w:lang w:val="en-US" w:eastAsia="zh-CN" w:bidi="he-IL"/>
              </w:rPr>
            </w:pPr>
            <w:r>
              <w:rPr>
                <w:rFonts w:hint="default" w:ascii="Times New Roman" w:hAnsi="Times New Roman" w:eastAsia="宋体" w:cs="Times New Roman"/>
                <w:color w:val="auto"/>
                <w:spacing w:val="-5"/>
                <w:sz w:val="21"/>
                <w:szCs w:val="21"/>
                <w:lang w:val="en-US" w:eastAsia="zh-CN" w:bidi="he-IL"/>
              </w:rPr>
              <w:t>12066</w:t>
            </w:r>
          </w:p>
        </w:tc>
        <w:tc>
          <w:tcPr>
            <w:tcW w:w="1281"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default" w:ascii="Times New Roman" w:hAnsi="Times New Roman" w:eastAsia="宋体" w:cs="Times New Roman"/>
                <w:color w:val="auto"/>
                <w:spacing w:val="-5"/>
                <w:sz w:val="21"/>
                <w:szCs w:val="21"/>
                <w:lang w:val="en-US" w:eastAsia="zh-CN" w:bidi="he-IL"/>
              </w:rPr>
            </w:pPr>
            <w:r>
              <w:rPr>
                <w:rFonts w:hint="default" w:ascii="Times New Roman" w:hAnsi="Times New Roman" w:eastAsia="宋体" w:cs="Times New Roman"/>
                <w:color w:val="auto"/>
                <w:spacing w:val="-5"/>
                <w:sz w:val="21"/>
                <w:szCs w:val="21"/>
                <w:lang w:val="en-US" w:eastAsia="zh-CN" w:bidi="he-IL"/>
              </w:rPr>
              <w:t>12375</w:t>
            </w:r>
          </w:p>
        </w:tc>
        <w:tc>
          <w:tcPr>
            <w:tcW w:w="1281"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default" w:ascii="Times New Roman" w:hAnsi="Times New Roman" w:eastAsia="宋体" w:cs="Times New Roman"/>
                <w:color w:val="auto"/>
                <w:spacing w:val="-5"/>
                <w:sz w:val="21"/>
                <w:szCs w:val="21"/>
                <w:lang w:val="en-US" w:eastAsia="zh-CN" w:bidi="he-IL"/>
              </w:rPr>
            </w:pPr>
            <w:r>
              <w:rPr>
                <w:rFonts w:hint="default" w:ascii="Times New Roman" w:hAnsi="Times New Roman" w:eastAsia="宋体" w:cs="Times New Roman"/>
                <w:color w:val="auto"/>
                <w:spacing w:val="-5"/>
                <w:sz w:val="21"/>
                <w:szCs w:val="21"/>
                <w:lang w:val="en-US" w:eastAsia="zh-CN" w:bidi="he-IL"/>
              </w:rPr>
              <w:t>12864</w:t>
            </w:r>
          </w:p>
        </w:tc>
        <w:tc>
          <w:tcPr>
            <w:tcW w:w="1096"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12435</w:t>
            </w:r>
          </w:p>
        </w:tc>
        <w:tc>
          <w:tcPr>
            <w:tcW w:w="588"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46"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90" w:hRule="atLeast"/>
          <w:jc w:val="center"/>
        </w:trPr>
        <w:tc>
          <w:tcPr>
            <w:tcW w:w="903"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color w:val="auto"/>
                <w:sz w:val="21"/>
                <w:szCs w:val="21"/>
                <w:lang w:val="en-US" w:eastAsia="zh-CN"/>
              </w:rPr>
              <w:t>氟化物</w:t>
            </w:r>
          </w:p>
        </w:tc>
        <w:tc>
          <w:tcPr>
            <w:tcW w:w="2227"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实测浓度（mg/m³）</w:t>
            </w:r>
          </w:p>
        </w:tc>
        <w:tc>
          <w:tcPr>
            <w:tcW w:w="1292"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1.02</w:t>
            </w:r>
          </w:p>
        </w:tc>
        <w:tc>
          <w:tcPr>
            <w:tcW w:w="1281"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0.98</w:t>
            </w:r>
          </w:p>
        </w:tc>
        <w:tc>
          <w:tcPr>
            <w:tcW w:w="1281"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1.00</w:t>
            </w:r>
          </w:p>
        </w:tc>
        <w:tc>
          <w:tcPr>
            <w:tcW w:w="1096"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1.00</w:t>
            </w:r>
          </w:p>
        </w:tc>
        <w:tc>
          <w:tcPr>
            <w:tcW w:w="588"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w:t>
            </w:r>
          </w:p>
        </w:tc>
        <w:tc>
          <w:tcPr>
            <w:tcW w:w="546"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90" w:hRule="atLeast"/>
          <w:jc w:val="center"/>
        </w:trPr>
        <w:tc>
          <w:tcPr>
            <w:tcW w:w="90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color w:val="auto"/>
                <w:sz w:val="21"/>
                <w:szCs w:val="21"/>
              </w:rPr>
            </w:pPr>
          </w:p>
        </w:tc>
        <w:tc>
          <w:tcPr>
            <w:tcW w:w="2227"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排放量（kg/h）</w:t>
            </w:r>
          </w:p>
        </w:tc>
        <w:tc>
          <w:tcPr>
            <w:tcW w:w="1292"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0.012</w:t>
            </w:r>
          </w:p>
        </w:tc>
        <w:tc>
          <w:tcPr>
            <w:tcW w:w="1281"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0.012</w:t>
            </w:r>
          </w:p>
        </w:tc>
        <w:tc>
          <w:tcPr>
            <w:tcW w:w="1281"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0.013</w:t>
            </w:r>
          </w:p>
        </w:tc>
        <w:tc>
          <w:tcPr>
            <w:tcW w:w="1096"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0.012</w:t>
            </w:r>
          </w:p>
        </w:tc>
        <w:tc>
          <w:tcPr>
            <w:tcW w:w="588"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0.8</w:t>
            </w:r>
          </w:p>
        </w:tc>
        <w:tc>
          <w:tcPr>
            <w:tcW w:w="546"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90" w:hRule="atLeast"/>
          <w:jc w:val="center"/>
        </w:trPr>
        <w:tc>
          <w:tcPr>
            <w:tcW w:w="903"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检测日期</w:t>
            </w:r>
          </w:p>
        </w:tc>
        <w:tc>
          <w:tcPr>
            <w:tcW w:w="8311" w:type="dxa"/>
            <w:gridSpan w:val="7"/>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jc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2023年2月24日</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PrEx>
        <w:trPr>
          <w:trHeight w:val="90" w:hRule="atLeast"/>
          <w:jc w:val="center"/>
        </w:trPr>
        <w:tc>
          <w:tcPr>
            <w:tcW w:w="903"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设备型号规格</w:t>
            </w:r>
          </w:p>
        </w:tc>
        <w:tc>
          <w:tcPr>
            <w:tcW w:w="2227"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w:t>
            </w:r>
          </w:p>
        </w:tc>
        <w:tc>
          <w:tcPr>
            <w:tcW w:w="2573" w:type="dxa"/>
            <w:gridSpan w:val="2"/>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燃料种类名称</w:t>
            </w:r>
          </w:p>
        </w:tc>
        <w:tc>
          <w:tcPr>
            <w:tcW w:w="3511" w:type="dxa"/>
            <w:gridSpan w:val="4"/>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90" w:hRule="atLeast"/>
          <w:jc w:val="center"/>
        </w:trPr>
        <w:tc>
          <w:tcPr>
            <w:tcW w:w="903"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安装时间</w:t>
            </w:r>
          </w:p>
        </w:tc>
        <w:tc>
          <w:tcPr>
            <w:tcW w:w="2227"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2020</w:t>
            </w:r>
          </w:p>
        </w:tc>
        <w:tc>
          <w:tcPr>
            <w:tcW w:w="2573" w:type="dxa"/>
            <w:gridSpan w:val="2"/>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排气筒高度（m)</w:t>
            </w:r>
          </w:p>
        </w:tc>
        <w:tc>
          <w:tcPr>
            <w:tcW w:w="3511" w:type="dxa"/>
            <w:gridSpan w:val="4"/>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35</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90" w:hRule="atLeast"/>
          <w:jc w:val="center"/>
        </w:trPr>
        <w:tc>
          <w:tcPr>
            <w:tcW w:w="903"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净化设施</w:t>
            </w:r>
          </w:p>
        </w:tc>
        <w:tc>
          <w:tcPr>
            <w:tcW w:w="2227"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四级NaOH溶液喷淋</w:t>
            </w:r>
          </w:p>
        </w:tc>
        <w:tc>
          <w:tcPr>
            <w:tcW w:w="6084" w:type="dxa"/>
            <w:gridSpan w:val="6"/>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废料酸洗废气排气筒</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3130" w:type="dxa"/>
            <w:gridSpan w:val="2"/>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样品编号</w:t>
            </w:r>
          </w:p>
        </w:tc>
        <w:tc>
          <w:tcPr>
            <w:tcW w:w="1292"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FFHW</w:t>
            </w:r>
            <w:r>
              <w:rPr>
                <w:rFonts w:hint="default" w:ascii="Times New Roman" w:hAnsi="Times New Roman" w:eastAsia="宋体" w:cs="Times New Roman"/>
                <w:b/>
                <w:bCs w:val="0"/>
                <w:color w:val="auto"/>
                <w:sz w:val="21"/>
                <w:szCs w:val="21"/>
                <w:lang w:val="en-US" w:eastAsia="zh-CN"/>
              </w:rPr>
              <w:t>20230222002</w:t>
            </w:r>
            <w:r>
              <w:rPr>
                <w:rFonts w:hint="default" w:ascii="Times New Roman" w:hAnsi="Times New Roman" w:eastAsia="宋体" w:cs="Times New Roman"/>
                <w:b/>
                <w:color w:val="auto"/>
                <w:sz w:val="21"/>
                <w:szCs w:val="21"/>
                <w:lang w:val="en-US" w:eastAsia="zh-CN"/>
              </w:rPr>
              <w:t>-6-2-1</w:t>
            </w:r>
          </w:p>
        </w:tc>
        <w:tc>
          <w:tcPr>
            <w:tcW w:w="1281"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default" w:ascii="Times New Roman" w:hAnsi="Times New Roman" w:eastAsia="宋体" w:cs="Times New Roman"/>
                <w:b/>
                <w:color w:val="auto"/>
                <w:sz w:val="21"/>
                <w:szCs w:val="21"/>
                <w:lang w:val="en-US"/>
              </w:rPr>
            </w:pPr>
            <w:r>
              <w:rPr>
                <w:rFonts w:hint="default" w:ascii="Times New Roman" w:hAnsi="Times New Roman" w:eastAsia="宋体" w:cs="Times New Roman"/>
                <w:b/>
                <w:color w:val="auto"/>
                <w:sz w:val="21"/>
                <w:szCs w:val="21"/>
                <w:lang w:val="en-US" w:eastAsia="zh-CN"/>
              </w:rPr>
              <w:t>FFHW</w:t>
            </w:r>
            <w:r>
              <w:rPr>
                <w:rFonts w:hint="default" w:ascii="Times New Roman" w:hAnsi="Times New Roman" w:eastAsia="宋体" w:cs="Times New Roman"/>
                <w:b/>
                <w:bCs w:val="0"/>
                <w:color w:val="auto"/>
                <w:sz w:val="21"/>
                <w:szCs w:val="21"/>
                <w:lang w:val="en-US" w:eastAsia="zh-CN"/>
              </w:rPr>
              <w:t>20230222002</w:t>
            </w:r>
            <w:r>
              <w:rPr>
                <w:rFonts w:hint="default" w:ascii="Times New Roman" w:hAnsi="Times New Roman" w:eastAsia="宋体" w:cs="Times New Roman"/>
                <w:b/>
                <w:color w:val="auto"/>
                <w:sz w:val="21"/>
                <w:szCs w:val="21"/>
                <w:lang w:val="en-US" w:eastAsia="zh-CN"/>
              </w:rPr>
              <w:t>-6-2-2</w:t>
            </w:r>
          </w:p>
        </w:tc>
        <w:tc>
          <w:tcPr>
            <w:tcW w:w="1281"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default" w:ascii="Times New Roman" w:hAnsi="Times New Roman" w:eastAsia="宋体" w:cs="Times New Roman"/>
                <w:b/>
                <w:color w:val="auto"/>
                <w:sz w:val="21"/>
                <w:szCs w:val="21"/>
                <w:lang w:val="en-US"/>
              </w:rPr>
            </w:pPr>
            <w:r>
              <w:rPr>
                <w:rFonts w:hint="default" w:ascii="Times New Roman" w:hAnsi="Times New Roman" w:eastAsia="宋体" w:cs="Times New Roman"/>
                <w:b/>
                <w:color w:val="auto"/>
                <w:sz w:val="21"/>
                <w:szCs w:val="21"/>
                <w:lang w:val="en-US" w:eastAsia="zh-CN"/>
              </w:rPr>
              <w:t>FFHW</w:t>
            </w:r>
            <w:r>
              <w:rPr>
                <w:rFonts w:hint="default" w:ascii="Times New Roman" w:hAnsi="Times New Roman" w:eastAsia="宋体" w:cs="Times New Roman"/>
                <w:b/>
                <w:bCs w:val="0"/>
                <w:color w:val="auto"/>
                <w:sz w:val="21"/>
                <w:szCs w:val="21"/>
                <w:lang w:val="en-US" w:eastAsia="zh-CN"/>
              </w:rPr>
              <w:t>20230222002</w:t>
            </w:r>
            <w:r>
              <w:rPr>
                <w:rFonts w:hint="default" w:ascii="Times New Roman" w:hAnsi="Times New Roman" w:eastAsia="宋体" w:cs="Times New Roman"/>
                <w:b/>
                <w:color w:val="auto"/>
                <w:sz w:val="21"/>
                <w:szCs w:val="21"/>
                <w:lang w:val="en-US" w:eastAsia="zh-CN"/>
              </w:rPr>
              <w:t>-6-2-3</w:t>
            </w:r>
          </w:p>
        </w:tc>
        <w:tc>
          <w:tcPr>
            <w:tcW w:w="1096"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平均值</w:t>
            </w:r>
          </w:p>
        </w:tc>
        <w:tc>
          <w:tcPr>
            <w:tcW w:w="588"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lang w:eastAsia="zh-CN"/>
              </w:rPr>
              <w:t>标准限值</w:t>
            </w:r>
          </w:p>
        </w:tc>
        <w:tc>
          <w:tcPr>
            <w:tcW w:w="546"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lang w:eastAsia="zh-CN"/>
              </w:rPr>
              <w:t>达标情况</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90" w:hRule="atLeast"/>
          <w:jc w:val="center"/>
        </w:trPr>
        <w:tc>
          <w:tcPr>
            <w:tcW w:w="903"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烟气</w:t>
            </w:r>
          </w:p>
          <w:p>
            <w:pPr>
              <w:keepNext w:val="0"/>
              <w:keepLines w:val="0"/>
              <w:pageBreakBefore w:val="0"/>
              <w:widowControl/>
              <w:kinsoku/>
              <w:wordWrap/>
              <w:overflowPunct/>
              <w:topLinePunct w:val="0"/>
              <w:autoSpaceDE/>
              <w:autoSpaceDN/>
              <w:bidi w:val="0"/>
              <w:adjustRightInd/>
              <w:snapToGrid/>
              <w:spacing w:line="240" w:lineRule="auto"/>
              <w:ind w:lef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参数</w:t>
            </w:r>
          </w:p>
        </w:tc>
        <w:tc>
          <w:tcPr>
            <w:tcW w:w="2227"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管道截面积（</w:t>
            </w:r>
            <w:r>
              <w:rPr>
                <w:rFonts w:hint="default" w:ascii="Times New Roman" w:hAnsi="Times New Roman" w:eastAsia="宋体" w:cs="Times New Roman"/>
                <w:color w:val="auto"/>
                <w:sz w:val="21"/>
                <w:szCs w:val="21"/>
              </w:rPr>
              <w:t>㎡）</w:t>
            </w:r>
          </w:p>
        </w:tc>
        <w:tc>
          <w:tcPr>
            <w:tcW w:w="1292"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1.2272</w:t>
            </w:r>
          </w:p>
        </w:tc>
        <w:tc>
          <w:tcPr>
            <w:tcW w:w="1281"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1.2272</w:t>
            </w:r>
          </w:p>
        </w:tc>
        <w:tc>
          <w:tcPr>
            <w:tcW w:w="1281"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1.2272</w:t>
            </w:r>
          </w:p>
        </w:tc>
        <w:tc>
          <w:tcPr>
            <w:tcW w:w="1096"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1.2272</w:t>
            </w:r>
          </w:p>
        </w:tc>
        <w:tc>
          <w:tcPr>
            <w:tcW w:w="588"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46"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90" w:hRule="atLeast"/>
          <w:jc w:val="center"/>
        </w:trPr>
        <w:tc>
          <w:tcPr>
            <w:tcW w:w="90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jc w:val="center"/>
              <w:rPr>
                <w:rFonts w:hint="default" w:ascii="Times New Roman" w:hAnsi="Times New Roman" w:eastAsia="宋体" w:cs="Times New Roman"/>
                <w:b/>
                <w:color w:val="auto"/>
                <w:sz w:val="21"/>
                <w:szCs w:val="21"/>
              </w:rPr>
            </w:pPr>
          </w:p>
        </w:tc>
        <w:tc>
          <w:tcPr>
            <w:tcW w:w="2227"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烟温（℃）</w:t>
            </w:r>
          </w:p>
        </w:tc>
        <w:tc>
          <w:tcPr>
            <w:tcW w:w="1292"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26.1</w:t>
            </w:r>
          </w:p>
        </w:tc>
        <w:tc>
          <w:tcPr>
            <w:tcW w:w="1281"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25.7</w:t>
            </w:r>
          </w:p>
        </w:tc>
        <w:tc>
          <w:tcPr>
            <w:tcW w:w="1281"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24.9</w:t>
            </w:r>
          </w:p>
        </w:tc>
        <w:tc>
          <w:tcPr>
            <w:tcW w:w="1096"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25.6</w:t>
            </w:r>
          </w:p>
        </w:tc>
        <w:tc>
          <w:tcPr>
            <w:tcW w:w="588"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46"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90" w:hRule="atLeast"/>
          <w:jc w:val="center"/>
        </w:trPr>
        <w:tc>
          <w:tcPr>
            <w:tcW w:w="90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jc w:val="center"/>
              <w:rPr>
                <w:rFonts w:hint="default" w:ascii="Times New Roman" w:hAnsi="Times New Roman" w:eastAsia="宋体" w:cs="Times New Roman"/>
                <w:b/>
                <w:color w:val="auto"/>
                <w:sz w:val="21"/>
                <w:szCs w:val="21"/>
              </w:rPr>
            </w:pPr>
          </w:p>
        </w:tc>
        <w:tc>
          <w:tcPr>
            <w:tcW w:w="2227"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平均烟气流速（m/s）</w:t>
            </w:r>
          </w:p>
        </w:tc>
        <w:tc>
          <w:tcPr>
            <w:tcW w:w="1292"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4.0</w:t>
            </w:r>
          </w:p>
        </w:tc>
        <w:tc>
          <w:tcPr>
            <w:tcW w:w="1281"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3.8</w:t>
            </w:r>
          </w:p>
        </w:tc>
        <w:tc>
          <w:tcPr>
            <w:tcW w:w="1281"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4.1</w:t>
            </w:r>
          </w:p>
        </w:tc>
        <w:tc>
          <w:tcPr>
            <w:tcW w:w="1096"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4.0</w:t>
            </w:r>
          </w:p>
        </w:tc>
        <w:tc>
          <w:tcPr>
            <w:tcW w:w="588"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46"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90" w:hRule="atLeast"/>
          <w:jc w:val="center"/>
        </w:trPr>
        <w:tc>
          <w:tcPr>
            <w:tcW w:w="90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b/>
                <w:color w:val="auto"/>
                <w:sz w:val="21"/>
                <w:szCs w:val="21"/>
              </w:rPr>
            </w:pPr>
          </w:p>
        </w:tc>
        <w:tc>
          <w:tcPr>
            <w:tcW w:w="2227"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平均烟气流量（m³/h）</w:t>
            </w:r>
          </w:p>
        </w:tc>
        <w:tc>
          <w:tcPr>
            <w:tcW w:w="1292"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17581</w:t>
            </w:r>
          </w:p>
        </w:tc>
        <w:tc>
          <w:tcPr>
            <w:tcW w:w="1281"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16752</w:t>
            </w:r>
          </w:p>
        </w:tc>
        <w:tc>
          <w:tcPr>
            <w:tcW w:w="1281"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18325</w:t>
            </w:r>
          </w:p>
        </w:tc>
        <w:tc>
          <w:tcPr>
            <w:tcW w:w="1096"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17553</w:t>
            </w:r>
          </w:p>
        </w:tc>
        <w:tc>
          <w:tcPr>
            <w:tcW w:w="588"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46"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90" w:hRule="atLeast"/>
          <w:jc w:val="center"/>
        </w:trPr>
        <w:tc>
          <w:tcPr>
            <w:tcW w:w="90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b/>
                <w:color w:val="auto"/>
                <w:sz w:val="21"/>
                <w:szCs w:val="21"/>
              </w:rPr>
            </w:pPr>
          </w:p>
        </w:tc>
        <w:tc>
          <w:tcPr>
            <w:tcW w:w="2227"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标干烟气流量（Nm³/h）</w:t>
            </w:r>
          </w:p>
        </w:tc>
        <w:tc>
          <w:tcPr>
            <w:tcW w:w="1292"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default" w:ascii="Times New Roman" w:hAnsi="Times New Roman" w:eastAsia="宋体" w:cs="Times New Roman"/>
                <w:color w:val="auto"/>
                <w:spacing w:val="-5"/>
                <w:sz w:val="21"/>
                <w:szCs w:val="21"/>
                <w:lang w:val="en-US" w:eastAsia="zh-CN" w:bidi="he-IL"/>
              </w:rPr>
            </w:pPr>
            <w:r>
              <w:rPr>
                <w:rFonts w:hint="default" w:ascii="Times New Roman" w:hAnsi="Times New Roman" w:eastAsia="宋体" w:cs="Times New Roman"/>
                <w:color w:val="auto"/>
                <w:spacing w:val="-5"/>
                <w:sz w:val="21"/>
                <w:szCs w:val="21"/>
                <w:lang w:val="en-US" w:eastAsia="zh-CN" w:bidi="he-IL"/>
              </w:rPr>
              <w:t>12315</w:t>
            </w:r>
          </w:p>
        </w:tc>
        <w:tc>
          <w:tcPr>
            <w:tcW w:w="1281"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default" w:ascii="Times New Roman" w:hAnsi="Times New Roman" w:eastAsia="宋体" w:cs="Times New Roman"/>
                <w:color w:val="auto"/>
                <w:spacing w:val="-5"/>
                <w:sz w:val="21"/>
                <w:szCs w:val="21"/>
                <w:lang w:val="en-US" w:eastAsia="zh-CN" w:bidi="he-IL"/>
              </w:rPr>
            </w:pPr>
            <w:r>
              <w:rPr>
                <w:rFonts w:hint="default" w:ascii="Times New Roman" w:hAnsi="Times New Roman" w:eastAsia="宋体" w:cs="Times New Roman"/>
                <w:color w:val="auto"/>
                <w:spacing w:val="-5"/>
                <w:sz w:val="21"/>
                <w:szCs w:val="21"/>
                <w:lang w:val="en-US" w:eastAsia="zh-CN" w:bidi="he-IL"/>
              </w:rPr>
              <w:t>11750</w:t>
            </w:r>
          </w:p>
        </w:tc>
        <w:tc>
          <w:tcPr>
            <w:tcW w:w="1281"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default" w:ascii="Times New Roman" w:hAnsi="Times New Roman" w:eastAsia="宋体" w:cs="Times New Roman"/>
                <w:color w:val="auto"/>
                <w:spacing w:val="-5"/>
                <w:sz w:val="21"/>
                <w:szCs w:val="21"/>
                <w:lang w:val="en-US" w:eastAsia="zh-CN" w:bidi="he-IL"/>
              </w:rPr>
            </w:pPr>
            <w:r>
              <w:rPr>
                <w:rFonts w:hint="default" w:ascii="Times New Roman" w:hAnsi="Times New Roman" w:eastAsia="宋体" w:cs="Times New Roman"/>
                <w:color w:val="auto"/>
                <w:spacing w:val="-5"/>
                <w:sz w:val="21"/>
                <w:szCs w:val="21"/>
                <w:lang w:val="en-US" w:eastAsia="zh-CN" w:bidi="he-IL"/>
              </w:rPr>
              <w:t>12890</w:t>
            </w:r>
          </w:p>
        </w:tc>
        <w:tc>
          <w:tcPr>
            <w:tcW w:w="1096"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12318</w:t>
            </w:r>
          </w:p>
        </w:tc>
        <w:tc>
          <w:tcPr>
            <w:tcW w:w="588"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46"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90" w:hRule="atLeast"/>
          <w:jc w:val="center"/>
        </w:trPr>
        <w:tc>
          <w:tcPr>
            <w:tcW w:w="903"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color w:val="auto"/>
                <w:sz w:val="21"/>
                <w:szCs w:val="21"/>
                <w:lang w:val="en-US" w:eastAsia="zh-CN"/>
              </w:rPr>
              <w:t>氟化物</w:t>
            </w:r>
          </w:p>
        </w:tc>
        <w:tc>
          <w:tcPr>
            <w:tcW w:w="2227"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实测浓度（mg/m³）</w:t>
            </w:r>
          </w:p>
        </w:tc>
        <w:tc>
          <w:tcPr>
            <w:tcW w:w="1292"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1.02</w:t>
            </w:r>
          </w:p>
        </w:tc>
        <w:tc>
          <w:tcPr>
            <w:tcW w:w="1281"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1.02</w:t>
            </w:r>
          </w:p>
        </w:tc>
        <w:tc>
          <w:tcPr>
            <w:tcW w:w="1281"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1.01</w:t>
            </w:r>
          </w:p>
        </w:tc>
        <w:tc>
          <w:tcPr>
            <w:tcW w:w="1096"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1.02</w:t>
            </w:r>
          </w:p>
        </w:tc>
        <w:tc>
          <w:tcPr>
            <w:tcW w:w="588"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w:t>
            </w:r>
          </w:p>
        </w:tc>
        <w:tc>
          <w:tcPr>
            <w:tcW w:w="546"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90" w:hRule="atLeast"/>
          <w:jc w:val="center"/>
        </w:trPr>
        <w:tc>
          <w:tcPr>
            <w:tcW w:w="90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color w:val="auto"/>
                <w:sz w:val="21"/>
                <w:szCs w:val="21"/>
              </w:rPr>
            </w:pPr>
          </w:p>
        </w:tc>
        <w:tc>
          <w:tcPr>
            <w:tcW w:w="2227"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排放量（kg/h）</w:t>
            </w:r>
          </w:p>
        </w:tc>
        <w:tc>
          <w:tcPr>
            <w:tcW w:w="1292"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0.012</w:t>
            </w:r>
          </w:p>
        </w:tc>
        <w:tc>
          <w:tcPr>
            <w:tcW w:w="1281"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0.012</w:t>
            </w:r>
          </w:p>
        </w:tc>
        <w:tc>
          <w:tcPr>
            <w:tcW w:w="1281"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0.013</w:t>
            </w:r>
          </w:p>
        </w:tc>
        <w:tc>
          <w:tcPr>
            <w:tcW w:w="1096"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0.012</w:t>
            </w:r>
          </w:p>
        </w:tc>
        <w:tc>
          <w:tcPr>
            <w:tcW w:w="588"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0.8</w:t>
            </w:r>
          </w:p>
        </w:tc>
        <w:tc>
          <w:tcPr>
            <w:tcW w:w="546"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达标</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default" w:ascii="Times New Roman" w:hAnsi="Times New Roman" w:cs="Times New Roman"/>
          <w:color w:val="auto"/>
          <w:vertAlign w:val="baseline"/>
          <w:lang w:val="en-US" w:eastAsia="zh-CN"/>
        </w:rPr>
      </w:pPr>
      <w:r>
        <w:rPr>
          <w:rFonts w:hint="default" w:ascii="Times New Roman" w:hAnsi="Times New Roman" w:cs="Times New Roman"/>
          <w:color w:val="auto"/>
          <w:lang w:eastAsia="zh-CN"/>
        </w:rPr>
        <w:t>根据上表验收监测数据，</w:t>
      </w:r>
      <w:r>
        <w:rPr>
          <w:rFonts w:hint="default" w:ascii="Times New Roman" w:hAnsi="Times New Roman" w:cs="Times New Roman"/>
          <w:color w:val="auto"/>
        </w:rPr>
        <w:t>酸洗废气中氟化物</w:t>
      </w:r>
      <w:r>
        <w:rPr>
          <w:rFonts w:hint="default" w:ascii="Times New Roman" w:hAnsi="Times New Roman" w:cs="Times New Roman"/>
          <w:color w:val="auto"/>
          <w:lang w:eastAsia="zh-CN"/>
        </w:rPr>
        <w:t>最大</w:t>
      </w:r>
      <w:r>
        <w:rPr>
          <w:rFonts w:hint="default" w:ascii="Times New Roman" w:hAnsi="Times New Roman" w:cs="Times New Roman"/>
          <w:color w:val="auto"/>
        </w:rPr>
        <w:t>排放浓度为</w:t>
      </w:r>
      <w:r>
        <w:rPr>
          <w:rFonts w:hint="default" w:ascii="Times New Roman" w:hAnsi="Times New Roman" w:cs="Times New Roman"/>
          <w:color w:val="auto"/>
          <w:lang w:val="en-US" w:eastAsia="zh-CN"/>
        </w:rPr>
        <w:t>1.02</w:t>
      </w:r>
      <w:r>
        <w:rPr>
          <w:rFonts w:hint="default" w:ascii="Times New Roman" w:hAnsi="Times New Roman" w:cs="Times New Roman"/>
          <w:color w:val="auto"/>
        </w:rPr>
        <w:t>mg/m</w:t>
      </w:r>
      <w:r>
        <w:rPr>
          <w:rFonts w:hint="default" w:ascii="Times New Roman" w:hAnsi="Times New Roman" w:cs="Times New Roman"/>
          <w:color w:val="auto"/>
          <w:vertAlign w:val="superscript"/>
        </w:rPr>
        <w:t>3</w:t>
      </w:r>
      <w:r>
        <w:rPr>
          <w:rFonts w:hint="default" w:ascii="Times New Roman" w:hAnsi="Times New Roman" w:cs="Times New Roman"/>
          <w:color w:val="auto"/>
          <w:vertAlign w:val="baseline"/>
          <w:lang w:eastAsia="zh-CN"/>
        </w:rPr>
        <w:t>，单晶硅废料清洗量为</w:t>
      </w:r>
      <w:r>
        <w:rPr>
          <w:rFonts w:hint="default" w:ascii="Times New Roman" w:hAnsi="Times New Roman" w:cs="Times New Roman"/>
          <w:color w:val="auto"/>
          <w:vertAlign w:val="baseline"/>
          <w:lang w:val="en-US" w:eastAsia="zh-CN"/>
        </w:rPr>
        <w:t>11747t/a。本项目建成后不合格切片产生量约为453.16t/a，四级氢氧化钠洗涤塔引风量为15000m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vertAlign w:val="baseline"/>
          <w:lang w:val="en-US" w:eastAsia="zh-CN"/>
        </w:rPr>
        <w:t>/h，则本项目氟化物排放浓度为1.02mg/m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vertAlign w:val="baseline"/>
          <w:lang w:val="en-US" w:eastAsia="zh-CN"/>
        </w:rPr>
        <w:t>、排放速率为0.0006kg/h、排放量为0.005t/a。</w:t>
      </w:r>
    </w:p>
    <w:p>
      <w:pPr>
        <w:spacing w:line="360" w:lineRule="auto"/>
        <w:ind w:firstLine="480" w:firstLineChars="200"/>
        <w:rPr>
          <w:rFonts w:hint="default" w:ascii="Times New Roman" w:hAnsi="Times New Roman" w:eastAsia="宋体" w:cs="Times New Roman"/>
          <w:color w:val="auto"/>
          <w:vertAlign w:val="superscript"/>
          <w:lang w:eastAsia="zh-CN"/>
        </w:rPr>
      </w:pPr>
      <w:r>
        <w:rPr>
          <w:rFonts w:hint="default" w:ascii="Times New Roman" w:hAnsi="Times New Roman" w:cs="Times New Roman"/>
          <w:color w:val="auto"/>
          <w:lang w:eastAsia="zh-CN"/>
        </w:rPr>
        <w:t>吸杂车间建成后，原有项目产生的不合格切片（约</w:t>
      </w:r>
      <w:r>
        <w:rPr>
          <w:rFonts w:hint="default" w:ascii="Times New Roman" w:hAnsi="Times New Roman" w:cs="Times New Roman"/>
          <w:color w:val="auto"/>
          <w:lang w:val="en-US" w:eastAsia="zh-CN"/>
        </w:rPr>
        <w:t>755.27t/a</w:t>
      </w:r>
      <w:r>
        <w:rPr>
          <w:rFonts w:hint="default" w:ascii="Times New Roman" w:hAnsi="Times New Roman" w:cs="Times New Roman"/>
          <w:color w:val="auto"/>
          <w:lang w:eastAsia="zh-CN"/>
        </w:rPr>
        <w:t>）也将在吸杂车间内进行酸洗处理，因此</w:t>
      </w:r>
      <w:r>
        <w:rPr>
          <w:rFonts w:hint="default" w:ascii="Times New Roman" w:hAnsi="Times New Roman" w:cs="Times New Roman"/>
          <w:color w:val="auto"/>
          <w:lang w:val="en-US" w:eastAsia="zh-CN"/>
        </w:rPr>
        <w:t>，当项目建成后，吸杂车间酸洗废气氟化物排放总量为0.014t/a、排放速率为</w:t>
      </w:r>
      <w:r>
        <w:rPr>
          <w:rFonts w:hint="default" w:ascii="Times New Roman" w:hAnsi="Times New Roman" w:cs="Times New Roman"/>
          <w:color w:val="auto"/>
          <w:vertAlign w:val="baseline"/>
          <w:lang w:val="en-US" w:eastAsia="zh-CN"/>
        </w:rPr>
        <w:t>0.0016kg/h、排放浓度为1.02mg/m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vertAlign w:val="baseline"/>
          <w:lang w:val="en-US" w:eastAsia="zh-CN"/>
        </w:rPr>
        <w:t>。</w:t>
      </w:r>
    </w:p>
    <w:p>
      <w:pPr>
        <w:numPr>
          <w:ilvl w:val="0"/>
          <w:numId w:val="14"/>
        </w:numPr>
        <w:spacing w:line="360" w:lineRule="auto"/>
        <w:ind w:left="0" w:leftChars="0" w:firstLine="48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综合污水处理站恶臭</w:t>
      </w:r>
    </w:p>
    <w:p>
      <w:pPr>
        <w:spacing w:line="360" w:lineRule="auto"/>
        <w:ind w:firstLine="48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项目综合污水处理站主要处理全厂生产废水，废水处理过程中会产生恶臭，主要成分是氨和硫化氢，经碱吸收塔处理后通过15m排气筒DA010排放，由于综合污水处理站主要处理的是有机废水，恶臭源强参考城市生活污水处理厂产生源强。根据</w:t>
      </w:r>
      <w:r>
        <w:rPr>
          <w:rFonts w:hint="default" w:ascii="Times New Roman" w:hAnsi="Times New Roman" w:cs="Times New Roman"/>
          <w:color w:val="auto"/>
        </w:rPr>
        <w:t>美国EPA对城市污水处理厂恶臭污染物产生情况的研究结果，每处</w:t>
      </w:r>
      <w:r>
        <w:rPr>
          <w:rFonts w:hint="default" w:ascii="Times New Roman" w:hAnsi="Times New Roman" w:cs="Times New Roman"/>
          <w:color w:val="auto"/>
          <w:lang w:val="en-US" w:eastAsia="zh-CN"/>
        </w:rPr>
        <w:t>理1gBOD</w:t>
      </w:r>
      <w:r>
        <w:rPr>
          <w:rFonts w:hint="default" w:ascii="Times New Roman" w:hAnsi="Times New Roman" w:cs="Times New Roman"/>
          <w:color w:val="auto"/>
          <w:vertAlign w:val="subscript"/>
          <w:lang w:val="en-US" w:eastAsia="zh-CN"/>
        </w:rPr>
        <w:t>5</w:t>
      </w:r>
      <w:r>
        <w:rPr>
          <w:rFonts w:hint="default" w:ascii="Times New Roman" w:hAnsi="Times New Roman" w:cs="Times New Roman"/>
          <w:color w:val="auto"/>
          <w:lang w:val="en-US" w:eastAsia="zh-CN"/>
        </w:rPr>
        <w:t>可产生约0.0031gNH</w:t>
      </w:r>
      <w:r>
        <w:rPr>
          <w:rFonts w:hint="default" w:ascii="Times New Roman" w:hAnsi="Times New Roman" w:cs="Times New Roman"/>
          <w:color w:val="auto"/>
          <w:vertAlign w:val="subscript"/>
          <w:lang w:val="en-US" w:eastAsia="zh-CN"/>
        </w:rPr>
        <w:t>3</w:t>
      </w:r>
      <w:r>
        <w:rPr>
          <w:rFonts w:hint="default" w:ascii="Times New Roman" w:hAnsi="Times New Roman" w:cs="Times New Roman"/>
          <w:color w:val="auto"/>
          <w:lang w:val="en-US" w:eastAsia="zh-CN"/>
        </w:rPr>
        <w:t>和0.00012gH</w:t>
      </w:r>
      <w:r>
        <w:rPr>
          <w:rFonts w:hint="default" w:ascii="Times New Roman" w:hAnsi="Times New Roman" w:cs="Times New Roman"/>
          <w:color w:val="auto"/>
          <w:vertAlign w:val="subscript"/>
          <w:lang w:val="en-US" w:eastAsia="zh-CN"/>
        </w:rPr>
        <w:t>2</w:t>
      </w:r>
      <w:r>
        <w:rPr>
          <w:rFonts w:hint="default" w:ascii="Times New Roman" w:hAnsi="Times New Roman" w:cs="Times New Roman"/>
          <w:color w:val="auto"/>
          <w:lang w:val="en-US" w:eastAsia="zh-CN"/>
        </w:rPr>
        <w:t>S。</w:t>
      </w:r>
    </w:p>
    <w:p>
      <w:pPr>
        <w:spacing w:line="360" w:lineRule="auto"/>
        <w:ind w:firstLine="480" w:firstLineChars="200"/>
        <w:jc w:val="both"/>
        <w:rPr>
          <w:rFonts w:hint="default" w:ascii="Times New Roman" w:hAnsi="Times New Roman" w:cs="Times New Roman"/>
          <w:color w:val="auto"/>
          <w:vertAlign w:val="baseline"/>
          <w:lang w:val="en-US" w:eastAsia="zh-CN"/>
        </w:rPr>
      </w:pPr>
      <w:r>
        <w:rPr>
          <w:rFonts w:hint="default" w:ascii="Times New Roman" w:hAnsi="Times New Roman" w:cs="Times New Roman"/>
          <w:color w:val="auto"/>
          <w:lang w:val="en-US" w:eastAsia="zh-CN"/>
        </w:rPr>
        <w:t>根据下文分析，本项目BOD</w:t>
      </w:r>
      <w:r>
        <w:rPr>
          <w:rFonts w:hint="default" w:ascii="Times New Roman" w:hAnsi="Times New Roman" w:cs="Times New Roman"/>
          <w:color w:val="auto"/>
          <w:vertAlign w:val="subscript"/>
          <w:lang w:val="en-US" w:eastAsia="zh-CN"/>
        </w:rPr>
        <w:t>5</w:t>
      </w:r>
      <w:r>
        <w:rPr>
          <w:rFonts w:hint="default" w:ascii="Times New Roman" w:hAnsi="Times New Roman" w:cs="Times New Roman"/>
          <w:color w:val="auto"/>
          <w:lang w:val="en-US" w:eastAsia="zh-CN"/>
        </w:rPr>
        <w:t>处理量约为453.89kg/d，则NH</w:t>
      </w:r>
      <w:r>
        <w:rPr>
          <w:rFonts w:hint="default" w:ascii="Times New Roman" w:hAnsi="Times New Roman" w:cs="Times New Roman"/>
          <w:color w:val="auto"/>
          <w:vertAlign w:val="subscript"/>
          <w:lang w:val="en-US" w:eastAsia="zh-CN"/>
        </w:rPr>
        <w:t>3</w:t>
      </w:r>
      <w:r>
        <w:rPr>
          <w:rFonts w:hint="default" w:ascii="Times New Roman" w:hAnsi="Times New Roman" w:cs="Times New Roman"/>
          <w:color w:val="auto"/>
          <w:lang w:val="en-US" w:eastAsia="zh-CN"/>
        </w:rPr>
        <w:t>产生量为</w:t>
      </w:r>
      <w:r>
        <w:rPr>
          <w:rFonts w:hint="default" w:ascii="Times New Roman" w:hAnsi="Times New Roman" w:cs="Times New Roman"/>
          <w:color w:val="auto"/>
          <w:lang w:val="en-US" w:eastAsia="zh-CN"/>
        </w:rPr>
        <w:t>1.41</w:t>
      </w:r>
      <w:r>
        <w:rPr>
          <w:rFonts w:hint="default" w:ascii="Times New Roman" w:hAnsi="Times New Roman" w:cs="Times New Roman"/>
          <w:color w:val="auto"/>
          <w:lang w:val="en-US" w:eastAsia="zh-CN"/>
        </w:rPr>
        <w:t>kg/d、0.0</w:t>
      </w:r>
      <w:r>
        <w:rPr>
          <w:rFonts w:hint="default" w:ascii="Times New Roman" w:hAnsi="Times New Roman" w:cs="Times New Roman"/>
          <w:color w:val="auto"/>
          <w:lang w:val="en-US" w:eastAsia="zh-CN"/>
        </w:rPr>
        <w:t>59</w:t>
      </w:r>
      <w:r>
        <w:rPr>
          <w:rFonts w:hint="default" w:ascii="Times New Roman" w:hAnsi="Times New Roman" w:cs="Times New Roman"/>
          <w:color w:val="auto"/>
          <w:lang w:val="en-US" w:eastAsia="zh-CN"/>
        </w:rPr>
        <w:t>kg/h，H</w:t>
      </w:r>
      <w:r>
        <w:rPr>
          <w:rFonts w:hint="default" w:ascii="Times New Roman" w:hAnsi="Times New Roman" w:cs="Times New Roman"/>
          <w:color w:val="auto"/>
          <w:vertAlign w:val="subscript"/>
          <w:lang w:val="en-US" w:eastAsia="zh-CN"/>
        </w:rPr>
        <w:t>2</w:t>
      </w:r>
      <w:r>
        <w:rPr>
          <w:rFonts w:hint="default" w:ascii="Times New Roman" w:hAnsi="Times New Roman" w:cs="Times New Roman"/>
          <w:color w:val="auto"/>
          <w:lang w:val="en-US" w:eastAsia="zh-CN"/>
        </w:rPr>
        <w:t>S产生量为0.0</w:t>
      </w:r>
      <w:r>
        <w:rPr>
          <w:rFonts w:hint="default" w:ascii="Times New Roman" w:hAnsi="Times New Roman" w:cs="Times New Roman"/>
          <w:color w:val="auto"/>
          <w:lang w:val="en-US" w:eastAsia="zh-CN"/>
        </w:rPr>
        <w:t>54</w:t>
      </w:r>
      <w:r>
        <w:rPr>
          <w:rFonts w:hint="default" w:ascii="Times New Roman" w:hAnsi="Times New Roman" w:cs="Times New Roman"/>
          <w:color w:val="auto"/>
          <w:lang w:val="en-US" w:eastAsia="zh-CN"/>
        </w:rPr>
        <w:t>kg/d、0.00</w:t>
      </w:r>
      <w:r>
        <w:rPr>
          <w:rFonts w:hint="default" w:ascii="Times New Roman" w:hAnsi="Times New Roman" w:cs="Times New Roman"/>
          <w:color w:val="auto"/>
          <w:lang w:val="en-US" w:eastAsia="zh-CN"/>
        </w:rPr>
        <w:t>2</w:t>
      </w:r>
      <w:r>
        <w:rPr>
          <w:rFonts w:hint="default" w:ascii="Times New Roman" w:hAnsi="Times New Roman" w:cs="Times New Roman"/>
          <w:color w:val="auto"/>
          <w:lang w:val="en-US" w:eastAsia="zh-CN"/>
        </w:rPr>
        <w:t>3kg/h。采用碱吸收法对NH</w:t>
      </w:r>
      <w:r>
        <w:rPr>
          <w:rFonts w:hint="default" w:ascii="Times New Roman" w:hAnsi="Times New Roman" w:cs="Times New Roman"/>
          <w:color w:val="auto"/>
          <w:vertAlign w:val="subscript"/>
          <w:lang w:val="en-US" w:eastAsia="zh-CN"/>
        </w:rPr>
        <w:t>3</w:t>
      </w:r>
      <w:r>
        <w:rPr>
          <w:rFonts w:hint="default" w:ascii="Times New Roman" w:hAnsi="Times New Roman" w:cs="Times New Roman"/>
          <w:color w:val="auto"/>
          <w:vertAlign w:val="baseline"/>
          <w:lang w:val="en-US" w:eastAsia="zh-CN"/>
        </w:rPr>
        <w:t>的去除效率约为60%左右，主要是</w:t>
      </w:r>
      <w:r>
        <w:rPr>
          <w:rFonts w:hint="default" w:ascii="Times New Roman" w:hAnsi="Times New Roman" w:cs="Times New Roman"/>
          <w:color w:val="auto"/>
          <w:lang w:val="en-US" w:eastAsia="zh-CN"/>
        </w:rPr>
        <w:t>NH</w:t>
      </w:r>
      <w:r>
        <w:rPr>
          <w:rFonts w:hint="default" w:ascii="Times New Roman" w:hAnsi="Times New Roman" w:cs="Times New Roman"/>
          <w:color w:val="auto"/>
          <w:vertAlign w:val="subscript"/>
          <w:lang w:val="en-US" w:eastAsia="zh-CN"/>
        </w:rPr>
        <w:t>3</w:t>
      </w:r>
      <w:r>
        <w:rPr>
          <w:rFonts w:hint="default" w:ascii="Times New Roman" w:hAnsi="Times New Roman" w:cs="Times New Roman"/>
          <w:color w:val="auto"/>
          <w:vertAlign w:val="baseline"/>
          <w:lang w:val="en-US" w:eastAsia="zh-CN"/>
        </w:rPr>
        <w:t>溶解入水中降低</w:t>
      </w:r>
      <w:r>
        <w:rPr>
          <w:rFonts w:hint="default" w:ascii="Times New Roman" w:hAnsi="Times New Roman" w:cs="Times New Roman"/>
          <w:color w:val="auto"/>
          <w:lang w:val="en-US" w:eastAsia="zh-CN"/>
        </w:rPr>
        <w:t>NH</w:t>
      </w:r>
      <w:r>
        <w:rPr>
          <w:rFonts w:hint="default" w:ascii="Times New Roman" w:hAnsi="Times New Roman" w:cs="Times New Roman"/>
          <w:color w:val="auto"/>
          <w:vertAlign w:val="subscript"/>
          <w:lang w:val="en-US" w:eastAsia="zh-CN"/>
        </w:rPr>
        <w:t>3</w:t>
      </w:r>
      <w:r>
        <w:rPr>
          <w:rFonts w:hint="default" w:ascii="Times New Roman" w:hAnsi="Times New Roman" w:cs="Times New Roman"/>
          <w:color w:val="auto"/>
          <w:vertAlign w:val="baseline"/>
          <w:lang w:val="en-US" w:eastAsia="zh-CN"/>
        </w:rPr>
        <w:t>排放量；对</w:t>
      </w:r>
      <w:r>
        <w:rPr>
          <w:rFonts w:hint="default" w:ascii="Times New Roman" w:hAnsi="Times New Roman" w:cs="Times New Roman"/>
          <w:color w:val="auto"/>
          <w:lang w:val="en-US" w:eastAsia="zh-CN"/>
        </w:rPr>
        <w:t>H</w:t>
      </w:r>
      <w:r>
        <w:rPr>
          <w:rFonts w:hint="default" w:ascii="Times New Roman" w:hAnsi="Times New Roman" w:cs="Times New Roman"/>
          <w:color w:val="auto"/>
          <w:vertAlign w:val="subscript"/>
          <w:lang w:val="en-US" w:eastAsia="zh-CN"/>
        </w:rPr>
        <w:t>2</w:t>
      </w:r>
      <w:r>
        <w:rPr>
          <w:rFonts w:hint="default" w:ascii="Times New Roman" w:hAnsi="Times New Roman" w:cs="Times New Roman"/>
          <w:color w:val="auto"/>
          <w:lang w:val="en-US" w:eastAsia="zh-CN"/>
        </w:rPr>
        <w:t>S酸性气体的去除效率约为90%左右。</w:t>
      </w:r>
      <w:r>
        <w:rPr>
          <w:rFonts w:hint="default" w:ascii="Times New Roman" w:hAnsi="Times New Roman" w:cs="Times New Roman"/>
          <w:color w:val="auto"/>
          <w:vertAlign w:val="baseline"/>
          <w:lang w:val="en-US" w:eastAsia="zh-CN"/>
        </w:rPr>
        <w:t>除臭系统引风量为15000m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vertAlign w:val="baseline"/>
          <w:lang w:val="en-US" w:eastAsia="zh-CN"/>
        </w:rPr>
        <w:t>/h，本项目产生的恶臭经除臭系统治理后</w:t>
      </w:r>
      <w:r>
        <w:rPr>
          <w:rFonts w:hint="default" w:ascii="Times New Roman" w:hAnsi="Times New Roman" w:cs="Times New Roman"/>
          <w:color w:val="auto"/>
          <w:lang w:val="en-US" w:eastAsia="zh-CN"/>
        </w:rPr>
        <w:t>NH</w:t>
      </w:r>
      <w:r>
        <w:rPr>
          <w:rFonts w:hint="default" w:ascii="Times New Roman" w:hAnsi="Times New Roman" w:cs="Times New Roman"/>
          <w:color w:val="auto"/>
          <w:vertAlign w:val="subscript"/>
          <w:lang w:val="en-US" w:eastAsia="zh-CN"/>
        </w:rPr>
        <w:t>3</w:t>
      </w:r>
      <w:r>
        <w:rPr>
          <w:rFonts w:hint="default" w:ascii="Times New Roman" w:hAnsi="Times New Roman" w:cs="Times New Roman"/>
          <w:color w:val="auto"/>
          <w:vertAlign w:val="baseline"/>
          <w:lang w:val="en-US" w:eastAsia="zh-CN"/>
        </w:rPr>
        <w:t>排放速率为0.0</w:t>
      </w:r>
      <w:r>
        <w:rPr>
          <w:rFonts w:hint="default" w:ascii="Times New Roman" w:hAnsi="Times New Roman" w:cs="Times New Roman"/>
          <w:color w:val="auto"/>
          <w:vertAlign w:val="baseline"/>
          <w:lang w:val="en-US" w:eastAsia="zh-CN"/>
        </w:rPr>
        <w:t>22</w:t>
      </w:r>
      <w:r>
        <w:rPr>
          <w:rFonts w:hint="default" w:ascii="Times New Roman" w:hAnsi="Times New Roman" w:cs="Times New Roman"/>
          <w:color w:val="auto"/>
          <w:vertAlign w:val="baseline"/>
          <w:lang w:val="en-US" w:eastAsia="zh-CN"/>
        </w:rPr>
        <w:t>kg/h、排放浓度为</w:t>
      </w:r>
      <w:r>
        <w:rPr>
          <w:rFonts w:hint="default" w:ascii="Times New Roman" w:hAnsi="Times New Roman" w:cs="Times New Roman"/>
          <w:color w:val="auto"/>
          <w:vertAlign w:val="baseline"/>
          <w:lang w:val="en-US" w:eastAsia="zh-CN"/>
        </w:rPr>
        <w:t>1.44</w:t>
      </w:r>
      <w:r>
        <w:rPr>
          <w:rFonts w:hint="default" w:ascii="Times New Roman" w:hAnsi="Times New Roman" w:cs="Times New Roman"/>
          <w:color w:val="auto"/>
          <w:vertAlign w:val="baseline"/>
          <w:lang w:val="en-US" w:eastAsia="zh-CN"/>
        </w:rPr>
        <w:t>mg/m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vertAlign w:val="baseline"/>
          <w:lang w:val="en-US" w:eastAsia="zh-CN"/>
        </w:rPr>
        <w:t>；</w:t>
      </w:r>
      <w:r>
        <w:rPr>
          <w:rFonts w:hint="default" w:ascii="Times New Roman" w:hAnsi="Times New Roman" w:cs="Times New Roman"/>
          <w:color w:val="auto"/>
          <w:lang w:val="en-US" w:eastAsia="zh-CN"/>
        </w:rPr>
        <w:t>H</w:t>
      </w:r>
      <w:r>
        <w:rPr>
          <w:rFonts w:hint="default" w:ascii="Times New Roman" w:hAnsi="Times New Roman" w:cs="Times New Roman"/>
          <w:color w:val="auto"/>
          <w:vertAlign w:val="subscript"/>
          <w:lang w:val="en-US" w:eastAsia="zh-CN"/>
        </w:rPr>
        <w:t>2</w:t>
      </w:r>
      <w:r>
        <w:rPr>
          <w:rFonts w:hint="default" w:ascii="Times New Roman" w:hAnsi="Times New Roman" w:cs="Times New Roman"/>
          <w:color w:val="auto"/>
          <w:lang w:val="en-US" w:eastAsia="zh-CN"/>
        </w:rPr>
        <w:t>S排放速率为0.000</w:t>
      </w:r>
      <w:r>
        <w:rPr>
          <w:rFonts w:hint="default" w:ascii="Times New Roman" w:hAnsi="Times New Roman" w:cs="Times New Roman"/>
          <w:color w:val="auto"/>
          <w:lang w:val="en-US" w:eastAsia="zh-CN"/>
        </w:rPr>
        <w:t>2</w:t>
      </w:r>
      <w:r>
        <w:rPr>
          <w:rFonts w:hint="default" w:ascii="Times New Roman" w:hAnsi="Times New Roman" w:cs="Times New Roman"/>
          <w:color w:val="auto"/>
          <w:lang w:val="en-US" w:eastAsia="zh-CN"/>
        </w:rPr>
        <w:t>kg/h、排放浓度为0.0</w:t>
      </w:r>
      <w:r>
        <w:rPr>
          <w:rFonts w:hint="default" w:ascii="Times New Roman" w:hAnsi="Times New Roman" w:cs="Times New Roman"/>
          <w:color w:val="auto"/>
          <w:lang w:val="en-US" w:eastAsia="zh-CN"/>
        </w:rPr>
        <w:t>15</w:t>
      </w:r>
      <w:r>
        <w:rPr>
          <w:rFonts w:hint="default" w:ascii="Times New Roman" w:hAnsi="Times New Roman" w:cs="Times New Roman"/>
          <w:color w:val="auto"/>
          <w:vertAlign w:val="baseline"/>
          <w:lang w:val="en-US" w:eastAsia="zh-CN"/>
        </w:rPr>
        <w:t>mg/m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vertAlign w:val="baseline"/>
          <w:lang w:val="en-US" w:eastAsia="zh-CN"/>
        </w:rPr>
        <w:t>。</w:t>
      </w:r>
    </w:p>
    <w:p>
      <w:pPr>
        <w:pStyle w:val="55"/>
        <w:jc w:val="both"/>
        <w:rPr>
          <w:rFonts w:hint="default" w:ascii="Times New Roman" w:hAnsi="Times New Roman" w:cs="Times New Roman"/>
          <w:lang w:val="en-US" w:eastAsia="zh-CN"/>
        </w:rPr>
        <w:sectPr>
          <w:pgSz w:w="11906" w:h="16838"/>
          <w:pgMar w:top="1440" w:right="1797" w:bottom="1440" w:left="1797" w:header="851" w:footer="992" w:gutter="0"/>
          <w:pgBorders>
            <w:top w:val="none" w:sz="0" w:space="0"/>
            <w:left w:val="none" w:sz="0" w:space="0"/>
            <w:bottom w:val="none" w:sz="0" w:space="0"/>
            <w:right w:val="none" w:sz="0" w:space="0"/>
          </w:pgBorders>
          <w:cols w:space="720" w:num="1"/>
          <w:docGrid w:linePitch="312" w:charSpace="0"/>
        </w:sectPr>
      </w:pPr>
      <w:r>
        <w:rPr>
          <w:rFonts w:hint="default" w:ascii="Times New Roman" w:hAnsi="Times New Roman" w:cs="Times New Roman"/>
          <w:color w:val="auto"/>
          <w:lang w:val="en-US" w:eastAsia="zh-CN"/>
        </w:rPr>
        <w:t>本项目建成后，综合污水处理站BOD</w:t>
      </w:r>
      <w:r>
        <w:rPr>
          <w:rFonts w:hint="default" w:ascii="Times New Roman" w:hAnsi="Times New Roman" w:cs="Times New Roman"/>
          <w:color w:val="auto"/>
          <w:vertAlign w:val="subscript"/>
          <w:lang w:val="en-US" w:eastAsia="zh-CN"/>
        </w:rPr>
        <w:t>5</w:t>
      </w:r>
      <w:r>
        <w:rPr>
          <w:rFonts w:hint="default" w:ascii="Times New Roman" w:hAnsi="Times New Roman" w:cs="Times New Roman"/>
          <w:color w:val="auto"/>
          <w:lang w:val="en-US" w:eastAsia="zh-CN"/>
        </w:rPr>
        <w:t>处理量约为1266.97kg/d，则NH</w:t>
      </w:r>
      <w:r>
        <w:rPr>
          <w:rFonts w:hint="default" w:ascii="Times New Roman" w:hAnsi="Times New Roman" w:cs="Times New Roman"/>
          <w:color w:val="auto"/>
          <w:vertAlign w:val="subscript"/>
          <w:lang w:val="en-US" w:eastAsia="zh-CN"/>
        </w:rPr>
        <w:t>3</w:t>
      </w:r>
      <w:r>
        <w:rPr>
          <w:rFonts w:hint="default" w:ascii="Times New Roman" w:hAnsi="Times New Roman" w:cs="Times New Roman"/>
          <w:color w:val="auto"/>
          <w:lang w:val="en-US" w:eastAsia="zh-CN"/>
        </w:rPr>
        <w:t>产生量为</w:t>
      </w:r>
      <w:r>
        <w:rPr>
          <w:rFonts w:hint="default" w:ascii="Times New Roman" w:hAnsi="Times New Roman" w:cs="Times New Roman"/>
          <w:color w:val="auto"/>
          <w:lang w:val="en-US" w:eastAsia="zh-CN"/>
        </w:rPr>
        <w:t>3.93</w:t>
      </w:r>
      <w:r>
        <w:rPr>
          <w:rFonts w:hint="default" w:ascii="Times New Roman" w:hAnsi="Times New Roman" w:cs="Times New Roman"/>
          <w:color w:val="auto"/>
          <w:lang w:val="en-US" w:eastAsia="zh-CN"/>
        </w:rPr>
        <w:t>kg/d、0.</w:t>
      </w:r>
      <w:r>
        <w:rPr>
          <w:rFonts w:hint="default" w:ascii="Times New Roman" w:hAnsi="Times New Roman" w:cs="Times New Roman"/>
          <w:color w:val="auto"/>
          <w:lang w:val="en-US" w:eastAsia="zh-CN"/>
        </w:rPr>
        <w:t>16</w:t>
      </w:r>
      <w:r>
        <w:rPr>
          <w:rFonts w:hint="default" w:ascii="Times New Roman" w:hAnsi="Times New Roman" w:cs="Times New Roman"/>
          <w:color w:val="auto"/>
          <w:lang w:val="en-US" w:eastAsia="zh-CN"/>
        </w:rPr>
        <w:t>kg/h，H</w:t>
      </w:r>
      <w:r>
        <w:rPr>
          <w:rFonts w:hint="default" w:ascii="Times New Roman" w:hAnsi="Times New Roman" w:cs="Times New Roman"/>
          <w:color w:val="auto"/>
          <w:vertAlign w:val="subscript"/>
          <w:lang w:val="en-US" w:eastAsia="zh-CN"/>
        </w:rPr>
        <w:t>2</w:t>
      </w:r>
      <w:r>
        <w:rPr>
          <w:rFonts w:hint="default" w:ascii="Times New Roman" w:hAnsi="Times New Roman" w:cs="Times New Roman"/>
          <w:color w:val="auto"/>
          <w:lang w:val="en-US" w:eastAsia="zh-CN"/>
        </w:rPr>
        <w:t>S产生量为0.</w:t>
      </w:r>
      <w:r>
        <w:rPr>
          <w:rFonts w:hint="default" w:ascii="Times New Roman" w:hAnsi="Times New Roman" w:cs="Times New Roman"/>
          <w:color w:val="auto"/>
          <w:lang w:val="en-US" w:eastAsia="zh-CN"/>
        </w:rPr>
        <w:t>15</w:t>
      </w:r>
      <w:r>
        <w:rPr>
          <w:rFonts w:hint="default" w:ascii="Times New Roman" w:hAnsi="Times New Roman" w:cs="Times New Roman"/>
          <w:color w:val="auto"/>
          <w:lang w:val="en-US" w:eastAsia="zh-CN"/>
        </w:rPr>
        <w:t>kg/d、0.0</w:t>
      </w:r>
      <w:r>
        <w:rPr>
          <w:rFonts w:hint="default" w:ascii="Times New Roman" w:hAnsi="Times New Roman" w:cs="Times New Roman"/>
          <w:color w:val="auto"/>
          <w:lang w:val="en-US" w:eastAsia="zh-CN"/>
        </w:rPr>
        <w:t>063</w:t>
      </w:r>
      <w:r>
        <w:rPr>
          <w:rFonts w:hint="default" w:ascii="Times New Roman" w:hAnsi="Times New Roman" w:cs="Times New Roman"/>
          <w:color w:val="auto"/>
          <w:lang w:val="en-US" w:eastAsia="zh-CN"/>
        </w:rPr>
        <w:t>kg/h。</w:t>
      </w:r>
      <w:r>
        <w:rPr>
          <w:rFonts w:hint="default" w:ascii="Times New Roman" w:hAnsi="Times New Roman" w:cs="Times New Roman"/>
          <w:color w:val="auto"/>
          <w:vertAlign w:val="baseline"/>
          <w:lang w:val="en-US" w:eastAsia="zh-CN"/>
        </w:rPr>
        <w:t>除臭系统引风量为15000m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vertAlign w:val="baseline"/>
          <w:lang w:val="en-US" w:eastAsia="zh-CN"/>
        </w:rPr>
        <w:t>/h，本项目产生的恶臭经除臭系统治理后</w:t>
      </w:r>
      <w:r>
        <w:rPr>
          <w:rFonts w:hint="default" w:ascii="Times New Roman" w:hAnsi="Times New Roman" w:cs="Times New Roman"/>
          <w:color w:val="auto"/>
          <w:lang w:val="en-US" w:eastAsia="zh-CN"/>
        </w:rPr>
        <w:t>NH</w:t>
      </w:r>
      <w:r>
        <w:rPr>
          <w:rFonts w:hint="default" w:ascii="Times New Roman" w:hAnsi="Times New Roman" w:cs="Times New Roman"/>
          <w:color w:val="auto"/>
          <w:vertAlign w:val="subscript"/>
          <w:lang w:val="en-US" w:eastAsia="zh-CN"/>
        </w:rPr>
        <w:t>3</w:t>
      </w:r>
      <w:r>
        <w:rPr>
          <w:rFonts w:hint="default" w:ascii="Times New Roman" w:hAnsi="Times New Roman" w:cs="Times New Roman"/>
          <w:color w:val="auto"/>
          <w:vertAlign w:val="baseline"/>
          <w:lang w:val="en-US" w:eastAsia="zh-CN"/>
        </w:rPr>
        <w:t>排放速率为0.</w:t>
      </w:r>
      <w:r>
        <w:rPr>
          <w:rFonts w:hint="default" w:ascii="Times New Roman" w:hAnsi="Times New Roman" w:cs="Times New Roman"/>
          <w:color w:val="auto"/>
          <w:vertAlign w:val="baseline"/>
          <w:lang w:val="en-US" w:eastAsia="zh-CN"/>
        </w:rPr>
        <w:t>064</w:t>
      </w:r>
      <w:r>
        <w:rPr>
          <w:rFonts w:hint="default" w:ascii="Times New Roman" w:hAnsi="Times New Roman" w:cs="Times New Roman"/>
          <w:color w:val="auto"/>
          <w:vertAlign w:val="baseline"/>
          <w:lang w:val="en-US" w:eastAsia="zh-CN"/>
        </w:rPr>
        <w:t>kg/h、排放浓度为</w:t>
      </w:r>
      <w:r>
        <w:rPr>
          <w:rFonts w:hint="default" w:ascii="Times New Roman" w:hAnsi="Times New Roman" w:cs="Times New Roman"/>
          <w:color w:val="auto"/>
          <w:vertAlign w:val="baseline"/>
          <w:lang w:val="en-US" w:eastAsia="zh-CN"/>
        </w:rPr>
        <w:t>4.27</w:t>
      </w:r>
      <w:r>
        <w:rPr>
          <w:rFonts w:hint="default" w:ascii="Times New Roman" w:hAnsi="Times New Roman" w:cs="Times New Roman"/>
          <w:color w:val="auto"/>
          <w:vertAlign w:val="baseline"/>
          <w:lang w:val="en-US" w:eastAsia="zh-CN"/>
        </w:rPr>
        <w:t>mg/m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vertAlign w:val="baseline"/>
          <w:lang w:val="en-US" w:eastAsia="zh-CN"/>
        </w:rPr>
        <w:t>；</w:t>
      </w:r>
      <w:r>
        <w:rPr>
          <w:rFonts w:hint="default" w:ascii="Times New Roman" w:hAnsi="Times New Roman" w:cs="Times New Roman"/>
          <w:color w:val="auto"/>
          <w:lang w:val="en-US" w:eastAsia="zh-CN"/>
        </w:rPr>
        <w:t>H</w:t>
      </w:r>
      <w:r>
        <w:rPr>
          <w:rFonts w:hint="default" w:ascii="Times New Roman" w:hAnsi="Times New Roman" w:cs="Times New Roman"/>
          <w:color w:val="auto"/>
          <w:vertAlign w:val="subscript"/>
          <w:lang w:val="en-US" w:eastAsia="zh-CN"/>
        </w:rPr>
        <w:t>2</w:t>
      </w:r>
      <w:r>
        <w:rPr>
          <w:rFonts w:hint="default" w:ascii="Times New Roman" w:hAnsi="Times New Roman" w:cs="Times New Roman"/>
          <w:color w:val="auto"/>
          <w:lang w:val="en-US" w:eastAsia="zh-CN"/>
        </w:rPr>
        <w:t>S排放速率为0.0</w:t>
      </w:r>
      <w:r>
        <w:rPr>
          <w:rFonts w:hint="default" w:ascii="Times New Roman" w:hAnsi="Times New Roman" w:cs="Times New Roman"/>
          <w:color w:val="auto"/>
          <w:lang w:val="en-US" w:eastAsia="zh-CN"/>
        </w:rPr>
        <w:t>063</w:t>
      </w:r>
      <w:r>
        <w:rPr>
          <w:rFonts w:hint="default" w:ascii="Times New Roman" w:hAnsi="Times New Roman" w:cs="Times New Roman"/>
          <w:color w:val="auto"/>
          <w:lang w:val="en-US" w:eastAsia="zh-CN"/>
        </w:rPr>
        <w:t>kg/h、排放浓度为0.</w:t>
      </w:r>
      <w:r>
        <w:rPr>
          <w:rFonts w:hint="default" w:ascii="Times New Roman" w:hAnsi="Times New Roman" w:cs="Times New Roman"/>
          <w:color w:val="auto"/>
          <w:lang w:val="en-US" w:eastAsia="zh-CN"/>
        </w:rPr>
        <w:t>43</w:t>
      </w:r>
      <w:r>
        <w:rPr>
          <w:rFonts w:hint="default" w:ascii="Times New Roman" w:hAnsi="Times New Roman" w:cs="Times New Roman"/>
          <w:color w:val="auto"/>
          <w:vertAlign w:val="baseline"/>
          <w:lang w:val="en-US" w:eastAsia="zh-CN"/>
        </w:rPr>
        <w:t>mg/m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vertAlign w:val="baseline"/>
          <w:lang w:val="en-US" w:eastAsia="zh-CN"/>
        </w:rPr>
        <w:t>。</w:t>
      </w:r>
    </w:p>
    <w:p>
      <w:pPr>
        <w:pStyle w:val="133"/>
        <w:numPr>
          <w:ilvl w:val="0"/>
          <w:numId w:val="11"/>
        </w:numPr>
        <w:spacing w:line="360" w:lineRule="auto"/>
        <w:ind w:left="0" w:leftChars="0" w:firstLine="0" w:firstLineChars="0"/>
        <w:jc w:val="center"/>
        <w:rPr>
          <w:rFonts w:hint="default" w:ascii="Times New Roman" w:hAnsi="Times New Roman" w:cs="Times New Roman"/>
          <w:b/>
          <w:bCs/>
          <w:color w:val="auto"/>
        </w:rPr>
      </w:pPr>
      <w:r>
        <w:rPr>
          <w:rFonts w:hint="default" w:ascii="Times New Roman" w:hAnsi="Times New Roman" w:cs="Times New Roman"/>
          <w:b/>
          <w:bCs/>
          <w:color w:val="auto"/>
        </w:rPr>
        <w:t>本项目废气产生及排放情况统计表</w:t>
      </w:r>
    </w:p>
    <w:tbl>
      <w:tblPr>
        <w:tblStyle w:val="44"/>
        <w:tblW w:w="142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9"/>
        <w:gridCol w:w="1062"/>
        <w:gridCol w:w="846"/>
        <w:gridCol w:w="850"/>
        <w:gridCol w:w="805"/>
        <w:gridCol w:w="784"/>
        <w:gridCol w:w="755"/>
        <w:gridCol w:w="2030"/>
        <w:gridCol w:w="765"/>
        <w:gridCol w:w="1011"/>
        <w:gridCol w:w="840"/>
        <w:gridCol w:w="750"/>
        <w:gridCol w:w="690"/>
        <w:gridCol w:w="615"/>
        <w:gridCol w:w="659"/>
        <w:gridCol w:w="6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9" w:type="dxa"/>
            <w:vMerge w:val="restart"/>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装置/工艺名称</w:t>
            </w:r>
          </w:p>
        </w:tc>
        <w:tc>
          <w:tcPr>
            <w:tcW w:w="1062" w:type="dxa"/>
            <w:vMerge w:val="restart"/>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排放源名称及编号</w:t>
            </w:r>
          </w:p>
        </w:tc>
        <w:tc>
          <w:tcPr>
            <w:tcW w:w="4040" w:type="dxa"/>
            <w:gridSpan w:val="5"/>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产生量</w:t>
            </w:r>
          </w:p>
        </w:tc>
        <w:tc>
          <w:tcPr>
            <w:tcW w:w="2030" w:type="dxa"/>
            <w:vMerge w:val="restart"/>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治理措施及效率</w:t>
            </w:r>
          </w:p>
        </w:tc>
        <w:tc>
          <w:tcPr>
            <w:tcW w:w="2616" w:type="dxa"/>
            <w:gridSpan w:val="3"/>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排放量（Nm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/h）</w:t>
            </w:r>
          </w:p>
        </w:tc>
        <w:tc>
          <w:tcPr>
            <w:tcW w:w="750" w:type="dxa"/>
            <w:vMerge w:val="restart"/>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排气温度</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1305" w:type="dxa"/>
            <w:gridSpan w:val="2"/>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排气筒</w:t>
            </w:r>
          </w:p>
        </w:tc>
        <w:tc>
          <w:tcPr>
            <w:tcW w:w="659" w:type="dxa"/>
            <w:vMerge w:val="restart"/>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排放规律</w:t>
            </w:r>
          </w:p>
        </w:tc>
        <w:tc>
          <w:tcPr>
            <w:tcW w:w="642" w:type="dxa"/>
            <w:vMerge w:val="restart"/>
            <w:vAlign w:val="center"/>
          </w:tcPr>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时间（h）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9" w:type="dxa"/>
            <w:vMerge w:val="continue"/>
            <w:vAlign w:val="center"/>
          </w:tcPr>
          <w:p>
            <w:pPr>
              <w:jc w:val="center"/>
              <w:rPr>
                <w:rFonts w:hint="default" w:ascii="Times New Roman" w:hAnsi="Times New Roman" w:cs="Times New Roman"/>
                <w:color w:val="auto"/>
                <w:sz w:val="18"/>
                <w:szCs w:val="18"/>
              </w:rPr>
            </w:pPr>
          </w:p>
        </w:tc>
        <w:tc>
          <w:tcPr>
            <w:tcW w:w="1062" w:type="dxa"/>
            <w:vMerge w:val="continue"/>
            <w:vAlign w:val="center"/>
          </w:tcPr>
          <w:p>
            <w:pPr>
              <w:jc w:val="center"/>
              <w:rPr>
                <w:rFonts w:hint="default" w:ascii="Times New Roman" w:hAnsi="Times New Roman" w:cs="Times New Roman"/>
                <w:color w:val="auto"/>
                <w:sz w:val="18"/>
                <w:szCs w:val="18"/>
              </w:rPr>
            </w:pPr>
          </w:p>
        </w:tc>
        <w:tc>
          <w:tcPr>
            <w:tcW w:w="846" w:type="dxa"/>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核算方法</w:t>
            </w:r>
          </w:p>
        </w:tc>
        <w:tc>
          <w:tcPr>
            <w:tcW w:w="850" w:type="dxa"/>
            <w:vAlign w:val="center"/>
          </w:tcPr>
          <w:p>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废气量（m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/h）</w:t>
            </w:r>
          </w:p>
        </w:tc>
        <w:tc>
          <w:tcPr>
            <w:tcW w:w="805" w:type="dxa"/>
            <w:vAlign w:val="center"/>
          </w:tcPr>
          <w:p>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污染物</w:t>
            </w:r>
          </w:p>
        </w:tc>
        <w:tc>
          <w:tcPr>
            <w:tcW w:w="784" w:type="dxa"/>
            <w:vAlign w:val="center"/>
          </w:tcPr>
          <w:p>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浓度</w:t>
            </w:r>
          </w:p>
          <w:p>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pt-BR"/>
              </w:rPr>
              <w:t>mg/m</w:t>
            </w:r>
            <w:r>
              <w:rPr>
                <w:rFonts w:hint="default" w:ascii="Times New Roman" w:hAnsi="Times New Roman" w:cs="Times New Roman"/>
                <w:color w:val="auto"/>
                <w:sz w:val="18"/>
                <w:szCs w:val="18"/>
                <w:vertAlign w:val="superscript"/>
                <w:lang w:val="pt-BR"/>
              </w:rPr>
              <w:t>3</w:t>
            </w:r>
          </w:p>
        </w:tc>
        <w:tc>
          <w:tcPr>
            <w:tcW w:w="755" w:type="dxa"/>
            <w:vAlign w:val="center"/>
          </w:tcPr>
          <w:p>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速率</w:t>
            </w:r>
            <w:r>
              <w:rPr>
                <w:rFonts w:hint="default" w:ascii="Times New Roman" w:hAnsi="Times New Roman" w:cs="Times New Roman"/>
                <w:color w:val="auto"/>
                <w:sz w:val="18"/>
                <w:szCs w:val="18"/>
                <w:lang w:val="pt-BR"/>
              </w:rPr>
              <w:t>kg/h</w:t>
            </w:r>
          </w:p>
        </w:tc>
        <w:tc>
          <w:tcPr>
            <w:tcW w:w="2030" w:type="dxa"/>
            <w:vMerge w:val="continue"/>
            <w:vAlign w:val="center"/>
          </w:tcPr>
          <w:p>
            <w:pPr>
              <w:jc w:val="center"/>
              <w:rPr>
                <w:rFonts w:hint="default" w:ascii="Times New Roman" w:hAnsi="Times New Roman" w:cs="Times New Roman"/>
                <w:color w:val="auto"/>
                <w:sz w:val="18"/>
                <w:szCs w:val="18"/>
              </w:rPr>
            </w:pPr>
          </w:p>
        </w:tc>
        <w:tc>
          <w:tcPr>
            <w:tcW w:w="765" w:type="dxa"/>
            <w:vAlign w:val="center"/>
          </w:tcPr>
          <w:p>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浓度</w:t>
            </w:r>
          </w:p>
          <w:p>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pt-BR"/>
              </w:rPr>
              <w:t>mg/m</w:t>
            </w:r>
            <w:r>
              <w:rPr>
                <w:rFonts w:hint="default" w:ascii="Times New Roman" w:hAnsi="Times New Roman" w:cs="Times New Roman"/>
                <w:color w:val="auto"/>
                <w:sz w:val="18"/>
                <w:szCs w:val="18"/>
                <w:vertAlign w:val="superscript"/>
                <w:lang w:val="pt-BR"/>
              </w:rPr>
              <w:t>3</w:t>
            </w:r>
          </w:p>
        </w:tc>
        <w:tc>
          <w:tcPr>
            <w:tcW w:w="1011" w:type="dxa"/>
            <w:vAlign w:val="center"/>
          </w:tcPr>
          <w:p>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排放速率</w:t>
            </w:r>
          </w:p>
          <w:p>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pt-BR"/>
              </w:rPr>
              <w:t>kg/h</w:t>
            </w:r>
          </w:p>
        </w:tc>
        <w:tc>
          <w:tcPr>
            <w:tcW w:w="840" w:type="dxa"/>
            <w:vAlign w:val="center"/>
          </w:tcPr>
          <w:p>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排放量</w:t>
            </w:r>
          </w:p>
          <w:p>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t</w:t>
            </w:r>
            <w:r>
              <w:rPr>
                <w:rFonts w:hint="default" w:ascii="Times New Roman" w:hAnsi="Times New Roman" w:cs="Times New Roman"/>
                <w:color w:val="auto"/>
                <w:sz w:val="18"/>
                <w:szCs w:val="18"/>
                <w:lang w:val="pt-BR"/>
              </w:rPr>
              <w:t>/</w:t>
            </w:r>
            <w:r>
              <w:rPr>
                <w:rFonts w:hint="default" w:ascii="Times New Roman" w:hAnsi="Times New Roman" w:cs="Times New Roman"/>
                <w:color w:val="auto"/>
                <w:sz w:val="18"/>
                <w:szCs w:val="18"/>
              </w:rPr>
              <w:t>a</w:t>
            </w:r>
          </w:p>
        </w:tc>
        <w:tc>
          <w:tcPr>
            <w:tcW w:w="750" w:type="dxa"/>
            <w:vMerge w:val="continue"/>
            <w:vAlign w:val="center"/>
          </w:tcPr>
          <w:p>
            <w:pPr>
              <w:adjustRightInd w:val="0"/>
              <w:snapToGrid w:val="0"/>
              <w:jc w:val="center"/>
              <w:rPr>
                <w:rFonts w:hint="default" w:ascii="Times New Roman" w:hAnsi="Times New Roman" w:cs="Times New Roman"/>
                <w:color w:val="auto"/>
                <w:sz w:val="18"/>
                <w:szCs w:val="18"/>
              </w:rPr>
            </w:pPr>
          </w:p>
        </w:tc>
        <w:tc>
          <w:tcPr>
            <w:tcW w:w="690" w:type="dxa"/>
            <w:vAlign w:val="center"/>
          </w:tcPr>
          <w:p>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直径</w:t>
            </w:r>
          </w:p>
          <w:p>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/m</w:t>
            </w:r>
          </w:p>
        </w:tc>
        <w:tc>
          <w:tcPr>
            <w:tcW w:w="615" w:type="dxa"/>
            <w:vAlign w:val="center"/>
          </w:tcPr>
          <w:p>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高度/m</w:t>
            </w:r>
          </w:p>
        </w:tc>
        <w:tc>
          <w:tcPr>
            <w:tcW w:w="659" w:type="dxa"/>
            <w:vMerge w:val="continue"/>
            <w:vAlign w:val="center"/>
          </w:tcPr>
          <w:p>
            <w:pPr>
              <w:jc w:val="center"/>
              <w:rPr>
                <w:rFonts w:hint="default" w:ascii="Times New Roman" w:hAnsi="Times New Roman" w:cs="Times New Roman"/>
                <w:color w:val="auto"/>
                <w:sz w:val="18"/>
                <w:szCs w:val="18"/>
              </w:rPr>
            </w:pPr>
          </w:p>
        </w:tc>
        <w:tc>
          <w:tcPr>
            <w:tcW w:w="642" w:type="dxa"/>
            <w:vMerge w:val="continue"/>
            <w:vAlign w:val="center"/>
          </w:tcPr>
          <w:p>
            <w:pPr>
              <w:jc w:val="center"/>
              <w:rPr>
                <w:rFonts w:hint="default" w:ascii="Times New Roman" w:hAnsi="Times New Roman"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59" w:type="dxa"/>
            <w:vMerge w:val="restart"/>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有机废气</w:t>
            </w:r>
          </w:p>
        </w:tc>
        <w:tc>
          <w:tcPr>
            <w:tcW w:w="1062" w:type="dxa"/>
            <w:vAlign w:val="center"/>
          </w:tcPr>
          <w:p>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DA008</w:t>
            </w:r>
          </w:p>
        </w:tc>
        <w:tc>
          <w:tcPr>
            <w:tcW w:w="846" w:type="dxa"/>
            <w:vAlign w:val="center"/>
          </w:tcPr>
          <w:p>
            <w:pPr>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eastAsia="zh-CN"/>
              </w:rPr>
              <w:t>物料衡算法</w:t>
            </w:r>
          </w:p>
        </w:tc>
        <w:tc>
          <w:tcPr>
            <w:tcW w:w="850" w:type="dxa"/>
            <w:vAlign w:val="center"/>
          </w:tcPr>
          <w:p>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45000</w:t>
            </w:r>
          </w:p>
        </w:tc>
        <w:tc>
          <w:tcPr>
            <w:tcW w:w="805" w:type="dxa"/>
            <w:vAlign w:val="center"/>
          </w:tcPr>
          <w:p>
            <w:pPr>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eastAsia="zh-CN"/>
              </w:rPr>
              <w:t>非甲烷总烃</w:t>
            </w:r>
          </w:p>
        </w:tc>
        <w:tc>
          <w:tcPr>
            <w:tcW w:w="784" w:type="dxa"/>
            <w:vAlign w:val="center"/>
          </w:tcPr>
          <w:p>
            <w:pPr>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val="en-US" w:eastAsia="zh-CN"/>
              </w:rPr>
              <w:t>/</w:t>
            </w:r>
          </w:p>
        </w:tc>
        <w:tc>
          <w:tcPr>
            <w:tcW w:w="755" w:type="dxa"/>
            <w:vAlign w:val="center"/>
          </w:tcPr>
          <w:p>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0.3</w:t>
            </w:r>
            <w:r>
              <w:rPr>
                <w:rFonts w:hint="default" w:ascii="Times New Roman" w:hAnsi="Times New Roman" w:cs="Times New Roman"/>
                <w:color w:val="auto"/>
                <w:sz w:val="18"/>
                <w:szCs w:val="18"/>
                <w:lang w:val="en-US" w:eastAsia="zh-CN"/>
              </w:rPr>
              <w:t>5</w:t>
            </w:r>
            <w:r>
              <w:rPr>
                <w:rFonts w:hint="default" w:ascii="Times New Roman" w:hAnsi="Times New Roman" w:cs="Times New Roman"/>
                <w:color w:val="auto"/>
                <w:sz w:val="18"/>
                <w:szCs w:val="18"/>
                <w:lang w:val="en-US" w:eastAsia="zh-CN"/>
              </w:rPr>
              <w:t>7</w:t>
            </w:r>
          </w:p>
        </w:tc>
        <w:tc>
          <w:tcPr>
            <w:tcW w:w="2030" w:type="dxa"/>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进入活性炭吸附塔（吸附效率60%）</w:t>
            </w:r>
          </w:p>
        </w:tc>
        <w:tc>
          <w:tcPr>
            <w:tcW w:w="765" w:type="dxa"/>
            <w:vAlign w:val="center"/>
          </w:tcPr>
          <w:p>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3.18</w:t>
            </w:r>
          </w:p>
        </w:tc>
        <w:tc>
          <w:tcPr>
            <w:tcW w:w="1011" w:type="dxa"/>
            <w:vAlign w:val="center"/>
          </w:tcPr>
          <w:p>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0.143</w:t>
            </w:r>
          </w:p>
        </w:tc>
        <w:tc>
          <w:tcPr>
            <w:tcW w:w="840" w:type="dxa"/>
            <w:vAlign w:val="center"/>
          </w:tcPr>
          <w:p>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1.253</w:t>
            </w:r>
          </w:p>
        </w:tc>
        <w:tc>
          <w:tcPr>
            <w:tcW w:w="750" w:type="dxa"/>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25</w:t>
            </w:r>
          </w:p>
        </w:tc>
        <w:tc>
          <w:tcPr>
            <w:tcW w:w="690" w:type="dxa"/>
            <w:vAlign w:val="center"/>
          </w:tcPr>
          <w:p>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1.1</w:t>
            </w:r>
          </w:p>
        </w:tc>
        <w:tc>
          <w:tcPr>
            <w:tcW w:w="615" w:type="dxa"/>
            <w:vAlign w:val="center"/>
          </w:tcPr>
          <w:p>
            <w:pPr>
              <w:jc w:val="center"/>
              <w:rPr>
                <w:rFonts w:hint="default" w:ascii="Times New Roman" w:hAnsi="Times New Roman" w:cs="Times New Roman"/>
                <w:color w:val="auto"/>
                <w:sz w:val="18"/>
                <w:szCs w:val="18"/>
                <w:lang w:val="en-US"/>
              </w:rPr>
            </w:pPr>
            <w:r>
              <w:rPr>
                <w:rFonts w:hint="default" w:ascii="Times New Roman" w:hAnsi="Times New Roman" w:cs="Times New Roman"/>
                <w:color w:val="auto"/>
                <w:sz w:val="18"/>
                <w:szCs w:val="18"/>
                <w:lang w:val="en-US" w:eastAsia="zh-CN"/>
              </w:rPr>
              <w:t>15</w:t>
            </w:r>
          </w:p>
        </w:tc>
        <w:tc>
          <w:tcPr>
            <w:tcW w:w="659" w:type="dxa"/>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连续</w:t>
            </w:r>
          </w:p>
        </w:tc>
        <w:tc>
          <w:tcPr>
            <w:tcW w:w="642" w:type="dxa"/>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8760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159" w:type="dxa"/>
            <w:vMerge w:val="continue"/>
            <w:vAlign w:val="center"/>
          </w:tcPr>
          <w:p>
            <w:pPr>
              <w:jc w:val="center"/>
              <w:rPr>
                <w:rFonts w:hint="default" w:ascii="Times New Roman" w:hAnsi="Times New Roman" w:cs="Times New Roman"/>
                <w:color w:val="auto"/>
                <w:sz w:val="18"/>
                <w:szCs w:val="18"/>
              </w:rPr>
            </w:pPr>
          </w:p>
        </w:tc>
        <w:tc>
          <w:tcPr>
            <w:tcW w:w="1062" w:type="dxa"/>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846" w:type="dxa"/>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物料衡算法</w:t>
            </w:r>
          </w:p>
        </w:tc>
        <w:tc>
          <w:tcPr>
            <w:tcW w:w="850" w:type="dxa"/>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805" w:type="dxa"/>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非甲烷总烃</w:t>
            </w:r>
          </w:p>
        </w:tc>
        <w:tc>
          <w:tcPr>
            <w:tcW w:w="784" w:type="dxa"/>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755" w:type="dxa"/>
            <w:vAlign w:val="center"/>
          </w:tcPr>
          <w:p>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0.040</w:t>
            </w:r>
          </w:p>
        </w:tc>
        <w:tc>
          <w:tcPr>
            <w:tcW w:w="2030" w:type="dxa"/>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765" w:type="dxa"/>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1011" w:type="dxa"/>
            <w:vAlign w:val="center"/>
          </w:tcPr>
          <w:p>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0.040</w:t>
            </w:r>
          </w:p>
        </w:tc>
        <w:tc>
          <w:tcPr>
            <w:tcW w:w="840" w:type="dxa"/>
            <w:vAlign w:val="center"/>
          </w:tcPr>
          <w:p>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0.350</w:t>
            </w:r>
          </w:p>
        </w:tc>
        <w:tc>
          <w:tcPr>
            <w:tcW w:w="750" w:type="dxa"/>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690" w:type="dxa"/>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615" w:type="dxa"/>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659" w:type="dxa"/>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连续</w:t>
            </w:r>
          </w:p>
        </w:tc>
        <w:tc>
          <w:tcPr>
            <w:tcW w:w="642" w:type="dxa"/>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8760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159" w:type="dxa"/>
            <w:vAlign w:val="center"/>
          </w:tcPr>
          <w:p>
            <w:pPr>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eastAsia="zh-CN"/>
              </w:rPr>
              <w:t>切片粉尘</w:t>
            </w:r>
          </w:p>
        </w:tc>
        <w:tc>
          <w:tcPr>
            <w:tcW w:w="1062" w:type="dxa"/>
            <w:vAlign w:val="center"/>
          </w:tcPr>
          <w:p>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DA009</w:t>
            </w:r>
          </w:p>
        </w:tc>
        <w:tc>
          <w:tcPr>
            <w:tcW w:w="846" w:type="dxa"/>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产污系数法</w:t>
            </w:r>
          </w:p>
        </w:tc>
        <w:tc>
          <w:tcPr>
            <w:tcW w:w="850" w:type="dxa"/>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45000</w:t>
            </w:r>
          </w:p>
        </w:tc>
        <w:tc>
          <w:tcPr>
            <w:tcW w:w="805" w:type="dxa"/>
            <w:vAlign w:val="center"/>
          </w:tcPr>
          <w:p>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颗粒物</w:t>
            </w:r>
          </w:p>
        </w:tc>
        <w:tc>
          <w:tcPr>
            <w:tcW w:w="784" w:type="dxa"/>
            <w:vAlign w:val="center"/>
          </w:tcPr>
          <w:p>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755" w:type="dxa"/>
            <w:vAlign w:val="center"/>
          </w:tcPr>
          <w:p>
            <w:pPr>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1.88</w:t>
            </w:r>
          </w:p>
        </w:tc>
        <w:tc>
          <w:tcPr>
            <w:tcW w:w="2030" w:type="dxa"/>
            <w:vAlign w:val="center"/>
          </w:tcPr>
          <w:p>
            <w:pPr>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eastAsia="zh-CN"/>
              </w:rPr>
              <w:t>文丘里洗涤塔（治理效率</w:t>
            </w:r>
            <w:r>
              <w:rPr>
                <w:rFonts w:hint="default" w:ascii="Times New Roman" w:hAnsi="Times New Roman" w:cs="Times New Roman"/>
                <w:color w:val="auto"/>
                <w:sz w:val="18"/>
                <w:szCs w:val="18"/>
                <w:lang w:val="en-US" w:eastAsia="zh-CN"/>
              </w:rPr>
              <w:t>98%</w:t>
            </w:r>
            <w:r>
              <w:rPr>
                <w:rFonts w:hint="default" w:ascii="Times New Roman" w:hAnsi="Times New Roman" w:cs="Times New Roman"/>
                <w:color w:val="auto"/>
                <w:sz w:val="18"/>
                <w:szCs w:val="18"/>
                <w:lang w:eastAsia="zh-CN"/>
              </w:rPr>
              <w:t>）</w:t>
            </w:r>
          </w:p>
        </w:tc>
        <w:tc>
          <w:tcPr>
            <w:tcW w:w="765" w:type="dxa"/>
            <w:vAlign w:val="center"/>
          </w:tcPr>
          <w:p>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0.836</w:t>
            </w:r>
          </w:p>
        </w:tc>
        <w:tc>
          <w:tcPr>
            <w:tcW w:w="1011" w:type="dxa"/>
            <w:vAlign w:val="center"/>
          </w:tcPr>
          <w:p>
            <w:pPr>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0.038</w:t>
            </w:r>
          </w:p>
        </w:tc>
        <w:tc>
          <w:tcPr>
            <w:tcW w:w="840" w:type="dxa"/>
            <w:vAlign w:val="center"/>
          </w:tcPr>
          <w:p>
            <w:pPr>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0.33</w:t>
            </w:r>
          </w:p>
        </w:tc>
        <w:tc>
          <w:tcPr>
            <w:tcW w:w="750" w:type="dxa"/>
            <w:vAlign w:val="center"/>
          </w:tcPr>
          <w:p>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25</w:t>
            </w:r>
          </w:p>
        </w:tc>
        <w:tc>
          <w:tcPr>
            <w:tcW w:w="690" w:type="dxa"/>
            <w:vAlign w:val="center"/>
          </w:tcPr>
          <w:p>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1.1</w:t>
            </w:r>
          </w:p>
        </w:tc>
        <w:tc>
          <w:tcPr>
            <w:tcW w:w="615" w:type="dxa"/>
            <w:vAlign w:val="center"/>
          </w:tcPr>
          <w:p>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15</w:t>
            </w:r>
          </w:p>
        </w:tc>
        <w:tc>
          <w:tcPr>
            <w:tcW w:w="659" w:type="dxa"/>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连续</w:t>
            </w:r>
          </w:p>
        </w:tc>
        <w:tc>
          <w:tcPr>
            <w:tcW w:w="642" w:type="dxa"/>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8760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159" w:type="dxa"/>
            <w:vAlign w:val="center"/>
          </w:tcPr>
          <w:p>
            <w:pPr>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eastAsia="zh-CN"/>
              </w:rPr>
              <w:t>酸洗废气</w:t>
            </w:r>
          </w:p>
        </w:tc>
        <w:tc>
          <w:tcPr>
            <w:tcW w:w="1062" w:type="dxa"/>
            <w:vAlign w:val="center"/>
          </w:tcPr>
          <w:p>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DA011</w:t>
            </w:r>
          </w:p>
        </w:tc>
        <w:tc>
          <w:tcPr>
            <w:tcW w:w="846" w:type="dxa"/>
            <w:vAlign w:val="center"/>
          </w:tcPr>
          <w:p>
            <w:pPr>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eastAsia="zh-CN"/>
              </w:rPr>
              <w:t>类比法</w:t>
            </w:r>
          </w:p>
        </w:tc>
        <w:tc>
          <w:tcPr>
            <w:tcW w:w="850" w:type="dxa"/>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15000</w:t>
            </w:r>
          </w:p>
        </w:tc>
        <w:tc>
          <w:tcPr>
            <w:tcW w:w="805" w:type="dxa"/>
            <w:vAlign w:val="center"/>
          </w:tcPr>
          <w:p>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eastAsia="zh-CN"/>
              </w:rPr>
              <w:t>氟化物</w:t>
            </w:r>
          </w:p>
        </w:tc>
        <w:tc>
          <w:tcPr>
            <w:tcW w:w="784" w:type="dxa"/>
            <w:vAlign w:val="center"/>
          </w:tcPr>
          <w:p>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755" w:type="dxa"/>
            <w:vAlign w:val="center"/>
          </w:tcPr>
          <w:p>
            <w:pPr>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0.006</w:t>
            </w:r>
          </w:p>
        </w:tc>
        <w:tc>
          <w:tcPr>
            <w:tcW w:w="2030" w:type="dxa"/>
            <w:vAlign w:val="center"/>
          </w:tcPr>
          <w:p>
            <w:pPr>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eastAsia="zh-CN"/>
              </w:rPr>
              <w:t>四级氢氧化钠洗涤塔（治理效率</w:t>
            </w:r>
            <w:r>
              <w:rPr>
                <w:rFonts w:hint="default" w:ascii="Times New Roman" w:hAnsi="Times New Roman" w:cs="Times New Roman"/>
                <w:color w:val="auto"/>
                <w:sz w:val="18"/>
                <w:szCs w:val="18"/>
                <w:lang w:val="en-US" w:eastAsia="zh-CN"/>
              </w:rPr>
              <w:t>90%</w:t>
            </w:r>
            <w:r>
              <w:rPr>
                <w:rFonts w:hint="default" w:ascii="Times New Roman" w:hAnsi="Times New Roman" w:cs="Times New Roman"/>
                <w:color w:val="auto"/>
                <w:sz w:val="18"/>
                <w:szCs w:val="18"/>
                <w:lang w:eastAsia="zh-CN"/>
              </w:rPr>
              <w:t>）</w:t>
            </w:r>
          </w:p>
        </w:tc>
        <w:tc>
          <w:tcPr>
            <w:tcW w:w="765" w:type="dxa"/>
            <w:vAlign w:val="center"/>
          </w:tcPr>
          <w:p>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1.02</w:t>
            </w:r>
          </w:p>
        </w:tc>
        <w:tc>
          <w:tcPr>
            <w:tcW w:w="1011" w:type="dxa"/>
            <w:vAlign w:val="center"/>
          </w:tcPr>
          <w:p>
            <w:pPr>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0.0006</w:t>
            </w:r>
          </w:p>
        </w:tc>
        <w:tc>
          <w:tcPr>
            <w:tcW w:w="840" w:type="dxa"/>
            <w:vAlign w:val="center"/>
          </w:tcPr>
          <w:p>
            <w:pPr>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0.005</w:t>
            </w:r>
          </w:p>
        </w:tc>
        <w:tc>
          <w:tcPr>
            <w:tcW w:w="750" w:type="dxa"/>
            <w:vAlign w:val="center"/>
          </w:tcPr>
          <w:p>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25</w:t>
            </w:r>
          </w:p>
        </w:tc>
        <w:tc>
          <w:tcPr>
            <w:tcW w:w="690" w:type="dxa"/>
            <w:vAlign w:val="center"/>
          </w:tcPr>
          <w:p>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1.1</w:t>
            </w:r>
          </w:p>
        </w:tc>
        <w:tc>
          <w:tcPr>
            <w:tcW w:w="615" w:type="dxa"/>
            <w:vAlign w:val="center"/>
          </w:tcPr>
          <w:p>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15</w:t>
            </w:r>
          </w:p>
        </w:tc>
        <w:tc>
          <w:tcPr>
            <w:tcW w:w="659" w:type="dxa"/>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连续</w:t>
            </w:r>
          </w:p>
        </w:tc>
        <w:tc>
          <w:tcPr>
            <w:tcW w:w="642" w:type="dxa"/>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8760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1159" w:type="dxa"/>
            <w:vMerge w:val="restart"/>
            <w:vAlign w:val="center"/>
          </w:tcPr>
          <w:p>
            <w:pPr>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eastAsia="zh-CN"/>
              </w:rPr>
              <w:t>污水处理站恶臭</w:t>
            </w:r>
          </w:p>
        </w:tc>
        <w:tc>
          <w:tcPr>
            <w:tcW w:w="1062" w:type="dxa"/>
            <w:vMerge w:val="restart"/>
            <w:vAlign w:val="center"/>
          </w:tcPr>
          <w:p>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DA010</w:t>
            </w:r>
          </w:p>
        </w:tc>
        <w:tc>
          <w:tcPr>
            <w:tcW w:w="846" w:type="dxa"/>
            <w:vAlign w:val="center"/>
          </w:tcPr>
          <w:p>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类比法</w:t>
            </w:r>
          </w:p>
        </w:tc>
        <w:tc>
          <w:tcPr>
            <w:tcW w:w="850" w:type="dxa"/>
            <w:vAlign w:val="center"/>
          </w:tcPr>
          <w:p>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15000</w:t>
            </w:r>
          </w:p>
        </w:tc>
        <w:tc>
          <w:tcPr>
            <w:tcW w:w="805" w:type="dxa"/>
            <w:vAlign w:val="center"/>
          </w:tcPr>
          <w:p>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氨</w:t>
            </w:r>
          </w:p>
        </w:tc>
        <w:tc>
          <w:tcPr>
            <w:tcW w:w="784" w:type="dxa"/>
            <w:vAlign w:val="center"/>
          </w:tcPr>
          <w:p>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755" w:type="dxa"/>
            <w:vAlign w:val="center"/>
          </w:tcPr>
          <w:p>
            <w:pPr>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0.059</w:t>
            </w:r>
          </w:p>
        </w:tc>
        <w:tc>
          <w:tcPr>
            <w:tcW w:w="2030" w:type="dxa"/>
            <w:vMerge w:val="restart"/>
            <w:vAlign w:val="center"/>
          </w:tcPr>
          <w:p>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碱吸收（氨吸收效率60%、硫化氢治理效率90%）</w:t>
            </w:r>
          </w:p>
        </w:tc>
        <w:tc>
          <w:tcPr>
            <w:tcW w:w="765" w:type="dxa"/>
            <w:vAlign w:val="center"/>
          </w:tcPr>
          <w:p>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1.44</w:t>
            </w:r>
          </w:p>
        </w:tc>
        <w:tc>
          <w:tcPr>
            <w:tcW w:w="1011" w:type="dxa"/>
            <w:vAlign w:val="center"/>
          </w:tcPr>
          <w:p>
            <w:pPr>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0.022</w:t>
            </w:r>
          </w:p>
        </w:tc>
        <w:tc>
          <w:tcPr>
            <w:tcW w:w="840" w:type="dxa"/>
            <w:vAlign w:val="center"/>
          </w:tcPr>
          <w:p>
            <w:pPr>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0.</w:t>
            </w:r>
            <w:r>
              <w:rPr>
                <w:rFonts w:hint="default" w:ascii="Times New Roman" w:hAnsi="Times New Roman" w:cs="Times New Roman"/>
                <w:color w:val="auto"/>
                <w:sz w:val="18"/>
                <w:szCs w:val="18"/>
                <w:lang w:val="en-US" w:eastAsia="zh-CN"/>
              </w:rPr>
              <w:t>193</w:t>
            </w:r>
          </w:p>
        </w:tc>
        <w:tc>
          <w:tcPr>
            <w:tcW w:w="750" w:type="dxa"/>
            <w:vMerge w:val="restart"/>
            <w:vAlign w:val="center"/>
          </w:tcPr>
          <w:p>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25</w:t>
            </w:r>
          </w:p>
        </w:tc>
        <w:tc>
          <w:tcPr>
            <w:tcW w:w="690" w:type="dxa"/>
            <w:vMerge w:val="restart"/>
            <w:vAlign w:val="center"/>
          </w:tcPr>
          <w:p>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0.8</w:t>
            </w:r>
          </w:p>
        </w:tc>
        <w:tc>
          <w:tcPr>
            <w:tcW w:w="615" w:type="dxa"/>
            <w:vMerge w:val="restart"/>
            <w:vAlign w:val="center"/>
          </w:tcPr>
          <w:p>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15</w:t>
            </w:r>
          </w:p>
        </w:tc>
        <w:tc>
          <w:tcPr>
            <w:tcW w:w="659" w:type="dxa"/>
            <w:vMerge w:val="restart"/>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连续</w:t>
            </w:r>
          </w:p>
        </w:tc>
        <w:tc>
          <w:tcPr>
            <w:tcW w:w="642" w:type="dxa"/>
            <w:vMerge w:val="restart"/>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8760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59" w:type="dxa"/>
            <w:vMerge w:val="continue"/>
            <w:vAlign w:val="center"/>
          </w:tcPr>
          <w:p>
            <w:pPr>
              <w:jc w:val="center"/>
              <w:rPr>
                <w:rFonts w:hint="default" w:ascii="Times New Roman" w:hAnsi="Times New Roman" w:cs="Times New Roman"/>
                <w:color w:val="auto"/>
                <w:sz w:val="18"/>
                <w:szCs w:val="18"/>
                <w:lang w:eastAsia="zh-CN"/>
              </w:rPr>
            </w:pPr>
          </w:p>
        </w:tc>
        <w:tc>
          <w:tcPr>
            <w:tcW w:w="1062" w:type="dxa"/>
            <w:vMerge w:val="continue"/>
            <w:vAlign w:val="center"/>
          </w:tcPr>
          <w:p>
            <w:pPr>
              <w:jc w:val="center"/>
              <w:rPr>
                <w:rFonts w:hint="default" w:ascii="Times New Roman" w:hAnsi="Times New Roman" w:cs="Times New Roman"/>
                <w:color w:val="auto"/>
                <w:sz w:val="18"/>
                <w:szCs w:val="18"/>
                <w:lang w:val="en-US" w:eastAsia="zh-CN"/>
              </w:rPr>
            </w:pPr>
          </w:p>
        </w:tc>
        <w:tc>
          <w:tcPr>
            <w:tcW w:w="846" w:type="dxa"/>
            <w:vAlign w:val="center"/>
          </w:tcPr>
          <w:p>
            <w:pPr>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类比法</w:t>
            </w:r>
          </w:p>
        </w:tc>
        <w:tc>
          <w:tcPr>
            <w:tcW w:w="850" w:type="dxa"/>
            <w:vAlign w:val="center"/>
          </w:tcPr>
          <w:p>
            <w:pPr>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15000</w:t>
            </w:r>
          </w:p>
        </w:tc>
        <w:tc>
          <w:tcPr>
            <w:tcW w:w="805" w:type="dxa"/>
            <w:vAlign w:val="center"/>
          </w:tcPr>
          <w:p>
            <w:pPr>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硫化氢</w:t>
            </w:r>
          </w:p>
        </w:tc>
        <w:tc>
          <w:tcPr>
            <w:tcW w:w="784" w:type="dxa"/>
            <w:vAlign w:val="center"/>
          </w:tcPr>
          <w:p>
            <w:pPr>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755" w:type="dxa"/>
            <w:vAlign w:val="center"/>
          </w:tcPr>
          <w:p>
            <w:pPr>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0.00</w:t>
            </w:r>
            <w:r>
              <w:rPr>
                <w:rFonts w:hint="default" w:ascii="Times New Roman" w:hAnsi="Times New Roman" w:cs="Times New Roman"/>
                <w:color w:val="auto"/>
                <w:sz w:val="18"/>
                <w:szCs w:val="18"/>
                <w:lang w:val="en-US" w:eastAsia="zh-CN"/>
              </w:rPr>
              <w:t>2</w:t>
            </w:r>
            <w:r>
              <w:rPr>
                <w:rFonts w:hint="default" w:ascii="Times New Roman" w:hAnsi="Times New Roman" w:cs="Times New Roman"/>
                <w:color w:val="auto"/>
                <w:sz w:val="18"/>
                <w:szCs w:val="18"/>
                <w:lang w:val="en-US" w:eastAsia="zh-CN"/>
              </w:rPr>
              <w:t>3</w:t>
            </w:r>
          </w:p>
        </w:tc>
        <w:tc>
          <w:tcPr>
            <w:tcW w:w="2030" w:type="dxa"/>
            <w:vMerge w:val="continue"/>
            <w:vAlign w:val="center"/>
          </w:tcPr>
          <w:p>
            <w:pPr>
              <w:jc w:val="center"/>
              <w:rPr>
                <w:rFonts w:hint="default" w:ascii="Times New Roman" w:hAnsi="Times New Roman" w:cs="Times New Roman"/>
                <w:color w:val="auto"/>
                <w:sz w:val="18"/>
                <w:szCs w:val="18"/>
                <w:lang w:val="en-US" w:eastAsia="zh-CN"/>
              </w:rPr>
            </w:pPr>
          </w:p>
        </w:tc>
        <w:tc>
          <w:tcPr>
            <w:tcW w:w="765" w:type="dxa"/>
            <w:vAlign w:val="center"/>
          </w:tcPr>
          <w:p>
            <w:pPr>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0.0</w:t>
            </w:r>
            <w:r>
              <w:rPr>
                <w:rFonts w:hint="default" w:ascii="Times New Roman" w:hAnsi="Times New Roman" w:cs="Times New Roman"/>
                <w:color w:val="auto"/>
                <w:sz w:val="18"/>
                <w:szCs w:val="18"/>
                <w:lang w:val="en-US" w:eastAsia="zh-CN"/>
              </w:rPr>
              <w:t>015</w:t>
            </w:r>
          </w:p>
        </w:tc>
        <w:tc>
          <w:tcPr>
            <w:tcW w:w="1011" w:type="dxa"/>
            <w:vAlign w:val="center"/>
          </w:tcPr>
          <w:p>
            <w:pPr>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0.000</w:t>
            </w:r>
            <w:r>
              <w:rPr>
                <w:rFonts w:hint="default" w:ascii="Times New Roman" w:hAnsi="Times New Roman" w:cs="Times New Roman"/>
                <w:color w:val="auto"/>
                <w:sz w:val="18"/>
                <w:szCs w:val="18"/>
                <w:lang w:val="en-US" w:eastAsia="zh-CN"/>
              </w:rPr>
              <w:t>2</w:t>
            </w:r>
          </w:p>
        </w:tc>
        <w:tc>
          <w:tcPr>
            <w:tcW w:w="840" w:type="dxa"/>
            <w:vAlign w:val="center"/>
          </w:tcPr>
          <w:p>
            <w:pPr>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0.00</w:t>
            </w:r>
            <w:r>
              <w:rPr>
                <w:rFonts w:hint="default" w:ascii="Times New Roman" w:hAnsi="Times New Roman" w:cs="Times New Roman"/>
                <w:color w:val="auto"/>
                <w:sz w:val="18"/>
                <w:szCs w:val="18"/>
                <w:lang w:val="en-US" w:eastAsia="zh-CN"/>
              </w:rPr>
              <w:t>2</w:t>
            </w:r>
          </w:p>
        </w:tc>
        <w:tc>
          <w:tcPr>
            <w:tcW w:w="750" w:type="dxa"/>
            <w:vMerge w:val="continue"/>
            <w:vAlign w:val="center"/>
          </w:tcPr>
          <w:p>
            <w:pPr>
              <w:jc w:val="center"/>
              <w:rPr>
                <w:rFonts w:hint="default" w:ascii="Times New Roman" w:hAnsi="Times New Roman" w:cs="Times New Roman"/>
                <w:color w:val="auto"/>
                <w:sz w:val="18"/>
                <w:szCs w:val="18"/>
                <w:lang w:val="en-US" w:eastAsia="zh-CN"/>
              </w:rPr>
            </w:pPr>
          </w:p>
        </w:tc>
        <w:tc>
          <w:tcPr>
            <w:tcW w:w="690" w:type="dxa"/>
            <w:vMerge w:val="continue"/>
            <w:vAlign w:val="center"/>
          </w:tcPr>
          <w:p>
            <w:pPr>
              <w:jc w:val="center"/>
              <w:rPr>
                <w:rFonts w:hint="default" w:ascii="Times New Roman" w:hAnsi="Times New Roman" w:cs="Times New Roman"/>
                <w:color w:val="auto"/>
                <w:sz w:val="18"/>
                <w:szCs w:val="18"/>
                <w:lang w:val="en-US" w:eastAsia="zh-CN"/>
              </w:rPr>
            </w:pPr>
          </w:p>
        </w:tc>
        <w:tc>
          <w:tcPr>
            <w:tcW w:w="615" w:type="dxa"/>
            <w:vMerge w:val="continue"/>
            <w:vAlign w:val="center"/>
          </w:tcPr>
          <w:p>
            <w:pPr>
              <w:jc w:val="center"/>
              <w:rPr>
                <w:rFonts w:hint="default" w:ascii="Times New Roman" w:hAnsi="Times New Roman" w:cs="Times New Roman"/>
                <w:color w:val="auto"/>
                <w:sz w:val="18"/>
                <w:szCs w:val="18"/>
                <w:lang w:val="en-US" w:eastAsia="zh-CN"/>
              </w:rPr>
            </w:pPr>
          </w:p>
        </w:tc>
        <w:tc>
          <w:tcPr>
            <w:tcW w:w="659" w:type="dxa"/>
            <w:vMerge w:val="continue"/>
            <w:vAlign w:val="center"/>
          </w:tcPr>
          <w:p>
            <w:pPr>
              <w:jc w:val="center"/>
              <w:rPr>
                <w:rFonts w:hint="default" w:ascii="Times New Roman" w:hAnsi="Times New Roman" w:cs="Times New Roman"/>
                <w:color w:val="auto"/>
                <w:sz w:val="18"/>
                <w:szCs w:val="18"/>
              </w:rPr>
            </w:pPr>
          </w:p>
        </w:tc>
        <w:tc>
          <w:tcPr>
            <w:tcW w:w="642" w:type="dxa"/>
            <w:vMerge w:val="continue"/>
            <w:vAlign w:val="center"/>
          </w:tcPr>
          <w:p>
            <w:pPr>
              <w:jc w:val="center"/>
              <w:rPr>
                <w:rFonts w:hint="default" w:ascii="Times New Roman" w:hAnsi="Times New Roman" w:cs="Times New Roman"/>
                <w:color w:val="auto"/>
                <w:sz w:val="18"/>
                <w:szCs w:val="18"/>
              </w:rPr>
            </w:pPr>
          </w:p>
        </w:tc>
      </w:tr>
    </w:tbl>
    <w:p>
      <w:pPr>
        <w:pStyle w:val="133"/>
        <w:keepNext w:val="0"/>
        <w:keepLines w:val="0"/>
        <w:pageBreakBefore w:val="0"/>
        <w:widowControl w:val="0"/>
        <w:numPr>
          <w:ilvl w:val="0"/>
          <w:numId w:val="11"/>
        </w:numPr>
        <w:kinsoku/>
        <w:wordWrap/>
        <w:overflowPunct/>
        <w:topLinePunct w:val="0"/>
        <w:autoSpaceDE/>
        <w:autoSpaceDN/>
        <w:bidi w:val="0"/>
        <w:adjustRightInd/>
        <w:snapToGrid/>
        <w:spacing w:before="157" w:beforeLines="50" w:line="360" w:lineRule="auto"/>
        <w:ind w:left="0" w:leftChars="0" w:firstLine="0" w:firstLineChars="0"/>
        <w:jc w:val="center"/>
        <w:textAlignment w:val="auto"/>
        <w:rPr>
          <w:rFonts w:hint="default" w:ascii="Times New Roman" w:hAnsi="Times New Roman" w:cs="Times New Roman"/>
          <w:b/>
          <w:bCs/>
          <w:color w:val="auto"/>
        </w:rPr>
      </w:pPr>
      <w:r>
        <w:rPr>
          <w:rFonts w:hint="default" w:ascii="Times New Roman" w:hAnsi="Times New Roman" w:cs="Times New Roman"/>
          <w:b/>
          <w:bCs/>
          <w:color w:val="auto"/>
        </w:rPr>
        <w:t>本项目</w:t>
      </w:r>
      <w:r>
        <w:rPr>
          <w:rFonts w:hint="default" w:ascii="Times New Roman" w:hAnsi="Times New Roman" w:cs="Times New Roman"/>
          <w:b/>
          <w:bCs/>
          <w:color w:val="auto"/>
          <w:lang w:eastAsia="zh-CN"/>
        </w:rPr>
        <w:t>建成后</w:t>
      </w:r>
      <w:r>
        <w:rPr>
          <w:rFonts w:hint="default" w:ascii="Times New Roman" w:hAnsi="Times New Roman" w:cs="Times New Roman"/>
          <w:b/>
          <w:bCs/>
          <w:color w:val="auto"/>
        </w:rPr>
        <w:t>废气产生及排放情况统计表</w:t>
      </w:r>
    </w:p>
    <w:tbl>
      <w:tblPr>
        <w:tblStyle w:val="44"/>
        <w:tblW w:w="142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9"/>
        <w:gridCol w:w="1062"/>
        <w:gridCol w:w="846"/>
        <w:gridCol w:w="850"/>
        <w:gridCol w:w="805"/>
        <w:gridCol w:w="784"/>
        <w:gridCol w:w="755"/>
        <w:gridCol w:w="2030"/>
        <w:gridCol w:w="765"/>
        <w:gridCol w:w="1011"/>
        <w:gridCol w:w="840"/>
        <w:gridCol w:w="750"/>
        <w:gridCol w:w="690"/>
        <w:gridCol w:w="615"/>
        <w:gridCol w:w="659"/>
        <w:gridCol w:w="6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9" w:type="dxa"/>
            <w:vMerge w:val="restart"/>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装置/工艺名称</w:t>
            </w:r>
          </w:p>
        </w:tc>
        <w:tc>
          <w:tcPr>
            <w:tcW w:w="1062" w:type="dxa"/>
            <w:vMerge w:val="restart"/>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排放源名称及编号</w:t>
            </w:r>
          </w:p>
        </w:tc>
        <w:tc>
          <w:tcPr>
            <w:tcW w:w="4040" w:type="dxa"/>
            <w:gridSpan w:val="5"/>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产生量</w:t>
            </w:r>
          </w:p>
        </w:tc>
        <w:tc>
          <w:tcPr>
            <w:tcW w:w="2030" w:type="dxa"/>
            <w:vMerge w:val="restart"/>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治理措施及效率</w:t>
            </w:r>
          </w:p>
        </w:tc>
        <w:tc>
          <w:tcPr>
            <w:tcW w:w="2616" w:type="dxa"/>
            <w:gridSpan w:val="3"/>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排放量（Nm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/h）</w:t>
            </w:r>
          </w:p>
        </w:tc>
        <w:tc>
          <w:tcPr>
            <w:tcW w:w="750" w:type="dxa"/>
            <w:vMerge w:val="restart"/>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排气温度</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1305" w:type="dxa"/>
            <w:gridSpan w:val="2"/>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排气筒</w:t>
            </w:r>
          </w:p>
        </w:tc>
        <w:tc>
          <w:tcPr>
            <w:tcW w:w="659" w:type="dxa"/>
            <w:vMerge w:val="restart"/>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排放规律</w:t>
            </w:r>
          </w:p>
        </w:tc>
        <w:tc>
          <w:tcPr>
            <w:tcW w:w="642" w:type="dxa"/>
            <w:vMerge w:val="restart"/>
            <w:vAlign w:val="center"/>
          </w:tcPr>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时间（h）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9" w:type="dxa"/>
            <w:vMerge w:val="continue"/>
            <w:vAlign w:val="center"/>
          </w:tcPr>
          <w:p>
            <w:pPr>
              <w:jc w:val="center"/>
              <w:rPr>
                <w:rFonts w:hint="default" w:ascii="Times New Roman" w:hAnsi="Times New Roman" w:cs="Times New Roman"/>
                <w:color w:val="auto"/>
                <w:sz w:val="18"/>
                <w:szCs w:val="18"/>
              </w:rPr>
            </w:pPr>
          </w:p>
        </w:tc>
        <w:tc>
          <w:tcPr>
            <w:tcW w:w="1062" w:type="dxa"/>
            <w:vMerge w:val="continue"/>
            <w:vAlign w:val="center"/>
          </w:tcPr>
          <w:p>
            <w:pPr>
              <w:jc w:val="center"/>
              <w:rPr>
                <w:rFonts w:hint="default" w:ascii="Times New Roman" w:hAnsi="Times New Roman" w:cs="Times New Roman"/>
                <w:color w:val="auto"/>
                <w:sz w:val="18"/>
                <w:szCs w:val="18"/>
              </w:rPr>
            </w:pPr>
          </w:p>
        </w:tc>
        <w:tc>
          <w:tcPr>
            <w:tcW w:w="846" w:type="dxa"/>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核算方法</w:t>
            </w:r>
          </w:p>
        </w:tc>
        <w:tc>
          <w:tcPr>
            <w:tcW w:w="850" w:type="dxa"/>
            <w:vAlign w:val="center"/>
          </w:tcPr>
          <w:p>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废气量（m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/h）</w:t>
            </w:r>
          </w:p>
        </w:tc>
        <w:tc>
          <w:tcPr>
            <w:tcW w:w="805" w:type="dxa"/>
            <w:vAlign w:val="center"/>
          </w:tcPr>
          <w:p>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污染物</w:t>
            </w:r>
          </w:p>
        </w:tc>
        <w:tc>
          <w:tcPr>
            <w:tcW w:w="784" w:type="dxa"/>
            <w:vAlign w:val="center"/>
          </w:tcPr>
          <w:p>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浓度</w:t>
            </w:r>
          </w:p>
          <w:p>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pt-BR"/>
              </w:rPr>
              <w:t>mg/m</w:t>
            </w:r>
            <w:r>
              <w:rPr>
                <w:rFonts w:hint="default" w:ascii="Times New Roman" w:hAnsi="Times New Roman" w:cs="Times New Roman"/>
                <w:color w:val="auto"/>
                <w:sz w:val="18"/>
                <w:szCs w:val="18"/>
                <w:vertAlign w:val="superscript"/>
                <w:lang w:val="pt-BR"/>
              </w:rPr>
              <w:t>3</w:t>
            </w:r>
          </w:p>
        </w:tc>
        <w:tc>
          <w:tcPr>
            <w:tcW w:w="755" w:type="dxa"/>
            <w:vAlign w:val="center"/>
          </w:tcPr>
          <w:p>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速率</w:t>
            </w:r>
            <w:r>
              <w:rPr>
                <w:rFonts w:hint="default" w:ascii="Times New Roman" w:hAnsi="Times New Roman" w:cs="Times New Roman"/>
                <w:color w:val="auto"/>
                <w:sz w:val="18"/>
                <w:szCs w:val="18"/>
                <w:lang w:val="pt-BR"/>
              </w:rPr>
              <w:t>kg/h</w:t>
            </w:r>
          </w:p>
        </w:tc>
        <w:tc>
          <w:tcPr>
            <w:tcW w:w="2030" w:type="dxa"/>
            <w:vMerge w:val="continue"/>
            <w:vAlign w:val="center"/>
          </w:tcPr>
          <w:p>
            <w:pPr>
              <w:jc w:val="center"/>
              <w:rPr>
                <w:rFonts w:hint="default" w:ascii="Times New Roman" w:hAnsi="Times New Roman" w:cs="Times New Roman"/>
                <w:color w:val="auto"/>
                <w:sz w:val="18"/>
                <w:szCs w:val="18"/>
              </w:rPr>
            </w:pPr>
          </w:p>
        </w:tc>
        <w:tc>
          <w:tcPr>
            <w:tcW w:w="765" w:type="dxa"/>
            <w:vAlign w:val="center"/>
          </w:tcPr>
          <w:p>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浓度</w:t>
            </w:r>
          </w:p>
          <w:p>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pt-BR"/>
              </w:rPr>
              <w:t>mg/m</w:t>
            </w:r>
            <w:r>
              <w:rPr>
                <w:rFonts w:hint="default" w:ascii="Times New Roman" w:hAnsi="Times New Roman" w:cs="Times New Roman"/>
                <w:color w:val="auto"/>
                <w:sz w:val="18"/>
                <w:szCs w:val="18"/>
                <w:vertAlign w:val="superscript"/>
                <w:lang w:val="pt-BR"/>
              </w:rPr>
              <w:t>3</w:t>
            </w:r>
          </w:p>
        </w:tc>
        <w:tc>
          <w:tcPr>
            <w:tcW w:w="1011" w:type="dxa"/>
            <w:vAlign w:val="center"/>
          </w:tcPr>
          <w:p>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排放速率</w:t>
            </w:r>
          </w:p>
          <w:p>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pt-BR"/>
              </w:rPr>
              <w:t>kg/h</w:t>
            </w:r>
          </w:p>
        </w:tc>
        <w:tc>
          <w:tcPr>
            <w:tcW w:w="840" w:type="dxa"/>
            <w:vAlign w:val="center"/>
          </w:tcPr>
          <w:p>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排放量</w:t>
            </w:r>
          </w:p>
          <w:p>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t</w:t>
            </w:r>
            <w:r>
              <w:rPr>
                <w:rFonts w:hint="default" w:ascii="Times New Roman" w:hAnsi="Times New Roman" w:cs="Times New Roman"/>
                <w:color w:val="auto"/>
                <w:sz w:val="18"/>
                <w:szCs w:val="18"/>
                <w:lang w:val="pt-BR"/>
              </w:rPr>
              <w:t>/</w:t>
            </w:r>
            <w:r>
              <w:rPr>
                <w:rFonts w:hint="default" w:ascii="Times New Roman" w:hAnsi="Times New Roman" w:cs="Times New Roman"/>
                <w:color w:val="auto"/>
                <w:sz w:val="18"/>
                <w:szCs w:val="18"/>
              </w:rPr>
              <w:t>a</w:t>
            </w:r>
          </w:p>
        </w:tc>
        <w:tc>
          <w:tcPr>
            <w:tcW w:w="750" w:type="dxa"/>
            <w:vMerge w:val="continue"/>
            <w:vAlign w:val="center"/>
          </w:tcPr>
          <w:p>
            <w:pPr>
              <w:adjustRightInd w:val="0"/>
              <w:snapToGrid w:val="0"/>
              <w:jc w:val="center"/>
              <w:rPr>
                <w:rFonts w:hint="default" w:ascii="Times New Roman" w:hAnsi="Times New Roman" w:cs="Times New Roman"/>
                <w:color w:val="auto"/>
                <w:sz w:val="18"/>
                <w:szCs w:val="18"/>
              </w:rPr>
            </w:pPr>
          </w:p>
        </w:tc>
        <w:tc>
          <w:tcPr>
            <w:tcW w:w="690" w:type="dxa"/>
            <w:vAlign w:val="center"/>
          </w:tcPr>
          <w:p>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直径</w:t>
            </w:r>
          </w:p>
          <w:p>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/m</w:t>
            </w:r>
          </w:p>
        </w:tc>
        <w:tc>
          <w:tcPr>
            <w:tcW w:w="615" w:type="dxa"/>
            <w:vAlign w:val="center"/>
          </w:tcPr>
          <w:p>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高度/m</w:t>
            </w:r>
          </w:p>
        </w:tc>
        <w:tc>
          <w:tcPr>
            <w:tcW w:w="659" w:type="dxa"/>
            <w:vMerge w:val="continue"/>
            <w:vAlign w:val="center"/>
          </w:tcPr>
          <w:p>
            <w:pPr>
              <w:jc w:val="center"/>
              <w:rPr>
                <w:rFonts w:hint="default" w:ascii="Times New Roman" w:hAnsi="Times New Roman" w:cs="Times New Roman"/>
                <w:color w:val="auto"/>
                <w:sz w:val="18"/>
                <w:szCs w:val="18"/>
              </w:rPr>
            </w:pPr>
          </w:p>
        </w:tc>
        <w:tc>
          <w:tcPr>
            <w:tcW w:w="642" w:type="dxa"/>
            <w:vMerge w:val="continue"/>
            <w:vAlign w:val="center"/>
          </w:tcPr>
          <w:p>
            <w:pPr>
              <w:jc w:val="center"/>
              <w:rPr>
                <w:rFonts w:hint="default" w:ascii="Times New Roman" w:hAnsi="Times New Roman"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1159" w:type="dxa"/>
            <w:vMerge w:val="restart"/>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有机废气</w:t>
            </w:r>
          </w:p>
        </w:tc>
        <w:tc>
          <w:tcPr>
            <w:tcW w:w="1062" w:type="dxa"/>
            <w:vAlign w:val="center"/>
          </w:tcPr>
          <w:p>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DA008</w:t>
            </w:r>
          </w:p>
        </w:tc>
        <w:tc>
          <w:tcPr>
            <w:tcW w:w="846" w:type="dxa"/>
            <w:vAlign w:val="center"/>
          </w:tcPr>
          <w:p>
            <w:pPr>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eastAsia="zh-CN"/>
              </w:rPr>
              <w:t>物料衡算法</w:t>
            </w:r>
          </w:p>
        </w:tc>
        <w:tc>
          <w:tcPr>
            <w:tcW w:w="850" w:type="dxa"/>
            <w:vAlign w:val="center"/>
          </w:tcPr>
          <w:p>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45000</w:t>
            </w:r>
          </w:p>
        </w:tc>
        <w:tc>
          <w:tcPr>
            <w:tcW w:w="805" w:type="dxa"/>
            <w:vAlign w:val="center"/>
          </w:tcPr>
          <w:p>
            <w:pPr>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eastAsia="zh-CN"/>
              </w:rPr>
              <w:t>非甲烷总烃</w:t>
            </w:r>
          </w:p>
        </w:tc>
        <w:tc>
          <w:tcPr>
            <w:tcW w:w="784" w:type="dxa"/>
            <w:vAlign w:val="center"/>
          </w:tcPr>
          <w:p>
            <w:pPr>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val="en-US" w:eastAsia="zh-CN"/>
              </w:rPr>
              <w:t>/</w:t>
            </w:r>
          </w:p>
        </w:tc>
        <w:tc>
          <w:tcPr>
            <w:tcW w:w="755" w:type="dxa"/>
            <w:vAlign w:val="center"/>
          </w:tcPr>
          <w:p>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1.058</w:t>
            </w:r>
          </w:p>
        </w:tc>
        <w:tc>
          <w:tcPr>
            <w:tcW w:w="2030" w:type="dxa"/>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进入活性炭吸附塔（吸附效率60%）</w:t>
            </w:r>
          </w:p>
        </w:tc>
        <w:tc>
          <w:tcPr>
            <w:tcW w:w="765" w:type="dxa"/>
            <w:vAlign w:val="center"/>
          </w:tcPr>
          <w:p>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8.463</w:t>
            </w:r>
          </w:p>
        </w:tc>
        <w:tc>
          <w:tcPr>
            <w:tcW w:w="1011" w:type="dxa"/>
            <w:vAlign w:val="center"/>
          </w:tcPr>
          <w:p>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0.381</w:t>
            </w:r>
          </w:p>
        </w:tc>
        <w:tc>
          <w:tcPr>
            <w:tcW w:w="840" w:type="dxa"/>
            <w:vAlign w:val="center"/>
          </w:tcPr>
          <w:p>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3.338</w:t>
            </w:r>
          </w:p>
        </w:tc>
        <w:tc>
          <w:tcPr>
            <w:tcW w:w="750" w:type="dxa"/>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25</w:t>
            </w:r>
          </w:p>
        </w:tc>
        <w:tc>
          <w:tcPr>
            <w:tcW w:w="690" w:type="dxa"/>
            <w:vAlign w:val="center"/>
          </w:tcPr>
          <w:p>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1.1</w:t>
            </w:r>
          </w:p>
        </w:tc>
        <w:tc>
          <w:tcPr>
            <w:tcW w:w="615" w:type="dxa"/>
            <w:vAlign w:val="center"/>
          </w:tcPr>
          <w:p>
            <w:pPr>
              <w:jc w:val="center"/>
              <w:rPr>
                <w:rFonts w:hint="default" w:ascii="Times New Roman" w:hAnsi="Times New Roman" w:cs="Times New Roman"/>
                <w:color w:val="auto"/>
                <w:sz w:val="18"/>
                <w:szCs w:val="18"/>
                <w:lang w:val="en-US"/>
              </w:rPr>
            </w:pPr>
            <w:r>
              <w:rPr>
                <w:rFonts w:hint="default" w:ascii="Times New Roman" w:hAnsi="Times New Roman" w:cs="Times New Roman"/>
                <w:color w:val="auto"/>
                <w:sz w:val="18"/>
                <w:szCs w:val="18"/>
                <w:lang w:val="en-US" w:eastAsia="zh-CN"/>
              </w:rPr>
              <w:t>15</w:t>
            </w:r>
          </w:p>
        </w:tc>
        <w:tc>
          <w:tcPr>
            <w:tcW w:w="659" w:type="dxa"/>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连续</w:t>
            </w:r>
          </w:p>
        </w:tc>
        <w:tc>
          <w:tcPr>
            <w:tcW w:w="642" w:type="dxa"/>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8760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159" w:type="dxa"/>
            <w:vMerge w:val="continue"/>
            <w:vAlign w:val="center"/>
          </w:tcPr>
          <w:p>
            <w:pPr>
              <w:jc w:val="center"/>
              <w:rPr>
                <w:rFonts w:hint="default" w:ascii="Times New Roman" w:hAnsi="Times New Roman" w:cs="Times New Roman"/>
                <w:color w:val="auto"/>
                <w:sz w:val="18"/>
                <w:szCs w:val="18"/>
              </w:rPr>
            </w:pPr>
          </w:p>
        </w:tc>
        <w:tc>
          <w:tcPr>
            <w:tcW w:w="1062" w:type="dxa"/>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846" w:type="dxa"/>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物料衡算法</w:t>
            </w:r>
          </w:p>
        </w:tc>
        <w:tc>
          <w:tcPr>
            <w:tcW w:w="850" w:type="dxa"/>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805" w:type="dxa"/>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非甲烷总烃</w:t>
            </w:r>
          </w:p>
        </w:tc>
        <w:tc>
          <w:tcPr>
            <w:tcW w:w="784" w:type="dxa"/>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755" w:type="dxa"/>
            <w:vAlign w:val="center"/>
          </w:tcPr>
          <w:p>
            <w:pPr>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0.106</w:t>
            </w:r>
          </w:p>
        </w:tc>
        <w:tc>
          <w:tcPr>
            <w:tcW w:w="2030" w:type="dxa"/>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765" w:type="dxa"/>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1011" w:type="dxa"/>
            <w:vAlign w:val="center"/>
          </w:tcPr>
          <w:p>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0.106</w:t>
            </w:r>
          </w:p>
        </w:tc>
        <w:tc>
          <w:tcPr>
            <w:tcW w:w="840" w:type="dxa"/>
            <w:vAlign w:val="center"/>
          </w:tcPr>
          <w:p>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0.929</w:t>
            </w:r>
          </w:p>
        </w:tc>
        <w:tc>
          <w:tcPr>
            <w:tcW w:w="750" w:type="dxa"/>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690" w:type="dxa"/>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615" w:type="dxa"/>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659" w:type="dxa"/>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连续</w:t>
            </w:r>
          </w:p>
        </w:tc>
        <w:tc>
          <w:tcPr>
            <w:tcW w:w="642" w:type="dxa"/>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8760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59" w:type="dxa"/>
            <w:vAlign w:val="center"/>
          </w:tcPr>
          <w:p>
            <w:pPr>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eastAsia="zh-CN"/>
              </w:rPr>
              <w:t>切片粉尘</w:t>
            </w:r>
          </w:p>
        </w:tc>
        <w:tc>
          <w:tcPr>
            <w:tcW w:w="1062" w:type="dxa"/>
            <w:vAlign w:val="center"/>
          </w:tcPr>
          <w:p>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DA009</w:t>
            </w:r>
          </w:p>
        </w:tc>
        <w:tc>
          <w:tcPr>
            <w:tcW w:w="846" w:type="dxa"/>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产污系数法</w:t>
            </w:r>
          </w:p>
        </w:tc>
        <w:tc>
          <w:tcPr>
            <w:tcW w:w="850" w:type="dxa"/>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45000</w:t>
            </w:r>
          </w:p>
        </w:tc>
        <w:tc>
          <w:tcPr>
            <w:tcW w:w="805" w:type="dxa"/>
            <w:vAlign w:val="center"/>
          </w:tcPr>
          <w:p>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颗粒物</w:t>
            </w:r>
          </w:p>
        </w:tc>
        <w:tc>
          <w:tcPr>
            <w:tcW w:w="784" w:type="dxa"/>
            <w:vAlign w:val="center"/>
          </w:tcPr>
          <w:p>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755" w:type="dxa"/>
            <w:vAlign w:val="center"/>
          </w:tcPr>
          <w:p>
            <w:pPr>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5.017</w:t>
            </w:r>
          </w:p>
        </w:tc>
        <w:tc>
          <w:tcPr>
            <w:tcW w:w="2030" w:type="dxa"/>
            <w:vAlign w:val="center"/>
          </w:tcPr>
          <w:p>
            <w:pPr>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eastAsia="zh-CN"/>
              </w:rPr>
              <w:t>文丘里洗涤塔（治理效率</w:t>
            </w:r>
            <w:r>
              <w:rPr>
                <w:rFonts w:hint="default" w:ascii="Times New Roman" w:hAnsi="Times New Roman" w:cs="Times New Roman"/>
                <w:color w:val="auto"/>
                <w:sz w:val="18"/>
                <w:szCs w:val="18"/>
                <w:lang w:val="en-US" w:eastAsia="zh-CN"/>
              </w:rPr>
              <w:t>98%</w:t>
            </w:r>
            <w:r>
              <w:rPr>
                <w:rFonts w:hint="default" w:ascii="Times New Roman" w:hAnsi="Times New Roman" w:cs="Times New Roman"/>
                <w:color w:val="auto"/>
                <w:sz w:val="18"/>
                <w:szCs w:val="18"/>
                <w:lang w:eastAsia="zh-CN"/>
              </w:rPr>
              <w:t>）</w:t>
            </w:r>
          </w:p>
        </w:tc>
        <w:tc>
          <w:tcPr>
            <w:tcW w:w="765" w:type="dxa"/>
            <w:vAlign w:val="center"/>
          </w:tcPr>
          <w:p>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2.23</w:t>
            </w:r>
          </w:p>
        </w:tc>
        <w:tc>
          <w:tcPr>
            <w:tcW w:w="1011" w:type="dxa"/>
            <w:vAlign w:val="center"/>
          </w:tcPr>
          <w:p>
            <w:pPr>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0.100</w:t>
            </w:r>
          </w:p>
        </w:tc>
        <w:tc>
          <w:tcPr>
            <w:tcW w:w="840" w:type="dxa"/>
            <w:vAlign w:val="center"/>
          </w:tcPr>
          <w:p>
            <w:pPr>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0.879</w:t>
            </w:r>
          </w:p>
        </w:tc>
        <w:tc>
          <w:tcPr>
            <w:tcW w:w="750" w:type="dxa"/>
            <w:vAlign w:val="center"/>
          </w:tcPr>
          <w:p>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25</w:t>
            </w:r>
          </w:p>
        </w:tc>
        <w:tc>
          <w:tcPr>
            <w:tcW w:w="690" w:type="dxa"/>
            <w:vAlign w:val="center"/>
          </w:tcPr>
          <w:p>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1.1</w:t>
            </w:r>
          </w:p>
        </w:tc>
        <w:tc>
          <w:tcPr>
            <w:tcW w:w="615" w:type="dxa"/>
            <w:vAlign w:val="center"/>
          </w:tcPr>
          <w:p>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15</w:t>
            </w:r>
          </w:p>
        </w:tc>
        <w:tc>
          <w:tcPr>
            <w:tcW w:w="659" w:type="dxa"/>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连续</w:t>
            </w:r>
          </w:p>
        </w:tc>
        <w:tc>
          <w:tcPr>
            <w:tcW w:w="642" w:type="dxa"/>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8760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159" w:type="dxa"/>
            <w:vAlign w:val="center"/>
          </w:tcPr>
          <w:p>
            <w:pPr>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eastAsia="zh-CN"/>
              </w:rPr>
              <w:t>酸洗废气</w:t>
            </w:r>
          </w:p>
        </w:tc>
        <w:tc>
          <w:tcPr>
            <w:tcW w:w="1062" w:type="dxa"/>
            <w:vAlign w:val="center"/>
          </w:tcPr>
          <w:p>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DA011</w:t>
            </w:r>
          </w:p>
        </w:tc>
        <w:tc>
          <w:tcPr>
            <w:tcW w:w="846" w:type="dxa"/>
            <w:vAlign w:val="center"/>
          </w:tcPr>
          <w:p>
            <w:pPr>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eastAsia="zh-CN"/>
              </w:rPr>
              <w:t>类比法</w:t>
            </w:r>
          </w:p>
        </w:tc>
        <w:tc>
          <w:tcPr>
            <w:tcW w:w="850" w:type="dxa"/>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15000</w:t>
            </w:r>
          </w:p>
        </w:tc>
        <w:tc>
          <w:tcPr>
            <w:tcW w:w="805" w:type="dxa"/>
            <w:vAlign w:val="center"/>
          </w:tcPr>
          <w:p>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eastAsia="zh-CN"/>
              </w:rPr>
              <w:t>氟化物</w:t>
            </w:r>
          </w:p>
        </w:tc>
        <w:tc>
          <w:tcPr>
            <w:tcW w:w="784" w:type="dxa"/>
            <w:vAlign w:val="center"/>
          </w:tcPr>
          <w:p>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755" w:type="dxa"/>
            <w:vAlign w:val="center"/>
          </w:tcPr>
          <w:p>
            <w:pPr>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0.016</w:t>
            </w:r>
          </w:p>
        </w:tc>
        <w:tc>
          <w:tcPr>
            <w:tcW w:w="2030" w:type="dxa"/>
            <w:vAlign w:val="center"/>
          </w:tcPr>
          <w:p>
            <w:pPr>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eastAsia="zh-CN"/>
              </w:rPr>
              <w:t>四级氢氧化钠洗涤塔（治理效率</w:t>
            </w:r>
            <w:r>
              <w:rPr>
                <w:rFonts w:hint="default" w:ascii="Times New Roman" w:hAnsi="Times New Roman" w:cs="Times New Roman"/>
                <w:color w:val="auto"/>
                <w:sz w:val="18"/>
                <w:szCs w:val="18"/>
                <w:lang w:val="en-US" w:eastAsia="zh-CN"/>
              </w:rPr>
              <w:t>90%</w:t>
            </w:r>
            <w:r>
              <w:rPr>
                <w:rFonts w:hint="default" w:ascii="Times New Roman" w:hAnsi="Times New Roman" w:cs="Times New Roman"/>
                <w:color w:val="auto"/>
                <w:sz w:val="18"/>
                <w:szCs w:val="18"/>
                <w:lang w:eastAsia="zh-CN"/>
              </w:rPr>
              <w:t>）</w:t>
            </w:r>
          </w:p>
        </w:tc>
        <w:tc>
          <w:tcPr>
            <w:tcW w:w="765" w:type="dxa"/>
            <w:vAlign w:val="center"/>
          </w:tcPr>
          <w:p>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1.02</w:t>
            </w:r>
          </w:p>
        </w:tc>
        <w:tc>
          <w:tcPr>
            <w:tcW w:w="1011" w:type="dxa"/>
            <w:vAlign w:val="center"/>
          </w:tcPr>
          <w:p>
            <w:pPr>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0.0016</w:t>
            </w:r>
          </w:p>
        </w:tc>
        <w:tc>
          <w:tcPr>
            <w:tcW w:w="840" w:type="dxa"/>
            <w:vAlign w:val="center"/>
          </w:tcPr>
          <w:p>
            <w:pPr>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0.015</w:t>
            </w:r>
          </w:p>
        </w:tc>
        <w:tc>
          <w:tcPr>
            <w:tcW w:w="750" w:type="dxa"/>
            <w:vAlign w:val="center"/>
          </w:tcPr>
          <w:p>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25</w:t>
            </w:r>
          </w:p>
        </w:tc>
        <w:tc>
          <w:tcPr>
            <w:tcW w:w="690" w:type="dxa"/>
            <w:vAlign w:val="center"/>
          </w:tcPr>
          <w:p>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1.1</w:t>
            </w:r>
          </w:p>
        </w:tc>
        <w:tc>
          <w:tcPr>
            <w:tcW w:w="615" w:type="dxa"/>
            <w:vAlign w:val="center"/>
          </w:tcPr>
          <w:p>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15</w:t>
            </w:r>
          </w:p>
        </w:tc>
        <w:tc>
          <w:tcPr>
            <w:tcW w:w="659" w:type="dxa"/>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连续</w:t>
            </w:r>
          </w:p>
        </w:tc>
        <w:tc>
          <w:tcPr>
            <w:tcW w:w="642" w:type="dxa"/>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8760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9" w:type="dxa"/>
            <w:vMerge w:val="restart"/>
            <w:vAlign w:val="center"/>
          </w:tcPr>
          <w:p>
            <w:pPr>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eastAsia="zh-CN"/>
              </w:rPr>
              <w:t>污水处理站恶臭</w:t>
            </w:r>
          </w:p>
        </w:tc>
        <w:tc>
          <w:tcPr>
            <w:tcW w:w="1062" w:type="dxa"/>
            <w:vMerge w:val="restart"/>
            <w:vAlign w:val="center"/>
          </w:tcPr>
          <w:p>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DA010</w:t>
            </w:r>
          </w:p>
        </w:tc>
        <w:tc>
          <w:tcPr>
            <w:tcW w:w="846" w:type="dxa"/>
            <w:vAlign w:val="center"/>
          </w:tcPr>
          <w:p>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类比法</w:t>
            </w:r>
          </w:p>
        </w:tc>
        <w:tc>
          <w:tcPr>
            <w:tcW w:w="850" w:type="dxa"/>
            <w:vAlign w:val="center"/>
          </w:tcPr>
          <w:p>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15000</w:t>
            </w:r>
          </w:p>
        </w:tc>
        <w:tc>
          <w:tcPr>
            <w:tcW w:w="805" w:type="dxa"/>
            <w:vAlign w:val="center"/>
          </w:tcPr>
          <w:p>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氨</w:t>
            </w:r>
          </w:p>
        </w:tc>
        <w:tc>
          <w:tcPr>
            <w:tcW w:w="784" w:type="dxa"/>
            <w:vAlign w:val="center"/>
          </w:tcPr>
          <w:p>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755" w:type="dxa"/>
            <w:vAlign w:val="center"/>
          </w:tcPr>
          <w:p>
            <w:pPr>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0.16</w:t>
            </w:r>
          </w:p>
        </w:tc>
        <w:tc>
          <w:tcPr>
            <w:tcW w:w="2030" w:type="dxa"/>
            <w:vMerge w:val="restart"/>
            <w:vAlign w:val="center"/>
          </w:tcPr>
          <w:p>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碱吸收（氨吸收效率60%、硫化氢治理效率90%）</w:t>
            </w:r>
          </w:p>
        </w:tc>
        <w:tc>
          <w:tcPr>
            <w:tcW w:w="765" w:type="dxa"/>
            <w:vAlign w:val="center"/>
          </w:tcPr>
          <w:p>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4.27</w:t>
            </w:r>
          </w:p>
        </w:tc>
        <w:tc>
          <w:tcPr>
            <w:tcW w:w="1011" w:type="dxa"/>
            <w:vAlign w:val="center"/>
          </w:tcPr>
          <w:p>
            <w:pPr>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0.064</w:t>
            </w:r>
          </w:p>
        </w:tc>
        <w:tc>
          <w:tcPr>
            <w:tcW w:w="840" w:type="dxa"/>
            <w:vAlign w:val="center"/>
          </w:tcPr>
          <w:p>
            <w:pPr>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0.</w:t>
            </w:r>
            <w:r>
              <w:rPr>
                <w:rFonts w:hint="default" w:ascii="Times New Roman" w:hAnsi="Times New Roman" w:cs="Times New Roman"/>
                <w:color w:val="auto"/>
                <w:sz w:val="18"/>
                <w:szCs w:val="18"/>
                <w:lang w:val="en-US" w:eastAsia="zh-CN"/>
              </w:rPr>
              <w:t>561</w:t>
            </w:r>
          </w:p>
        </w:tc>
        <w:tc>
          <w:tcPr>
            <w:tcW w:w="750" w:type="dxa"/>
            <w:vMerge w:val="restart"/>
            <w:vAlign w:val="center"/>
          </w:tcPr>
          <w:p>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25</w:t>
            </w:r>
          </w:p>
        </w:tc>
        <w:tc>
          <w:tcPr>
            <w:tcW w:w="690" w:type="dxa"/>
            <w:vMerge w:val="restart"/>
            <w:vAlign w:val="center"/>
          </w:tcPr>
          <w:p>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0.8</w:t>
            </w:r>
          </w:p>
        </w:tc>
        <w:tc>
          <w:tcPr>
            <w:tcW w:w="615" w:type="dxa"/>
            <w:vMerge w:val="restart"/>
            <w:vAlign w:val="center"/>
          </w:tcPr>
          <w:p>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15</w:t>
            </w:r>
          </w:p>
        </w:tc>
        <w:tc>
          <w:tcPr>
            <w:tcW w:w="659" w:type="dxa"/>
            <w:vMerge w:val="restart"/>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连续</w:t>
            </w:r>
          </w:p>
        </w:tc>
        <w:tc>
          <w:tcPr>
            <w:tcW w:w="642" w:type="dxa"/>
            <w:vMerge w:val="restart"/>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8760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 w:hRule="atLeast"/>
          <w:jc w:val="center"/>
        </w:trPr>
        <w:tc>
          <w:tcPr>
            <w:tcW w:w="1159" w:type="dxa"/>
            <w:vMerge w:val="continue"/>
            <w:vAlign w:val="center"/>
          </w:tcPr>
          <w:p>
            <w:pPr>
              <w:jc w:val="center"/>
              <w:rPr>
                <w:rFonts w:hint="default" w:ascii="Times New Roman" w:hAnsi="Times New Roman" w:cs="Times New Roman"/>
                <w:color w:val="auto"/>
                <w:sz w:val="18"/>
                <w:szCs w:val="18"/>
                <w:lang w:eastAsia="zh-CN"/>
              </w:rPr>
            </w:pPr>
          </w:p>
        </w:tc>
        <w:tc>
          <w:tcPr>
            <w:tcW w:w="1062" w:type="dxa"/>
            <w:vMerge w:val="continue"/>
            <w:vAlign w:val="center"/>
          </w:tcPr>
          <w:p>
            <w:pPr>
              <w:jc w:val="center"/>
              <w:rPr>
                <w:rFonts w:hint="default" w:ascii="Times New Roman" w:hAnsi="Times New Roman" w:cs="Times New Roman"/>
                <w:color w:val="auto"/>
                <w:sz w:val="18"/>
                <w:szCs w:val="18"/>
                <w:lang w:val="en-US" w:eastAsia="zh-CN"/>
              </w:rPr>
            </w:pPr>
          </w:p>
        </w:tc>
        <w:tc>
          <w:tcPr>
            <w:tcW w:w="846" w:type="dxa"/>
            <w:vAlign w:val="center"/>
          </w:tcPr>
          <w:p>
            <w:pPr>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类比法</w:t>
            </w:r>
          </w:p>
        </w:tc>
        <w:tc>
          <w:tcPr>
            <w:tcW w:w="850" w:type="dxa"/>
            <w:vAlign w:val="center"/>
          </w:tcPr>
          <w:p>
            <w:pPr>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15000</w:t>
            </w:r>
          </w:p>
        </w:tc>
        <w:tc>
          <w:tcPr>
            <w:tcW w:w="805" w:type="dxa"/>
            <w:vAlign w:val="center"/>
          </w:tcPr>
          <w:p>
            <w:pPr>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硫化氢</w:t>
            </w:r>
          </w:p>
        </w:tc>
        <w:tc>
          <w:tcPr>
            <w:tcW w:w="784" w:type="dxa"/>
            <w:vAlign w:val="center"/>
          </w:tcPr>
          <w:p>
            <w:pPr>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755" w:type="dxa"/>
            <w:vAlign w:val="center"/>
          </w:tcPr>
          <w:p>
            <w:pPr>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0.0</w:t>
            </w:r>
            <w:r>
              <w:rPr>
                <w:rFonts w:hint="default" w:ascii="Times New Roman" w:hAnsi="Times New Roman" w:cs="Times New Roman"/>
                <w:color w:val="auto"/>
                <w:sz w:val="18"/>
                <w:szCs w:val="18"/>
                <w:lang w:val="en-US" w:eastAsia="zh-CN"/>
              </w:rPr>
              <w:t>063</w:t>
            </w:r>
          </w:p>
        </w:tc>
        <w:tc>
          <w:tcPr>
            <w:tcW w:w="2030" w:type="dxa"/>
            <w:vMerge w:val="continue"/>
            <w:vAlign w:val="center"/>
          </w:tcPr>
          <w:p>
            <w:pPr>
              <w:jc w:val="center"/>
              <w:rPr>
                <w:rFonts w:hint="default" w:ascii="Times New Roman" w:hAnsi="Times New Roman" w:cs="Times New Roman"/>
                <w:color w:val="auto"/>
                <w:sz w:val="18"/>
                <w:szCs w:val="18"/>
                <w:lang w:val="en-US" w:eastAsia="zh-CN"/>
              </w:rPr>
            </w:pPr>
          </w:p>
        </w:tc>
        <w:tc>
          <w:tcPr>
            <w:tcW w:w="765" w:type="dxa"/>
            <w:vAlign w:val="center"/>
          </w:tcPr>
          <w:p>
            <w:pPr>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0.43</w:t>
            </w:r>
          </w:p>
        </w:tc>
        <w:tc>
          <w:tcPr>
            <w:tcW w:w="1011" w:type="dxa"/>
            <w:vAlign w:val="center"/>
          </w:tcPr>
          <w:p>
            <w:pPr>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0.0063</w:t>
            </w:r>
          </w:p>
        </w:tc>
        <w:tc>
          <w:tcPr>
            <w:tcW w:w="840" w:type="dxa"/>
            <w:vAlign w:val="center"/>
          </w:tcPr>
          <w:p>
            <w:pPr>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0.0</w:t>
            </w:r>
            <w:r>
              <w:rPr>
                <w:rFonts w:hint="default" w:ascii="Times New Roman" w:hAnsi="Times New Roman" w:cs="Times New Roman"/>
                <w:color w:val="auto"/>
                <w:sz w:val="18"/>
                <w:szCs w:val="18"/>
                <w:lang w:val="en-US" w:eastAsia="zh-CN"/>
              </w:rPr>
              <w:t>56</w:t>
            </w:r>
          </w:p>
        </w:tc>
        <w:tc>
          <w:tcPr>
            <w:tcW w:w="750" w:type="dxa"/>
            <w:vMerge w:val="continue"/>
            <w:vAlign w:val="center"/>
          </w:tcPr>
          <w:p>
            <w:pPr>
              <w:jc w:val="center"/>
              <w:rPr>
                <w:rFonts w:hint="default" w:ascii="Times New Roman" w:hAnsi="Times New Roman" w:cs="Times New Roman"/>
                <w:color w:val="auto"/>
                <w:sz w:val="18"/>
                <w:szCs w:val="18"/>
                <w:lang w:val="en-US" w:eastAsia="zh-CN"/>
              </w:rPr>
            </w:pPr>
          </w:p>
        </w:tc>
        <w:tc>
          <w:tcPr>
            <w:tcW w:w="690" w:type="dxa"/>
            <w:vMerge w:val="continue"/>
            <w:vAlign w:val="center"/>
          </w:tcPr>
          <w:p>
            <w:pPr>
              <w:jc w:val="center"/>
              <w:rPr>
                <w:rFonts w:hint="default" w:ascii="Times New Roman" w:hAnsi="Times New Roman" w:cs="Times New Roman"/>
                <w:color w:val="auto"/>
                <w:sz w:val="18"/>
                <w:szCs w:val="18"/>
                <w:lang w:val="en-US" w:eastAsia="zh-CN"/>
              </w:rPr>
            </w:pPr>
          </w:p>
        </w:tc>
        <w:tc>
          <w:tcPr>
            <w:tcW w:w="615" w:type="dxa"/>
            <w:vMerge w:val="continue"/>
            <w:vAlign w:val="center"/>
          </w:tcPr>
          <w:p>
            <w:pPr>
              <w:jc w:val="center"/>
              <w:rPr>
                <w:rFonts w:hint="default" w:ascii="Times New Roman" w:hAnsi="Times New Roman" w:cs="Times New Roman"/>
                <w:color w:val="auto"/>
                <w:sz w:val="18"/>
                <w:szCs w:val="18"/>
                <w:lang w:val="en-US" w:eastAsia="zh-CN"/>
              </w:rPr>
            </w:pPr>
          </w:p>
        </w:tc>
        <w:tc>
          <w:tcPr>
            <w:tcW w:w="659" w:type="dxa"/>
            <w:vMerge w:val="continue"/>
            <w:vAlign w:val="center"/>
          </w:tcPr>
          <w:p>
            <w:pPr>
              <w:jc w:val="center"/>
              <w:rPr>
                <w:rFonts w:hint="default" w:ascii="Times New Roman" w:hAnsi="Times New Roman" w:cs="Times New Roman"/>
                <w:color w:val="auto"/>
                <w:sz w:val="18"/>
                <w:szCs w:val="18"/>
              </w:rPr>
            </w:pPr>
          </w:p>
        </w:tc>
        <w:tc>
          <w:tcPr>
            <w:tcW w:w="642" w:type="dxa"/>
            <w:vMerge w:val="continue"/>
            <w:vAlign w:val="center"/>
          </w:tcPr>
          <w:p>
            <w:pPr>
              <w:jc w:val="center"/>
              <w:rPr>
                <w:rFonts w:hint="default" w:ascii="Times New Roman" w:hAnsi="Times New Roman" w:cs="Times New Roman"/>
                <w:color w:val="auto"/>
                <w:sz w:val="18"/>
                <w:szCs w:val="18"/>
              </w:rPr>
            </w:pPr>
          </w:p>
        </w:tc>
      </w:tr>
    </w:tbl>
    <w:p>
      <w:pPr>
        <w:pStyle w:val="133"/>
        <w:numPr>
          <w:ilvl w:val="0"/>
          <w:numId w:val="9"/>
        </w:numPr>
        <w:spacing w:line="360" w:lineRule="auto"/>
        <w:ind w:left="0" w:firstLine="0" w:firstLineChars="0"/>
        <w:jc w:val="center"/>
        <w:rPr>
          <w:rFonts w:hint="default" w:ascii="Times New Roman" w:hAnsi="Times New Roman" w:cs="Times New Roman"/>
          <w:b/>
          <w:bCs/>
          <w:color w:val="FF0000"/>
        </w:rPr>
        <w:sectPr>
          <w:pgSz w:w="16838" w:h="11906" w:orient="landscape"/>
          <w:pgMar w:top="1797" w:right="1440" w:bottom="1797" w:left="1440" w:header="851" w:footer="992" w:gutter="0"/>
          <w:pgBorders>
            <w:top w:val="none" w:sz="0" w:space="0"/>
            <w:left w:val="none" w:sz="0" w:space="0"/>
            <w:bottom w:val="none" w:sz="0" w:space="0"/>
            <w:right w:val="none" w:sz="0" w:space="0"/>
          </w:pgBorders>
          <w:cols w:space="720" w:num="1"/>
          <w:docGrid w:linePitch="312" w:charSpace="0"/>
        </w:sectPr>
      </w:pPr>
    </w:p>
    <w:p>
      <w:pPr>
        <w:spacing w:line="360" w:lineRule="auto"/>
        <w:ind w:firstLine="482" w:firstLineChars="200"/>
        <w:rPr>
          <w:rFonts w:hint="default" w:ascii="Times New Roman" w:hAnsi="Times New Roman" w:cs="Times New Roman"/>
          <w:b/>
          <w:color w:val="auto"/>
        </w:rPr>
      </w:pPr>
      <w:r>
        <w:rPr>
          <w:rFonts w:hint="default" w:ascii="Times New Roman" w:hAnsi="Times New Roman" w:cs="Times New Roman"/>
          <w:b/>
          <w:color w:val="auto"/>
        </w:rPr>
        <w:t>二、废水</w:t>
      </w:r>
    </w:p>
    <w:p>
      <w:pPr>
        <w:spacing w:line="360" w:lineRule="auto"/>
        <w:ind w:firstLine="482" w:firstLineChars="200"/>
        <w:jc w:val="left"/>
        <w:rPr>
          <w:rFonts w:hint="default" w:ascii="Times New Roman" w:hAnsi="Times New Roman" w:eastAsia="宋体" w:cs="Times New Roman"/>
          <w:b/>
          <w:bCs/>
          <w:color w:val="auto"/>
          <w:lang w:val="en-US" w:eastAsia="zh-CN"/>
        </w:rPr>
      </w:pPr>
      <w:r>
        <w:rPr>
          <w:rFonts w:hint="default" w:ascii="Times New Roman" w:hAnsi="Times New Roman" w:cs="Times New Roman"/>
          <w:b/>
          <w:bCs/>
          <w:color w:val="auto"/>
          <w:lang w:val="en-US" w:eastAsia="zh-CN"/>
        </w:rPr>
        <w:t>1、项目用水量</w:t>
      </w:r>
    </w:p>
    <w:p>
      <w:pPr>
        <w:spacing w:line="360" w:lineRule="auto"/>
        <w:ind w:firstLine="480" w:firstLineChars="200"/>
        <w:jc w:val="left"/>
        <w:rPr>
          <w:rFonts w:hint="default" w:ascii="Times New Roman" w:hAnsi="Times New Roman" w:cs="Times New Roman"/>
          <w:color w:val="auto"/>
          <w:lang w:eastAsia="zh-CN"/>
        </w:rPr>
      </w:pPr>
      <w:r>
        <w:rPr>
          <w:rFonts w:hint="default" w:ascii="Times New Roman" w:hAnsi="Times New Roman" w:cs="Times New Roman"/>
          <w:color w:val="auto"/>
          <w:lang w:eastAsia="zh-CN"/>
        </w:rPr>
        <w:t>项目用水主要为生产用水、生活用水。</w:t>
      </w:r>
    </w:p>
    <w:p>
      <w:pPr>
        <w:spacing w:line="360" w:lineRule="auto"/>
        <w:ind w:firstLine="480" w:firstLineChars="200"/>
        <w:jc w:val="left"/>
        <w:rPr>
          <w:rFonts w:hint="default" w:ascii="Times New Roman" w:hAnsi="Times New Roman" w:cs="Times New Roman"/>
          <w:color w:val="auto"/>
          <w:lang w:eastAsia="zh-CN"/>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1</w:t>
      </w:r>
      <w:r>
        <w:rPr>
          <w:rFonts w:hint="default" w:ascii="Times New Roman" w:hAnsi="Times New Roman" w:cs="Times New Roman"/>
          <w:color w:val="auto"/>
          <w:lang w:eastAsia="zh-CN"/>
        </w:rPr>
        <w:t>）生产用水</w:t>
      </w:r>
    </w:p>
    <w:p>
      <w:pPr>
        <w:spacing w:line="360" w:lineRule="auto"/>
        <w:ind w:firstLine="480" w:firstLineChars="200"/>
        <w:jc w:val="left"/>
        <w:rPr>
          <w:rFonts w:hint="default" w:ascii="Times New Roman" w:hAnsi="Times New Roman" w:cs="Times New Roman"/>
          <w:color w:val="auto"/>
          <w:lang w:eastAsia="zh-CN"/>
        </w:rPr>
      </w:pPr>
      <w:r>
        <w:rPr>
          <w:rFonts w:hint="default" w:ascii="Times New Roman" w:hAnsi="Times New Roman" w:cs="Times New Roman"/>
          <w:color w:val="auto"/>
          <w:lang w:eastAsia="zh-CN"/>
        </w:rPr>
        <w:t>①配制切割液</w:t>
      </w:r>
    </w:p>
    <w:p>
      <w:pPr>
        <w:spacing w:line="360" w:lineRule="auto"/>
        <w:ind w:firstLine="480" w:firstLineChars="200"/>
        <w:jc w:val="left"/>
        <w:rPr>
          <w:rFonts w:hint="default" w:ascii="Times New Roman" w:hAnsi="Times New Roman" w:cs="Times New Roman"/>
          <w:color w:val="auto"/>
          <w:lang w:eastAsia="zh-CN"/>
        </w:rPr>
      </w:pPr>
      <w:r>
        <w:rPr>
          <w:rFonts w:hint="default" w:ascii="Times New Roman" w:hAnsi="Times New Roman" w:cs="Times New Roman"/>
          <w:snapToGrid w:val="0"/>
          <w:color w:val="auto"/>
          <w:szCs w:val="20"/>
          <w:lang w:eastAsia="zh-CN"/>
        </w:rPr>
        <w:t>切片过程中使用到切割液，切割液的主要作用是将金刚线切割过程中的热量带走，降低切割区域的温度，同时带走切割产生的硅粉。切割液由</w:t>
      </w:r>
      <w:r>
        <w:rPr>
          <w:rFonts w:hint="default" w:ascii="Times New Roman" w:hAnsi="Times New Roman" w:cs="Times New Roman"/>
          <w:snapToGrid w:val="0"/>
          <w:color w:val="auto"/>
          <w:szCs w:val="20"/>
        </w:rPr>
        <w:t>切割原液（</w:t>
      </w:r>
      <w:r>
        <w:rPr>
          <w:rFonts w:hint="default" w:ascii="Times New Roman" w:hAnsi="Times New Roman" w:cs="Times New Roman"/>
          <w:snapToGrid w:val="0"/>
          <w:color w:val="auto"/>
          <w:szCs w:val="20"/>
          <w:lang w:eastAsia="zh-CN"/>
        </w:rPr>
        <w:t>聚二乙醇</w:t>
      </w:r>
      <w:r>
        <w:rPr>
          <w:rFonts w:hint="default" w:ascii="Times New Roman" w:hAnsi="Times New Roman" w:cs="Times New Roman"/>
          <w:snapToGrid w:val="0"/>
          <w:color w:val="auto"/>
          <w:szCs w:val="20"/>
        </w:rPr>
        <w:t>）与纯水按1：</w:t>
      </w:r>
      <w:r>
        <w:rPr>
          <w:rFonts w:hint="default" w:ascii="Times New Roman" w:hAnsi="Times New Roman" w:cs="Times New Roman"/>
          <w:snapToGrid w:val="0"/>
          <w:color w:val="auto"/>
          <w:szCs w:val="20"/>
          <w:lang w:val="en-US" w:eastAsia="zh-CN"/>
        </w:rPr>
        <w:t>4</w:t>
      </w:r>
      <w:r>
        <w:rPr>
          <w:rFonts w:hint="default" w:ascii="Times New Roman" w:hAnsi="Times New Roman" w:cs="Times New Roman"/>
          <w:snapToGrid w:val="0"/>
          <w:color w:val="auto"/>
          <w:szCs w:val="20"/>
        </w:rPr>
        <w:t>00</w:t>
      </w:r>
      <w:r>
        <w:rPr>
          <w:rFonts w:hint="default" w:ascii="Times New Roman" w:hAnsi="Times New Roman" w:cs="Times New Roman"/>
          <w:snapToGrid w:val="0"/>
          <w:color w:val="auto"/>
          <w:szCs w:val="20"/>
          <w:lang w:eastAsia="zh-CN"/>
        </w:rPr>
        <w:t>配制</w:t>
      </w:r>
      <w:r>
        <w:rPr>
          <w:rFonts w:hint="default" w:ascii="Times New Roman" w:hAnsi="Times New Roman" w:cs="Times New Roman"/>
          <w:snapToGrid w:val="0"/>
          <w:color w:val="auto"/>
          <w:szCs w:val="20"/>
        </w:rPr>
        <w:t>。根据建设单位提供资料，切割</w:t>
      </w:r>
      <w:r>
        <w:rPr>
          <w:rFonts w:hint="default" w:ascii="Times New Roman" w:hAnsi="Times New Roman" w:cs="Times New Roman"/>
          <w:snapToGrid w:val="0"/>
          <w:color w:val="auto"/>
          <w:szCs w:val="20"/>
          <w:lang w:eastAsia="zh-CN"/>
        </w:rPr>
        <w:t>原液用量</w:t>
      </w:r>
      <w:r>
        <w:rPr>
          <w:rFonts w:hint="default" w:ascii="Times New Roman" w:hAnsi="Times New Roman" w:cs="Times New Roman"/>
          <w:snapToGrid w:val="0"/>
          <w:color w:val="auto"/>
          <w:szCs w:val="20"/>
        </w:rPr>
        <w:t>为</w:t>
      </w:r>
      <w:r>
        <w:rPr>
          <w:rFonts w:hint="default" w:ascii="Times New Roman" w:hAnsi="Times New Roman" w:cs="Times New Roman"/>
          <w:snapToGrid w:val="0"/>
          <w:color w:val="auto"/>
          <w:szCs w:val="20"/>
          <w:lang w:val="en-US" w:eastAsia="zh-CN"/>
        </w:rPr>
        <w:t>77.5t/（GW·a）、232.5t/a（0.64m</w:t>
      </w:r>
      <w:r>
        <w:rPr>
          <w:rFonts w:hint="default" w:ascii="Times New Roman" w:hAnsi="Times New Roman" w:cs="Times New Roman"/>
          <w:snapToGrid w:val="0"/>
          <w:color w:val="auto"/>
          <w:szCs w:val="20"/>
          <w:vertAlign w:val="superscript"/>
          <w:lang w:val="en-US" w:eastAsia="zh-CN"/>
        </w:rPr>
        <w:t>3</w:t>
      </w:r>
      <w:r>
        <w:rPr>
          <w:rFonts w:hint="default" w:ascii="Times New Roman" w:hAnsi="Times New Roman" w:cs="Times New Roman"/>
          <w:snapToGrid w:val="0"/>
          <w:color w:val="auto"/>
          <w:szCs w:val="20"/>
          <w:vertAlign w:val="baseline"/>
          <w:lang w:val="en-US" w:eastAsia="zh-CN"/>
        </w:rPr>
        <w:t>/d</w:t>
      </w:r>
      <w:r>
        <w:rPr>
          <w:rFonts w:hint="default" w:ascii="Times New Roman" w:hAnsi="Times New Roman" w:cs="Times New Roman"/>
          <w:snapToGrid w:val="0"/>
          <w:color w:val="auto"/>
          <w:szCs w:val="20"/>
          <w:lang w:val="en-US" w:eastAsia="zh-CN"/>
        </w:rPr>
        <w:t>），则纯水使用量为93000t/a（254.79m</w:t>
      </w:r>
      <w:r>
        <w:rPr>
          <w:rFonts w:hint="default" w:ascii="Times New Roman" w:hAnsi="Times New Roman" w:cs="Times New Roman"/>
          <w:snapToGrid w:val="0"/>
          <w:color w:val="auto"/>
          <w:szCs w:val="20"/>
          <w:vertAlign w:val="superscript"/>
          <w:lang w:val="en-US" w:eastAsia="zh-CN"/>
        </w:rPr>
        <w:t>3</w:t>
      </w:r>
      <w:r>
        <w:rPr>
          <w:rFonts w:hint="default" w:ascii="Times New Roman" w:hAnsi="Times New Roman" w:cs="Times New Roman"/>
          <w:snapToGrid w:val="0"/>
          <w:color w:val="auto"/>
          <w:szCs w:val="20"/>
          <w:vertAlign w:val="baseline"/>
          <w:lang w:val="en-US" w:eastAsia="zh-CN"/>
        </w:rPr>
        <w:t>/d</w:t>
      </w:r>
      <w:r>
        <w:rPr>
          <w:rFonts w:hint="default" w:ascii="Times New Roman" w:hAnsi="Times New Roman" w:cs="Times New Roman"/>
          <w:snapToGrid w:val="0"/>
          <w:color w:val="auto"/>
          <w:szCs w:val="20"/>
          <w:lang w:val="en-US" w:eastAsia="zh-CN"/>
        </w:rPr>
        <w:t>）</w:t>
      </w:r>
      <w:r>
        <w:rPr>
          <w:rFonts w:hint="default" w:ascii="Times New Roman" w:hAnsi="Times New Roman" w:cs="Times New Roman"/>
          <w:snapToGrid w:val="0"/>
          <w:color w:val="auto"/>
          <w:szCs w:val="20"/>
        </w:rPr>
        <w:t>。</w:t>
      </w:r>
    </w:p>
    <w:p>
      <w:pPr>
        <w:spacing w:line="360" w:lineRule="auto"/>
        <w:ind w:firstLine="480" w:firstLineChars="200"/>
        <w:jc w:val="left"/>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②脱胶</w:t>
      </w:r>
    </w:p>
    <w:p>
      <w:pPr>
        <w:spacing w:line="360" w:lineRule="auto"/>
        <w:ind w:firstLine="480" w:firstLineChars="200"/>
        <w:jc w:val="left"/>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根据建设单位提供资料，</w:t>
      </w:r>
      <w:r>
        <w:rPr>
          <w:rFonts w:hint="default" w:ascii="Times New Roman" w:hAnsi="Times New Roman" w:cs="Times New Roman"/>
          <w:snapToGrid w:val="0"/>
          <w:color w:val="auto"/>
          <w:szCs w:val="20"/>
        </w:rPr>
        <w:t>切片后的单晶硅片由于粘接剂作用粘在模板上，需要用</w:t>
      </w:r>
      <w:r>
        <w:rPr>
          <w:rFonts w:hint="default" w:ascii="Times New Roman" w:hAnsi="Times New Roman" w:cs="Times New Roman"/>
          <w:snapToGrid w:val="0"/>
          <w:color w:val="auto"/>
          <w:szCs w:val="20"/>
          <w:lang w:eastAsia="zh-CN"/>
        </w:rPr>
        <w:t>乳酸</w:t>
      </w:r>
      <w:r>
        <w:rPr>
          <w:rFonts w:hint="default" w:ascii="Times New Roman" w:hAnsi="Times New Roman" w:cs="Times New Roman"/>
          <w:snapToGrid w:val="0"/>
          <w:color w:val="auto"/>
          <w:szCs w:val="20"/>
        </w:rPr>
        <w:t>进行脱胶，将</w:t>
      </w:r>
      <w:r>
        <w:rPr>
          <w:rFonts w:hint="default" w:ascii="Times New Roman" w:hAnsi="Times New Roman" w:cs="Times New Roman"/>
          <w:snapToGrid w:val="0"/>
          <w:color w:val="auto"/>
          <w:szCs w:val="20"/>
          <w:lang w:eastAsia="zh-CN"/>
        </w:rPr>
        <w:t>单晶硅片送入全自动脱胶机内的乳酸槽内，在</w:t>
      </w:r>
      <w:r>
        <w:rPr>
          <w:rFonts w:hint="default" w:ascii="Times New Roman" w:hAnsi="Times New Roman" w:cs="Times New Roman"/>
          <w:snapToGrid w:val="0"/>
          <w:color w:val="auto"/>
          <w:szCs w:val="20"/>
        </w:rPr>
        <w:t>温度</w:t>
      </w:r>
      <w:r>
        <w:rPr>
          <w:rFonts w:hint="default" w:ascii="Times New Roman" w:hAnsi="Times New Roman" w:cs="Times New Roman"/>
          <w:snapToGrid w:val="0"/>
          <w:color w:val="auto"/>
          <w:szCs w:val="20"/>
          <w:lang w:eastAsia="zh-CN"/>
        </w:rPr>
        <w:t>为</w:t>
      </w:r>
      <w:r>
        <w:rPr>
          <w:rFonts w:hint="default" w:ascii="Times New Roman" w:hAnsi="Times New Roman" w:cs="Times New Roman"/>
          <w:snapToGrid w:val="0"/>
          <w:color w:val="auto"/>
          <w:szCs w:val="20"/>
        </w:rPr>
        <w:t>50~60℃的</w:t>
      </w:r>
      <w:r>
        <w:rPr>
          <w:rFonts w:hint="default" w:ascii="Times New Roman" w:hAnsi="Times New Roman" w:cs="Times New Roman"/>
          <w:snapToGrid w:val="0"/>
          <w:color w:val="auto"/>
          <w:szCs w:val="20"/>
          <w:lang w:eastAsia="zh-CN"/>
        </w:rPr>
        <w:t>乳酸内浸泡</w:t>
      </w:r>
      <w:r>
        <w:rPr>
          <w:rFonts w:hint="default" w:ascii="Times New Roman" w:hAnsi="Times New Roman" w:cs="Times New Roman"/>
          <w:snapToGrid w:val="0"/>
          <w:color w:val="auto"/>
          <w:szCs w:val="20"/>
        </w:rPr>
        <w:t>10分钟</w:t>
      </w:r>
      <w:r>
        <w:rPr>
          <w:rFonts w:hint="default" w:ascii="Times New Roman" w:hAnsi="Times New Roman" w:cs="Times New Roman"/>
          <w:snapToGrid w:val="0"/>
          <w:color w:val="auto"/>
          <w:szCs w:val="20"/>
          <w:lang w:eastAsia="zh-CN"/>
        </w:rPr>
        <w:t>左右</w:t>
      </w:r>
      <w:r>
        <w:rPr>
          <w:rFonts w:hint="default" w:ascii="Times New Roman" w:hAnsi="Times New Roman" w:cs="Times New Roman"/>
          <w:snapToGrid w:val="0"/>
          <w:color w:val="auto"/>
          <w:szCs w:val="20"/>
        </w:rPr>
        <w:t>，</w:t>
      </w:r>
      <w:r>
        <w:rPr>
          <w:rFonts w:hint="default" w:ascii="Times New Roman" w:hAnsi="Times New Roman" w:cs="Times New Roman"/>
          <w:snapToGrid w:val="0"/>
          <w:color w:val="auto"/>
          <w:szCs w:val="20"/>
          <w:lang w:eastAsia="zh-CN"/>
        </w:rPr>
        <w:t>可以</w:t>
      </w:r>
      <w:r>
        <w:rPr>
          <w:rFonts w:hint="default" w:ascii="Times New Roman" w:hAnsi="Times New Roman" w:cs="Times New Roman"/>
          <w:snapToGrid w:val="0"/>
          <w:color w:val="auto"/>
          <w:szCs w:val="20"/>
        </w:rPr>
        <w:t>将单晶硅片剥离模板</w:t>
      </w:r>
      <w:r>
        <w:rPr>
          <w:rFonts w:hint="default" w:ascii="Times New Roman" w:hAnsi="Times New Roman" w:cs="Times New Roman"/>
          <w:snapToGrid w:val="0"/>
          <w:color w:val="auto"/>
          <w:szCs w:val="20"/>
          <w:lang w:eastAsia="zh-CN"/>
        </w:rPr>
        <w:t>，脱胶过程没有使用到水</w:t>
      </w:r>
      <w:r>
        <w:rPr>
          <w:rFonts w:hint="default" w:ascii="Times New Roman" w:hAnsi="Times New Roman" w:cs="Times New Roman"/>
          <w:snapToGrid w:val="0"/>
          <w:color w:val="auto"/>
          <w:szCs w:val="20"/>
        </w:rPr>
        <w:t>。</w:t>
      </w:r>
    </w:p>
    <w:p>
      <w:pPr>
        <w:spacing w:line="360" w:lineRule="auto"/>
        <w:ind w:firstLine="480" w:firstLineChars="200"/>
        <w:jc w:val="left"/>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③切片初洗</w:t>
      </w:r>
    </w:p>
    <w:p>
      <w:pPr>
        <w:spacing w:line="360" w:lineRule="auto"/>
        <w:ind w:firstLine="480" w:firstLineChars="200"/>
        <w:jc w:val="left"/>
        <w:rPr>
          <w:rFonts w:hint="default" w:ascii="Times New Roman" w:hAnsi="Times New Roman" w:eastAsia="宋体" w:cs="Times New Roman"/>
          <w:color w:val="auto"/>
          <w:lang w:val="en-US" w:eastAsia="zh-CN"/>
        </w:rPr>
      </w:pPr>
      <w:r>
        <w:rPr>
          <w:rFonts w:hint="default" w:ascii="Times New Roman" w:hAnsi="Times New Roman" w:cs="Times New Roman"/>
          <w:snapToGrid w:val="0"/>
          <w:color w:val="auto"/>
          <w:szCs w:val="20"/>
        </w:rPr>
        <w:t>单晶硅棒切片后，表面有大量的沾污物，</w:t>
      </w:r>
      <w:r>
        <w:rPr>
          <w:rFonts w:hint="default" w:ascii="Times New Roman" w:hAnsi="Times New Roman" w:cs="Times New Roman"/>
          <w:snapToGrid w:val="0"/>
          <w:color w:val="auto"/>
          <w:szCs w:val="20"/>
          <w:lang w:eastAsia="zh-CN"/>
        </w:rPr>
        <w:t>首先进行切片的初洗，模板也在该阶段清洗后返回生产线继续粘棒使用。初洗主要利用纯水制备时产生的浓水，简单除去表面</w:t>
      </w:r>
      <w:r>
        <w:rPr>
          <w:rFonts w:hint="default" w:ascii="Times New Roman" w:hAnsi="Times New Roman" w:cs="Times New Roman"/>
          <w:snapToGrid w:val="0"/>
          <w:color w:val="auto"/>
          <w:szCs w:val="20"/>
        </w:rPr>
        <w:t>沾污物</w:t>
      </w:r>
      <w:r>
        <w:rPr>
          <w:rFonts w:hint="default" w:ascii="Times New Roman" w:hAnsi="Times New Roman" w:cs="Times New Roman"/>
          <w:snapToGrid w:val="0"/>
          <w:color w:val="auto"/>
          <w:szCs w:val="20"/>
          <w:lang w:eastAsia="zh-CN"/>
        </w:rPr>
        <w:t>。根据建设单位提供资料，切片初洗用水量为</w:t>
      </w:r>
      <w:r>
        <w:rPr>
          <w:rFonts w:hint="default" w:ascii="Times New Roman" w:hAnsi="Times New Roman" w:cs="Times New Roman"/>
          <w:snapToGrid w:val="0"/>
          <w:color w:val="auto"/>
          <w:szCs w:val="20"/>
          <w:lang w:val="en-US" w:eastAsia="zh-CN"/>
        </w:rPr>
        <w:t>30m</w:t>
      </w:r>
      <w:r>
        <w:rPr>
          <w:rFonts w:hint="default" w:ascii="Times New Roman" w:hAnsi="Times New Roman" w:cs="Times New Roman"/>
          <w:snapToGrid w:val="0"/>
          <w:color w:val="auto"/>
          <w:szCs w:val="20"/>
          <w:vertAlign w:val="superscript"/>
          <w:lang w:val="en-US" w:eastAsia="zh-CN"/>
        </w:rPr>
        <w:t>3</w:t>
      </w:r>
      <w:r>
        <w:rPr>
          <w:rFonts w:hint="default" w:ascii="Times New Roman" w:hAnsi="Times New Roman" w:cs="Times New Roman"/>
          <w:snapToGrid w:val="0"/>
          <w:color w:val="auto"/>
          <w:szCs w:val="20"/>
          <w:vertAlign w:val="baseline"/>
          <w:lang w:val="en-US" w:eastAsia="zh-CN"/>
        </w:rPr>
        <w:t>/（t·切片），项目年产9063.16t切片（包括检验不合格的废片453.15t），初洗用水量为271894.8t/a（744.92m</w:t>
      </w:r>
      <w:r>
        <w:rPr>
          <w:rFonts w:hint="default" w:ascii="Times New Roman" w:hAnsi="Times New Roman" w:cs="Times New Roman"/>
          <w:snapToGrid w:val="0"/>
          <w:color w:val="auto"/>
          <w:szCs w:val="20"/>
          <w:vertAlign w:val="superscript"/>
          <w:lang w:val="en-US" w:eastAsia="zh-CN"/>
        </w:rPr>
        <w:t>3</w:t>
      </w:r>
      <w:r>
        <w:rPr>
          <w:rFonts w:hint="default" w:ascii="Times New Roman" w:hAnsi="Times New Roman" w:cs="Times New Roman"/>
          <w:snapToGrid w:val="0"/>
          <w:color w:val="auto"/>
          <w:szCs w:val="20"/>
          <w:vertAlign w:val="baseline"/>
          <w:lang w:val="en-US" w:eastAsia="zh-CN"/>
        </w:rPr>
        <w:t>/d）。</w:t>
      </w:r>
    </w:p>
    <w:p>
      <w:pPr>
        <w:spacing w:line="360" w:lineRule="auto"/>
        <w:ind w:firstLine="480" w:firstLineChars="200"/>
        <w:jc w:val="left"/>
        <w:rPr>
          <w:rFonts w:hint="default" w:ascii="Times New Roman" w:hAnsi="Times New Roman" w:cs="Times New Roman"/>
          <w:color w:val="auto"/>
          <w:lang w:eastAsia="zh-CN"/>
        </w:rPr>
      </w:pPr>
      <w:r>
        <w:rPr>
          <w:rFonts w:hint="default" w:ascii="Times New Roman" w:hAnsi="Times New Roman" w:cs="Times New Roman"/>
          <w:color w:val="auto"/>
          <w:lang w:eastAsia="zh-CN"/>
        </w:rPr>
        <w:t>④</w:t>
      </w:r>
      <w:r>
        <w:rPr>
          <w:rFonts w:hint="default" w:ascii="Times New Roman" w:hAnsi="Times New Roman" w:cs="Times New Roman"/>
          <w:color w:val="auto"/>
          <w:lang w:val="en-US" w:eastAsia="zh-CN"/>
        </w:rPr>
        <w:t>5%</w:t>
      </w:r>
      <w:r>
        <w:rPr>
          <w:rFonts w:hint="default" w:ascii="Times New Roman" w:hAnsi="Times New Roman" w:cs="Times New Roman"/>
          <w:color w:val="auto"/>
          <w:lang w:eastAsia="zh-CN"/>
        </w:rPr>
        <w:t>氢氧化钠溶液配制</w:t>
      </w:r>
    </w:p>
    <w:p>
      <w:pPr>
        <w:spacing w:line="360" w:lineRule="auto"/>
        <w:ind w:firstLine="480" w:firstLineChars="200"/>
        <w:jc w:val="left"/>
        <w:rPr>
          <w:rFonts w:hint="default" w:ascii="Times New Roman" w:hAnsi="Times New Roman" w:cs="Times New Roman"/>
          <w:color w:val="auto"/>
          <w:vertAlign w:val="baseline"/>
          <w:lang w:val="en-US" w:eastAsia="zh-CN"/>
        </w:rPr>
      </w:pPr>
      <w:r>
        <w:rPr>
          <w:rFonts w:hint="default" w:ascii="Times New Roman" w:hAnsi="Times New Roman" w:cs="Times New Roman"/>
          <w:color w:val="auto"/>
          <w:lang w:eastAsia="zh-CN"/>
        </w:rPr>
        <w:t>切片在精洗过程中使用到</w:t>
      </w:r>
      <w:r>
        <w:rPr>
          <w:rFonts w:hint="default" w:ascii="Times New Roman" w:hAnsi="Times New Roman" w:cs="Times New Roman"/>
          <w:color w:val="auto"/>
          <w:lang w:val="en-US" w:eastAsia="zh-CN"/>
        </w:rPr>
        <w:t>5%</w:t>
      </w:r>
      <w:r>
        <w:rPr>
          <w:rFonts w:hint="default" w:ascii="Times New Roman" w:hAnsi="Times New Roman" w:cs="Times New Roman"/>
          <w:color w:val="auto"/>
          <w:lang w:eastAsia="zh-CN"/>
        </w:rPr>
        <w:t>氢氧化钠溶液进行碱洗，四级氢氧化钠洗涤塔酸洗废气治理、综合污水处理站除臭系统（碱吸收）环节均使用到氢氧化钠溶液。项目购买固体氢氧化钠配制溶液，根据建设单位提供资料，项目氢氧化钠年使用量为</w:t>
      </w:r>
      <w:r>
        <w:rPr>
          <w:rFonts w:hint="default" w:ascii="Times New Roman" w:hAnsi="Times New Roman" w:cs="Times New Roman"/>
          <w:color w:val="auto"/>
          <w:lang w:val="en-US" w:eastAsia="zh-CN"/>
        </w:rPr>
        <w:t>27t/a，配制浓度为5%的溶液需用水513m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vertAlign w:val="baseline"/>
          <w:lang w:val="en-US" w:eastAsia="zh-CN"/>
        </w:rPr>
        <w:t>/a、1.41m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vertAlign w:val="baseline"/>
          <w:lang w:val="en-US" w:eastAsia="zh-CN"/>
        </w:rPr>
        <w:t>/d，使用自来水进行配制。</w:t>
      </w:r>
    </w:p>
    <w:p>
      <w:pPr>
        <w:spacing w:line="360" w:lineRule="auto"/>
        <w:ind w:firstLine="480" w:firstLineChars="200"/>
        <w:jc w:val="left"/>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⑤切片精洗</w:t>
      </w:r>
    </w:p>
    <w:p>
      <w:pPr>
        <w:spacing w:line="360" w:lineRule="auto"/>
        <w:ind w:firstLine="480" w:firstLineChars="200"/>
        <w:jc w:val="left"/>
        <w:rPr>
          <w:rFonts w:hint="default" w:ascii="Times New Roman" w:hAnsi="Times New Roman" w:cs="Times New Roman"/>
          <w:color w:val="auto"/>
          <w:vertAlign w:val="baseline"/>
          <w:lang w:val="en-US" w:eastAsia="zh-CN"/>
        </w:rPr>
      </w:pPr>
      <w:r>
        <w:rPr>
          <w:rFonts w:hint="default" w:ascii="Times New Roman" w:hAnsi="Times New Roman" w:cs="Times New Roman"/>
          <w:color w:val="auto"/>
          <w:lang w:eastAsia="zh-CN"/>
        </w:rPr>
        <w:t>初洗后的切片送入脱插清洗一体机进行全自动超声波清洗，清洗过程分别经过双氧水、清洗剂、</w:t>
      </w:r>
      <w:r>
        <w:rPr>
          <w:rFonts w:hint="default" w:ascii="Times New Roman" w:hAnsi="Times New Roman" w:cs="Times New Roman"/>
          <w:color w:val="auto"/>
          <w:lang w:val="en-US" w:eastAsia="zh-CN"/>
        </w:rPr>
        <w:t>5%氢氧化钠溶液，然后再使用大量纯水进行冲洗。根据建设单位提供资料，纯水用量为</w:t>
      </w:r>
      <w:r>
        <w:rPr>
          <w:rFonts w:hint="default" w:ascii="Times New Roman" w:hAnsi="Times New Roman" w:cs="Times New Roman"/>
          <w:color w:val="auto"/>
          <w:vertAlign w:val="baseline"/>
          <w:lang w:val="en-US" w:eastAsia="zh-CN"/>
        </w:rPr>
        <w:t>2m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vertAlign w:val="baseline"/>
          <w:lang w:val="en-US" w:eastAsia="zh-CN"/>
        </w:rPr>
        <w:t>/（台·h）</w:t>
      </w:r>
      <w:r>
        <w:rPr>
          <w:rFonts w:hint="default" w:ascii="Times New Roman" w:hAnsi="Times New Roman" w:cs="Times New Roman"/>
          <w:color w:val="auto"/>
          <w:lang w:eastAsia="zh-CN"/>
        </w:rPr>
        <w:t>脱插清洗一体机</w:t>
      </w:r>
      <w:r>
        <w:rPr>
          <w:rFonts w:hint="default" w:ascii="Times New Roman" w:hAnsi="Times New Roman" w:cs="Times New Roman"/>
          <w:color w:val="auto"/>
          <w:vertAlign w:val="baseline"/>
          <w:lang w:val="en-US" w:eastAsia="zh-CN"/>
        </w:rPr>
        <w:t>使用6台，则纯水用量为384m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vertAlign w:val="baseline"/>
          <w:lang w:val="en-US" w:eastAsia="zh-CN"/>
        </w:rPr>
        <w:t>/d。</w:t>
      </w:r>
    </w:p>
    <w:p>
      <w:pPr>
        <w:spacing w:line="360" w:lineRule="auto"/>
        <w:ind w:firstLine="480" w:firstLineChars="200"/>
        <w:jc w:val="left"/>
        <w:rPr>
          <w:rFonts w:hint="default" w:ascii="Times New Roman" w:hAnsi="Times New Roman" w:cs="Times New Roman"/>
          <w:color w:val="auto"/>
          <w:vertAlign w:val="baseline"/>
          <w:lang w:val="en-US" w:eastAsia="zh-CN"/>
        </w:rPr>
      </w:pPr>
      <w:r>
        <w:rPr>
          <w:rFonts w:hint="default" w:ascii="Times New Roman" w:hAnsi="Times New Roman" w:cs="Times New Roman"/>
          <w:color w:val="auto"/>
          <w:lang w:eastAsia="zh-CN"/>
        </w:rPr>
        <w:t>综上所述，项目生产需新鲜水用量为主要用水</w:t>
      </w:r>
      <w:r>
        <w:rPr>
          <w:rFonts w:hint="default" w:ascii="Times New Roman" w:hAnsi="Times New Roman" w:cs="Times New Roman"/>
          <w:color w:val="auto"/>
          <w:lang w:val="en-US" w:eastAsia="zh-CN"/>
        </w:rPr>
        <w:t>1598.39</w:t>
      </w:r>
      <w:r>
        <w:rPr>
          <w:rFonts w:hint="default" w:ascii="Times New Roman" w:hAnsi="Times New Roman" w:cs="Times New Roman"/>
          <w:color w:val="auto"/>
          <w:vertAlign w:val="baseline"/>
          <w:lang w:val="en-US" w:eastAsia="zh-CN"/>
        </w:rPr>
        <w:t>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vertAlign w:val="baseline"/>
          <w:lang w:val="en-US" w:eastAsia="zh-CN"/>
        </w:rPr>
        <w:t>/d，其中：制备纯水需新鲜水1596.98m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vertAlign w:val="baseline"/>
          <w:lang w:val="en-US" w:eastAsia="zh-CN"/>
        </w:rPr>
        <w:t>/d（根据宇泽其他厂区内实际已建成的纯水制备系统看，纯水制备效率仅为40%左右，纯水制备量越大，制取效率越低，本项目按40%计，纯水制备量为</w:t>
      </w:r>
      <w:r>
        <w:rPr>
          <w:rFonts w:hint="default" w:ascii="Times New Roman" w:hAnsi="Times New Roman" w:cs="Times New Roman"/>
          <w:color w:val="auto"/>
          <w:lang w:val="en-US" w:eastAsia="zh-CN"/>
        </w:rPr>
        <w:t>638.79</w:t>
      </w:r>
      <w:r>
        <w:rPr>
          <w:rFonts w:hint="default" w:ascii="Times New Roman" w:hAnsi="Times New Roman" w:cs="Times New Roman"/>
          <w:color w:val="auto"/>
          <w:vertAlign w:val="baseline"/>
          <w:lang w:val="en-US" w:eastAsia="zh-CN"/>
        </w:rPr>
        <w:t>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vertAlign w:val="baseline"/>
          <w:lang w:val="en-US" w:eastAsia="zh-CN"/>
        </w:rPr>
        <w:t>/d）、配制氢氧化钠溶液用新鲜水1.41m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vertAlign w:val="baseline"/>
          <w:lang w:val="en-US" w:eastAsia="zh-CN"/>
        </w:rPr>
        <w:t>/d；切片初洗用水为纯水制备产生浓水，用水量为</w:t>
      </w:r>
      <w:r>
        <w:rPr>
          <w:rFonts w:hint="default" w:ascii="Times New Roman" w:hAnsi="Times New Roman" w:cs="Times New Roman"/>
          <w:snapToGrid w:val="0"/>
          <w:color w:val="auto"/>
          <w:szCs w:val="20"/>
          <w:vertAlign w:val="baseline"/>
          <w:lang w:val="en-US" w:eastAsia="zh-CN"/>
        </w:rPr>
        <w:t>744.92m</w:t>
      </w:r>
      <w:r>
        <w:rPr>
          <w:rFonts w:hint="default" w:ascii="Times New Roman" w:hAnsi="Times New Roman" w:cs="Times New Roman"/>
          <w:snapToGrid w:val="0"/>
          <w:color w:val="auto"/>
          <w:szCs w:val="20"/>
          <w:vertAlign w:val="superscript"/>
          <w:lang w:val="en-US" w:eastAsia="zh-CN"/>
        </w:rPr>
        <w:t>3</w:t>
      </w:r>
      <w:r>
        <w:rPr>
          <w:rFonts w:hint="default" w:ascii="Times New Roman" w:hAnsi="Times New Roman" w:cs="Times New Roman"/>
          <w:snapToGrid w:val="0"/>
          <w:color w:val="auto"/>
          <w:szCs w:val="20"/>
          <w:vertAlign w:val="baseline"/>
          <w:lang w:val="en-US" w:eastAsia="zh-CN"/>
        </w:rPr>
        <w:t>/d，浓水产生量为958.19m</w:t>
      </w:r>
      <w:r>
        <w:rPr>
          <w:rFonts w:hint="default" w:ascii="Times New Roman" w:hAnsi="Times New Roman" w:cs="Times New Roman"/>
          <w:snapToGrid w:val="0"/>
          <w:color w:val="auto"/>
          <w:szCs w:val="20"/>
          <w:vertAlign w:val="superscript"/>
          <w:lang w:val="en-US" w:eastAsia="zh-CN"/>
        </w:rPr>
        <w:t>3</w:t>
      </w:r>
      <w:r>
        <w:rPr>
          <w:rFonts w:hint="default" w:ascii="Times New Roman" w:hAnsi="Times New Roman" w:cs="Times New Roman"/>
          <w:snapToGrid w:val="0"/>
          <w:color w:val="auto"/>
          <w:szCs w:val="20"/>
          <w:vertAlign w:val="baseline"/>
          <w:lang w:val="en-US" w:eastAsia="zh-CN"/>
        </w:rPr>
        <w:t>/d，能满足切片初洗用水的需求。</w:t>
      </w:r>
    </w:p>
    <w:p>
      <w:pPr>
        <w:spacing w:line="360" w:lineRule="auto"/>
        <w:ind w:firstLine="480" w:firstLineChars="200"/>
        <w:jc w:val="lef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（2）生活用水</w:t>
      </w:r>
    </w:p>
    <w:p>
      <w:pPr>
        <w:spacing w:line="360" w:lineRule="auto"/>
        <w:ind w:firstLine="480" w:firstLineChars="200"/>
        <w:jc w:val="left"/>
        <w:rPr>
          <w:rFonts w:hint="default" w:ascii="Times New Roman" w:hAnsi="Times New Roman" w:eastAsia="宋体" w:cs="Times New Roman"/>
          <w:color w:val="auto"/>
          <w:lang w:eastAsia="zh-CN"/>
        </w:rPr>
      </w:pPr>
      <w:r>
        <w:rPr>
          <w:rFonts w:hint="default" w:ascii="Times New Roman" w:hAnsi="Times New Roman" w:cs="Times New Roman"/>
          <w:color w:val="auto"/>
        </w:rPr>
        <w:t>根据建设单位提供资料，本项目</w:t>
      </w:r>
      <w:r>
        <w:rPr>
          <w:rFonts w:hint="default" w:ascii="Times New Roman" w:hAnsi="Times New Roman" w:cs="Times New Roman"/>
          <w:color w:val="auto"/>
          <w:lang w:eastAsia="zh-CN"/>
        </w:rPr>
        <w:t>劳动定员</w:t>
      </w:r>
      <w:r>
        <w:rPr>
          <w:rFonts w:hint="default" w:ascii="Times New Roman" w:hAnsi="Times New Roman" w:cs="Times New Roman"/>
          <w:color w:val="auto"/>
          <w:lang w:val="en-US" w:eastAsia="zh-CN"/>
        </w:rPr>
        <w:t>200</w:t>
      </w:r>
      <w:r>
        <w:rPr>
          <w:rFonts w:hint="default" w:ascii="Times New Roman" w:hAnsi="Times New Roman" w:cs="Times New Roman"/>
          <w:color w:val="auto"/>
        </w:rPr>
        <w:t>人，</w:t>
      </w:r>
      <w:r>
        <w:rPr>
          <w:rFonts w:hint="default" w:ascii="Times New Roman" w:hAnsi="Times New Roman" w:cs="Times New Roman"/>
          <w:color w:val="auto"/>
          <w:lang w:eastAsia="zh-CN"/>
        </w:rPr>
        <w:t>员工在厂内食宿，</w:t>
      </w:r>
      <w:r>
        <w:rPr>
          <w:rFonts w:hint="default" w:ascii="Times New Roman" w:hAnsi="Times New Roman" w:cs="Times New Roman"/>
          <w:color w:val="auto"/>
        </w:rPr>
        <w:t>生活用水量</w:t>
      </w:r>
      <w:r>
        <w:rPr>
          <w:rFonts w:hint="default" w:ascii="Times New Roman" w:hAnsi="Times New Roman" w:cs="Times New Roman"/>
          <w:color w:val="auto"/>
          <w:lang w:eastAsia="zh-CN"/>
        </w:rPr>
        <w:t>参考</w:t>
      </w:r>
      <w:r>
        <w:rPr>
          <w:rFonts w:hint="default" w:ascii="Times New Roman" w:hAnsi="Times New Roman" w:cs="Times New Roman"/>
          <w:color w:val="auto"/>
        </w:rPr>
        <w:t>《云南省</w:t>
      </w:r>
      <w:r>
        <w:rPr>
          <w:rFonts w:hint="default" w:ascii="Times New Roman" w:hAnsi="Times New Roman" w:cs="Times New Roman"/>
          <w:color w:val="auto"/>
          <w:lang w:eastAsia="zh-CN"/>
        </w:rPr>
        <w:t>地方标准</w:t>
      </w:r>
      <w:r>
        <w:rPr>
          <w:rFonts w:hint="default" w:ascii="Times New Roman" w:hAnsi="Times New Roman" w:cs="Times New Roman"/>
          <w:color w:val="auto"/>
        </w:rPr>
        <w:t>用水定额》</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DB53/T168-2019</w:t>
      </w:r>
      <w:r>
        <w:rPr>
          <w:rFonts w:hint="default" w:ascii="Times New Roman" w:hAnsi="Times New Roman" w:cs="Times New Roman"/>
          <w:color w:val="auto"/>
          <w:lang w:eastAsia="zh-CN"/>
        </w:rPr>
        <w:t>）</w:t>
      </w:r>
      <w:r>
        <w:rPr>
          <w:rFonts w:hint="default" w:ascii="Times New Roman" w:hAnsi="Times New Roman" w:cs="Times New Roman"/>
          <w:color w:val="auto"/>
        </w:rPr>
        <w:t>中“表1</w:t>
      </w:r>
      <w:r>
        <w:rPr>
          <w:rFonts w:hint="default" w:ascii="Times New Roman" w:hAnsi="Times New Roman" w:cs="Times New Roman"/>
          <w:color w:val="auto"/>
          <w:lang w:val="en-US" w:eastAsia="zh-CN"/>
        </w:rPr>
        <w:t>2</w:t>
      </w:r>
      <w:r>
        <w:rPr>
          <w:rFonts w:hint="default" w:ascii="Times New Roman" w:hAnsi="Times New Roman" w:cs="Times New Roman"/>
          <w:color w:val="auto"/>
        </w:rPr>
        <w:t xml:space="preserve"> 城镇</w:t>
      </w:r>
      <w:r>
        <w:rPr>
          <w:rFonts w:hint="default" w:ascii="Times New Roman" w:hAnsi="Times New Roman" w:cs="Times New Roman"/>
          <w:color w:val="auto"/>
          <w:lang w:eastAsia="zh-CN"/>
        </w:rPr>
        <w:t>居民生活用水定额”</w:t>
      </w:r>
      <w:r>
        <w:rPr>
          <w:rFonts w:hint="default" w:ascii="Times New Roman" w:hAnsi="Times New Roman" w:cs="Times New Roman"/>
          <w:color w:val="auto"/>
        </w:rPr>
        <w:t>中</w:t>
      </w:r>
      <w:r>
        <w:rPr>
          <w:rFonts w:hint="default" w:ascii="Times New Roman" w:hAnsi="Times New Roman" w:cs="Times New Roman"/>
          <w:color w:val="auto"/>
          <w:lang w:eastAsia="zh-CN"/>
        </w:rPr>
        <w:t>中小城市居民用水定额，按</w:t>
      </w:r>
      <w:r>
        <w:rPr>
          <w:rFonts w:hint="default" w:ascii="Times New Roman" w:hAnsi="Times New Roman" w:cs="Times New Roman"/>
          <w:color w:val="auto"/>
          <w:lang w:val="en-US" w:eastAsia="zh-CN"/>
        </w:rPr>
        <w:t>110L</w:t>
      </w:r>
      <w:r>
        <w:rPr>
          <w:rFonts w:hint="default" w:ascii="Times New Roman" w:hAnsi="Times New Roman" w:cs="Times New Roman"/>
          <w:color w:val="auto"/>
        </w:rPr>
        <w:t>/（人·d）”计，则生活用水量为</w:t>
      </w:r>
      <w:r>
        <w:rPr>
          <w:rFonts w:hint="default" w:ascii="Times New Roman" w:hAnsi="Times New Roman" w:cs="Times New Roman"/>
          <w:color w:val="auto"/>
          <w:lang w:val="en-US" w:eastAsia="zh-CN"/>
        </w:rPr>
        <w:t>22</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/d</w:t>
      </w:r>
      <w:r>
        <w:rPr>
          <w:rFonts w:hint="default" w:ascii="Times New Roman" w:hAnsi="Times New Roman" w:cs="Times New Roman"/>
          <w:color w:val="auto"/>
          <w:lang w:eastAsia="zh-CN"/>
        </w:rPr>
        <w:t>，用水来源为自来水。</w:t>
      </w:r>
    </w:p>
    <w:p>
      <w:pPr>
        <w:spacing w:line="360" w:lineRule="auto"/>
        <w:ind w:firstLine="480" w:firstLineChars="200"/>
        <w:jc w:val="left"/>
        <w:rPr>
          <w:rFonts w:hint="default" w:ascii="Times New Roman" w:hAnsi="Times New Roman" w:eastAsia="宋体" w:cs="Times New Roman"/>
          <w:color w:val="auto"/>
          <w:vertAlign w:val="baseline"/>
          <w:lang w:val="en-US" w:eastAsia="zh-CN"/>
        </w:rPr>
      </w:pPr>
      <w:r>
        <w:rPr>
          <w:rFonts w:hint="default" w:ascii="Times New Roman" w:hAnsi="Times New Roman" w:cs="Times New Roman"/>
          <w:color w:val="auto"/>
          <w:vertAlign w:val="baseline"/>
          <w:lang w:val="en-US" w:eastAsia="zh-CN"/>
        </w:rPr>
        <w:t>综上，项目新鲜水用量为1620.39m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vertAlign w:val="baseline"/>
          <w:lang w:val="en-US" w:eastAsia="zh-CN"/>
        </w:rPr>
        <w:t>/d。</w:t>
      </w:r>
    </w:p>
    <w:p>
      <w:pPr>
        <w:spacing w:line="360" w:lineRule="auto"/>
        <w:ind w:firstLine="482" w:firstLineChars="200"/>
        <w:jc w:val="left"/>
        <w:rPr>
          <w:rFonts w:hint="default" w:ascii="Times New Roman" w:hAnsi="Times New Roman" w:eastAsia="宋体" w:cs="Times New Roman"/>
          <w:b/>
          <w:bCs/>
          <w:color w:val="auto"/>
          <w:lang w:val="en-US" w:eastAsia="zh-CN"/>
        </w:rPr>
      </w:pPr>
      <w:r>
        <w:rPr>
          <w:rFonts w:hint="default" w:ascii="Times New Roman" w:hAnsi="Times New Roman" w:cs="Times New Roman"/>
          <w:b/>
          <w:bCs/>
          <w:color w:val="auto"/>
          <w:lang w:val="en-US" w:eastAsia="zh-CN"/>
        </w:rPr>
        <w:t>2、项目废水产生量及污染物浓度</w:t>
      </w:r>
    </w:p>
    <w:p>
      <w:pPr>
        <w:spacing w:line="360" w:lineRule="auto"/>
        <w:ind w:firstLine="480" w:firstLineChars="200"/>
        <w:jc w:val="left"/>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项目废水分为生产废水、生活废水。</w:t>
      </w:r>
    </w:p>
    <w:p>
      <w:pPr>
        <w:spacing w:line="360" w:lineRule="auto"/>
        <w:ind w:firstLine="480" w:firstLineChars="200"/>
        <w:jc w:val="left"/>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1</w:t>
      </w:r>
      <w:r>
        <w:rPr>
          <w:rFonts w:hint="default" w:ascii="Times New Roman" w:hAnsi="Times New Roman" w:cs="Times New Roman"/>
          <w:color w:val="auto"/>
          <w:lang w:eastAsia="zh-CN"/>
        </w:rPr>
        <w:t>）生产废水</w:t>
      </w:r>
    </w:p>
    <w:p>
      <w:pPr>
        <w:spacing w:line="360" w:lineRule="auto"/>
        <w:ind w:firstLine="480" w:firstLineChars="200"/>
        <w:jc w:val="left"/>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本项目生产废水主要为切割废水、脱胶废水、切片初洗废水、切片精洗废水、吸杂车间酸洗废水、四级氢氧化钠洗涤塔洗涤废水、综合污水处理站碱吸收废水以及纯水制备产生的浓水。</w:t>
      </w:r>
    </w:p>
    <w:p>
      <w:pPr>
        <w:spacing w:line="360" w:lineRule="auto"/>
        <w:ind w:firstLine="480" w:firstLineChars="200"/>
        <w:jc w:val="left"/>
        <w:rPr>
          <w:rFonts w:hint="default" w:ascii="Times New Roman" w:hAnsi="Times New Roman" w:cs="Times New Roman"/>
          <w:color w:val="auto"/>
          <w:lang w:eastAsia="zh-CN"/>
        </w:rPr>
      </w:pPr>
      <w:r>
        <w:rPr>
          <w:rFonts w:hint="default" w:ascii="Times New Roman" w:hAnsi="Times New Roman" w:cs="Times New Roman"/>
          <w:color w:val="auto"/>
          <w:lang w:eastAsia="zh-CN"/>
        </w:rPr>
        <w:t>①切割废水</w:t>
      </w:r>
    </w:p>
    <w:p>
      <w:pPr>
        <w:spacing w:line="360" w:lineRule="auto"/>
        <w:ind w:firstLine="480" w:firstLineChars="200"/>
        <w:jc w:val="left"/>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切割废水为切片过程中使用的切割液，</w:t>
      </w:r>
      <w:r>
        <w:rPr>
          <w:rFonts w:hint="default" w:ascii="Times New Roman" w:hAnsi="Times New Roman" w:cs="Times New Roman"/>
          <w:snapToGrid w:val="0"/>
          <w:color w:val="auto"/>
          <w:szCs w:val="20"/>
          <w:lang w:val="en-US" w:eastAsia="zh-CN"/>
        </w:rPr>
        <w:t>产污系数按0.9计，切割废水量为229.89m</w:t>
      </w:r>
      <w:r>
        <w:rPr>
          <w:rFonts w:hint="default" w:ascii="Times New Roman" w:hAnsi="Times New Roman" w:cs="Times New Roman"/>
          <w:snapToGrid w:val="0"/>
          <w:color w:val="auto"/>
          <w:szCs w:val="20"/>
          <w:vertAlign w:val="superscript"/>
          <w:lang w:val="en-US" w:eastAsia="zh-CN"/>
        </w:rPr>
        <w:t>3</w:t>
      </w:r>
      <w:r>
        <w:rPr>
          <w:rFonts w:hint="default" w:ascii="Times New Roman" w:hAnsi="Times New Roman" w:cs="Times New Roman"/>
          <w:snapToGrid w:val="0"/>
          <w:color w:val="auto"/>
          <w:szCs w:val="20"/>
          <w:vertAlign w:val="baseline"/>
          <w:lang w:val="en-US" w:eastAsia="zh-CN"/>
        </w:rPr>
        <w:t>/d</w:t>
      </w:r>
      <w:r>
        <w:rPr>
          <w:rFonts w:hint="default" w:ascii="Times New Roman" w:hAnsi="Times New Roman" w:cs="Times New Roman"/>
          <w:snapToGrid w:val="0"/>
          <w:color w:val="auto"/>
          <w:szCs w:val="20"/>
          <w:lang w:eastAsia="zh-CN"/>
        </w:rPr>
        <w:t>，切割废水</w:t>
      </w:r>
      <w:r>
        <w:rPr>
          <w:rFonts w:hint="default" w:ascii="Times New Roman" w:hAnsi="Times New Roman" w:cs="Times New Roman"/>
          <w:snapToGrid w:val="0"/>
          <w:color w:val="auto"/>
          <w:szCs w:val="20"/>
        </w:rPr>
        <w:t>为</w:t>
      </w:r>
      <w:r>
        <w:rPr>
          <w:rFonts w:hint="default" w:ascii="Times New Roman" w:hAnsi="Times New Roman" w:cs="Times New Roman"/>
          <w:snapToGrid w:val="0"/>
          <w:color w:val="auto"/>
          <w:szCs w:val="20"/>
          <w:lang w:eastAsia="zh-CN"/>
        </w:rPr>
        <w:t>主要为含悬浮物的高</w:t>
      </w:r>
      <w:r>
        <w:rPr>
          <w:rFonts w:hint="default" w:ascii="Times New Roman" w:hAnsi="Times New Roman" w:cs="Times New Roman"/>
          <w:snapToGrid w:val="0"/>
          <w:color w:val="auto"/>
          <w:szCs w:val="20"/>
        </w:rPr>
        <w:t>浓度有机废水，</w:t>
      </w:r>
      <w:r>
        <w:rPr>
          <w:rFonts w:hint="default" w:ascii="Times New Roman" w:hAnsi="Times New Roman" w:cs="Times New Roman"/>
          <w:snapToGrid w:val="0"/>
          <w:color w:val="auto"/>
          <w:szCs w:val="20"/>
          <w:lang w:eastAsia="zh-CN"/>
        </w:rPr>
        <w:t>主要污染物为</w:t>
      </w:r>
      <w:r>
        <w:rPr>
          <w:rFonts w:hint="default" w:ascii="Times New Roman" w:hAnsi="Times New Roman" w:cs="Times New Roman"/>
          <w:snapToGrid w:val="0"/>
          <w:color w:val="auto"/>
          <w:szCs w:val="20"/>
          <w:lang w:val="en-US" w:eastAsia="zh-CN"/>
        </w:rPr>
        <w:t>COD、</w:t>
      </w:r>
      <w:r>
        <w:rPr>
          <w:rFonts w:hint="default" w:ascii="Times New Roman" w:hAnsi="Times New Roman" w:cs="Times New Roman"/>
          <w:color w:val="auto"/>
        </w:rPr>
        <w:t>BOD</w:t>
      </w:r>
      <w:r>
        <w:rPr>
          <w:rFonts w:hint="default" w:ascii="Times New Roman" w:hAnsi="Times New Roman" w:cs="Times New Roman"/>
          <w:color w:val="FF0000"/>
          <w:sz w:val="21"/>
          <w:szCs w:val="21"/>
          <w:vertAlign w:val="subscript"/>
        </w:rPr>
        <w:t>5</w:t>
      </w:r>
      <w:r>
        <w:rPr>
          <w:rFonts w:hint="default" w:ascii="Times New Roman" w:hAnsi="Times New Roman" w:cs="Times New Roman"/>
          <w:color w:val="auto"/>
          <w:lang w:eastAsia="zh-CN"/>
        </w:rPr>
        <w:t>、</w:t>
      </w:r>
      <w:r>
        <w:rPr>
          <w:rFonts w:hint="default" w:ascii="Times New Roman" w:hAnsi="Times New Roman" w:cs="Times New Roman"/>
          <w:snapToGrid w:val="0"/>
          <w:color w:val="auto"/>
          <w:szCs w:val="20"/>
          <w:lang w:val="en-US" w:eastAsia="zh-CN"/>
        </w:rPr>
        <w:t>SS、石油类，</w:t>
      </w:r>
      <w:r>
        <w:rPr>
          <w:rFonts w:hint="default" w:ascii="Times New Roman" w:hAnsi="Times New Roman" w:cs="Times New Roman"/>
          <w:snapToGrid w:val="0"/>
          <w:color w:val="auto"/>
          <w:szCs w:val="20"/>
        </w:rPr>
        <w:t>经</w:t>
      </w:r>
      <w:r>
        <w:rPr>
          <w:rFonts w:hint="default" w:ascii="Times New Roman" w:hAnsi="Times New Roman" w:cs="Times New Roman"/>
          <w:snapToGrid w:val="0"/>
          <w:color w:val="auto"/>
          <w:szCs w:val="20"/>
          <w:lang w:eastAsia="zh-CN"/>
        </w:rPr>
        <w:t>隔膜板框压滤机压滤</w:t>
      </w:r>
      <w:r>
        <w:rPr>
          <w:rFonts w:hint="default" w:ascii="Times New Roman" w:hAnsi="Times New Roman" w:cs="Times New Roman"/>
          <w:snapToGrid w:val="0"/>
          <w:color w:val="auto"/>
          <w:szCs w:val="20"/>
        </w:rPr>
        <w:t>处理后再进入</w:t>
      </w:r>
      <w:r>
        <w:rPr>
          <w:rFonts w:hint="default" w:ascii="Times New Roman" w:hAnsi="Times New Roman" w:cs="Times New Roman"/>
          <w:snapToGrid w:val="0"/>
          <w:color w:val="auto"/>
          <w:szCs w:val="20"/>
          <w:lang w:eastAsia="zh-CN"/>
        </w:rPr>
        <w:t>综合污水处理站</w:t>
      </w:r>
      <w:r>
        <w:rPr>
          <w:rFonts w:hint="default" w:ascii="Times New Roman" w:hAnsi="Times New Roman" w:cs="Times New Roman"/>
          <w:snapToGrid w:val="0"/>
          <w:color w:val="auto"/>
          <w:szCs w:val="20"/>
        </w:rPr>
        <w:t>处理</w:t>
      </w:r>
      <w:r>
        <w:rPr>
          <w:rFonts w:hint="default" w:ascii="Times New Roman" w:hAnsi="Times New Roman" w:cs="Times New Roman"/>
          <w:snapToGrid w:val="0"/>
          <w:color w:val="auto"/>
          <w:szCs w:val="20"/>
          <w:lang w:eastAsia="zh-CN"/>
        </w:rPr>
        <w:t>。类比同类项目，切割废水</w:t>
      </w:r>
      <w:r>
        <w:rPr>
          <w:rFonts w:hint="default" w:ascii="Times New Roman" w:hAnsi="Times New Roman" w:cs="Times New Roman"/>
          <w:color w:val="auto"/>
        </w:rPr>
        <w:t>COD浓度约为</w:t>
      </w:r>
      <w:r>
        <w:rPr>
          <w:rFonts w:hint="default" w:ascii="Times New Roman" w:hAnsi="Times New Roman" w:cs="Times New Roman"/>
          <w:color w:val="auto"/>
          <w:lang w:val="en-US" w:eastAsia="zh-CN"/>
        </w:rPr>
        <w:t>3000</w:t>
      </w:r>
      <w:r>
        <w:rPr>
          <w:rFonts w:hint="default" w:ascii="Times New Roman" w:hAnsi="Times New Roman" w:cs="Times New Roman"/>
          <w:color w:val="auto"/>
        </w:rPr>
        <w:t>~</w:t>
      </w:r>
      <w:r>
        <w:rPr>
          <w:rFonts w:hint="default" w:ascii="Times New Roman" w:hAnsi="Times New Roman" w:cs="Times New Roman"/>
          <w:color w:val="auto"/>
          <w:lang w:val="en-US" w:eastAsia="zh-CN"/>
        </w:rPr>
        <w:t>3500</w:t>
      </w:r>
      <w:r>
        <w:rPr>
          <w:rFonts w:hint="default" w:ascii="Times New Roman" w:hAnsi="Times New Roman" w:cs="Times New Roman"/>
          <w:color w:val="auto"/>
        </w:rPr>
        <w:t>mg/L、BOD</w:t>
      </w:r>
      <w:r>
        <w:rPr>
          <w:rFonts w:hint="default" w:ascii="Times New Roman" w:hAnsi="Times New Roman" w:cs="Times New Roman"/>
          <w:color w:val="FF0000"/>
          <w:sz w:val="21"/>
          <w:szCs w:val="21"/>
          <w:vertAlign w:val="subscript"/>
        </w:rPr>
        <w:t>5</w:t>
      </w:r>
      <w:r>
        <w:rPr>
          <w:rFonts w:hint="default" w:ascii="Times New Roman" w:hAnsi="Times New Roman" w:cs="Times New Roman"/>
          <w:color w:val="auto"/>
        </w:rPr>
        <w:t>浓度约为</w:t>
      </w:r>
      <w:r>
        <w:rPr>
          <w:rFonts w:hint="default" w:ascii="Times New Roman" w:hAnsi="Times New Roman" w:cs="Times New Roman"/>
          <w:color w:val="auto"/>
          <w:lang w:val="en-US" w:eastAsia="zh-CN"/>
        </w:rPr>
        <w:t>800</w:t>
      </w:r>
      <w:r>
        <w:rPr>
          <w:rFonts w:hint="default" w:ascii="Times New Roman" w:hAnsi="Times New Roman" w:cs="Times New Roman"/>
          <w:color w:val="auto"/>
          <w:lang w:val="en-US" w:eastAsia="zh-CN"/>
        </w:rPr>
        <w:t>~1</w:t>
      </w:r>
      <w:r>
        <w:rPr>
          <w:rFonts w:hint="default" w:ascii="Times New Roman" w:hAnsi="Times New Roman" w:cs="Times New Roman"/>
          <w:color w:val="auto"/>
          <w:lang w:val="en-US" w:eastAsia="zh-CN"/>
        </w:rPr>
        <w:t>0</w:t>
      </w:r>
      <w:r>
        <w:rPr>
          <w:rFonts w:hint="default" w:ascii="Times New Roman" w:hAnsi="Times New Roman" w:cs="Times New Roman"/>
          <w:color w:val="auto"/>
          <w:lang w:val="en-US" w:eastAsia="zh-CN"/>
        </w:rPr>
        <w:t>00</w:t>
      </w:r>
      <w:r>
        <w:rPr>
          <w:rFonts w:hint="default" w:ascii="Times New Roman" w:hAnsi="Times New Roman" w:cs="Times New Roman"/>
          <w:color w:val="auto"/>
        </w:rPr>
        <w:t>mg/L、SS浓度约为2800~3000mg/L之间。</w:t>
      </w:r>
    </w:p>
    <w:p>
      <w:pPr>
        <w:spacing w:line="360" w:lineRule="auto"/>
        <w:ind w:firstLine="480" w:firstLineChars="20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②脱胶废水</w:t>
      </w:r>
    </w:p>
    <w:p>
      <w:pPr>
        <w:spacing w:line="360" w:lineRule="auto"/>
        <w:ind w:firstLine="480" w:firstLineChars="200"/>
        <w:jc w:val="left"/>
        <w:rPr>
          <w:rFonts w:hint="default" w:ascii="Times New Roman" w:hAnsi="Times New Roman" w:cs="Times New Roman"/>
          <w:snapToGrid w:val="0"/>
          <w:color w:val="auto"/>
          <w:szCs w:val="20"/>
        </w:rPr>
      </w:pPr>
      <w:r>
        <w:rPr>
          <w:rFonts w:hint="default" w:ascii="Times New Roman" w:hAnsi="Times New Roman" w:cs="Times New Roman"/>
          <w:snapToGrid w:val="0"/>
          <w:color w:val="auto"/>
          <w:szCs w:val="20"/>
          <w:lang w:eastAsia="zh-CN"/>
        </w:rPr>
        <w:t>脱胶废水为废乳酸，</w:t>
      </w:r>
      <w:r>
        <w:rPr>
          <w:rFonts w:hint="default" w:ascii="Times New Roman" w:hAnsi="Times New Roman" w:cs="Times New Roman"/>
          <w:snapToGrid w:val="0"/>
          <w:color w:val="auto"/>
          <w:szCs w:val="20"/>
        </w:rPr>
        <w:t>根据建设单位提供资料，</w:t>
      </w:r>
      <w:r>
        <w:rPr>
          <w:rFonts w:hint="default" w:ascii="Times New Roman" w:hAnsi="Times New Roman" w:cs="Times New Roman"/>
          <w:snapToGrid w:val="0"/>
          <w:color w:val="auto"/>
          <w:szCs w:val="20"/>
          <w:lang w:eastAsia="zh-CN"/>
        </w:rPr>
        <w:t>乳酸</w:t>
      </w:r>
      <w:r>
        <w:rPr>
          <w:rFonts w:hint="default" w:ascii="Times New Roman" w:hAnsi="Times New Roman" w:cs="Times New Roman"/>
          <w:snapToGrid w:val="0"/>
          <w:color w:val="auto"/>
          <w:szCs w:val="20"/>
        </w:rPr>
        <w:t>可重复使用，一般一天更换一次，用量为</w:t>
      </w:r>
      <w:r>
        <w:rPr>
          <w:rFonts w:hint="default" w:ascii="Times New Roman" w:hAnsi="Times New Roman" w:cs="Times New Roman"/>
          <w:snapToGrid w:val="0"/>
          <w:color w:val="auto"/>
          <w:szCs w:val="20"/>
          <w:lang w:val="en-US" w:eastAsia="zh-CN"/>
        </w:rPr>
        <w:t>22.5t/（GW·a）、67.5t/a（0.18m</w:t>
      </w:r>
      <w:r>
        <w:rPr>
          <w:rFonts w:hint="default" w:ascii="Times New Roman" w:hAnsi="Times New Roman" w:cs="Times New Roman"/>
          <w:snapToGrid w:val="0"/>
          <w:color w:val="auto"/>
          <w:szCs w:val="20"/>
          <w:vertAlign w:val="superscript"/>
          <w:lang w:val="en-US" w:eastAsia="zh-CN"/>
        </w:rPr>
        <w:t>3</w:t>
      </w:r>
      <w:r>
        <w:rPr>
          <w:rFonts w:hint="default" w:ascii="Times New Roman" w:hAnsi="Times New Roman" w:cs="Times New Roman"/>
          <w:snapToGrid w:val="0"/>
          <w:color w:val="auto"/>
          <w:szCs w:val="20"/>
          <w:vertAlign w:val="baseline"/>
          <w:lang w:val="en-US" w:eastAsia="zh-CN"/>
        </w:rPr>
        <w:t>/d</w:t>
      </w:r>
      <w:r>
        <w:rPr>
          <w:rFonts w:hint="default" w:ascii="Times New Roman" w:hAnsi="Times New Roman" w:cs="Times New Roman"/>
          <w:snapToGrid w:val="0"/>
          <w:color w:val="auto"/>
          <w:szCs w:val="20"/>
          <w:lang w:val="en-US" w:eastAsia="zh-CN"/>
        </w:rPr>
        <w:t>）</w:t>
      </w:r>
      <w:r>
        <w:rPr>
          <w:rFonts w:hint="default" w:ascii="Times New Roman" w:hAnsi="Times New Roman" w:cs="Times New Roman"/>
          <w:snapToGrid w:val="0"/>
          <w:color w:val="auto"/>
          <w:szCs w:val="20"/>
        </w:rPr>
        <w:t>，产污系数按0.</w:t>
      </w:r>
      <w:r>
        <w:rPr>
          <w:rFonts w:hint="default" w:ascii="Times New Roman" w:hAnsi="Times New Roman" w:cs="Times New Roman"/>
          <w:snapToGrid w:val="0"/>
          <w:color w:val="auto"/>
          <w:szCs w:val="20"/>
          <w:lang w:val="en-US" w:eastAsia="zh-CN"/>
        </w:rPr>
        <w:t>9</w:t>
      </w:r>
      <w:r>
        <w:rPr>
          <w:rFonts w:hint="default" w:ascii="Times New Roman" w:hAnsi="Times New Roman" w:cs="Times New Roman"/>
          <w:snapToGrid w:val="0"/>
          <w:color w:val="auto"/>
          <w:szCs w:val="20"/>
        </w:rPr>
        <w:t>计，则废水产生量为</w:t>
      </w:r>
      <w:r>
        <w:rPr>
          <w:rFonts w:hint="default" w:ascii="Times New Roman" w:hAnsi="Times New Roman" w:cs="Times New Roman"/>
          <w:snapToGrid w:val="0"/>
          <w:color w:val="auto"/>
          <w:szCs w:val="20"/>
          <w:lang w:val="en-US" w:eastAsia="zh-CN"/>
        </w:rPr>
        <w:t>0.17</w:t>
      </w:r>
      <w:r>
        <w:rPr>
          <w:rFonts w:hint="default" w:ascii="Times New Roman" w:hAnsi="Times New Roman" w:cs="Times New Roman"/>
          <w:snapToGrid w:val="0"/>
          <w:color w:val="auto"/>
          <w:szCs w:val="20"/>
        </w:rPr>
        <w:t>m</w:t>
      </w:r>
      <w:r>
        <w:rPr>
          <w:rFonts w:hint="default" w:ascii="Times New Roman" w:hAnsi="Times New Roman" w:cs="Times New Roman"/>
          <w:snapToGrid w:val="0"/>
          <w:color w:val="auto"/>
          <w:szCs w:val="20"/>
          <w:vertAlign w:val="superscript"/>
        </w:rPr>
        <w:t>3</w:t>
      </w:r>
      <w:r>
        <w:rPr>
          <w:rFonts w:hint="default" w:ascii="Times New Roman" w:hAnsi="Times New Roman" w:cs="Times New Roman"/>
          <w:snapToGrid w:val="0"/>
          <w:color w:val="auto"/>
          <w:szCs w:val="20"/>
        </w:rPr>
        <w:t>/d。脱胶废水主要</w:t>
      </w:r>
      <w:r>
        <w:rPr>
          <w:rFonts w:hint="default" w:ascii="Times New Roman" w:hAnsi="Times New Roman" w:cs="Times New Roman"/>
          <w:snapToGrid w:val="0"/>
          <w:color w:val="auto"/>
          <w:szCs w:val="20"/>
          <w:lang w:eastAsia="zh-CN"/>
        </w:rPr>
        <w:t>为高浓度有机废水</w:t>
      </w:r>
      <w:r>
        <w:rPr>
          <w:rFonts w:hint="default" w:ascii="Times New Roman" w:hAnsi="Times New Roman" w:cs="Times New Roman"/>
          <w:snapToGrid w:val="0"/>
          <w:color w:val="auto"/>
          <w:szCs w:val="20"/>
        </w:rPr>
        <w:t>，</w:t>
      </w:r>
      <w:r>
        <w:rPr>
          <w:rFonts w:hint="default" w:ascii="Times New Roman" w:hAnsi="Times New Roman" w:cs="Times New Roman"/>
          <w:snapToGrid w:val="0"/>
          <w:color w:val="auto"/>
          <w:szCs w:val="20"/>
          <w:lang w:eastAsia="zh-CN"/>
        </w:rPr>
        <w:t>主要污染物为</w:t>
      </w:r>
      <w:r>
        <w:rPr>
          <w:rFonts w:hint="default" w:ascii="Times New Roman" w:hAnsi="Times New Roman" w:cs="Times New Roman"/>
          <w:snapToGrid w:val="0"/>
          <w:color w:val="auto"/>
          <w:szCs w:val="20"/>
          <w:lang w:val="en-US" w:eastAsia="zh-CN"/>
        </w:rPr>
        <w:t>COD、BOD</w:t>
      </w:r>
      <w:r>
        <w:rPr>
          <w:rFonts w:hint="default" w:ascii="Times New Roman" w:hAnsi="Times New Roman" w:cs="Times New Roman"/>
          <w:color w:val="FF0000"/>
          <w:sz w:val="21"/>
          <w:szCs w:val="21"/>
          <w:vertAlign w:val="subscript"/>
        </w:rPr>
        <w:t>5</w:t>
      </w:r>
      <w:r>
        <w:rPr>
          <w:rFonts w:hint="default" w:ascii="Times New Roman" w:hAnsi="Times New Roman" w:cs="Times New Roman"/>
          <w:snapToGrid w:val="0"/>
          <w:color w:val="auto"/>
          <w:szCs w:val="20"/>
          <w:lang w:val="en-US" w:eastAsia="zh-CN"/>
        </w:rPr>
        <w:t>、SS，脱胶废水</w:t>
      </w:r>
      <w:r>
        <w:rPr>
          <w:rFonts w:hint="default" w:ascii="Times New Roman" w:hAnsi="Times New Roman" w:cs="Times New Roman"/>
          <w:snapToGrid w:val="0"/>
          <w:color w:val="auto"/>
          <w:szCs w:val="20"/>
        </w:rPr>
        <w:t>进入</w:t>
      </w:r>
      <w:r>
        <w:rPr>
          <w:rFonts w:hint="default" w:ascii="Times New Roman" w:hAnsi="Times New Roman" w:cs="Times New Roman"/>
          <w:snapToGrid w:val="0"/>
          <w:color w:val="auto"/>
          <w:szCs w:val="20"/>
          <w:lang w:eastAsia="zh-CN"/>
        </w:rPr>
        <w:t>综合污水处理站</w:t>
      </w:r>
      <w:r>
        <w:rPr>
          <w:rFonts w:hint="default" w:ascii="Times New Roman" w:hAnsi="Times New Roman" w:cs="Times New Roman"/>
          <w:snapToGrid w:val="0"/>
          <w:color w:val="auto"/>
          <w:szCs w:val="20"/>
        </w:rPr>
        <w:t>处理</w:t>
      </w:r>
      <w:r>
        <w:rPr>
          <w:rFonts w:hint="default" w:ascii="Times New Roman" w:hAnsi="Times New Roman" w:cs="Times New Roman"/>
          <w:snapToGrid w:val="0"/>
          <w:color w:val="auto"/>
          <w:szCs w:val="20"/>
          <w:lang w:eastAsia="zh-CN"/>
        </w:rPr>
        <w:t>。</w:t>
      </w:r>
      <w:r>
        <w:rPr>
          <w:rFonts w:hint="default" w:ascii="Times New Roman" w:hAnsi="Times New Roman" w:cs="Times New Roman"/>
          <w:snapToGrid w:val="0"/>
          <w:color w:val="auto"/>
          <w:szCs w:val="20"/>
        </w:rPr>
        <w:t>类比同类项目，COD</w:t>
      </w:r>
      <w:r>
        <w:rPr>
          <w:rFonts w:hint="default" w:ascii="Times New Roman" w:hAnsi="Times New Roman" w:cs="Times New Roman"/>
          <w:color w:val="auto"/>
        </w:rPr>
        <w:t>浓度在500~1000mg/L、BOD</w:t>
      </w:r>
      <w:r>
        <w:rPr>
          <w:rFonts w:hint="default" w:ascii="Times New Roman" w:hAnsi="Times New Roman" w:cs="Times New Roman"/>
          <w:color w:val="FF0000"/>
          <w:sz w:val="21"/>
          <w:szCs w:val="21"/>
          <w:vertAlign w:val="subscript"/>
        </w:rPr>
        <w:t>5</w:t>
      </w:r>
      <w:r>
        <w:rPr>
          <w:rFonts w:hint="default" w:ascii="Times New Roman" w:hAnsi="Times New Roman" w:cs="Times New Roman"/>
          <w:color w:val="auto"/>
        </w:rPr>
        <w:t>浓度约为</w:t>
      </w:r>
      <w:r>
        <w:rPr>
          <w:rFonts w:hint="default" w:ascii="Times New Roman" w:hAnsi="Times New Roman" w:cs="Times New Roman"/>
          <w:color w:val="auto"/>
          <w:lang w:val="en-US" w:eastAsia="zh-CN"/>
        </w:rPr>
        <w:t>300~350m</w:t>
      </w:r>
      <w:r>
        <w:rPr>
          <w:rFonts w:hint="default" w:ascii="Times New Roman" w:hAnsi="Times New Roman" w:cs="Times New Roman"/>
          <w:color w:val="auto"/>
        </w:rPr>
        <w:t>g/L、SS在600~700mg/L之间</w:t>
      </w:r>
      <w:r>
        <w:rPr>
          <w:rFonts w:hint="default" w:ascii="Times New Roman" w:hAnsi="Times New Roman" w:cs="Times New Roman"/>
          <w:snapToGrid w:val="0"/>
          <w:color w:val="auto"/>
          <w:szCs w:val="20"/>
        </w:rPr>
        <w:t>。</w:t>
      </w:r>
    </w:p>
    <w:p>
      <w:pPr>
        <w:spacing w:line="360" w:lineRule="auto"/>
        <w:ind w:firstLine="480" w:firstLineChars="200"/>
        <w:jc w:val="left"/>
        <w:rPr>
          <w:rFonts w:hint="default" w:ascii="Times New Roman" w:hAnsi="Times New Roman" w:cs="Times New Roman"/>
          <w:color w:val="auto"/>
        </w:rPr>
      </w:pPr>
      <w:r>
        <w:rPr>
          <w:rFonts w:hint="default" w:ascii="Times New Roman" w:hAnsi="Times New Roman" w:cs="Times New Roman"/>
          <w:snapToGrid w:val="0"/>
          <w:color w:val="auto"/>
          <w:szCs w:val="20"/>
          <w:lang w:val="en-US" w:eastAsia="zh-CN"/>
        </w:rPr>
        <w:t>③</w:t>
      </w:r>
      <w:r>
        <w:rPr>
          <w:rFonts w:hint="default" w:ascii="Times New Roman" w:hAnsi="Times New Roman" w:cs="Times New Roman"/>
          <w:snapToGrid w:val="0"/>
          <w:color w:val="auto"/>
          <w:szCs w:val="20"/>
        </w:rPr>
        <w:t>切片</w:t>
      </w:r>
      <w:r>
        <w:rPr>
          <w:rFonts w:hint="default" w:ascii="Times New Roman" w:hAnsi="Times New Roman" w:cs="Times New Roman"/>
          <w:snapToGrid w:val="0"/>
          <w:color w:val="auto"/>
          <w:szCs w:val="20"/>
          <w:lang w:eastAsia="zh-CN"/>
        </w:rPr>
        <w:t>初洗</w:t>
      </w:r>
      <w:r>
        <w:rPr>
          <w:rFonts w:hint="default" w:ascii="Times New Roman" w:hAnsi="Times New Roman" w:cs="Times New Roman"/>
          <w:snapToGrid w:val="0"/>
          <w:color w:val="auto"/>
          <w:szCs w:val="20"/>
        </w:rPr>
        <w:t>废水</w:t>
      </w:r>
    </w:p>
    <w:p>
      <w:pPr>
        <w:spacing w:line="360" w:lineRule="auto"/>
        <w:ind w:firstLine="480" w:firstLineChars="200"/>
        <w:jc w:val="left"/>
        <w:rPr>
          <w:rFonts w:hint="default" w:ascii="Times New Roman" w:hAnsi="Times New Roman" w:cs="Times New Roman"/>
          <w:snapToGrid w:val="0"/>
          <w:color w:val="auto"/>
          <w:szCs w:val="20"/>
        </w:rPr>
      </w:pPr>
      <w:r>
        <w:rPr>
          <w:rFonts w:hint="default" w:ascii="Times New Roman" w:hAnsi="Times New Roman" w:cs="Times New Roman"/>
          <w:snapToGrid w:val="0"/>
          <w:color w:val="auto"/>
          <w:szCs w:val="20"/>
          <w:lang w:eastAsia="zh-CN"/>
        </w:rPr>
        <w:t>切片初洗使用浓水进行简单清洗，</w:t>
      </w:r>
      <w:r>
        <w:rPr>
          <w:rFonts w:hint="default" w:ascii="Times New Roman" w:hAnsi="Times New Roman" w:cs="Times New Roman"/>
          <w:snapToGrid w:val="0"/>
          <w:color w:val="auto"/>
          <w:szCs w:val="20"/>
          <w:vertAlign w:val="baseline"/>
          <w:lang w:val="en-US" w:eastAsia="zh-CN"/>
        </w:rPr>
        <w:t>初洗用水量为744.92m</w:t>
      </w:r>
      <w:r>
        <w:rPr>
          <w:rFonts w:hint="default" w:ascii="Times New Roman" w:hAnsi="Times New Roman" w:cs="Times New Roman"/>
          <w:snapToGrid w:val="0"/>
          <w:color w:val="auto"/>
          <w:szCs w:val="20"/>
          <w:vertAlign w:val="superscript"/>
          <w:lang w:val="en-US" w:eastAsia="zh-CN"/>
        </w:rPr>
        <w:t>3</w:t>
      </w:r>
      <w:r>
        <w:rPr>
          <w:rFonts w:hint="default" w:ascii="Times New Roman" w:hAnsi="Times New Roman" w:cs="Times New Roman"/>
          <w:snapToGrid w:val="0"/>
          <w:color w:val="auto"/>
          <w:szCs w:val="20"/>
          <w:vertAlign w:val="baseline"/>
          <w:lang w:val="en-US" w:eastAsia="zh-CN"/>
        </w:rPr>
        <w:t>/d，</w:t>
      </w:r>
      <w:r>
        <w:rPr>
          <w:rFonts w:hint="default" w:ascii="Times New Roman" w:hAnsi="Times New Roman" w:cs="Times New Roman"/>
          <w:snapToGrid w:val="0"/>
          <w:color w:val="auto"/>
          <w:szCs w:val="20"/>
        </w:rPr>
        <w:t>产污系数按0.</w:t>
      </w:r>
      <w:r>
        <w:rPr>
          <w:rFonts w:hint="default" w:ascii="Times New Roman" w:hAnsi="Times New Roman" w:cs="Times New Roman"/>
          <w:snapToGrid w:val="0"/>
          <w:color w:val="auto"/>
          <w:szCs w:val="20"/>
          <w:lang w:val="en-US" w:eastAsia="zh-CN"/>
        </w:rPr>
        <w:t>9</w:t>
      </w:r>
      <w:r>
        <w:rPr>
          <w:rFonts w:hint="default" w:ascii="Times New Roman" w:hAnsi="Times New Roman" w:cs="Times New Roman"/>
          <w:snapToGrid w:val="0"/>
          <w:color w:val="auto"/>
          <w:szCs w:val="20"/>
        </w:rPr>
        <w:t>计，则废水产生量为</w:t>
      </w:r>
      <w:r>
        <w:rPr>
          <w:rFonts w:hint="default" w:ascii="Times New Roman" w:hAnsi="Times New Roman" w:cs="Times New Roman"/>
          <w:snapToGrid w:val="0"/>
          <w:color w:val="auto"/>
          <w:szCs w:val="20"/>
          <w:lang w:val="en-US" w:eastAsia="zh-CN"/>
        </w:rPr>
        <w:t>670.43</w:t>
      </w:r>
      <w:r>
        <w:rPr>
          <w:rFonts w:hint="default" w:ascii="Times New Roman" w:hAnsi="Times New Roman" w:cs="Times New Roman"/>
          <w:snapToGrid w:val="0"/>
          <w:color w:val="auto"/>
          <w:szCs w:val="20"/>
        </w:rPr>
        <w:t>m</w:t>
      </w:r>
      <w:r>
        <w:rPr>
          <w:rFonts w:hint="default" w:ascii="Times New Roman" w:hAnsi="Times New Roman" w:cs="Times New Roman"/>
          <w:snapToGrid w:val="0"/>
          <w:color w:val="auto"/>
          <w:szCs w:val="20"/>
          <w:vertAlign w:val="superscript"/>
        </w:rPr>
        <w:t>3</w:t>
      </w:r>
      <w:r>
        <w:rPr>
          <w:rFonts w:hint="default" w:ascii="Times New Roman" w:hAnsi="Times New Roman" w:cs="Times New Roman"/>
          <w:snapToGrid w:val="0"/>
          <w:color w:val="auto"/>
          <w:szCs w:val="20"/>
        </w:rPr>
        <w:t>/d</w:t>
      </w:r>
      <w:r>
        <w:rPr>
          <w:rFonts w:hint="default" w:ascii="Times New Roman" w:hAnsi="Times New Roman" w:cs="Times New Roman"/>
          <w:snapToGrid w:val="0"/>
          <w:color w:val="auto"/>
          <w:szCs w:val="20"/>
          <w:lang w:eastAsia="zh-CN"/>
        </w:rPr>
        <w:t>，为低浓度有机废水，主要污染物为</w:t>
      </w:r>
      <w:r>
        <w:rPr>
          <w:rFonts w:hint="default" w:ascii="Times New Roman" w:hAnsi="Times New Roman" w:cs="Times New Roman"/>
          <w:snapToGrid w:val="0"/>
          <w:color w:val="auto"/>
          <w:szCs w:val="20"/>
          <w:lang w:val="en-US" w:eastAsia="zh-CN"/>
        </w:rPr>
        <w:t>COD、BOD</w:t>
      </w:r>
      <w:r>
        <w:rPr>
          <w:rFonts w:hint="default" w:ascii="Times New Roman" w:hAnsi="Times New Roman" w:cs="Times New Roman"/>
          <w:color w:val="FF0000"/>
          <w:sz w:val="21"/>
          <w:szCs w:val="21"/>
          <w:vertAlign w:val="subscript"/>
        </w:rPr>
        <w:t>5</w:t>
      </w:r>
      <w:r>
        <w:rPr>
          <w:rFonts w:hint="default" w:ascii="Times New Roman" w:hAnsi="Times New Roman" w:cs="Times New Roman"/>
          <w:snapToGrid w:val="0"/>
          <w:color w:val="auto"/>
          <w:szCs w:val="20"/>
          <w:lang w:val="en-US" w:eastAsia="zh-CN"/>
        </w:rPr>
        <w:t>、SS，</w:t>
      </w:r>
      <w:r>
        <w:rPr>
          <w:rFonts w:hint="default" w:ascii="Times New Roman" w:hAnsi="Times New Roman" w:cs="Times New Roman"/>
          <w:snapToGrid w:val="0"/>
          <w:color w:val="auto"/>
          <w:szCs w:val="20"/>
        </w:rPr>
        <w:t>进入</w:t>
      </w:r>
      <w:r>
        <w:rPr>
          <w:rFonts w:hint="default" w:ascii="Times New Roman" w:hAnsi="Times New Roman" w:cs="Times New Roman"/>
          <w:snapToGrid w:val="0"/>
          <w:color w:val="auto"/>
          <w:szCs w:val="20"/>
          <w:lang w:eastAsia="zh-CN"/>
        </w:rPr>
        <w:t>综合污水处理站</w:t>
      </w:r>
      <w:r>
        <w:rPr>
          <w:rFonts w:hint="default" w:ascii="Times New Roman" w:hAnsi="Times New Roman" w:cs="Times New Roman"/>
          <w:snapToGrid w:val="0"/>
          <w:color w:val="auto"/>
          <w:szCs w:val="20"/>
        </w:rPr>
        <w:t>处理</w:t>
      </w:r>
      <w:r>
        <w:rPr>
          <w:rFonts w:hint="default" w:ascii="Times New Roman" w:hAnsi="Times New Roman" w:cs="Times New Roman"/>
          <w:snapToGrid w:val="0"/>
          <w:color w:val="auto"/>
          <w:szCs w:val="20"/>
          <w:lang w:eastAsia="zh-CN"/>
        </w:rPr>
        <w:t>。</w:t>
      </w:r>
      <w:r>
        <w:rPr>
          <w:rFonts w:hint="default" w:ascii="Times New Roman" w:hAnsi="Times New Roman" w:cs="Times New Roman"/>
          <w:snapToGrid w:val="0"/>
          <w:color w:val="auto"/>
          <w:szCs w:val="20"/>
        </w:rPr>
        <w:t>类比同类项目，COD</w:t>
      </w:r>
      <w:r>
        <w:rPr>
          <w:rFonts w:hint="default" w:ascii="Times New Roman" w:hAnsi="Times New Roman" w:cs="Times New Roman"/>
          <w:color w:val="auto"/>
        </w:rPr>
        <w:t>浓度在</w:t>
      </w:r>
      <w:r>
        <w:rPr>
          <w:rFonts w:hint="default" w:ascii="Times New Roman" w:hAnsi="Times New Roman" w:cs="Times New Roman"/>
          <w:color w:val="auto"/>
          <w:lang w:val="en-US" w:eastAsia="zh-CN"/>
        </w:rPr>
        <w:t>2</w:t>
      </w:r>
      <w:r>
        <w:rPr>
          <w:rFonts w:hint="default" w:ascii="Times New Roman" w:hAnsi="Times New Roman" w:cs="Times New Roman"/>
          <w:color w:val="auto"/>
        </w:rPr>
        <w:t>00~</w:t>
      </w:r>
      <w:r>
        <w:rPr>
          <w:rFonts w:hint="default" w:ascii="Times New Roman" w:hAnsi="Times New Roman" w:cs="Times New Roman"/>
          <w:color w:val="auto"/>
          <w:lang w:val="en-US" w:eastAsia="zh-CN"/>
        </w:rPr>
        <w:t>3</w:t>
      </w:r>
      <w:r>
        <w:rPr>
          <w:rFonts w:hint="default" w:ascii="Times New Roman" w:hAnsi="Times New Roman" w:cs="Times New Roman"/>
          <w:color w:val="auto"/>
        </w:rPr>
        <w:t>00mg/L、BOD</w:t>
      </w:r>
      <w:r>
        <w:rPr>
          <w:rFonts w:hint="default" w:ascii="Times New Roman" w:hAnsi="Times New Roman" w:cs="Times New Roman"/>
          <w:color w:val="FF0000"/>
          <w:sz w:val="21"/>
          <w:szCs w:val="21"/>
          <w:vertAlign w:val="subscript"/>
        </w:rPr>
        <w:t>5</w:t>
      </w:r>
      <w:r>
        <w:rPr>
          <w:rFonts w:hint="default" w:ascii="Times New Roman" w:hAnsi="Times New Roman" w:cs="Times New Roman"/>
          <w:color w:val="auto"/>
        </w:rPr>
        <w:t>浓度约为</w:t>
      </w:r>
      <w:r>
        <w:rPr>
          <w:rFonts w:hint="default" w:ascii="Times New Roman" w:hAnsi="Times New Roman" w:cs="Times New Roman"/>
          <w:color w:val="auto"/>
          <w:lang w:val="en-US" w:eastAsia="zh-CN"/>
        </w:rPr>
        <w:t>100~150m</w:t>
      </w:r>
      <w:r>
        <w:rPr>
          <w:rFonts w:hint="default" w:ascii="Times New Roman" w:hAnsi="Times New Roman" w:cs="Times New Roman"/>
          <w:color w:val="auto"/>
        </w:rPr>
        <w:t>g/L、SS在</w:t>
      </w:r>
      <w:r>
        <w:rPr>
          <w:rFonts w:hint="default" w:ascii="Times New Roman" w:hAnsi="Times New Roman" w:cs="Times New Roman"/>
          <w:color w:val="auto"/>
          <w:lang w:val="en-US" w:eastAsia="zh-CN"/>
        </w:rPr>
        <w:t>200</w:t>
      </w:r>
      <w:r>
        <w:rPr>
          <w:rFonts w:hint="default" w:ascii="Times New Roman" w:hAnsi="Times New Roman" w:cs="Times New Roman"/>
          <w:color w:val="auto"/>
        </w:rPr>
        <w:t>~</w:t>
      </w:r>
      <w:r>
        <w:rPr>
          <w:rFonts w:hint="default" w:ascii="Times New Roman" w:hAnsi="Times New Roman" w:cs="Times New Roman"/>
          <w:color w:val="auto"/>
          <w:lang w:val="en-US" w:eastAsia="zh-CN"/>
        </w:rPr>
        <w:t>3</w:t>
      </w:r>
      <w:r>
        <w:rPr>
          <w:rFonts w:hint="default" w:ascii="Times New Roman" w:hAnsi="Times New Roman" w:cs="Times New Roman"/>
          <w:color w:val="auto"/>
        </w:rPr>
        <w:t>00mg/L之间</w:t>
      </w:r>
      <w:r>
        <w:rPr>
          <w:rFonts w:hint="default" w:ascii="Times New Roman" w:hAnsi="Times New Roman" w:cs="Times New Roman"/>
          <w:snapToGrid w:val="0"/>
          <w:color w:val="auto"/>
          <w:szCs w:val="20"/>
        </w:rPr>
        <w:t>。</w:t>
      </w:r>
    </w:p>
    <w:p>
      <w:pPr>
        <w:spacing w:line="360" w:lineRule="auto"/>
        <w:ind w:firstLine="480" w:firstLineChars="200"/>
        <w:jc w:val="left"/>
        <w:rPr>
          <w:rFonts w:hint="default" w:ascii="Times New Roman" w:hAnsi="Times New Roman" w:eastAsia="宋体" w:cs="Times New Roman"/>
          <w:snapToGrid w:val="0"/>
          <w:color w:val="auto"/>
          <w:szCs w:val="20"/>
          <w:lang w:val="en-US" w:eastAsia="zh-CN"/>
        </w:rPr>
      </w:pPr>
      <w:r>
        <w:rPr>
          <w:rFonts w:hint="default" w:ascii="Times New Roman" w:hAnsi="Times New Roman" w:cs="Times New Roman"/>
          <w:snapToGrid w:val="0"/>
          <w:color w:val="auto"/>
          <w:szCs w:val="20"/>
          <w:lang w:val="en-US" w:eastAsia="zh-CN"/>
        </w:rPr>
        <w:t>④切片精洗废水</w:t>
      </w:r>
    </w:p>
    <w:p>
      <w:pPr>
        <w:spacing w:line="360" w:lineRule="auto"/>
        <w:ind w:firstLine="480" w:firstLineChars="200"/>
        <w:jc w:val="left"/>
        <w:rPr>
          <w:rFonts w:hint="default" w:ascii="Times New Roman" w:hAnsi="Times New Roman" w:cs="Times New Roman"/>
          <w:snapToGrid w:val="0"/>
          <w:color w:val="auto"/>
          <w:szCs w:val="20"/>
        </w:rPr>
      </w:pPr>
      <w:r>
        <w:rPr>
          <w:rFonts w:hint="default" w:ascii="Times New Roman" w:hAnsi="Times New Roman" w:cs="Times New Roman"/>
          <w:color w:val="auto"/>
          <w:vertAlign w:val="baseline"/>
          <w:lang w:val="en-US" w:eastAsia="zh-CN"/>
        </w:rPr>
        <w:t>切片精洗废水包括清洗机清洗后不再使用的双氧水、清洗剂、氢氧化钠溶液、纯水，混合排入综合污水处理站进行处理。</w:t>
      </w:r>
      <w:r>
        <w:rPr>
          <w:rFonts w:hint="default" w:ascii="Times New Roman" w:hAnsi="Times New Roman" w:cs="Times New Roman"/>
          <w:color w:val="auto"/>
          <w:lang w:val="en-US" w:eastAsia="zh-CN"/>
        </w:rPr>
        <w:t>根据建设单位提供资料，双氧水用量为153t/a（0.42m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vertAlign w:val="baseline"/>
          <w:lang w:val="en-US" w:eastAsia="zh-CN"/>
        </w:rPr>
        <w:t>/d</w:t>
      </w:r>
      <w:r>
        <w:rPr>
          <w:rFonts w:hint="default" w:ascii="Times New Roman" w:hAnsi="Times New Roman" w:cs="Times New Roman"/>
          <w:color w:val="auto"/>
          <w:lang w:val="en-US" w:eastAsia="zh-CN"/>
        </w:rPr>
        <w:t>）</w:t>
      </w:r>
      <w:r>
        <w:rPr>
          <w:rFonts w:hint="default" w:ascii="Times New Roman" w:hAnsi="Times New Roman" w:cs="Times New Roman"/>
          <w:color w:val="auto"/>
          <w:vertAlign w:val="baseline"/>
          <w:lang w:val="en-US" w:eastAsia="zh-CN"/>
        </w:rPr>
        <w:t>、清洗剂用量为339t/a（0.93</w:t>
      </w:r>
      <w:r>
        <w:rPr>
          <w:rFonts w:hint="default" w:ascii="Times New Roman" w:hAnsi="Times New Roman" w:cs="Times New Roman"/>
          <w:color w:val="auto"/>
          <w:lang w:val="en-US" w:eastAsia="zh-CN"/>
        </w:rPr>
        <w:t>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vertAlign w:val="baseline"/>
          <w:lang w:val="en-US" w:eastAsia="zh-CN"/>
        </w:rPr>
        <w:t>/d</w:t>
      </w:r>
      <w:r>
        <w:rPr>
          <w:rFonts w:hint="default" w:ascii="Times New Roman" w:hAnsi="Times New Roman" w:cs="Times New Roman"/>
          <w:color w:val="auto"/>
          <w:lang w:val="en-US" w:eastAsia="zh-CN"/>
        </w:rPr>
        <w:t>）</w:t>
      </w:r>
      <w:r>
        <w:rPr>
          <w:rFonts w:hint="default" w:ascii="Times New Roman" w:hAnsi="Times New Roman" w:cs="Times New Roman"/>
          <w:color w:val="auto"/>
          <w:vertAlign w:val="baseline"/>
          <w:lang w:val="en-US" w:eastAsia="zh-CN"/>
        </w:rPr>
        <w:t>、5%氢氧化钠溶液用水为321m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vertAlign w:val="baseline"/>
          <w:lang w:val="en-US" w:eastAsia="zh-CN"/>
        </w:rPr>
        <w:t>/a（0.88</w:t>
      </w:r>
      <w:r>
        <w:rPr>
          <w:rFonts w:hint="default" w:ascii="Times New Roman" w:hAnsi="Times New Roman" w:cs="Times New Roman"/>
          <w:color w:val="auto"/>
          <w:lang w:val="en-US" w:eastAsia="zh-CN"/>
        </w:rPr>
        <w:t>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vertAlign w:val="baseline"/>
          <w:lang w:val="en-US" w:eastAsia="zh-CN"/>
        </w:rPr>
        <w:t>/d）、纯水冲洗量为2m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vertAlign w:val="baseline"/>
          <w:lang w:val="en-US" w:eastAsia="zh-CN"/>
        </w:rPr>
        <w:t>/（台·h）（384m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vertAlign w:val="baseline"/>
          <w:lang w:val="en-US" w:eastAsia="zh-CN"/>
        </w:rPr>
        <w:t>/d）。则切片精洗需用水386.23m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vertAlign w:val="baseline"/>
          <w:lang w:val="en-US" w:eastAsia="zh-CN"/>
        </w:rPr>
        <w:t>/d，</w:t>
      </w:r>
      <w:r>
        <w:rPr>
          <w:rFonts w:hint="default" w:ascii="Times New Roman" w:hAnsi="Times New Roman" w:cs="Times New Roman"/>
          <w:snapToGrid w:val="0"/>
          <w:color w:val="auto"/>
          <w:szCs w:val="20"/>
        </w:rPr>
        <w:t>产污系数按0.</w:t>
      </w:r>
      <w:r>
        <w:rPr>
          <w:rFonts w:hint="default" w:ascii="Times New Roman" w:hAnsi="Times New Roman" w:cs="Times New Roman"/>
          <w:snapToGrid w:val="0"/>
          <w:color w:val="auto"/>
          <w:szCs w:val="20"/>
          <w:lang w:val="en-US" w:eastAsia="zh-CN"/>
        </w:rPr>
        <w:t>9</w:t>
      </w:r>
      <w:r>
        <w:rPr>
          <w:rFonts w:hint="default" w:ascii="Times New Roman" w:hAnsi="Times New Roman" w:cs="Times New Roman"/>
          <w:snapToGrid w:val="0"/>
          <w:color w:val="auto"/>
          <w:szCs w:val="20"/>
        </w:rPr>
        <w:t>计，则废水产生量为</w:t>
      </w:r>
      <w:r>
        <w:rPr>
          <w:rFonts w:hint="default" w:ascii="Times New Roman" w:hAnsi="Times New Roman" w:cs="Times New Roman"/>
          <w:snapToGrid w:val="0"/>
          <w:color w:val="auto"/>
          <w:szCs w:val="20"/>
          <w:lang w:val="en-US" w:eastAsia="zh-CN"/>
        </w:rPr>
        <w:t>347.61</w:t>
      </w:r>
      <w:r>
        <w:rPr>
          <w:rFonts w:hint="default" w:ascii="Times New Roman" w:hAnsi="Times New Roman" w:cs="Times New Roman"/>
          <w:snapToGrid w:val="0"/>
          <w:color w:val="auto"/>
          <w:szCs w:val="20"/>
        </w:rPr>
        <w:t>m</w:t>
      </w:r>
      <w:r>
        <w:rPr>
          <w:rFonts w:hint="default" w:ascii="Times New Roman" w:hAnsi="Times New Roman" w:cs="Times New Roman"/>
          <w:snapToGrid w:val="0"/>
          <w:color w:val="auto"/>
          <w:szCs w:val="20"/>
          <w:vertAlign w:val="superscript"/>
        </w:rPr>
        <w:t>3</w:t>
      </w:r>
      <w:r>
        <w:rPr>
          <w:rFonts w:hint="default" w:ascii="Times New Roman" w:hAnsi="Times New Roman" w:cs="Times New Roman"/>
          <w:snapToGrid w:val="0"/>
          <w:color w:val="auto"/>
          <w:szCs w:val="20"/>
        </w:rPr>
        <w:t>/d</w:t>
      </w:r>
      <w:r>
        <w:rPr>
          <w:rFonts w:hint="default" w:ascii="Times New Roman" w:hAnsi="Times New Roman" w:cs="Times New Roman"/>
          <w:snapToGrid w:val="0"/>
          <w:color w:val="auto"/>
          <w:szCs w:val="20"/>
          <w:lang w:eastAsia="zh-CN"/>
        </w:rPr>
        <w:t>，为高浓度有机废水，主要污染物为</w:t>
      </w:r>
      <w:r>
        <w:rPr>
          <w:rFonts w:hint="default" w:ascii="Times New Roman" w:hAnsi="Times New Roman" w:cs="Times New Roman"/>
          <w:snapToGrid w:val="0"/>
          <w:color w:val="auto"/>
          <w:szCs w:val="20"/>
          <w:lang w:val="en-US" w:eastAsia="zh-CN"/>
        </w:rPr>
        <w:t>COD、BOD</w:t>
      </w:r>
      <w:r>
        <w:rPr>
          <w:rFonts w:hint="default" w:ascii="Times New Roman" w:hAnsi="Times New Roman" w:cs="Times New Roman"/>
          <w:color w:val="FF0000"/>
          <w:sz w:val="21"/>
          <w:szCs w:val="21"/>
          <w:vertAlign w:val="subscript"/>
        </w:rPr>
        <w:t>5</w:t>
      </w:r>
      <w:r>
        <w:rPr>
          <w:rFonts w:hint="default" w:ascii="Times New Roman" w:hAnsi="Times New Roman" w:cs="Times New Roman"/>
          <w:snapToGrid w:val="0"/>
          <w:color w:val="auto"/>
          <w:szCs w:val="20"/>
          <w:lang w:val="en-US" w:eastAsia="zh-CN"/>
        </w:rPr>
        <w:t>，</w:t>
      </w:r>
      <w:r>
        <w:rPr>
          <w:rFonts w:hint="default" w:ascii="Times New Roman" w:hAnsi="Times New Roman" w:cs="Times New Roman"/>
          <w:snapToGrid w:val="0"/>
          <w:color w:val="auto"/>
          <w:szCs w:val="20"/>
        </w:rPr>
        <w:t>进入</w:t>
      </w:r>
      <w:r>
        <w:rPr>
          <w:rFonts w:hint="default" w:ascii="Times New Roman" w:hAnsi="Times New Roman" w:cs="Times New Roman"/>
          <w:snapToGrid w:val="0"/>
          <w:color w:val="auto"/>
          <w:szCs w:val="20"/>
          <w:lang w:eastAsia="zh-CN"/>
        </w:rPr>
        <w:t>综合污水处理站</w:t>
      </w:r>
      <w:r>
        <w:rPr>
          <w:rFonts w:hint="default" w:ascii="Times New Roman" w:hAnsi="Times New Roman" w:cs="Times New Roman"/>
          <w:snapToGrid w:val="0"/>
          <w:color w:val="auto"/>
          <w:szCs w:val="20"/>
        </w:rPr>
        <w:t>处理</w:t>
      </w:r>
      <w:r>
        <w:rPr>
          <w:rFonts w:hint="default" w:ascii="Times New Roman" w:hAnsi="Times New Roman" w:cs="Times New Roman"/>
          <w:snapToGrid w:val="0"/>
          <w:color w:val="auto"/>
          <w:szCs w:val="20"/>
          <w:lang w:eastAsia="zh-CN"/>
        </w:rPr>
        <w:t>。</w:t>
      </w:r>
      <w:r>
        <w:rPr>
          <w:rFonts w:hint="default" w:ascii="Times New Roman" w:hAnsi="Times New Roman" w:cs="Times New Roman"/>
          <w:snapToGrid w:val="0"/>
          <w:color w:val="auto"/>
          <w:szCs w:val="20"/>
        </w:rPr>
        <w:t>类比同类项目，COD</w:t>
      </w:r>
      <w:r>
        <w:rPr>
          <w:rFonts w:hint="default" w:ascii="Times New Roman" w:hAnsi="Times New Roman" w:cs="Times New Roman"/>
          <w:color w:val="auto"/>
        </w:rPr>
        <w:t>浓度在</w:t>
      </w:r>
      <w:r>
        <w:rPr>
          <w:rFonts w:hint="default" w:ascii="Times New Roman" w:hAnsi="Times New Roman" w:cs="Times New Roman"/>
          <w:color w:val="auto"/>
          <w:lang w:val="en-US" w:eastAsia="zh-CN"/>
        </w:rPr>
        <w:t>1200</w:t>
      </w:r>
      <w:r>
        <w:rPr>
          <w:rFonts w:hint="default" w:ascii="Times New Roman" w:hAnsi="Times New Roman" w:cs="Times New Roman"/>
          <w:color w:val="auto"/>
        </w:rPr>
        <w:t>~</w:t>
      </w:r>
      <w:r>
        <w:rPr>
          <w:rFonts w:hint="default" w:ascii="Times New Roman" w:hAnsi="Times New Roman" w:cs="Times New Roman"/>
          <w:color w:val="auto"/>
          <w:lang w:val="en-US" w:eastAsia="zh-CN"/>
        </w:rPr>
        <w:t>1500</w:t>
      </w:r>
      <w:r>
        <w:rPr>
          <w:rFonts w:hint="default" w:ascii="Times New Roman" w:hAnsi="Times New Roman" w:cs="Times New Roman"/>
          <w:color w:val="auto"/>
        </w:rPr>
        <w:t>mg/L、BOD</w:t>
      </w:r>
      <w:r>
        <w:rPr>
          <w:rFonts w:hint="default" w:ascii="Times New Roman" w:hAnsi="Times New Roman" w:cs="Times New Roman"/>
          <w:color w:val="FF0000"/>
          <w:sz w:val="21"/>
          <w:szCs w:val="21"/>
          <w:vertAlign w:val="subscript"/>
        </w:rPr>
        <w:t>5</w:t>
      </w:r>
      <w:r>
        <w:rPr>
          <w:rFonts w:hint="default" w:ascii="Times New Roman" w:hAnsi="Times New Roman" w:cs="Times New Roman"/>
          <w:color w:val="auto"/>
        </w:rPr>
        <w:t>浓度约为</w:t>
      </w:r>
      <w:r>
        <w:rPr>
          <w:rFonts w:hint="default" w:ascii="Times New Roman" w:hAnsi="Times New Roman" w:cs="Times New Roman"/>
          <w:color w:val="auto"/>
          <w:lang w:val="en-US" w:eastAsia="zh-CN"/>
        </w:rPr>
        <w:t>400~500m</w:t>
      </w:r>
      <w:r>
        <w:rPr>
          <w:rFonts w:hint="default" w:ascii="Times New Roman" w:hAnsi="Times New Roman" w:cs="Times New Roman"/>
          <w:color w:val="auto"/>
        </w:rPr>
        <w:t>g/L</w:t>
      </w:r>
      <w:r>
        <w:rPr>
          <w:rFonts w:hint="default" w:ascii="Times New Roman" w:hAnsi="Times New Roman" w:cs="Times New Roman"/>
          <w:color w:val="auto"/>
          <w:lang w:eastAsia="zh-CN"/>
        </w:rPr>
        <w:t>、阴离子表面活性剂浓度约为</w:t>
      </w:r>
      <w:r>
        <w:rPr>
          <w:rFonts w:hint="default" w:ascii="Times New Roman" w:hAnsi="Times New Roman" w:cs="Times New Roman"/>
          <w:color w:val="auto"/>
          <w:lang w:val="en-US" w:eastAsia="zh-CN"/>
        </w:rPr>
        <w:t>200</w:t>
      </w:r>
      <w:r>
        <w:rPr>
          <w:rFonts w:hint="default" w:ascii="Times New Roman" w:hAnsi="Times New Roman" w:cs="Times New Roman"/>
          <w:color w:val="auto"/>
        </w:rPr>
        <w:t>~</w:t>
      </w:r>
      <w:r>
        <w:rPr>
          <w:rFonts w:hint="default" w:ascii="Times New Roman" w:hAnsi="Times New Roman" w:cs="Times New Roman"/>
          <w:color w:val="auto"/>
          <w:lang w:val="en-US" w:eastAsia="zh-CN"/>
        </w:rPr>
        <w:t>3</w:t>
      </w:r>
      <w:r>
        <w:rPr>
          <w:rFonts w:hint="default" w:ascii="Times New Roman" w:hAnsi="Times New Roman" w:cs="Times New Roman"/>
          <w:color w:val="auto"/>
        </w:rPr>
        <w:t>00mg/L</w:t>
      </w:r>
      <w:r>
        <w:rPr>
          <w:rFonts w:hint="default" w:ascii="Times New Roman" w:hAnsi="Times New Roman" w:cs="Times New Roman"/>
          <w:color w:val="auto"/>
          <w:lang w:eastAsia="zh-CN"/>
        </w:rPr>
        <w:t>之间</w:t>
      </w:r>
      <w:r>
        <w:rPr>
          <w:rFonts w:hint="default" w:ascii="Times New Roman" w:hAnsi="Times New Roman" w:cs="Times New Roman"/>
          <w:snapToGrid w:val="0"/>
          <w:color w:val="auto"/>
          <w:szCs w:val="20"/>
        </w:rPr>
        <w:t>。</w:t>
      </w:r>
    </w:p>
    <w:p>
      <w:pPr>
        <w:spacing w:line="360" w:lineRule="auto"/>
        <w:ind w:firstLine="480" w:firstLineChars="20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⑤纯水制备产生的浓水</w:t>
      </w:r>
    </w:p>
    <w:p>
      <w:pPr>
        <w:spacing w:line="360" w:lineRule="auto"/>
        <w:ind w:firstLine="480" w:firstLineChars="200"/>
        <w:rPr>
          <w:rFonts w:hint="default" w:ascii="Times New Roman" w:hAnsi="Times New Roman" w:eastAsia="宋体" w:cs="Times New Roman"/>
          <w:color w:val="auto"/>
          <w:vertAlign w:val="baseline"/>
          <w:lang w:val="en-US" w:eastAsia="zh-CN"/>
        </w:rPr>
      </w:pPr>
      <w:r>
        <w:rPr>
          <w:rFonts w:hint="default" w:ascii="Times New Roman" w:hAnsi="Times New Roman" w:cs="Times New Roman"/>
          <w:color w:val="auto"/>
          <w:lang w:eastAsia="zh-CN"/>
        </w:rPr>
        <w:t>根据上文分析，项目制取纯水量为</w:t>
      </w:r>
      <w:r>
        <w:rPr>
          <w:rFonts w:hint="default" w:ascii="Times New Roman" w:hAnsi="Times New Roman" w:cs="Times New Roman"/>
          <w:color w:val="auto"/>
          <w:lang w:val="en-US" w:eastAsia="zh-CN"/>
        </w:rPr>
        <w:t>638.79m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vertAlign w:val="baseline"/>
          <w:lang w:val="en-US" w:eastAsia="zh-CN"/>
        </w:rPr>
        <w:t>/d，浓水产生量为</w:t>
      </w:r>
      <w:r>
        <w:rPr>
          <w:rFonts w:hint="default" w:ascii="Times New Roman" w:hAnsi="Times New Roman" w:cs="Times New Roman"/>
          <w:snapToGrid w:val="0"/>
          <w:color w:val="auto"/>
          <w:szCs w:val="20"/>
          <w:vertAlign w:val="baseline"/>
          <w:lang w:val="en-US" w:eastAsia="zh-CN"/>
        </w:rPr>
        <w:t>958.19m</w:t>
      </w:r>
      <w:r>
        <w:rPr>
          <w:rFonts w:hint="default" w:ascii="Times New Roman" w:hAnsi="Times New Roman" w:cs="Times New Roman"/>
          <w:snapToGrid w:val="0"/>
          <w:color w:val="auto"/>
          <w:szCs w:val="20"/>
          <w:vertAlign w:val="superscript"/>
          <w:lang w:val="en-US" w:eastAsia="zh-CN"/>
        </w:rPr>
        <w:t>3</w:t>
      </w:r>
      <w:r>
        <w:rPr>
          <w:rFonts w:hint="default" w:ascii="Times New Roman" w:hAnsi="Times New Roman" w:cs="Times New Roman"/>
          <w:snapToGrid w:val="0"/>
          <w:color w:val="auto"/>
          <w:szCs w:val="20"/>
          <w:vertAlign w:val="baseline"/>
          <w:lang w:val="en-US" w:eastAsia="zh-CN"/>
        </w:rPr>
        <w:t>/d</w:t>
      </w:r>
      <w:r>
        <w:rPr>
          <w:rFonts w:hint="default" w:ascii="Times New Roman" w:hAnsi="Times New Roman" w:cs="Times New Roman"/>
          <w:color w:val="auto"/>
          <w:vertAlign w:val="baseline"/>
          <w:lang w:val="en-US" w:eastAsia="zh-CN"/>
        </w:rPr>
        <w:t>，浓水为污染物含量较少的清净下水，其中</w:t>
      </w:r>
      <w:r>
        <w:rPr>
          <w:rFonts w:hint="default" w:ascii="Times New Roman" w:hAnsi="Times New Roman" w:cs="Times New Roman"/>
          <w:snapToGrid w:val="0"/>
          <w:color w:val="auto"/>
          <w:szCs w:val="20"/>
          <w:vertAlign w:val="baseline"/>
          <w:lang w:val="en-US" w:eastAsia="zh-CN"/>
        </w:rPr>
        <w:t>744.92</w:t>
      </w:r>
      <w:r>
        <w:rPr>
          <w:rFonts w:hint="default" w:ascii="Times New Roman" w:hAnsi="Times New Roman" w:cs="Times New Roman"/>
          <w:color w:val="auto"/>
          <w:vertAlign w:val="baseline"/>
          <w:lang w:val="en-US" w:eastAsia="zh-CN"/>
        </w:rPr>
        <w:t>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vertAlign w:val="baseline"/>
          <w:lang w:val="en-US" w:eastAsia="zh-CN"/>
        </w:rPr>
        <w:t>/d用于切片初洗，剩余213.27m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vertAlign w:val="baseline"/>
          <w:lang w:val="en-US" w:eastAsia="zh-CN"/>
        </w:rPr>
        <w:t>/d浓水接入市政污水管网中。</w:t>
      </w:r>
    </w:p>
    <w:p>
      <w:pPr>
        <w:spacing w:line="360" w:lineRule="auto"/>
        <w:ind w:firstLine="48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⑥含氟废水</w:t>
      </w:r>
    </w:p>
    <w:p>
      <w:pPr>
        <w:pStyle w:val="2"/>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项目产生的含氟废水包括吸杂车间酸洗废水和四级氢氧化钠洗涤塔洗涤废水。</w:t>
      </w:r>
    </w:p>
    <w:p>
      <w:pPr>
        <w:pStyle w:val="2"/>
        <w:rPr>
          <w:rFonts w:hint="default" w:ascii="Times New Roman" w:hAnsi="Times New Roman" w:cs="Times New Roman"/>
          <w:color w:val="auto"/>
          <w:vertAlign w:val="baseline"/>
          <w:lang w:val="en-US" w:eastAsia="zh-CN"/>
        </w:rPr>
      </w:pPr>
      <w:r>
        <w:rPr>
          <w:rFonts w:hint="default" w:ascii="Times New Roman" w:hAnsi="Times New Roman" w:cs="Times New Roman"/>
          <w:color w:val="auto"/>
          <w:lang w:val="en-US" w:eastAsia="zh-CN"/>
        </w:rPr>
        <w:t>吸杂车间使用氢氟酸和盐酸混合后对单晶硅片进行酸洗，盐酸用量为0.01m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vertAlign w:val="baseline"/>
          <w:lang w:val="en-US" w:eastAsia="zh-CN"/>
        </w:rPr>
        <w:t>/d、氢氟酸用量为0.75m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vertAlign w:val="baseline"/>
          <w:lang w:val="en-US" w:eastAsia="zh-CN"/>
        </w:rPr>
        <w:t>/d，则废酸液产生量为0.76m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vertAlign w:val="baseline"/>
          <w:lang w:val="en-US" w:eastAsia="zh-CN"/>
        </w:rPr>
        <w:t>/d。废酸液进入含氟废水处理站处理后，再进入综合污水处理站处理。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vertAlign w:val="baseline"/>
          <w:lang w:val="en-US" w:eastAsia="zh-CN"/>
        </w:rPr>
      </w:pPr>
      <w:r>
        <w:rPr>
          <w:rFonts w:hint="default" w:ascii="Times New Roman" w:hAnsi="Times New Roman" w:cs="Times New Roman"/>
          <w:color w:val="auto"/>
          <w:lang w:val="en-US" w:eastAsia="zh-CN"/>
        </w:rPr>
        <w:t>四级氢氧化钠洗涤塔采用氢氧化钠溶液对吸杂车间产生的酸洗废气进行治理，根据建设单位提供资料，氢氧化钠溶液补充量为0.38m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vertAlign w:val="baseline"/>
          <w:lang w:val="en-US" w:eastAsia="zh-CN"/>
        </w:rPr>
        <w:t>/d，产污系数按0.9计，则洗涤废水产生量为0.34</w:t>
      </w:r>
      <w:r>
        <w:rPr>
          <w:rFonts w:hint="default" w:ascii="Times New Roman" w:hAnsi="Times New Roman" w:cs="Times New Roman"/>
          <w:color w:val="auto"/>
          <w:lang w:val="en-US" w:eastAsia="zh-CN"/>
        </w:rPr>
        <w:t>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vertAlign w:val="baseline"/>
          <w:lang w:val="en-US" w:eastAsia="zh-CN"/>
        </w:rPr>
        <w:t>/d，洗涤废水进入含氟废水理站处理后，再进入综合污水处理站处理。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含氟废水中主要污染物为氟化物，类比原有项目含氟废水处理站验收监测进出口数据，氟化物进口浓度为149.33mg/L，出口浓度为7.10mg/L。</w:t>
      </w:r>
    </w:p>
    <w:p>
      <w:pPr>
        <w:spacing w:line="360" w:lineRule="auto"/>
        <w:ind w:firstLine="48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⑦综合污水处理站碱吸收废水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vertAlign w:val="baseline"/>
          <w:lang w:val="en-US" w:eastAsia="zh-CN"/>
        </w:rPr>
      </w:pPr>
      <w:r>
        <w:rPr>
          <w:rFonts w:hint="default" w:ascii="Times New Roman" w:hAnsi="Times New Roman" w:cs="Times New Roman"/>
          <w:color w:val="auto"/>
          <w:lang w:val="en-US" w:eastAsia="zh-CN"/>
        </w:rPr>
        <w:t>综合污水处理站除臭系统（碱吸收）采用氢氧化钠溶液对恶臭进行治理，根据建设单位提供资料，氢氧化钠溶液补充量为0.15m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vertAlign w:val="baseline"/>
          <w:lang w:val="en-US" w:eastAsia="zh-CN"/>
        </w:rPr>
        <w:t>/d，产污系数按0.9计，则洗涤废水产生量为0.14</w:t>
      </w:r>
      <w:r>
        <w:rPr>
          <w:rFonts w:hint="default" w:ascii="Times New Roman" w:hAnsi="Times New Roman" w:cs="Times New Roman"/>
          <w:color w:val="auto"/>
          <w:lang w:val="en-US" w:eastAsia="zh-CN"/>
        </w:rPr>
        <w:t>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vertAlign w:val="baseline"/>
          <w:lang w:val="en-US" w:eastAsia="zh-CN"/>
        </w:rPr>
        <w:t>/d。废水中</w:t>
      </w:r>
      <w:r>
        <w:rPr>
          <w:rFonts w:hint="default" w:ascii="Times New Roman" w:hAnsi="Times New Roman" w:cs="Times New Roman"/>
          <w:snapToGrid w:val="0"/>
          <w:color w:val="auto"/>
          <w:szCs w:val="20"/>
          <w:lang w:eastAsia="zh-CN"/>
        </w:rPr>
        <w:t>主要污染物为</w:t>
      </w:r>
      <w:r>
        <w:rPr>
          <w:rFonts w:hint="default" w:ascii="Times New Roman" w:hAnsi="Times New Roman" w:cs="Times New Roman"/>
          <w:snapToGrid w:val="0"/>
          <w:color w:val="auto"/>
          <w:szCs w:val="20"/>
          <w:lang w:val="en-US" w:eastAsia="zh-CN"/>
        </w:rPr>
        <w:t>pH、盐类，</w:t>
      </w:r>
      <w:r>
        <w:rPr>
          <w:rFonts w:hint="default" w:ascii="Times New Roman" w:hAnsi="Times New Roman" w:cs="Times New Roman"/>
          <w:snapToGrid w:val="0"/>
          <w:color w:val="auto"/>
          <w:szCs w:val="20"/>
        </w:rPr>
        <w:t>进入</w:t>
      </w:r>
      <w:r>
        <w:rPr>
          <w:rFonts w:hint="default" w:ascii="Times New Roman" w:hAnsi="Times New Roman" w:cs="Times New Roman"/>
          <w:snapToGrid w:val="0"/>
          <w:color w:val="auto"/>
          <w:szCs w:val="20"/>
          <w:lang w:eastAsia="zh-CN"/>
        </w:rPr>
        <w:t>综合污水处理站</w:t>
      </w:r>
      <w:r>
        <w:rPr>
          <w:rFonts w:hint="default" w:ascii="Times New Roman" w:hAnsi="Times New Roman" w:cs="Times New Roman"/>
          <w:snapToGrid w:val="0"/>
          <w:color w:val="auto"/>
          <w:szCs w:val="20"/>
        </w:rPr>
        <w:t>处理</w:t>
      </w:r>
      <w:r>
        <w:rPr>
          <w:rFonts w:hint="default" w:ascii="Times New Roman" w:hAnsi="Times New Roman" w:cs="Times New Roman"/>
          <w:snapToGrid w:val="0"/>
          <w:color w:val="auto"/>
          <w:szCs w:val="20"/>
          <w:lang w:eastAsia="zh-CN"/>
        </w:rPr>
        <w:t>。</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lang w:val="en-US" w:eastAsia="zh-CN"/>
        </w:rPr>
        <w:t>（2）</w:t>
      </w:r>
      <w:r>
        <w:rPr>
          <w:rFonts w:hint="default" w:ascii="Times New Roman" w:hAnsi="Times New Roman" w:cs="Times New Roman"/>
          <w:color w:val="auto"/>
        </w:rPr>
        <w:t>生活废水</w:t>
      </w:r>
    </w:p>
    <w:p>
      <w:pPr>
        <w:spacing w:line="360" w:lineRule="auto"/>
        <w:ind w:firstLine="48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根据上文分析，项目生活用水量为</w:t>
      </w:r>
      <w:r>
        <w:rPr>
          <w:rFonts w:hint="default" w:ascii="Times New Roman" w:hAnsi="Times New Roman" w:cs="Times New Roman"/>
          <w:color w:val="auto"/>
          <w:lang w:val="en-US" w:eastAsia="zh-CN"/>
        </w:rPr>
        <w:t>22m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vertAlign w:val="baseline"/>
          <w:lang w:val="en-US" w:eastAsia="zh-CN"/>
        </w:rPr>
        <w:t>/d，</w:t>
      </w:r>
      <w:r>
        <w:rPr>
          <w:rFonts w:hint="default" w:ascii="Times New Roman" w:hAnsi="Times New Roman" w:cs="Times New Roman"/>
          <w:snapToGrid w:val="0"/>
          <w:color w:val="auto"/>
          <w:szCs w:val="20"/>
        </w:rPr>
        <w:t>产污系数按0.</w:t>
      </w:r>
      <w:r>
        <w:rPr>
          <w:rFonts w:hint="default" w:ascii="Times New Roman" w:hAnsi="Times New Roman" w:cs="Times New Roman"/>
          <w:snapToGrid w:val="0"/>
          <w:color w:val="auto"/>
          <w:szCs w:val="20"/>
          <w:lang w:val="en-US" w:eastAsia="zh-CN"/>
        </w:rPr>
        <w:t>9</w:t>
      </w:r>
      <w:r>
        <w:rPr>
          <w:rFonts w:hint="default" w:ascii="Times New Roman" w:hAnsi="Times New Roman" w:cs="Times New Roman"/>
          <w:snapToGrid w:val="0"/>
          <w:color w:val="auto"/>
          <w:szCs w:val="20"/>
        </w:rPr>
        <w:t>计</w:t>
      </w:r>
      <w:r>
        <w:rPr>
          <w:rFonts w:hint="default" w:ascii="Times New Roman" w:hAnsi="Times New Roman" w:cs="Times New Roman"/>
          <w:snapToGrid w:val="0"/>
          <w:color w:val="auto"/>
          <w:szCs w:val="20"/>
          <w:lang w:eastAsia="zh-CN"/>
        </w:rPr>
        <w:t>，则生活废水产生量为</w:t>
      </w:r>
      <w:r>
        <w:rPr>
          <w:rFonts w:hint="default" w:ascii="Times New Roman" w:hAnsi="Times New Roman" w:cs="Times New Roman"/>
          <w:snapToGrid w:val="0"/>
          <w:color w:val="auto"/>
          <w:szCs w:val="20"/>
          <w:lang w:val="en-US" w:eastAsia="zh-CN"/>
        </w:rPr>
        <w:t>19.8m</w:t>
      </w:r>
      <w:r>
        <w:rPr>
          <w:rFonts w:hint="default" w:ascii="Times New Roman" w:hAnsi="Times New Roman" w:cs="Times New Roman"/>
          <w:snapToGrid w:val="0"/>
          <w:color w:val="auto"/>
          <w:szCs w:val="20"/>
          <w:vertAlign w:val="superscript"/>
          <w:lang w:val="en-US" w:eastAsia="zh-CN"/>
        </w:rPr>
        <w:t>3</w:t>
      </w:r>
      <w:r>
        <w:rPr>
          <w:rFonts w:hint="default" w:ascii="Times New Roman" w:hAnsi="Times New Roman" w:cs="Times New Roman"/>
          <w:snapToGrid w:val="0"/>
          <w:color w:val="auto"/>
          <w:szCs w:val="20"/>
          <w:vertAlign w:val="baseline"/>
          <w:lang w:val="en-US" w:eastAsia="zh-CN"/>
        </w:rPr>
        <w:t>/d，主要污染物为</w:t>
      </w:r>
      <w:r>
        <w:rPr>
          <w:rFonts w:hint="default" w:ascii="Times New Roman" w:hAnsi="Times New Roman" w:cs="Times New Roman"/>
          <w:color w:val="auto"/>
        </w:rPr>
        <w:t>COD、BOD</w:t>
      </w:r>
      <w:r>
        <w:rPr>
          <w:rFonts w:hint="default" w:ascii="Times New Roman" w:hAnsi="Times New Roman" w:cs="Times New Roman"/>
          <w:color w:val="auto"/>
          <w:vertAlign w:val="subscript"/>
        </w:rPr>
        <w:t>5</w:t>
      </w:r>
      <w:r>
        <w:rPr>
          <w:rFonts w:hint="default" w:ascii="Times New Roman" w:hAnsi="Times New Roman" w:cs="Times New Roman"/>
          <w:color w:val="auto"/>
        </w:rPr>
        <w:t>、SS、动植物油。</w:t>
      </w:r>
      <w:r>
        <w:rPr>
          <w:rFonts w:hint="default" w:ascii="Times New Roman" w:hAnsi="Times New Roman" w:cs="Times New Roman"/>
          <w:color w:val="auto"/>
          <w:lang w:eastAsia="zh-CN"/>
        </w:rPr>
        <w:t>生活废水经隔油池、化粪池处理后排入市政污水管网。</w:t>
      </w:r>
      <w:r>
        <w:rPr>
          <w:rFonts w:hint="default" w:ascii="Times New Roman" w:hAnsi="Times New Roman" w:cs="Times New Roman"/>
          <w:color w:val="auto"/>
        </w:rPr>
        <w:t>类比其他项目生活废水数据，COD在400~500</w:t>
      </w:r>
      <w:r>
        <w:rPr>
          <w:rFonts w:hint="default" w:ascii="Times New Roman" w:hAnsi="Times New Roman" w:cs="Times New Roman"/>
          <w:color w:val="auto"/>
          <w:szCs w:val="21"/>
        </w:rPr>
        <w:t>mg/L</w:t>
      </w:r>
      <w:r>
        <w:rPr>
          <w:rFonts w:hint="default" w:ascii="Times New Roman" w:hAnsi="Times New Roman" w:cs="Times New Roman"/>
          <w:color w:val="auto"/>
        </w:rPr>
        <w:t>、BOD</w:t>
      </w:r>
      <w:r>
        <w:rPr>
          <w:rFonts w:hint="default" w:ascii="Times New Roman" w:hAnsi="Times New Roman" w:cs="Times New Roman"/>
          <w:color w:val="FF0000"/>
          <w:sz w:val="21"/>
          <w:szCs w:val="21"/>
          <w:vertAlign w:val="subscript"/>
        </w:rPr>
        <w:t>5</w:t>
      </w:r>
      <w:r>
        <w:rPr>
          <w:rFonts w:hint="default" w:ascii="Times New Roman" w:hAnsi="Times New Roman" w:cs="Times New Roman"/>
          <w:color w:val="auto"/>
        </w:rPr>
        <w:t>在150~200</w:t>
      </w:r>
      <w:r>
        <w:rPr>
          <w:rFonts w:hint="default" w:ascii="Times New Roman" w:hAnsi="Times New Roman" w:cs="Times New Roman"/>
          <w:color w:val="auto"/>
          <w:szCs w:val="21"/>
        </w:rPr>
        <w:t>mg/L</w:t>
      </w:r>
      <w:r>
        <w:rPr>
          <w:rFonts w:hint="default" w:ascii="Times New Roman" w:hAnsi="Times New Roman" w:cs="Times New Roman"/>
          <w:color w:val="auto"/>
        </w:rPr>
        <w:t>、SS在150~200</w:t>
      </w:r>
      <w:r>
        <w:rPr>
          <w:rFonts w:hint="default" w:ascii="Times New Roman" w:hAnsi="Times New Roman" w:cs="Times New Roman"/>
          <w:color w:val="auto"/>
          <w:szCs w:val="21"/>
        </w:rPr>
        <w:t>mg/L</w:t>
      </w:r>
      <w:r>
        <w:rPr>
          <w:rFonts w:hint="default" w:ascii="Times New Roman" w:hAnsi="Times New Roman" w:cs="Times New Roman"/>
          <w:color w:val="auto"/>
        </w:rPr>
        <w:t>、动植物油在40~50</w:t>
      </w:r>
      <w:r>
        <w:rPr>
          <w:rFonts w:hint="default" w:ascii="Times New Roman" w:hAnsi="Times New Roman" w:cs="Times New Roman"/>
          <w:color w:val="auto"/>
          <w:szCs w:val="21"/>
        </w:rPr>
        <w:t>mg/L之间。</w:t>
      </w:r>
    </w:p>
    <w:p>
      <w:pPr>
        <w:spacing w:line="360" w:lineRule="auto"/>
        <w:ind w:firstLine="480" w:firstLineChars="200"/>
        <w:rPr>
          <w:rFonts w:hint="default" w:ascii="Times New Roman" w:hAnsi="Times New Roman" w:eastAsia="宋体" w:cs="Times New Roman"/>
          <w:color w:val="FF0000"/>
          <w:vertAlign w:val="baseline"/>
          <w:lang w:val="en-US" w:eastAsia="zh-CN"/>
        </w:rPr>
      </w:pPr>
      <w:r>
        <w:rPr>
          <w:rFonts w:hint="default" w:ascii="Times New Roman" w:hAnsi="Times New Roman" w:cs="Times New Roman"/>
          <w:color w:val="auto"/>
          <w:lang w:val="en-US" w:eastAsia="zh-CN"/>
        </w:rPr>
        <w:t>综上所述，项目废水产生总量为1482.41m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vertAlign w:val="baseline"/>
          <w:lang w:val="en-US" w:eastAsia="zh-CN"/>
        </w:rPr>
        <w:t>/d，包括生产废水1462.61m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vertAlign w:val="baseline"/>
          <w:lang w:val="en-US" w:eastAsia="zh-CN"/>
        </w:rPr>
        <w:t>/d和生活废水19.8m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vertAlign w:val="baseline"/>
          <w:lang w:val="en-US" w:eastAsia="zh-CN"/>
        </w:rPr>
        <w:t>/d。生产废水中，含氟废水1.10m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vertAlign w:val="baseline"/>
          <w:lang w:val="en-US" w:eastAsia="zh-CN"/>
        </w:rPr>
        <w:t>/d进入含氟废水处理站处理后再进入综合污水处理站处理；切割废水、脱胶废水、切片初洗废水、切片精洗废水、碱吸收废水以及预处理后的含氟废水共计1249.34m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vertAlign w:val="baseline"/>
          <w:lang w:val="en-US" w:eastAsia="zh-CN"/>
        </w:rPr>
        <w:t>/d进入综合污水处理站处理</w:t>
      </w:r>
      <w:r>
        <w:rPr>
          <w:rFonts w:hint="default" w:ascii="Times New Roman" w:hAnsi="Times New Roman" w:cs="Times New Roman"/>
          <w:color w:val="auto"/>
          <w:szCs w:val="21"/>
          <w:lang w:eastAsia="zh-CN"/>
        </w:rPr>
        <w:t>；剩余</w:t>
      </w:r>
      <w:r>
        <w:rPr>
          <w:rFonts w:hint="default" w:ascii="Times New Roman" w:hAnsi="Times New Roman" w:cs="Times New Roman"/>
          <w:color w:val="auto"/>
          <w:szCs w:val="21"/>
          <w:lang w:val="en-US" w:eastAsia="zh-CN"/>
        </w:rPr>
        <w:t>213.27</w:t>
      </w:r>
      <w:r>
        <w:rPr>
          <w:rFonts w:hint="default" w:ascii="Times New Roman" w:hAnsi="Times New Roman" w:cs="Times New Roman"/>
          <w:color w:val="auto"/>
          <w:vertAlign w:val="baseline"/>
          <w:lang w:val="en-US" w:eastAsia="zh-CN"/>
        </w:rPr>
        <w:t>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vertAlign w:val="baseline"/>
          <w:lang w:val="en-US" w:eastAsia="zh-CN"/>
        </w:rPr>
        <w:t>/d纯水制备产生的浓水为清净下水，直接排入市政污水管网；生活废水19.8m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vertAlign w:val="baseline"/>
          <w:lang w:val="en-US" w:eastAsia="zh-CN"/>
        </w:rPr>
        <w:t>/d经隔油池、化粪池处理后排入市政污水管网。废水最终进入楚雄市富民工业园区污水处理厂进行处理。项目水平衡详见下图。</w:t>
      </w:r>
    </w:p>
    <w:p>
      <w:pPr>
        <w:pStyle w:val="27"/>
        <w:rPr>
          <w:rFonts w:hint="default" w:ascii="Times New Roman" w:hAnsi="Times New Roman" w:cs="Times New Roman"/>
          <w:color w:val="FF0000"/>
          <w:lang w:eastAsia="zh-CN"/>
        </w:rPr>
      </w:pPr>
    </w:p>
    <w:p>
      <w:pPr>
        <w:spacing w:line="360" w:lineRule="auto"/>
        <w:ind w:firstLine="480" w:firstLineChars="200"/>
        <w:rPr>
          <w:rFonts w:hint="default" w:ascii="Times New Roman" w:hAnsi="Times New Roman" w:cs="Times New Roman"/>
          <w:color w:val="FF0000"/>
        </w:rPr>
      </w:pPr>
    </w:p>
    <w:p>
      <w:pPr>
        <w:spacing w:line="360" w:lineRule="auto"/>
        <w:jc w:val="center"/>
        <w:rPr>
          <w:rFonts w:hint="default" w:ascii="Times New Roman" w:hAnsi="Times New Roman" w:cs="Times New Roman"/>
          <w:color w:val="FF0000"/>
        </w:rPr>
      </w:pPr>
      <w:r>
        <w:rPr>
          <w:rFonts w:hint="default" w:ascii="Times New Roman" w:hAnsi="Times New Roman" w:cs="Times New Roman"/>
          <w:color w:val="FF0000"/>
        </w:rPr>
        <w:object>
          <v:shape id="_x0000_i1027" o:spt="75" type="#_x0000_t75" style="height:458.6pt;width:415.4pt;" o:ole="t" filled="f" o:preferrelative="t" stroked="f" coordsize="21600,21600">
            <v:path/>
            <v:fill on="f" focussize="0,0"/>
            <v:stroke on="f"/>
            <v:imagedata r:id="rId20" o:title=""/>
            <o:lock v:ext="edit" aspectratio="f"/>
            <w10:wrap type="none"/>
            <w10:anchorlock/>
          </v:shape>
          <o:OLEObject Type="Embed" ProgID="Visio.Drawing.15" ShapeID="_x0000_i1027" DrawAspect="Content" ObjectID="_1468075728" r:id="rId19">
            <o:LockedField>false</o:LockedField>
          </o:OLEObject>
        </w:object>
      </w:r>
    </w:p>
    <w:p>
      <w:pPr>
        <w:pStyle w:val="133"/>
        <w:widowControl/>
        <w:numPr>
          <w:ilvl w:val="0"/>
          <w:numId w:val="12"/>
        </w:numPr>
        <w:spacing w:line="360" w:lineRule="auto"/>
        <w:ind w:left="420" w:leftChars="0" w:hanging="420" w:firstLineChars="0"/>
        <w:jc w:val="center"/>
        <w:rPr>
          <w:rFonts w:hint="default" w:ascii="Times New Roman" w:hAnsi="Times New Roman" w:cs="Times New Roman"/>
          <w:b/>
          <w:bCs/>
          <w:color w:val="auto"/>
        </w:rPr>
      </w:pPr>
      <w:r>
        <w:rPr>
          <w:rFonts w:hint="default" w:ascii="Times New Roman" w:hAnsi="Times New Roman" w:cs="Times New Roman"/>
          <w:b/>
          <w:bCs/>
          <w:color w:val="auto"/>
        </w:rPr>
        <w:t>本项目水平衡图</w:t>
      </w:r>
      <w:r>
        <w:rPr>
          <w:rFonts w:hint="default" w:ascii="Times New Roman" w:hAnsi="Times New Roman" w:cs="Times New Roman"/>
          <w:b/>
          <w:bCs/>
          <w:color w:val="auto"/>
          <w:lang w:val="en-US" w:eastAsia="zh-CN"/>
        </w:rPr>
        <w:t xml:space="preserve">   </w:t>
      </w:r>
      <w:r>
        <w:rPr>
          <w:rFonts w:hint="default" w:ascii="Times New Roman" w:hAnsi="Times New Roman" w:cs="Times New Roman"/>
          <w:b/>
          <w:bCs/>
          <w:color w:val="auto"/>
        </w:rPr>
        <w:t>单位：m</w:t>
      </w:r>
      <w:r>
        <w:rPr>
          <w:rFonts w:hint="default" w:ascii="Times New Roman" w:hAnsi="Times New Roman" w:cs="Times New Roman"/>
          <w:b/>
          <w:bCs/>
          <w:color w:val="auto"/>
          <w:vertAlign w:val="superscript"/>
        </w:rPr>
        <w:t>3</w:t>
      </w:r>
      <w:r>
        <w:rPr>
          <w:rFonts w:hint="default" w:ascii="Times New Roman" w:hAnsi="Times New Roman" w:cs="Times New Roman"/>
          <w:b/>
          <w:bCs/>
          <w:color w:val="auto"/>
        </w:rPr>
        <w:t>/d</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b w:val="0"/>
          <w:bCs w:val="0"/>
          <w:color w:val="FF000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cs="Times New Roman"/>
          <w:b/>
          <w:bCs/>
          <w:color w:val="FF000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cs="Times New Roman"/>
          <w:b/>
          <w:bCs/>
          <w:color w:val="FF000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cs="Times New Roman"/>
          <w:color w:val="FF0000"/>
        </w:rPr>
      </w:pPr>
      <w:r>
        <w:rPr>
          <w:rFonts w:hint="default" w:ascii="Times New Roman" w:hAnsi="Times New Roman" w:cs="Times New Roman"/>
          <w:color w:val="FF0000"/>
        </w:rPr>
        <w:object>
          <v:shape id="_x0000_i1028" o:spt="75" type="#_x0000_t75" style="height:458.6pt;width:415.4pt;" o:ole="t" filled="f" o:preferrelative="t" stroked="f" coordsize="21600,21600">
            <v:path/>
            <v:fill on="f" focussize="0,0"/>
            <v:stroke on="f"/>
            <v:imagedata r:id="rId22" o:title=""/>
            <o:lock v:ext="edit" aspectratio="f"/>
            <w10:wrap type="none"/>
            <w10:anchorlock/>
          </v:shape>
          <o:OLEObject Type="Embed" ProgID="Visio.Drawing.15" ShapeID="_x0000_i1028" DrawAspect="Content" ObjectID="_1468075729" r:id="rId21">
            <o:LockedField>false</o:LockedField>
          </o:OLEObject>
        </w:object>
      </w:r>
    </w:p>
    <w:p>
      <w:pPr>
        <w:pStyle w:val="133"/>
        <w:widowControl/>
        <w:numPr>
          <w:ilvl w:val="0"/>
          <w:numId w:val="12"/>
        </w:numPr>
        <w:spacing w:line="360" w:lineRule="auto"/>
        <w:ind w:left="420" w:leftChars="0" w:hanging="420" w:firstLineChars="0"/>
        <w:jc w:val="center"/>
        <w:rPr>
          <w:rFonts w:hint="default" w:ascii="Times New Roman" w:hAnsi="Times New Roman" w:cs="Times New Roman"/>
          <w:b/>
          <w:bCs/>
          <w:color w:val="auto"/>
        </w:rPr>
      </w:pPr>
      <w:r>
        <w:rPr>
          <w:rFonts w:hint="default" w:ascii="Times New Roman" w:hAnsi="Times New Roman" w:cs="Times New Roman"/>
          <w:b/>
          <w:bCs/>
          <w:color w:val="auto"/>
        </w:rPr>
        <w:t>本项目</w:t>
      </w:r>
      <w:r>
        <w:rPr>
          <w:rFonts w:hint="default" w:ascii="Times New Roman" w:hAnsi="Times New Roman" w:cs="Times New Roman"/>
          <w:b/>
          <w:bCs/>
          <w:color w:val="auto"/>
          <w:lang w:eastAsia="zh-CN"/>
        </w:rPr>
        <w:t>建成后切片车间</w:t>
      </w:r>
      <w:r>
        <w:rPr>
          <w:rFonts w:hint="default" w:ascii="Times New Roman" w:hAnsi="Times New Roman" w:cs="Times New Roman"/>
          <w:b/>
          <w:bCs/>
          <w:color w:val="auto"/>
        </w:rPr>
        <w:t>水平衡图</w:t>
      </w:r>
      <w:r>
        <w:rPr>
          <w:rFonts w:hint="default" w:ascii="Times New Roman" w:hAnsi="Times New Roman" w:cs="Times New Roman"/>
          <w:b/>
          <w:bCs/>
          <w:color w:val="auto"/>
          <w:lang w:val="en-US" w:eastAsia="zh-CN"/>
        </w:rPr>
        <w:t xml:space="preserve">   </w:t>
      </w:r>
      <w:r>
        <w:rPr>
          <w:rFonts w:hint="default" w:ascii="Times New Roman" w:hAnsi="Times New Roman" w:cs="Times New Roman"/>
          <w:b/>
          <w:bCs/>
          <w:color w:val="auto"/>
        </w:rPr>
        <w:t>单位：m</w:t>
      </w:r>
      <w:r>
        <w:rPr>
          <w:rFonts w:hint="default" w:ascii="Times New Roman" w:hAnsi="Times New Roman" w:cs="Times New Roman"/>
          <w:b/>
          <w:bCs/>
          <w:color w:val="auto"/>
          <w:vertAlign w:val="superscript"/>
        </w:rPr>
        <w:t>3</w:t>
      </w:r>
      <w:r>
        <w:rPr>
          <w:rFonts w:hint="default" w:ascii="Times New Roman" w:hAnsi="Times New Roman" w:cs="Times New Roman"/>
          <w:b/>
          <w:bCs/>
          <w:color w:val="auto"/>
        </w:rPr>
        <w:t>/d</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b w:val="0"/>
          <w:bCs w:val="0"/>
          <w:color w:val="auto"/>
          <w:lang w:val="en-US" w:eastAsia="zh-CN"/>
        </w:rPr>
      </w:pPr>
      <w:r>
        <w:rPr>
          <w:rFonts w:hint="default" w:ascii="Times New Roman" w:hAnsi="Times New Roman" w:cs="Times New Roman"/>
          <w:b w:val="0"/>
          <w:bCs w:val="0"/>
          <w:color w:val="auto"/>
          <w:lang w:val="en-US" w:eastAsia="zh-CN"/>
        </w:rPr>
        <w:t>本项目建成后切片车间</w:t>
      </w:r>
      <w:r>
        <w:rPr>
          <w:rFonts w:hint="default" w:ascii="Times New Roman" w:hAnsi="Times New Roman" w:cs="Times New Roman"/>
          <w:color w:val="auto"/>
          <w:lang w:val="en-US" w:eastAsia="zh-CN"/>
        </w:rPr>
        <w:t>废水产生总量为4266.78m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vertAlign w:val="baseline"/>
          <w:lang w:val="en-US" w:eastAsia="zh-CN"/>
        </w:rPr>
        <w:t>/d，包括生产废水4207.38m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vertAlign w:val="baseline"/>
          <w:lang w:val="en-US" w:eastAsia="zh-CN"/>
        </w:rPr>
        <w:t>/d和生活废水59.4m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vertAlign w:val="baseline"/>
          <w:lang w:val="en-US" w:eastAsia="zh-CN"/>
        </w:rPr>
        <w:t>/d。生产废水中，含氟废水2.93m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vertAlign w:val="baseline"/>
          <w:lang w:val="en-US" w:eastAsia="zh-CN"/>
        </w:rPr>
        <w:t>/d进入含氟废水处理站处理后再进入综合污水处理站处理；切割废水、脱胶废水、切片初洗废水、切片精洗废水、碱吸收废水以及预处理后的含氟废水共计3446.65m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vertAlign w:val="baseline"/>
          <w:lang w:val="en-US" w:eastAsia="zh-CN"/>
        </w:rPr>
        <w:t>/d进入综合污水处理站处理</w:t>
      </w:r>
      <w:r>
        <w:rPr>
          <w:rFonts w:hint="default" w:ascii="Times New Roman" w:hAnsi="Times New Roman" w:cs="Times New Roman"/>
          <w:color w:val="auto"/>
          <w:szCs w:val="21"/>
          <w:lang w:eastAsia="zh-CN"/>
        </w:rPr>
        <w:t>；剩余</w:t>
      </w:r>
      <w:r>
        <w:rPr>
          <w:rFonts w:hint="default" w:ascii="Times New Roman" w:hAnsi="Times New Roman" w:cs="Times New Roman"/>
          <w:color w:val="auto"/>
          <w:szCs w:val="21"/>
          <w:lang w:val="en-US" w:eastAsia="zh-CN"/>
        </w:rPr>
        <w:t>760.73</w:t>
      </w:r>
      <w:r>
        <w:rPr>
          <w:rFonts w:hint="default" w:ascii="Times New Roman" w:hAnsi="Times New Roman" w:cs="Times New Roman"/>
          <w:color w:val="auto"/>
          <w:vertAlign w:val="baseline"/>
          <w:lang w:val="en-US" w:eastAsia="zh-CN"/>
        </w:rPr>
        <w:t>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vertAlign w:val="baseline"/>
          <w:lang w:val="en-US" w:eastAsia="zh-CN"/>
        </w:rPr>
        <w:t>/d纯水制备产生的浓水为清净下水，直接排入市政污水管网；生活废水59.4m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vertAlign w:val="baseline"/>
          <w:lang w:val="en-US" w:eastAsia="zh-CN"/>
        </w:rPr>
        <w:t>/d经隔油池、化粪池处理后排入市政污水管网。废水最终进入楚雄市富民工业园区污水处理厂进行处理。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b w:val="0"/>
          <w:bCs w:val="0"/>
          <w:color w:val="FF0000"/>
          <w:lang w:val="en-US" w:eastAsia="zh-CN"/>
        </w:rPr>
      </w:pPr>
    </w:p>
    <w:p>
      <w:pPr>
        <w:pStyle w:val="2"/>
        <w:rPr>
          <w:rFonts w:hint="default" w:ascii="Times New Roman" w:hAnsi="Times New Roman" w:cs="Times New Roman"/>
          <w:color w:val="FF0000"/>
          <w:lang w:val="en-US" w:eastAsia="zh-CN"/>
        </w:rPr>
        <w:sectPr>
          <w:pgSz w:w="11906" w:h="16838"/>
          <w:pgMar w:top="1440" w:right="1797" w:bottom="1440" w:left="1797" w:header="851" w:footer="992" w:gutter="0"/>
          <w:pgBorders>
            <w:top w:val="none" w:sz="0" w:space="0"/>
            <w:left w:val="none" w:sz="0" w:space="0"/>
            <w:bottom w:val="none" w:sz="0" w:space="0"/>
            <w:right w:val="none" w:sz="0" w:space="0"/>
          </w:pgBorders>
          <w:cols w:space="720" w:num="1"/>
          <w:docGrid w:linePitch="312" w:charSpace="0"/>
        </w:sect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cs="Times New Roman"/>
          <w:b/>
          <w:bCs/>
          <w:color w:val="FF0000"/>
          <w:lang w:val="en-US" w:eastAsia="zh-CN"/>
        </w:rPr>
      </w:pPr>
      <w:r>
        <w:rPr>
          <w:rFonts w:hint="default" w:ascii="Times New Roman" w:hAnsi="Times New Roman" w:cs="Times New Roman"/>
          <w:b/>
          <w:bCs/>
          <w:color w:val="FF0000"/>
          <w:lang w:val="en-US" w:eastAsia="zh-CN"/>
        </w:rPr>
        <w:object>
          <v:shape id="_x0000_i1029" o:spt="75" type="#_x0000_t75" style="height:363.45pt;width:696.45pt;" o:ole="t" filled="f" o:preferrelative="t" stroked="f" coordsize="21600,21600">
            <v:path/>
            <v:fill on="f" focussize="0,0"/>
            <v:stroke on="f"/>
            <v:imagedata r:id="rId24" o:title=""/>
            <o:lock v:ext="edit" aspectratio="f"/>
            <w10:wrap type="none"/>
            <w10:anchorlock/>
          </v:shape>
          <o:OLEObject Type="Embed" ProgID="Visio.Drawing.15" ShapeID="_x0000_i1029" DrawAspect="Content" ObjectID="_1468075730" r:id="rId23">
            <o:LockedField>false</o:LockedField>
          </o:OLEObject>
        </w:object>
      </w:r>
    </w:p>
    <w:p>
      <w:pPr>
        <w:pStyle w:val="133"/>
        <w:widowControl/>
        <w:numPr>
          <w:ilvl w:val="0"/>
          <w:numId w:val="12"/>
        </w:numPr>
        <w:spacing w:line="360" w:lineRule="auto"/>
        <w:ind w:left="420" w:leftChars="0" w:hanging="420" w:firstLineChars="0"/>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eastAsia="zh-CN"/>
        </w:rPr>
        <w:t>项目建成后全厂</w:t>
      </w:r>
      <w:r>
        <w:rPr>
          <w:rFonts w:hint="default" w:ascii="Times New Roman" w:hAnsi="Times New Roman" w:cs="Times New Roman"/>
          <w:b/>
          <w:bCs/>
          <w:color w:val="auto"/>
        </w:rPr>
        <w:t>水平衡图</w:t>
      </w:r>
      <w:r>
        <w:rPr>
          <w:rFonts w:hint="default" w:ascii="Times New Roman" w:hAnsi="Times New Roman" w:cs="Times New Roman"/>
          <w:b/>
          <w:bCs/>
          <w:color w:val="auto"/>
          <w:lang w:val="en-US" w:eastAsia="zh-CN"/>
        </w:rPr>
        <w:t xml:space="preserve">    </w:t>
      </w:r>
      <w:r>
        <w:rPr>
          <w:rFonts w:hint="default" w:ascii="Times New Roman" w:hAnsi="Times New Roman" w:cs="Times New Roman"/>
          <w:b/>
          <w:bCs/>
          <w:color w:val="auto"/>
        </w:rPr>
        <w:t>单位：m</w:t>
      </w:r>
      <w:r>
        <w:rPr>
          <w:rFonts w:hint="default" w:ascii="Times New Roman" w:hAnsi="Times New Roman" w:cs="Times New Roman"/>
          <w:b/>
          <w:bCs/>
          <w:color w:val="auto"/>
          <w:vertAlign w:val="superscript"/>
        </w:rPr>
        <w:t>3</w:t>
      </w:r>
      <w:r>
        <w:rPr>
          <w:rFonts w:hint="default" w:ascii="Times New Roman" w:hAnsi="Times New Roman" w:cs="Times New Roman"/>
          <w:b/>
          <w:bCs/>
          <w:color w:val="auto"/>
        </w:rPr>
        <w:t>/d</w:t>
      </w:r>
    </w:p>
    <w:p>
      <w:pPr>
        <w:pStyle w:val="2"/>
        <w:ind w:left="0" w:leftChars="0" w:firstLine="0" w:firstLineChars="0"/>
        <w:rPr>
          <w:rFonts w:hint="default" w:ascii="Times New Roman" w:hAnsi="Times New Roman" w:cs="Times New Roman"/>
          <w:color w:val="auto"/>
          <w:lang w:val="en-US" w:eastAsia="zh-CN"/>
        </w:rPr>
        <w:sectPr>
          <w:pgSz w:w="16838" w:h="11906" w:orient="landscape"/>
          <w:pgMar w:top="1797" w:right="1440" w:bottom="1797" w:left="1440" w:header="851" w:footer="992" w:gutter="0"/>
          <w:pgBorders>
            <w:top w:val="none" w:sz="0" w:space="0"/>
            <w:left w:val="none" w:sz="0" w:space="0"/>
            <w:bottom w:val="none" w:sz="0" w:space="0"/>
            <w:right w:val="none" w:sz="0" w:space="0"/>
          </w:pgBorders>
          <w:cols w:space="0" w:num="1"/>
          <w:rtlGutter w:val="0"/>
          <w:docGrid w:linePitch="312" w:charSpace="0"/>
        </w:sectPr>
      </w:pPr>
      <w:r>
        <w:rPr>
          <w:rFonts w:hint="default" w:ascii="Times New Roman" w:hAnsi="Times New Roman" w:cs="Times New Roman"/>
          <w:color w:val="auto"/>
          <w:sz w:val="18"/>
          <w:szCs w:val="18"/>
          <w:lang w:val="en-US" w:eastAsia="zh-CN"/>
        </w:rPr>
        <w:t>注：一期单晶车间、二期单间车间用排水数据来源于“宇泽半导体（云南）有限公司年产5GW单晶硅拉棒及3GW切片生产线项目（二期2GW拉棒）竣工环境保护验收监测报告”。</w:t>
      </w:r>
    </w:p>
    <w:p>
      <w:pPr>
        <w:pStyle w:val="2"/>
        <w:rPr>
          <w:rFonts w:hint="default" w:ascii="Times New Roman" w:hAnsi="Times New Roman" w:cs="Times New Roman"/>
          <w:color w:val="auto"/>
          <w:lang w:val="en-US" w:eastAsia="zh-CN"/>
        </w:rPr>
      </w:pPr>
      <w:r>
        <w:rPr>
          <w:rFonts w:hint="default" w:ascii="Times New Roman" w:hAnsi="Times New Roman" w:cs="Times New Roman"/>
          <w:b w:val="0"/>
          <w:bCs w:val="0"/>
          <w:color w:val="auto"/>
          <w:lang w:val="en-US" w:eastAsia="zh-CN"/>
        </w:rPr>
        <w:t>本项目建成后全厂</w:t>
      </w:r>
      <w:r>
        <w:rPr>
          <w:rFonts w:hint="default" w:ascii="Times New Roman" w:hAnsi="Times New Roman" w:cs="Times New Roman"/>
          <w:color w:val="auto"/>
          <w:lang w:val="en-US" w:eastAsia="zh-CN"/>
        </w:rPr>
        <w:t>废水产生总量为5795.08m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vertAlign w:val="baseline"/>
          <w:lang w:val="en-US" w:eastAsia="zh-CN"/>
        </w:rPr>
        <w:t>/d，包括生产废水5677.18m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vertAlign w:val="baseline"/>
          <w:lang w:val="en-US" w:eastAsia="zh-CN"/>
        </w:rPr>
        <w:t>/d和生活废水117.9m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vertAlign w:val="baseline"/>
          <w:lang w:val="en-US" w:eastAsia="zh-CN"/>
        </w:rPr>
        <w:t>/d。生产废水中，含氟废水1294.73m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vertAlign w:val="baseline"/>
          <w:lang w:val="en-US" w:eastAsia="zh-CN"/>
        </w:rPr>
        <w:t>/d进入含氟废水处理站处理后再进入综合污水处理站处理；切割废水、脱胶废水、切片初洗废水、切片精洗废水、碱吸收废水以及预处理后的含氟废水共计4738.45m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vertAlign w:val="baseline"/>
          <w:lang w:val="en-US" w:eastAsia="zh-CN"/>
        </w:rPr>
        <w:t>/d进入综合污水处理站处理</w:t>
      </w:r>
      <w:r>
        <w:rPr>
          <w:rFonts w:hint="default" w:ascii="Times New Roman" w:hAnsi="Times New Roman" w:cs="Times New Roman"/>
          <w:color w:val="auto"/>
          <w:szCs w:val="21"/>
          <w:lang w:eastAsia="zh-CN"/>
        </w:rPr>
        <w:t>；剩余</w:t>
      </w:r>
      <w:r>
        <w:rPr>
          <w:rFonts w:hint="default" w:ascii="Times New Roman" w:hAnsi="Times New Roman" w:cs="Times New Roman"/>
          <w:color w:val="auto"/>
          <w:szCs w:val="21"/>
          <w:lang w:val="en-US" w:eastAsia="zh-CN"/>
        </w:rPr>
        <w:t>938.73</w:t>
      </w:r>
      <w:r>
        <w:rPr>
          <w:rFonts w:hint="default" w:ascii="Times New Roman" w:hAnsi="Times New Roman" w:cs="Times New Roman"/>
          <w:color w:val="auto"/>
          <w:vertAlign w:val="baseline"/>
          <w:lang w:val="en-US" w:eastAsia="zh-CN"/>
        </w:rPr>
        <w:t>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vertAlign w:val="baseline"/>
          <w:lang w:val="en-US" w:eastAsia="zh-CN"/>
        </w:rPr>
        <w:t>/d纯水制备产生的浓水为清净下水，直接排入市政污水管网；生活废水117.9m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vertAlign w:val="baseline"/>
          <w:lang w:val="en-US" w:eastAsia="zh-CN"/>
        </w:rPr>
        <w:t>/d经隔油池、化粪池处理后排入市政污水管网。废水最终进入楚雄市富民工业园区污水处理厂进行处理。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3、废水污染物产排情况</w:t>
      </w:r>
    </w:p>
    <w:p>
      <w:pPr>
        <w:pStyle w:val="31"/>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vertAlign w:val="baseline"/>
          <w:lang w:val="en-US" w:eastAsia="zh-CN"/>
        </w:rPr>
      </w:pPr>
      <w:r>
        <w:rPr>
          <w:rFonts w:hint="default" w:ascii="Times New Roman" w:hAnsi="Times New Roman" w:cs="Times New Roman"/>
          <w:color w:val="auto"/>
          <w:vertAlign w:val="baseline"/>
          <w:lang w:val="en-US" w:eastAsia="zh-CN"/>
        </w:rPr>
        <w:t>（1）本项目废水污染物产排情况</w:t>
      </w:r>
    </w:p>
    <w:p>
      <w:pPr>
        <w:pStyle w:val="133"/>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cs="Times New Roman"/>
          <w:b/>
          <w:bCs/>
          <w:color w:val="auto"/>
        </w:rPr>
      </w:pPr>
      <w:r>
        <w:rPr>
          <w:rFonts w:hint="default" w:ascii="Times New Roman" w:hAnsi="Times New Roman" w:cs="Times New Roman"/>
          <w:b/>
          <w:bCs/>
          <w:color w:val="auto"/>
        </w:rPr>
        <w:t>本项目废水</w:t>
      </w:r>
      <w:r>
        <w:rPr>
          <w:rFonts w:hint="default" w:ascii="Times New Roman" w:hAnsi="Times New Roman" w:cs="Times New Roman"/>
          <w:b/>
          <w:bCs/>
          <w:color w:val="auto"/>
          <w:lang w:eastAsia="zh-CN"/>
        </w:rPr>
        <w:t>污染物</w:t>
      </w:r>
      <w:r>
        <w:rPr>
          <w:rFonts w:hint="default" w:ascii="Times New Roman" w:hAnsi="Times New Roman" w:cs="Times New Roman"/>
          <w:b/>
          <w:bCs/>
          <w:color w:val="auto"/>
        </w:rPr>
        <w:t>产排情况</w:t>
      </w:r>
    </w:p>
    <w:tbl>
      <w:tblPr>
        <w:tblStyle w:val="44"/>
        <w:tblW w:w="823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42"/>
        <w:gridCol w:w="2087"/>
        <w:gridCol w:w="1021"/>
        <w:gridCol w:w="1084"/>
        <w:gridCol w:w="1066"/>
        <w:gridCol w:w="1234"/>
        <w:gridCol w:w="9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2929" w:type="dxa"/>
            <w:gridSpan w:val="2"/>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项目</w:t>
            </w:r>
          </w:p>
        </w:tc>
        <w:tc>
          <w:tcPr>
            <w:tcW w:w="102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108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BOD</w:t>
            </w:r>
            <w:r>
              <w:rPr>
                <w:rFonts w:hint="default" w:ascii="Times New Roman" w:hAnsi="Times New Roman" w:eastAsia="宋体" w:cs="Times New Roman"/>
                <w:i w:val="0"/>
                <w:iCs w:val="0"/>
                <w:color w:val="auto"/>
                <w:kern w:val="0"/>
                <w:sz w:val="21"/>
                <w:szCs w:val="21"/>
                <w:u w:val="none"/>
                <w:vertAlign w:val="subscript"/>
                <w:lang w:val="en-US" w:eastAsia="zh-CN" w:bidi="ar"/>
              </w:rPr>
              <w:t>5</w:t>
            </w:r>
          </w:p>
        </w:tc>
        <w:tc>
          <w:tcPr>
            <w:tcW w:w="1066"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SS</w:t>
            </w:r>
          </w:p>
        </w:tc>
        <w:tc>
          <w:tcPr>
            <w:tcW w:w="123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阴离子表面活性剂</w:t>
            </w:r>
          </w:p>
        </w:tc>
        <w:tc>
          <w:tcPr>
            <w:tcW w:w="90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氟化物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842"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切割废水</w:t>
            </w:r>
          </w:p>
        </w:tc>
        <w:tc>
          <w:tcPr>
            <w:tcW w:w="208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废水量（</w:t>
            </w:r>
            <w:r>
              <w:rPr>
                <w:rFonts w:hint="default" w:ascii="Times New Roman" w:hAnsi="Times New Roman" w:eastAsia="宋体" w:cs="Times New Roman"/>
                <w:i w:val="0"/>
                <w:iCs w:val="0"/>
                <w:color w:val="auto"/>
                <w:kern w:val="0"/>
                <w:sz w:val="21"/>
                <w:szCs w:val="21"/>
                <w:u w:val="none"/>
                <w:lang w:val="en-US" w:eastAsia="zh-CN" w:bidi="ar"/>
              </w:rPr>
              <w:t>m³/d</w:t>
            </w:r>
            <w:r>
              <w:rPr>
                <w:rFonts w:hint="default" w:ascii="Times New Roman" w:hAnsi="Times New Roman" w:eastAsia="宋体" w:cs="Times New Roman"/>
                <w:i w:val="0"/>
                <w:iCs w:val="0"/>
                <w:color w:val="auto"/>
                <w:kern w:val="0"/>
                <w:sz w:val="21"/>
                <w:szCs w:val="21"/>
                <w:u w:val="none"/>
                <w:lang w:val="en-US" w:eastAsia="zh-CN" w:bidi="ar"/>
              </w:rPr>
              <w:t>）</w:t>
            </w:r>
          </w:p>
        </w:tc>
        <w:tc>
          <w:tcPr>
            <w:tcW w:w="5305" w:type="dxa"/>
            <w:gridSpan w:val="5"/>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229.89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jc w:val="center"/>
        </w:trPr>
        <w:tc>
          <w:tcPr>
            <w:tcW w:w="842"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208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污染物浓度（</w:t>
            </w:r>
            <w:r>
              <w:rPr>
                <w:rFonts w:hint="default" w:ascii="Times New Roman" w:hAnsi="Times New Roman" w:eastAsia="宋体" w:cs="Times New Roman"/>
                <w:i w:val="0"/>
                <w:iCs w:val="0"/>
                <w:color w:val="auto"/>
                <w:kern w:val="0"/>
                <w:sz w:val="21"/>
                <w:szCs w:val="21"/>
                <w:u w:val="none"/>
                <w:lang w:val="en-US" w:eastAsia="zh-CN" w:bidi="ar"/>
              </w:rPr>
              <w:t>mg/L</w:t>
            </w:r>
            <w:r>
              <w:rPr>
                <w:rFonts w:hint="default" w:ascii="Times New Roman" w:hAnsi="Times New Roman" w:eastAsia="宋体" w:cs="Times New Roman"/>
                <w:i w:val="0"/>
                <w:iCs w:val="0"/>
                <w:color w:val="auto"/>
                <w:kern w:val="0"/>
                <w:sz w:val="21"/>
                <w:szCs w:val="21"/>
                <w:u w:val="none"/>
                <w:lang w:val="en-US" w:eastAsia="zh-CN" w:bidi="ar"/>
              </w:rPr>
              <w:t>）</w:t>
            </w:r>
          </w:p>
        </w:tc>
        <w:tc>
          <w:tcPr>
            <w:tcW w:w="102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3500</w:t>
            </w:r>
          </w:p>
        </w:tc>
        <w:tc>
          <w:tcPr>
            <w:tcW w:w="108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1000</w:t>
            </w:r>
          </w:p>
        </w:tc>
        <w:tc>
          <w:tcPr>
            <w:tcW w:w="1066"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3000</w:t>
            </w:r>
          </w:p>
        </w:tc>
        <w:tc>
          <w:tcPr>
            <w:tcW w:w="123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90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842"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208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污染物产生量（</w:t>
            </w:r>
            <w:r>
              <w:rPr>
                <w:rFonts w:hint="default" w:ascii="Times New Roman" w:hAnsi="Times New Roman" w:eastAsia="宋体" w:cs="Times New Roman"/>
                <w:i w:val="0"/>
                <w:iCs w:val="0"/>
                <w:color w:val="auto"/>
                <w:kern w:val="0"/>
                <w:sz w:val="21"/>
                <w:szCs w:val="21"/>
                <w:u w:val="none"/>
                <w:lang w:val="en-US" w:eastAsia="zh-CN" w:bidi="ar"/>
              </w:rPr>
              <w:t>kg/d</w:t>
            </w:r>
            <w:r>
              <w:rPr>
                <w:rFonts w:hint="default" w:ascii="Times New Roman" w:hAnsi="Times New Roman" w:eastAsia="宋体" w:cs="Times New Roman"/>
                <w:i w:val="0"/>
                <w:iCs w:val="0"/>
                <w:color w:val="auto"/>
                <w:kern w:val="0"/>
                <w:sz w:val="21"/>
                <w:szCs w:val="21"/>
                <w:u w:val="none"/>
                <w:lang w:val="en-US" w:eastAsia="zh-CN" w:bidi="ar"/>
              </w:rPr>
              <w:t>）</w:t>
            </w:r>
          </w:p>
        </w:tc>
        <w:tc>
          <w:tcPr>
            <w:tcW w:w="102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804.62 </w:t>
            </w:r>
          </w:p>
        </w:tc>
        <w:tc>
          <w:tcPr>
            <w:tcW w:w="108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229.89 </w:t>
            </w:r>
          </w:p>
        </w:tc>
        <w:tc>
          <w:tcPr>
            <w:tcW w:w="106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689.67 </w:t>
            </w:r>
          </w:p>
        </w:tc>
        <w:tc>
          <w:tcPr>
            <w:tcW w:w="123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90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842"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208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治理措施及去向</w:t>
            </w:r>
          </w:p>
        </w:tc>
        <w:tc>
          <w:tcPr>
            <w:tcW w:w="5305" w:type="dxa"/>
            <w:gridSpan w:val="5"/>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经隔膜板框压滤机压滤后再进入综合污水处理站处理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842"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208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出水水量（</w:t>
            </w:r>
            <w:r>
              <w:rPr>
                <w:rFonts w:hint="default" w:ascii="Times New Roman" w:hAnsi="Times New Roman" w:eastAsia="宋体" w:cs="Times New Roman"/>
                <w:i w:val="0"/>
                <w:iCs w:val="0"/>
                <w:color w:val="auto"/>
                <w:kern w:val="0"/>
                <w:sz w:val="21"/>
                <w:szCs w:val="21"/>
                <w:u w:val="none"/>
                <w:lang w:val="en-US" w:eastAsia="zh-CN" w:bidi="ar"/>
              </w:rPr>
              <w:t>m³/d</w:t>
            </w:r>
            <w:r>
              <w:rPr>
                <w:rFonts w:hint="default" w:ascii="Times New Roman" w:hAnsi="Times New Roman" w:eastAsia="宋体" w:cs="Times New Roman"/>
                <w:i w:val="0"/>
                <w:iCs w:val="0"/>
                <w:color w:val="auto"/>
                <w:kern w:val="0"/>
                <w:sz w:val="21"/>
                <w:szCs w:val="21"/>
                <w:u w:val="none"/>
                <w:lang w:val="en-US" w:eastAsia="zh-CN" w:bidi="ar"/>
              </w:rPr>
              <w:t>）</w:t>
            </w:r>
          </w:p>
        </w:tc>
        <w:tc>
          <w:tcPr>
            <w:tcW w:w="5305" w:type="dxa"/>
            <w:gridSpan w:val="5"/>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229.89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842"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208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出水浓度（</w:t>
            </w:r>
            <w:r>
              <w:rPr>
                <w:rFonts w:hint="default" w:ascii="Times New Roman" w:hAnsi="Times New Roman" w:eastAsia="宋体" w:cs="Times New Roman"/>
                <w:i w:val="0"/>
                <w:iCs w:val="0"/>
                <w:color w:val="auto"/>
                <w:kern w:val="0"/>
                <w:sz w:val="21"/>
                <w:szCs w:val="21"/>
                <w:u w:val="none"/>
                <w:lang w:val="en-US" w:eastAsia="zh-CN" w:bidi="ar"/>
              </w:rPr>
              <w:t>mg/L</w:t>
            </w:r>
            <w:r>
              <w:rPr>
                <w:rFonts w:hint="default" w:ascii="Times New Roman" w:hAnsi="Times New Roman" w:eastAsia="宋体" w:cs="Times New Roman"/>
                <w:i w:val="0"/>
                <w:iCs w:val="0"/>
                <w:color w:val="auto"/>
                <w:kern w:val="0"/>
                <w:sz w:val="21"/>
                <w:szCs w:val="21"/>
                <w:u w:val="none"/>
                <w:lang w:val="en-US" w:eastAsia="zh-CN" w:bidi="ar"/>
              </w:rPr>
              <w:t>）</w:t>
            </w:r>
          </w:p>
        </w:tc>
        <w:tc>
          <w:tcPr>
            <w:tcW w:w="102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3500</w:t>
            </w:r>
          </w:p>
        </w:tc>
        <w:tc>
          <w:tcPr>
            <w:tcW w:w="108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1000</w:t>
            </w:r>
          </w:p>
        </w:tc>
        <w:tc>
          <w:tcPr>
            <w:tcW w:w="1066"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300</w:t>
            </w:r>
          </w:p>
        </w:tc>
        <w:tc>
          <w:tcPr>
            <w:tcW w:w="123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90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842"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208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污染物剩余量（</w:t>
            </w:r>
            <w:r>
              <w:rPr>
                <w:rFonts w:hint="default" w:ascii="Times New Roman" w:hAnsi="Times New Roman" w:eastAsia="宋体" w:cs="Times New Roman"/>
                <w:i w:val="0"/>
                <w:iCs w:val="0"/>
                <w:color w:val="auto"/>
                <w:kern w:val="0"/>
                <w:sz w:val="21"/>
                <w:szCs w:val="21"/>
                <w:u w:val="none"/>
                <w:lang w:val="en-US" w:eastAsia="zh-CN" w:bidi="ar"/>
              </w:rPr>
              <w:t>kg/d</w:t>
            </w:r>
            <w:r>
              <w:rPr>
                <w:rFonts w:hint="default" w:ascii="Times New Roman" w:hAnsi="Times New Roman" w:eastAsia="宋体" w:cs="Times New Roman"/>
                <w:i w:val="0"/>
                <w:iCs w:val="0"/>
                <w:color w:val="auto"/>
                <w:kern w:val="0"/>
                <w:sz w:val="21"/>
                <w:szCs w:val="21"/>
                <w:u w:val="none"/>
                <w:lang w:val="en-US" w:eastAsia="zh-CN" w:bidi="ar"/>
              </w:rPr>
              <w:t>）</w:t>
            </w:r>
          </w:p>
        </w:tc>
        <w:tc>
          <w:tcPr>
            <w:tcW w:w="102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804.62 </w:t>
            </w:r>
          </w:p>
        </w:tc>
        <w:tc>
          <w:tcPr>
            <w:tcW w:w="108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229.89 </w:t>
            </w:r>
          </w:p>
        </w:tc>
        <w:tc>
          <w:tcPr>
            <w:tcW w:w="106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68.97 </w:t>
            </w:r>
          </w:p>
        </w:tc>
        <w:tc>
          <w:tcPr>
            <w:tcW w:w="123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90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842"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脱胶废水</w:t>
            </w:r>
          </w:p>
        </w:tc>
        <w:tc>
          <w:tcPr>
            <w:tcW w:w="208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废水量（</w:t>
            </w:r>
            <w:r>
              <w:rPr>
                <w:rFonts w:hint="default" w:ascii="Times New Roman" w:hAnsi="Times New Roman" w:eastAsia="宋体" w:cs="Times New Roman"/>
                <w:i w:val="0"/>
                <w:iCs w:val="0"/>
                <w:color w:val="auto"/>
                <w:kern w:val="0"/>
                <w:sz w:val="21"/>
                <w:szCs w:val="21"/>
                <w:u w:val="none"/>
                <w:lang w:val="en-US" w:eastAsia="zh-CN" w:bidi="ar"/>
              </w:rPr>
              <w:t>m³/d</w:t>
            </w:r>
            <w:r>
              <w:rPr>
                <w:rFonts w:hint="default" w:ascii="Times New Roman" w:hAnsi="Times New Roman" w:eastAsia="宋体" w:cs="Times New Roman"/>
                <w:i w:val="0"/>
                <w:iCs w:val="0"/>
                <w:color w:val="auto"/>
                <w:kern w:val="0"/>
                <w:sz w:val="21"/>
                <w:szCs w:val="21"/>
                <w:u w:val="none"/>
                <w:lang w:val="en-US" w:eastAsia="zh-CN" w:bidi="ar"/>
              </w:rPr>
              <w:t>）</w:t>
            </w:r>
          </w:p>
        </w:tc>
        <w:tc>
          <w:tcPr>
            <w:tcW w:w="5305" w:type="dxa"/>
            <w:gridSpan w:val="5"/>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842"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208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污染物浓度（</w:t>
            </w:r>
            <w:r>
              <w:rPr>
                <w:rFonts w:hint="default" w:ascii="Times New Roman" w:hAnsi="Times New Roman" w:eastAsia="宋体" w:cs="Times New Roman"/>
                <w:i w:val="0"/>
                <w:iCs w:val="0"/>
                <w:color w:val="auto"/>
                <w:kern w:val="0"/>
                <w:sz w:val="21"/>
                <w:szCs w:val="21"/>
                <w:u w:val="none"/>
                <w:lang w:val="en-US" w:eastAsia="zh-CN" w:bidi="ar"/>
              </w:rPr>
              <w:t>mg/L</w:t>
            </w:r>
            <w:r>
              <w:rPr>
                <w:rFonts w:hint="default" w:ascii="Times New Roman" w:hAnsi="Times New Roman" w:eastAsia="宋体" w:cs="Times New Roman"/>
                <w:i w:val="0"/>
                <w:iCs w:val="0"/>
                <w:color w:val="auto"/>
                <w:kern w:val="0"/>
                <w:sz w:val="21"/>
                <w:szCs w:val="21"/>
                <w:u w:val="none"/>
                <w:lang w:val="en-US" w:eastAsia="zh-CN" w:bidi="ar"/>
              </w:rPr>
              <w:t>）</w:t>
            </w:r>
          </w:p>
        </w:tc>
        <w:tc>
          <w:tcPr>
            <w:tcW w:w="102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1000</w:t>
            </w:r>
          </w:p>
        </w:tc>
        <w:tc>
          <w:tcPr>
            <w:tcW w:w="108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350</w:t>
            </w:r>
          </w:p>
        </w:tc>
        <w:tc>
          <w:tcPr>
            <w:tcW w:w="1066"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700</w:t>
            </w:r>
          </w:p>
        </w:tc>
        <w:tc>
          <w:tcPr>
            <w:tcW w:w="123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90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842"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208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污染物产生量（</w:t>
            </w:r>
            <w:r>
              <w:rPr>
                <w:rFonts w:hint="default" w:ascii="Times New Roman" w:hAnsi="Times New Roman" w:eastAsia="宋体" w:cs="Times New Roman"/>
                <w:i w:val="0"/>
                <w:iCs w:val="0"/>
                <w:color w:val="auto"/>
                <w:kern w:val="0"/>
                <w:sz w:val="21"/>
                <w:szCs w:val="21"/>
                <w:u w:val="none"/>
                <w:lang w:val="en-US" w:eastAsia="zh-CN" w:bidi="ar"/>
              </w:rPr>
              <w:t>kg/d</w:t>
            </w:r>
            <w:r>
              <w:rPr>
                <w:rFonts w:hint="default" w:ascii="Times New Roman" w:hAnsi="Times New Roman" w:eastAsia="宋体" w:cs="Times New Roman"/>
                <w:i w:val="0"/>
                <w:iCs w:val="0"/>
                <w:color w:val="auto"/>
                <w:kern w:val="0"/>
                <w:sz w:val="21"/>
                <w:szCs w:val="21"/>
                <w:u w:val="none"/>
                <w:lang w:val="en-US" w:eastAsia="zh-CN" w:bidi="ar"/>
              </w:rPr>
              <w:t>）</w:t>
            </w:r>
          </w:p>
        </w:tc>
        <w:tc>
          <w:tcPr>
            <w:tcW w:w="102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0.17 </w:t>
            </w:r>
          </w:p>
        </w:tc>
        <w:tc>
          <w:tcPr>
            <w:tcW w:w="108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0.06 </w:t>
            </w:r>
          </w:p>
        </w:tc>
        <w:tc>
          <w:tcPr>
            <w:tcW w:w="106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0.12 </w:t>
            </w:r>
          </w:p>
        </w:tc>
        <w:tc>
          <w:tcPr>
            <w:tcW w:w="123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90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842"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切片初洗废水</w:t>
            </w:r>
          </w:p>
        </w:tc>
        <w:tc>
          <w:tcPr>
            <w:tcW w:w="208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废水量（</w:t>
            </w:r>
            <w:r>
              <w:rPr>
                <w:rFonts w:hint="default" w:ascii="Times New Roman" w:hAnsi="Times New Roman" w:eastAsia="宋体" w:cs="Times New Roman"/>
                <w:i w:val="0"/>
                <w:iCs w:val="0"/>
                <w:color w:val="auto"/>
                <w:kern w:val="0"/>
                <w:sz w:val="21"/>
                <w:szCs w:val="21"/>
                <w:u w:val="none"/>
                <w:lang w:val="en-US" w:eastAsia="zh-CN" w:bidi="ar"/>
              </w:rPr>
              <w:t>m³/d</w:t>
            </w:r>
            <w:r>
              <w:rPr>
                <w:rFonts w:hint="default" w:ascii="Times New Roman" w:hAnsi="Times New Roman" w:eastAsia="宋体" w:cs="Times New Roman"/>
                <w:i w:val="0"/>
                <w:iCs w:val="0"/>
                <w:color w:val="auto"/>
                <w:kern w:val="0"/>
                <w:sz w:val="21"/>
                <w:szCs w:val="21"/>
                <w:u w:val="none"/>
                <w:lang w:val="en-US" w:eastAsia="zh-CN" w:bidi="ar"/>
              </w:rPr>
              <w:t>）</w:t>
            </w:r>
          </w:p>
        </w:tc>
        <w:tc>
          <w:tcPr>
            <w:tcW w:w="5305" w:type="dxa"/>
            <w:gridSpan w:val="5"/>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670.43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842"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208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污染物浓度（</w:t>
            </w:r>
            <w:r>
              <w:rPr>
                <w:rFonts w:hint="default" w:ascii="Times New Roman" w:hAnsi="Times New Roman" w:eastAsia="宋体" w:cs="Times New Roman"/>
                <w:i w:val="0"/>
                <w:iCs w:val="0"/>
                <w:color w:val="auto"/>
                <w:kern w:val="0"/>
                <w:sz w:val="21"/>
                <w:szCs w:val="21"/>
                <w:u w:val="none"/>
                <w:lang w:val="en-US" w:eastAsia="zh-CN" w:bidi="ar"/>
              </w:rPr>
              <w:t>mg/L</w:t>
            </w:r>
            <w:r>
              <w:rPr>
                <w:rFonts w:hint="default" w:ascii="Times New Roman" w:hAnsi="Times New Roman" w:eastAsia="宋体" w:cs="Times New Roman"/>
                <w:i w:val="0"/>
                <w:iCs w:val="0"/>
                <w:color w:val="auto"/>
                <w:kern w:val="0"/>
                <w:sz w:val="21"/>
                <w:szCs w:val="21"/>
                <w:u w:val="none"/>
                <w:lang w:val="en-US" w:eastAsia="zh-CN" w:bidi="ar"/>
              </w:rPr>
              <w:t>）</w:t>
            </w:r>
          </w:p>
        </w:tc>
        <w:tc>
          <w:tcPr>
            <w:tcW w:w="102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300</w:t>
            </w:r>
          </w:p>
        </w:tc>
        <w:tc>
          <w:tcPr>
            <w:tcW w:w="108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150</w:t>
            </w:r>
          </w:p>
        </w:tc>
        <w:tc>
          <w:tcPr>
            <w:tcW w:w="1066"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300</w:t>
            </w:r>
          </w:p>
        </w:tc>
        <w:tc>
          <w:tcPr>
            <w:tcW w:w="123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90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842"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208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污染物产生量（</w:t>
            </w:r>
            <w:r>
              <w:rPr>
                <w:rFonts w:hint="default" w:ascii="Times New Roman" w:hAnsi="Times New Roman" w:eastAsia="宋体" w:cs="Times New Roman"/>
                <w:i w:val="0"/>
                <w:iCs w:val="0"/>
                <w:color w:val="auto"/>
                <w:kern w:val="0"/>
                <w:sz w:val="21"/>
                <w:szCs w:val="21"/>
                <w:u w:val="none"/>
                <w:lang w:val="en-US" w:eastAsia="zh-CN" w:bidi="ar"/>
              </w:rPr>
              <w:t>kg/d</w:t>
            </w:r>
            <w:r>
              <w:rPr>
                <w:rFonts w:hint="default" w:ascii="Times New Roman" w:hAnsi="Times New Roman" w:eastAsia="宋体" w:cs="Times New Roman"/>
                <w:i w:val="0"/>
                <w:iCs w:val="0"/>
                <w:color w:val="auto"/>
                <w:kern w:val="0"/>
                <w:sz w:val="21"/>
                <w:szCs w:val="21"/>
                <w:u w:val="none"/>
                <w:lang w:val="en-US" w:eastAsia="zh-CN" w:bidi="ar"/>
              </w:rPr>
              <w:t>）</w:t>
            </w:r>
          </w:p>
        </w:tc>
        <w:tc>
          <w:tcPr>
            <w:tcW w:w="102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201.13 </w:t>
            </w:r>
          </w:p>
        </w:tc>
        <w:tc>
          <w:tcPr>
            <w:tcW w:w="108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100.56 </w:t>
            </w:r>
          </w:p>
        </w:tc>
        <w:tc>
          <w:tcPr>
            <w:tcW w:w="106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201.13 </w:t>
            </w:r>
          </w:p>
        </w:tc>
        <w:tc>
          <w:tcPr>
            <w:tcW w:w="123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90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842"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切片精洗废水</w:t>
            </w:r>
          </w:p>
        </w:tc>
        <w:tc>
          <w:tcPr>
            <w:tcW w:w="208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废水量（</w:t>
            </w:r>
            <w:r>
              <w:rPr>
                <w:rFonts w:hint="default" w:ascii="Times New Roman" w:hAnsi="Times New Roman" w:eastAsia="宋体" w:cs="Times New Roman"/>
                <w:i w:val="0"/>
                <w:iCs w:val="0"/>
                <w:color w:val="auto"/>
                <w:kern w:val="0"/>
                <w:sz w:val="21"/>
                <w:szCs w:val="21"/>
                <w:u w:val="none"/>
                <w:lang w:val="en-US" w:eastAsia="zh-CN" w:bidi="ar"/>
              </w:rPr>
              <w:t>m³/d</w:t>
            </w:r>
            <w:r>
              <w:rPr>
                <w:rFonts w:hint="default" w:ascii="Times New Roman" w:hAnsi="Times New Roman" w:eastAsia="宋体" w:cs="Times New Roman"/>
                <w:i w:val="0"/>
                <w:iCs w:val="0"/>
                <w:color w:val="auto"/>
                <w:kern w:val="0"/>
                <w:sz w:val="21"/>
                <w:szCs w:val="21"/>
                <w:u w:val="none"/>
                <w:lang w:val="en-US" w:eastAsia="zh-CN" w:bidi="ar"/>
              </w:rPr>
              <w:t>）</w:t>
            </w:r>
          </w:p>
        </w:tc>
        <w:tc>
          <w:tcPr>
            <w:tcW w:w="5305" w:type="dxa"/>
            <w:gridSpan w:val="5"/>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347.61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842"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208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污染物浓度（</w:t>
            </w:r>
            <w:r>
              <w:rPr>
                <w:rFonts w:hint="default" w:ascii="Times New Roman" w:hAnsi="Times New Roman" w:eastAsia="宋体" w:cs="Times New Roman"/>
                <w:i w:val="0"/>
                <w:iCs w:val="0"/>
                <w:color w:val="auto"/>
                <w:kern w:val="0"/>
                <w:sz w:val="21"/>
                <w:szCs w:val="21"/>
                <w:u w:val="none"/>
                <w:lang w:val="en-US" w:eastAsia="zh-CN" w:bidi="ar"/>
              </w:rPr>
              <w:t>mg/L</w:t>
            </w:r>
            <w:r>
              <w:rPr>
                <w:rFonts w:hint="default" w:ascii="Times New Roman" w:hAnsi="Times New Roman" w:eastAsia="宋体" w:cs="Times New Roman"/>
                <w:i w:val="0"/>
                <w:iCs w:val="0"/>
                <w:color w:val="auto"/>
                <w:kern w:val="0"/>
                <w:sz w:val="21"/>
                <w:szCs w:val="21"/>
                <w:u w:val="none"/>
                <w:lang w:val="en-US" w:eastAsia="zh-CN" w:bidi="ar"/>
              </w:rPr>
              <w:t>）</w:t>
            </w:r>
          </w:p>
        </w:tc>
        <w:tc>
          <w:tcPr>
            <w:tcW w:w="102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1500</w:t>
            </w:r>
          </w:p>
        </w:tc>
        <w:tc>
          <w:tcPr>
            <w:tcW w:w="108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500</w:t>
            </w:r>
          </w:p>
        </w:tc>
        <w:tc>
          <w:tcPr>
            <w:tcW w:w="1066"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23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300</w:t>
            </w:r>
          </w:p>
        </w:tc>
        <w:tc>
          <w:tcPr>
            <w:tcW w:w="90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842"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208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污染物产生量（</w:t>
            </w:r>
            <w:r>
              <w:rPr>
                <w:rFonts w:hint="default" w:ascii="Times New Roman" w:hAnsi="Times New Roman" w:eastAsia="宋体" w:cs="Times New Roman"/>
                <w:i w:val="0"/>
                <w:iCs w:val="0"/>
                <w:color w:val="auto"/>
                <w:kern w:val="0"/>
                <w:sz w:val="21"/>
                <w:szCs w:val="21"/>
                <w:u w:val="none"/>
                <w:lang w:val="en-US" w:eastAsia="zh-CN" w:bidi="ar"/>
              </w:rPr>
              <w:t>kg/d</w:t>
            </w:r>
            <w:r>
              <w:rPr>
                <w:rFonts w:hint="default" w:ascii="Times New Roman" w:hAnsi="Times New Roman" w:eastAsia="宋体" w:cs="Times New Roman"/>
                <w:i w:val="0"/>
                <w:iCs w:val="0"/>
                <w:color w:val="auto"/>
                <w:kern w:val="0"/>
                <w:sz w:val="21"/>
                <w:szCs w:val="21"/>
                <w:u w:val="none"/>
                <w:lang w:val="en-US" w:eastAsia="zh-CN" w:bidi="ar"/>
              </w:rPr>
              <w:t>）</w:t>
            </w:r>
          </w:p>
        </w:tc>
        <w:tc>
          <w:tcPr>
            <w:tcW w:w="102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521.42 </w:t>
            </w:r>
          </w:p>
        </w:tc>
        <w:tc>
          <w:tcPr>
            <w:tcW w:w="108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173.81 </w:t>
            </w:r>
          </w:p>
        </w:tc>
        <w:tc>
          <w:tcPr>
            <w:tcW w:w="106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23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104.28 </w:t>
            </w:r>
          </w:p>
        </w:tc>
        <w:tc>
          <w:tcPr>
            <w:tcW w:w="90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842"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含氟废水</w:t>
            </w:r>
          </w:p>
        </w:tc>
        <w:tc>
          <w:tcPr>
            <w:tcW w:w="208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废水量（</w:t>
            </w:r>
            <w:r>
              <w:rPr>
                <w:rFonts w:hint="default" w:ascii="Times New Roman" w:hAnsi="Times New Roman" w:eastAsia="宋体" w:cs="Times New Roman"/>
                <w:i w:val="0"/>
                <w:iCs w:val="0"/>
                <w:color w:val="auto"/>
                <w:kern w:val="0"/>
                <w:sz w:val="21"/>
                <w:szCs w:val="21"/>
                <w:u w:val="none"/>
                <w:lang w:val="en-US" w:eastAsia="zh-CN" w:bidi="ar"/>
              </w:rPr>
              <w:t>m³/d</w:t>
            </w:r>
            <w:r>
              <w:rPr>
                <w:rFonts w:hint="default" w:ascii="Times New Roman" w:hAnsi="Times New Roman" w:eastAsia="宋体" w:cs="Times New Roman"/>
                <w:i w:val="0"/>
                <w:iCs w:val="0"/>
                <w:color w:val="auto"/>
                <w:kern w:val="0"/>
                <w:sz w:val="21"/>
                <w:szCs w:val="21"/>
                <w:u w:val="none"/>
                <w:lang w:val="en-US" w:eastAsia="zh-CN" w:bidi="ar"/>
              </w:rPr>
              <w:t>）</w:t>
            </w:r>
          </w:p>
        </w:tc>
        <w:tc>
          <w:tcPr>
            <w:tcW w:w="5305" w:type="dxa"/>
            <w:gridSpan w:val="5"/>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842"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208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污染物浓度（</w:t>
            </w:r>
            <w:r>
              <w:rPr>
                <w:rFonts w:hint="default" w:ascii="Times New Roman" w:hAnsi="Times New Roman" w:eastAsia="宋体" w:cs="Times New Roman"/>
                <w:i w:val="0"/>
                <w:iCs w:val="0"/>
                <w:color w:val="auto"/>
                <w:kern w:val="0"/>
                <w:sz w:val="21"/>
                <w:szCs w:val="21"/>
                <w:u w:val="none"/>
                <w:lang w:val="en-US" w:eastAsia="zh-CN" w:bidi="ar"/>
              </w:rPr>
              <w:t>mg/L</w:t>
            </w:r>
            <w:r>
              <w:rPr>
                <w:rFonts w:hint="default" w:ascii="Times New Roman" w:hAnsi="Times New Roman" w:eastAsia="宋体" w:cs="Times New Roman"/>
                <w:i w:val="0"/>
                <w:iCs w:val="0"/>
                <w:color w:val="auto"/>
                <w:kern w:val="0"/>
                <w:sz w:val="21"/>
                <w:szCs w:val="21"/>
                <w:u w:val="none"/>
                <w:lang w:val="en-US" w:eastAsia="zh-CN" w:bidi="ar"/>
              </w:rPr>
              <w:t>）</w:t>
            </w:r>
          </w:p>
        </w:tc>
        <w:tc>
          <w:tcPr>
            <w:tcW w:w="102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08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06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23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90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149.33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842"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208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污染物产生量（</w:t>
            </w:r>
            <w:r>
              <w:rPr>
                <w:rFonts w:hint="default" w:ascii="Times New Roman" w:hAnsi="Times New Roman" w:eastAsia="宋体" w:cs="Times New Roman"/>
                <w:i w:val="0"/>
                <w:iCs w:val="0"/>
                <w:color w:val="auto"/>
                <w:kern w:val="0"/>
                <w:sz w:val="21"/>
                <w:szCs w:val="21"/>
                <w:u w:val="none"/>
                <w:lang w:val="en-US" w:eastAsia="zh-CN" w:bidi="ar"/>
              </w:rPr>
              <w:t>kg/d</w:t>
            </w:r>
            <w:r>
              <w:rPr>
                <w:rFonts w:hint="default" w:ascii="Times New Roman" w:hAnsi="Times New Roman" w:eastAsia="宋体" w:cs="Times New Roman"/>
                <w:i w:val="0"/>
                <w:iCs w:val="0"/>
                <w:color w:val="auto"/>
                <w:kern w:val="0"/>
                <w:sz w:val="21"/>
                <w:szCs w:val="21"/>
                <w:u w:val="none"/>
                <w:lang w:val="en-US" w:eastAsia="zh-CN" w:bidi="ar"/>
              </w:rPr>
              <w:t>）</w:t>
            </w:r>
          </w:p>
        </w:tc>
        <w:tc>
          <w:tcPr>
            <w:tcW w:w="102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08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06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23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90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0.16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842"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208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治理措施及去向</w:t>
            </w:r>
          </w:p>
        </w:tc>
        <w:tc>
          <w:tcPr>
            <w:tcW w:w="5305" w:type="dxa"/>
            <w:gridSpan w:val="5"/>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经含氟废水处理站处理后再进入综合污水处理站处理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842"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208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出水水量（</w:t>
            </w:r>
            <w:r>
              <w:rPr>
                <w:rFonts w:hint="default" w:ascii="Times New Roman" w:hAnsi="Times New Roman" w:eastAsia="宋体" w:cs="Times New Roman"/>
                <w:i w:val="0"/>
                <w:iCs w:val="0"/>
                <w:color w:val="auto"/>
                <w:kern w:val="0"/>
                <w:sz w:val="21"/>
                <w:szCs w:val="21"/>
                <w:u w:val="none"/>
                <w:lang w:val="en-US" w:eastAsia="zh-CN" w:bidi="ar"/>
              </w:rPr>
              <w:t>m³/d</w:t>
            </w:r>
            <w:r>
              <w:rPr>
                <w:rFonts w:hint="default" w:ascii="Times New Roman" w:hAnsi="Times New Roman" w:eastAsia="宋体" w:cs="Times New Roman"/>
                <w:i w:val="0"/>
                <w:iCs w:val="0"/>
                <w:color w:val="auto"/>
                <w:kern w:val="0"/>
                <w:sz w:val="21"/>
                <w:szCs w:val="21"/>
                <w:u w:val="none"/>
                <w:lang w:val="en-US" w:eastAsia="zh-CN" w:bidi="ar"/>
              </w:rPr>
              <w:t>）</w:t>
            </w:r>
          </w:p>
        </w:tc>
        <w:tc>
          <w:tcPr>
            <w:tcW w:w="5305" w:type="dxa"/>
            <w:gridSpan w:val="5"/>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842"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208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出水浓度（</w:t>
            </w:r>
            <w:r>
              <w:rPr>
                <w:rFonts w:hint="default" w:ascii="Times New Roman" w:hAnsi="Times New Roman" w:eastAsia="宋体" w:cs="Times New Roman"/>
                <w:i w:val="0"/>
                <w:iCs w:val="0"/>
                <w:color w:val="auto"/>
                <w:kern w:val="0"/>
                <w:sz w:val="21"/>
                <w:szCs w:val="21"/>
                <w:u w:val="none"/>
                <w:lang w:val="en-US" w:eastAsia="zh-CN" w:bidi="ar"/>
              </w:rPr>
              <w:t>mg/L</w:t>
            </w:r>
            <w:r>
              <w:rPr>
                <w:rFonts w:hint="default" w:ascii="Times New Roman" w:hAnsi="Times New Roman" w:eastAsia="宋体" w:cs="Times New Roman"/>
                <w:i w:val="0"/>
                <w:iCs w:val="0"/>
                <w:color w:val="auto"/>
                <w:kern w:val="0"/>
                <w:sz w:val="21"/>
                <w:szCs w:val="21"/>
                <w:u w:val="none"/>
                <w:lang w:val="en-US" w:eastAsia="zh-CN" w:bidi="ar"/>
              </w:rPr>
              <w:t>）</w:t>
            </w:r>
          </w:p>
        </w:tc>
        <w:tc>
          <w:tcPr>
            <w:tcW w:w="102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08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06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23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90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842"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208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污染物剩余量（</w:t>
            </w:r>
            <w:r>
              <w:rPr>
                <w:rFonts w:hint="default" w:ascii="Times New Roman" w:hAnsi="Times New Roman" w:eastAsia="宋体" w:cs="Times New Roman"/>
                <w:i w:val="0"/>
                <w:iCs w:val="0"/>
                <w:color w:val="auto"/>
                <w:kern w:val="0"/>
                <w:sz w:val="21"/>
                <w:szCs w:val="21"/>
                <w:u w:val="none"/>
                <w:lang w:val="en-US" w:eastAsia="zh-CN" w:bidi="ar"/>
              </w:rPr>
              <w:t>kg/d</w:t>
            </w:r>
            <w:r>
              <w:rPr>
                <w:rFonts w:hint="default" w:ascii="Times New Roman" w:hAnsi="Times New Roman" w:eastAsia="宋体" w:cs="Times New Roman"/>
                <w:i w:val="0"/>
                <w:iCs w:val="0"/>
                <w:color w:val="auto"/>
                <w:kern w:val="0"/>
                <w:sz w:val="21"/>
                <w:szCs w:val="21"/>
                <w:u w:val="none"/>
                <w:lang w:val="en-US" w:eastAsia="zh-CN" w:bidi="ar"/>
              </w:rPr>
              <w:t>）</w:t>
            </w:r>
          </w:p>
        </w:tc>
        <w:tc>
          <w:tcPr>
            <w:tcW w:w="102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08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06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23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90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0.01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842"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综合污水处理站碱吸收废水</w:t>
            </w:r>
          </w:p>
        </w:tc>
        <w:tc>
          <w:tcPr>
            <w:tcW w:w="208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废水量（</w:t>
            </w:r>
            <w:r>
              <w:rPr>
                <w:rFonts w:hint="default" w:ascii="Times New Roman" w:hAnsi="Times New Roman" w:eastAsia="宋体" w:cs="Times New Roman"/>
                <w:i w:val="0"/>
                <w:iCs w:val="0"/>
                <w:color w:val="auto"/>
                <w:kern w:val="0"/>
                <w:sz w:val="21"/>
                <w:szCs w:val="21"/>
                <w:u w:val="none"/>
                <w:lang w:val="en-US" w:eastAsia="zh-CN" w:bidi="ar"/>
              </w:rPr>
              <w:t>m³/d</w:t>
            </w:r>
            <w:r>
              <w:rPr>
                <w:rFonts w:hint="default" w:ascii="Times New Roman" w:hAnsi="Times New Roman" w:eastAsia="宋体" w:cs="Times New Roman"/>
                <w:i w:val="0"/>
                <w:iCs w:val="0"/>
                <w:color w:val="auto"/>
                <w:kern w:val="0"/>
                <w:sz w:val="21"/>
                <w:szCs w:val="21"/>
                <w:u w:val="none"/>
                <w:lang w:val="en-US" w:eastAsia="zh-CN" w:bidi="ar"/>
              </w:rPr>
              <w:t>）</w:t>
            </w:r>
          </w:p>
        </w:tc>
        <w:tc>
          <w:tcPr>
            <w:tcW w:w="5305" w:type="dxa"/>
            <w:gridSpan w:val="5"/>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842"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208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污染物浓度（</w:t>
            </w:r>
            <w:r>
              <w:rPr>
                <w:rFonts w:hint="default" w:ascii="Times New Roman" w:hAnsi="Times New Roman" w:eastAsia="宋体" w:cs="Times New Roman"/>
                <w:i w:val="0"/>
                <w:iCs w:val="0"/>
                <w:color w:val="auto"/>
                <w:kern w:val="0"/>
                <w:sz w:val="21"/>
                <w:szCs w:val="21"/>
                <w:u w:val="none"/>
                <w:lang w:val="en-US" w:eastAsia="zh-CN" w:bidi="ar"/>
              </w:rPr>
              <w:t>mg/L</w:t>
            </w:r>
            <w:r>
              <w:rPr>
                <w:rFonts w:hint="default" w:ascii="Times New Roman" w:hAnsi="Times New Roman" w:eastAsia="宋体" w:cs="Times New Roman"/>
                <w:i w:val="0"/>
                <w:iCs w:val="0"/>
                <w:color w:val="auto"/>
                <w:kern w:val="0"/>
                <w:sz w:val="21"/>
                <w:szCs w:val="21"/>
                <w:u w:val="none"/>
                <w:lang w:val="en-US" w:eastAsia="zh-CN" w:bidi="ar"/>
              </w:rPr>
              <w:t>）</w:t>
            </w:r>
          </w:p>
        </w:tc>
        <w:tc>
          <w:tcPr>
            <w:tcW w:w="102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08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066"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23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90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842"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208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污染物产生量（</w:t>
            </w:r>
            <w:r>
              <w:rPr>
                <w:rFonts w:hint="default" w:ascii="Times New Roman" w:hAnsi="Times New Roman" w:eastAsia="宋体" w:cs="Times New Roman"/>
                <w:i w:val="0"/>
                <w:iCs w:val="0"/>
                <w:color w:val="auto"/>
                <w:kern w:val="0"/>
                <w:sz w:val="21"/>
                <w:szCs w:val="21"/>
                <w:u w:val="none"/>
                <w:lang w:val="en-US" w:eastAsia="zh-CN" w:bidi="ar"/>
              </w:rPr>
              <w:t>kg/d</w:t>
            </w:r>
            <w:r>
              <w:rPr>
                <w:rFonts w:hint="default" w:ascii="Times New Roman" w:hAnsi="Times New Roman" w:eastAsia="宋体" w:cs="Times New Roman"/>
                <w:i w:val="0"/>
                <w:iCs w:val="0"/>
                <w:color w:val="auto"/>
                <w:kern w:val="0"/>
                <w:sz w:val="21"/>
                <w:szCs w:val="21"/>
                <w:u w:val="none"/>
                <w:lang w:val="en-US" w:eastAsia="zh-CN" w:bidi="ar"/>
              </w:rPr>
              <w:t>）</w:t>
            </w:r>
          </w:p>
        </w:tc>
        <w:tc>
          <w:tcPr>
            <w:tcW w:w="102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08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06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23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90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8234" w:type="dxa"/>
            <w:gridSpan w:val="7"/>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上述废水进入综合污水处理站处理达标后通过总排口排入市政污水管网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40" w:hRule="atLeast"/>
          <w:jc w:val="center"/>
        </w:trPr>
        <w:tc>
          <w:tcPr>
            <w:tcW w:w="842"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综合污水处理站</w:t>
            </w:r>
          </w:p>
        </w:tc>
        <w:tc>
          <w:tcPr>
            <w:tcW w:w="208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进水水量（</w:t>
            </w:r>
            <w:r>
              <w:rPr>
                <w:rFonts w:hint="default" w:ascii="Times New Roman" w:hAnsi="Times New Roman" w:eastAsia="宋体" w:cs="Times New Roman"/>
                <w:i w:val="0"/>
                <w:iCs w:val="0"/>
                <w:color w:val="auto"/>
                <w:kern w:val="0"/>
                <w:sz w:val="21"/>
                <w:szCs w:val="21"/>
                <w:u w:val="none"/>
                <w:lang w:val="en-US" w:eastAsia="zh-CN" w:bidi="ar"/>
              </w:rPr>
              <w:t>m³/d</w:t>
            </w:r>
            <w:r>
              <w:rPr>
                <w:rFonts w:hint="default" w:ascii="Times New Roman" w:hAnsi="Times New Roman" w:eastAsia="宋体" w:cs="Times New Roman"/>
                <w:i w:val="0"/>
                <w:iCs w:val="0"/>
                <w:color w:val="auto"/>
                <w:kern w:val="0"/>
                <w:sz w:val="21"/>
                <w:szCs w:val="21"/>
                <w:u w:val="none"/>
                <w:lang w:val="en-US" w:eastAsia="zh-CN" w:bidi="ar"/>
              </w:rPr>
              <w:t>）</w:t>
            </w:r>
          </w:p>
        </w:tc>
        <w:tc>
          <w:tcPr>
            <w:tcW w:w="5305" w:type="dxa"/>
            <w:gridSpan w:val="5"/>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1249.34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842"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208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进水浓度（</w:t>
            </w:r>
            <w:r>
              <w:rPr>
                <w:rFonts w:hint="default" w:ascii="Times New Roman" w:hAnsi="Times New Roman" w:eastAsia="宋体" w:cs="Times New Roman"/>
                <w:i w:val="0"/>
                <w:iCs w:val="0"/>
                <w:color w:val="auto"/>
                <w:kern w:val="0"/>
                <w:sz w:val="21"/>
                <w:szCs w:val="21"/>
                <w:u w:val="none"/>
                <w:lang w:val="en-US" w:eastAsia="zh-CN" w:bidi="ar"/>
              </w:rPr>
              <w:t>mg/L</w:t>
            </w:r>
            <w:r>
              <w:rPr>
                <w:rFonts w:hint="default" w:ascii="Times New Roman" w:hAnsi="Times New Roman" w:eastAsia="宋体" w:cs="Times New Roman"/>
                <w:i w:val="0"/>
                <w:iCs w:val="0"/>
                <w:color w:val="auto"/>
                <w:kern w:val="0"/>
                <w:sz w:val="21"/>
                <w:szCs w:val="21"/>
                <w:u w:val="none"/>
                <w:lang w:val="en-US" w:eastAsia="zh-CN" w:bidi="ar"/>
              </w:rPr>
              <w:t>）</w:t>
            </w:r>
          </w:p>
        </w:tc>
        <w:tc>
          <w:tcPr>
            <w:tcW w:w="102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1222.51 </w:t>
            </w:r>
          </w:p>
        </w:tc>
        <w:tc>
          <w:tcPr>
            <w:tcW w:w="108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403.67 </w:t>
            </w:r>
          </w:p>
        </w:tc>
        <w:tc>
          <w:tcPr>
            <w:tcW w:w="106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216.29 </w:t>
            </w:r>
          </w:p>
        </w:tc>
        <w:tc>
          <w:tcPr>
            <w:tcW w:w="123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83.47 </w:t>
            </w:r>
          </w:p>
        </w:tc>
        <w:tc>
          <w:tcPr>
            <w:tcW w:w="90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0.01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842"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208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污染物产生量（</w:t>
            </w:r>
            <w:r>
              <w:rPr>
                <w:rFonts w:hint="default" w:ascii="Times New Roman" w:hAnsi="Times New Roman" w:eastAsia="宋体" w:cs="Times New Roman"/>
                <w:i w:val="0"/>
                <w:iCs w:val="0"/>
                <w:color w:val="auto"/>
                <w:kern w:val="0"/>
                <w:sz w:val="21"/>
                <w:szCs w:val="21"/>
                <w:u w:val="none"/>
                <w:lang w:val="en-US" w:eastAsia="zh-CN" w:bidi="ar"/>
              </w:rPr>
              <w:t>kg/d</w:t>
            </w:r>
            <w:r>
              <w:rPr>
                <w:rFonts w:hint="default" w:ascii="Times New Roman" w:hAnsi="Times New Roman" w:eastAsia="宋体" w:cs="Times New Roman"/>
                <w:i w:val="0"/>
                <w:iCs w:val="0"/>
                <w:color w:val="auto"/>
                <w:kern w:val="0"/>
                <w:sz w:val="21"/>
                <w:szCs w:val="21"/>
                <w:u w:val="none"/>
                <w:lang w:val="en-US" w:eastAsia="zh-CN" w:bidi="ar"/>
              </w:rPr>
              <w:t>）</w:t>
            </w:r>
          </w:p>
        </w:tc>
        <w:tc>
          <w:tcPr>
            <w:tcW w:w="102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1527.33 </w:t>
            </w:r>
          </w:p>
        </w:tc>
        <w:tc>
          <w:tcPr>
            <w:tcW w:w="108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504.32 </w:t>
            </w:r>
          </w:p>
        </w:tc>
        <w:tc>
          <w:tcPr>
            <w:tcW w:w="106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270.22 </w:t>
            </w:r>
          </w:p>
        </w:tc>
        <w:tc>
          <w:tcPr>
            <w:tcW w:w="123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104.28 </w:t>
            </w:r>
          </w:p>
        </w:tc>
        <w:tc>
          <w:tcPr>
            <w:tcW w:w="90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0.01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842"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208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治理措施及去向</w:t>
            </w:r>
          </w:p>
        </w:tc>
        <w:tc>
          <w:tcPr>
            <w:tcW w:w="5305" w:type="dxa"/>
            <w:gridSpan w:val="5"/>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进入综合污水处理站处理后通过总排口排入市政污水管网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842"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208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出水水量（</w:t>
            </w:r>
            <w:r>
              <w:rPr>
                <w:rFonts w:hint="default" w:ascii="Times New Roman" w:hAnsi="Times New Roman" w:eastAsia="宋体" w:cs="Times New Roman"/>
                <w:i w:val="0"/>
                <w:iCs w:val="0"/>
                <w:color w:val="auto"/>
                <w:kern w:val="0"/>
                <w:sz w:val="21"/>
                <w:szCs w:val="21"/>
                <w:u w:val="none"/>
                <w:lang w:val="en-US" w:eastAsia="zh-CN" w:bidi="ar"/>
              </w:rPr>
              <w:t>m³/d</w:t>
            </w:r>
            <w:r>
              <w:rPr>
                <w:rFonts w:hint="default" w:ascii="Times New Roman" w:hAnsi="Times New Roman" w:eastAsia="宋体" w:cs="Times New Roman"/>
                <w:i w:val="0"/>
                <w:iCs w:val="0"/>
                <w:color w:val="auto"/>
                <w:kern w:val="0"/>
                <w:sz w:val="21"/>
                <w:szCs w:val="21"/>
                <w:u w:val="none"/>
                <w:lang w:val="en-US" w:eastAsia="zh-CN" w:bidi="ar"/>
              </w:rPr>
              <w:t>）</w:t>
            </w:r>
          </w:p>
        </w:tc>
        <w:tc>
          <w:tcPr>
            <w:tcW w:w="5305" w:type="dxa"/>
            <w:gridSpan w:val="5"/>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1249.34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842"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208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出水浓度（</w:t>
            </w:r>
            <w:r>
              <w:rPr>
                <w:rFonts w:hint="default" w:ascii="Times New Roman" w:hAnsi="Times New Roman" w:eastAsia="宋体" w:cs="Times New Roman"/>
                <w:i w:val="0"/>
                <w:iCs w:val="0"/>
                <w:color w:val="auto"/>
                <w:kern w:val="0"/>
                <w:sz w:val="21"/>
                <w:szCs w:val="21"/>
                <w:u w:val="none"/>
                <w:lang w:val="en-US" w:eastAsia="zh-CN" w:bidi="ar"/>
              </w:rPr>
              <w:t>mg/L</w:t>
            </w:r>
            <w:r>
              <w:rPr>
                <w:rFonts w:hint="default" w:ascii="Times New Roman" w:hAnsi="Times New Roman" w:eastAsia="宋体" w:cs="Times New Roman"/>
                <w:i w:val="0"/>
                <w:iCs w:val="0"/>
                <w:color w:val="auto"/>
                <w:kern w:val="0"/>
                <w:sz w:val="21"/>
                <w:szCs w:val="21"/>
                <w:u w:val="none"/>
                <w:lang w:val="en-US" w:eastAsia="zh-CN" w:bidi="ar"/>
              </w:rPr>
              <w:t>）</w:t>
            </w:r>
          </w:p>
        </w:tc>
        <w:tc>
          <w:tcPr>
            <w:tcW w:w="102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97.80 </w:t>
            </w:r>
          </w:p>
        </w:tc>
        <w:tc>
          <w:tcPr>
            <w:tcW w:w="108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40.37 </w:t>
            </w:r>
          </w:p>
        </w:tc>
        <w:tc>
          <w:tcPr>
            <w:tcW w:w="106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32.45 </w:t>
            </w:r>
          </w:p>
        </w:tc>
        <w:tc>
          <w:tcPr>
            <w:tcW w:w="123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8.35 </w:t>
            </w:r>
          </w:p>
        </w:tc>
        <w:tc>
          <w:tcPr>
            <w:tcW w:w="90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0.01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842"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208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污染物排放量（</w:t>
            </w:r>
            <w:r>
              <w:rPr>
                <w:rFonts w:hint="default" w:ascii="Times New Roman" w:hAnsi="Times New Roman" w:eastAsia="宋体" w:cs="Times New Roman"/>
                <w:i w:val="0"/>
                <w:iCs w:val="0"/>
                <w:color w:val="auto"/>
                <w:kern w:val="0"/>
                <w:sz w:val="21"/>
                <w:szCs w:val="21"/>
                <w:u w:val="none"/>
                <w:lang w:val="en-US" w:eastAsia="zh-CN" w:bidi="ar"/>
              </w:rPr>
              <w:t>kg/d</w:t>
            </w:r>
            <w:r>
              <w:rPr>
                <w:rFonts w:hint="default" w:ascii="Times New Roman" w:hAnsi="Times New Roman" w:eastAsia="宋体" w:cs="Times New Roman"/>
                <w:i w:val="0"/>
                <w:iCs w:val="0"/>
                <w:color w:val="auto"/>
                <w:kern w:val="0"/>
                <w:sz w:val="21"/>
                <w:szCs w:val="21"/>
                <w:u w:val="none"/>
                <w:lang w:val="en-US" w:eastAsia="zh-CN" w:bidi="ar"/>
              </w:rPr>
              <w:t>）</w:t>
            </w:r>
          </w:p>
        </w:tc>
        <w:tc>
          <w:tcPr>
            <w:tcW w:w="102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122.18 </w:t>
            </w:r>
          </w:p>
        </w:tc>
        <w:tc>
          <w:tcPr>
            <w:tcW w:w="108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50.43 </w:t>
            </w:r>
          </w:p>
        </w:tc>
        <w:tc>
          <w:tcPr>
            <w:tcW w:w="106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40.54 </w:t>
            </w:r>
          </w:p>
        </w:tc>
        <w:tc>
          <w:tcPr>
            <w:tcW w:w="123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10.43 </w:t>
            </w:r>
          </w:p>
        </w:tc>
        <w:tc>
          <w:tcPr>
            <w:tcW w:w="90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0.01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842"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生活废水</w:t>
            </w:r>
          </w:p>
        </w:tc>
        <w:tc>
          <w:tcPr>
            <w:tcW w:w="208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产生水量（</w:t>
            </w:r>
            <w:r>
              <w:rPr>
                <w:rFonts w:hint="default" w:ascii="Times New Roman" w:hAnsi="Times New Roman" w:eastAsia="宋体" w:cs="Times New Roman"/>
                <w:i w:val="0"/>
                <w:iCs w:val="0"/>
                <w:color w:val="auto"/>
                <w:kern w:val="0"/>
                <w:sz w:val="21"/>
                <w:szCs w:val="21"/>
                <w:u w:val="none"/>
                <w:lang w:val="en-US" w:eastAsia="zh-CN" w:bidi="ar"/>
              </w:rPr>
              <w:t>m³/d</w:t>
            </w:r>
            <w:r>
              <w:rPr>
                <w:rFonts w:hint="default" w:ascii="Times New Roman" w:hAnsi="Times New Roman" w:eastAsia="宋体" w:cs="Times New Roman"/>
                <w:i w:val="0"/>
                <w:iCs w:val="0"/>
                <w:color w:val="auto"/>
                <w:kern w:val="0"/>
                <w:sz w:val="21"/>
                <w:szCs w:val="21"/>
                <w:u w:val="none"/>
                <w:lang w:val="en-US" w:eastAsia="zh-CN" w:bidi="ar"/>
              </w:rPr>
              <w:t>）</w:t>
            </w:r>
          </w:p>
        </w:tc>
        <w:tc>
          <w:tcPr>
            <w:tcW w:w="5305" w:type="dxa"/>
            <w:gridSpan w:val="5"/>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842"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208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产生源强（</w:t>
            </w:r>
            <w:r>
              <w:rPr>
                <w:rFonts w:hint="default" w:ascii="Times New Roman" w:hAnsi="Times New Roman" w:eastAsia="宋体" w:cs="Times New Roman"/>
                <w:i w:val="0"/>
                <w:iCs w:val="0"/>
                <w:color w:val="auto"/>
                <w:kern w:val="0"/>
                <w:sz w:val="21"/>
                <w:szCs w:val="21"/>
                <w:u w:val="none"/>
                <w:lang w:val="en-US" w:eastAsia="zh-CN" w:bidi="ar"/>
              </w:rPr>
              <w:t>mg/L</w:t>
            </w:r>
            <w:r>
              <w:rPr>
                <w:rFonts w:hint="default" w:ascii="Times New Roman" w:hAnsi="Times New Roman" w:eastAsia="宋体" w:cs="Times New Roman"/>
                <w:i w:val="0"/>
                <w:iCs w:val="0"/>
                <w:color w:val="auto"/>
                <w:kern w:val="0"/>
                <w:sz w:val="21"/>
                <w:szCs w:val="21"/>
                <w:u w:val="none"/>
                <w:lang w:val="en-US" w:eastAsia="zh-CN" w:bidi="ar"/>
              </w:rPr>
              <w:t>）</w:t>
            </w:r>
          </w:p>
        </w:tc>
        <w:tc>
          <w:tcPr>
            <w:tcW w:w="102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500</w:t>
            </w:r>
          </w:p>
        </w:tc>
        <w:tc>
          <w:tcPr>
            <w:tcW w:w="108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200</w:t>
            </w:r>
          </w:p>
        </w:tc>
        <w:tc>
          <w:tcPr>
            <w:tcW w:w="1066"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200</w:t>
            </w:r>
          </w:p>
        </w:tc>
        <w:tc>
          <w:tcPr>
            <w:tcW w:w="123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90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842"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208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污染物产生量（</w:t>
            </w:r>
            <w:r>
              <w:rPr>
                <w:rFonts w:hint="default" w:ascii="Times New Roman" w:hAnsi="Times New Roman" w:eastAsia="宋体" w:cs="Times New Roman"/>
                <w:i w:val="0"/>
                <w:iCs w:val="0"/>
                <w:color w:val="auto"/>
                <w:kern w:val="0"/>
                <w:sz w:val="21"/>
                <w:szCs w:val="21"/>
                <w:u w:val="none"/>
                <w:lang w:val="en-US" w:eastAsia="zh-CN" w:bidi="ar"/>
              </w:rPr>
              <w:t>kg/d</w:t>
            </w:r>
            <w:r>
              <w:rPr>
                <w:rFonts w:hint="default" w:ascii="Times New Roman" w:hAnsi="Times New Roman" w:eastAsia="宋体" w:cs="Times New Roman"/>
                <w:i w:val="0"/>
                <w:iCs w:val="0"/>
                <w:color w:val="auto"/>
                <w:kern w:val="0"/>
                <w:sz w:val="21"/>
                <w:szCs w:val="21"/>
                <w:u w:val="none"/>
                <w:lang w:val="en-US" w:eastAsia="zh-CN" w:bidi="ar"/>
              </w:rPr>
              <w:t>）</w:t>
            </w:r>
          </w:p>
        </w:tc>
        <w:tc>
          <w:tcPr>
            <w:tcW w:w="102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9.9</w:t>
            </w:r>
          </w:p>
        </w:tc>
        <w:tc>
          <w:tcPr>
            <w:tcW w:w="108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3.96</w:t>
            </w:r>
          </w:p>
        </w:tc>
        <w:tc>
          <w:tcPr>
            <w:tcW w:w="106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3.96</w:t>
            </w:r>
          </w:p>
        </w:tc>
        <w:tc>
          <w:tcPr>
            <w:tcW w:w="123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90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842"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208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治理措施及去向</w:t>
            </w:r>
          </w:p>
        </w:tc>
        <w:tc>
          <w:tcPr>
            <w:tcW w:w="5305" w:type="dxa"/>
            <w:gridSpan w:val="5"/>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经隔油池、化粪池处理后通过总排口排入市政污水管网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842"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208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排放水量（</w:t>
            </w:r>
            <w:r>
              <w:rPr>
                <w:rFonts w:hint="default" w:ascii="Times New Roman" w:hAnsi="Times New Roman" w:eastAsia="宋体" w:cs="Times New Roman"/>
                <w:i w:val="0"/>
                <w:iCs w:val="0"/>
                <w:color w:val="auto"/>
                <w:kern w:val="0"/>
                <w:sz w:val="21"/>
                <w:szCs w:val="21"/>
                <w:u w:val="none"/>
                <w:lang w:val="en-US" w:eastAsia="zh-CN" w:bidi="ar"/>
              </w:rPr>
              <w:t>m³/d</w:t>
            </w:r>
            <w:r>
              <w:rPr>
                <w:rFonts w:hint="default" w:ascii="Times New Roman" w:hAnsi="Times New Roman" w:eastAsia="宋体" w:cs="Times New Roman"/>
                <w:i w:val="0"/>
                <w:iCs w:val="0"/>
                <w:color w:val="auto"/>
                <w:kern w:val="0"/>
                <w:sz w:val="21"/>
                <w:szCs w:val="21"/>
                <w:u w:val="none"/>
                <w:lang w:val="en-US" w:eastAsia="zh-CN" w:bidi="ar"/>
              </w:rPr>
              <w:t>）</w:t>
            </w:r>
          </w:p>
        </w:tc>
        <w:tc>
          <w:tcPr>
            <w:tcW w:w="5305" w:type="dxa"/>
            <w:gridSpan w:val="5"/>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842"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208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排放源强（</w:t>
            </w:r>
            <w:r>
              <w:rPr>
                <w:rFonts w:hint="default" w:ascii="Times New Roman" w:hAnsi="Times New Roman" w:eastAsia="宋体" w:cs="Times New Roman"/>
                <w:i w:val="0"/>
                <w:iCs w:val="0"/>
                <w:color w:val="auto"/>
                <w:kern w:val="0"/>
                <w:sz w:val="21"/>
                <w:szCs w:val="21"/>
                <w:u w:val="none"/>
                <w:lang w:val="en-US" w:eastAsia="zh-CN" w:bidi="ar"/>
              </w:rPr>
              <w:t>mg/L</w:t>
            </w:r>
            <w:r>
              <w:rPr>
                <w:rFonts w:hint="default" w:ascii="Times New Roman" w:hAnsi="Times New Roman" w:eastAsia="宋体" w:cs="Times New Roman"/>
                <w:i w:val="0"/>
                <w:iCs w:val="0"/>
                <w:color w:val="auto"/>
                <w:kern w:val="0"/>
                <w:sz w:val="21"/>
                <w:szCs w:val="21"/>
                <w:u w:val="none"/>
                <w:lang w:val="en-US" w:eastAsia="zh-CN" w:bidi="ar"/>
              </w:rPr>
              <w:t>）</w:t>
            </w:r>
          </w:p>
        </w:tc>
        <w:tc>
          <w:tcPr>
            <w:tcW w:w="102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476</w:t>
            </w:r>
          </w:p>
        </w:tc>
        <w:tc>
          <w:tcPr>
            <w:tcW w:w="108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151.5</w:t>
            </w:r>
          </w:p>
        </w:tc>
        <w:tc>
          <w:tcPr>
            <w:tcW w:w="1066"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20.75</w:t>
            </w:r>
          </w:p>
        </w:tc>
        <w:tc>
          <w:tcPr>
            <w:tcW w:w="123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90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842"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208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污染物排放量（</w:t>
            </w:r>
            <w:r>
              <w:rPr>
                <w:rFonts w:hint="default" w:ascii="Times New Roman" w:hAnsi="Times New Roman" w:eastAsia="宋体" w:cs="Times New Roman"/>
                <w:i w:val="0"/>
                <w:iCs w:val="0"/>
                <w:color w:val="auto"/>
                <w:kern w:val="0"/>
                <w:sz w:val="21"/>
                <w:szCs w:val="21"/>
                <w:u w:val="none"/>
                <w:lang w:val="en-US" w:eastAsia="zh-CN" w:bidi="ar"/>
              </w:rPr>
              <w:t>kg/d</w:t>
            </w:r>
            <w:r>
              <w:rPr>
                <w:rFonts w:hint="default" w:ascii="Times New Roman" w:hAnsi="Times New Roman" w:eastAsia="宋体" w:cs="Times New Roman"/>
                <w:i w:val="0"/>
                <w:iCs w:val="0"/>
                <w:color w:val="auto"/>
                <w:kern w:val="0"/>
                <w:sz w:val="21"/>
                <w:szCs w:val="21"/>
                <w:u w:val="none"/>
                <w:lang w:val="en-US" w:eastAsia="zh-CN" w:bidi="ar"/>
              </w:rPr>
              <w:t>）</w:t>
            </w:r>
          </w:p>
        </w:tc>
        <w:tc>
          <w:tcPr>
            <w:tcW w:w="102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9.42 </w:t>
            </w:r>
          </w:p>
        </w:tc>
        <w:tc>
          <w:tcPr>
            <w:tcW w:w="108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3.00 </w:t>
            </w:r>
          </w:p>
        </w:tc>
        <w:tc>
          <w:tcPr>
            <w:tcW w:w="106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0.41 </w:t>
            </w:r>
          </w:p>
        </w:tc>
        <w:tc>
          <w:tcPr>
            <w:tcW w:w="123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90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42"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清净下水</w:t>
            </w:r>
          </w:p>
        </w:tc>
        <w:tc>
          <w:tcPr>
            <w:tcW w:w="208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产生水量（</w:t>
            </w:r>
            <w:r>
              <w:rPr>
                <w:rFonts w:hint="default" w:ascii="Times New Roman" w:hAnsi="Times New Roman" w:eastAsia="宋体" w:cs="Times New Roman"/>
                <w:i w:val="0"/>
                <w:iCs w:val="0"/>
                <w:color w:val="auto"/>
                <w:kern w:val="0"/>
                <w:sz w:val="21"/>
                <w:szCs w:val="21"/>
                <w:u w:val="none"/>
                <w:lang w:val="en-US" w:eastAsia="zh-CN" w:bidi="ar"/>
              </w:rPr>
              <w:t>m³/d</w:t>
            </w:r>
            <w:r>
              <w:rPr>
                <w:rFonts w:hint="default" w:ascii="Times New Roman" w:hAnsi="Times New Roman" w:eastAsia="宋体" w:cs="Times New Roman"/>
                <w:i w:val="0"/>
                <w:iCs w:val="0"/>
                <w:color w:val="auto"/>
                <w:kern w:val="0"/>
                <w:sz w:val="21"/>
                <w:szCs w:val="21"/>
                <w:u w:val="none"/>
                <w:lang w:val="en-US" w:eastAsia="zh-CN" w:bidi="ar"/>
              </w:rPr>
              <w:t>）</w:t>
            </w:r>
          </w:p>
        </w:tc>
        <w:tc>
          <w:tcPr>
            <w:tcW w:w="5305" w:type="dxa"/>
            <w:gridSpan w:val="5"/>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213.27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42"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208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产生源强（</w:t>
            </w:r>
            <w:r>
              <w:rPr>
                <w:rFonts w:hint="default" w:ascii="Times New Roman" w:hAnsi="Times New Roman" w:eastAsia="宋体" w:cs="Times New Roman"/>
                <w:i w:val="0"/>
                <w:iCs w:val="0"/>
                <w:color w:val="auto"/>
                <w:kern w:val="0"/>
                <w:sz w:val="21"/>
                <w:szCs w:val="21"/>
                <w:u w:val="none"/>
                <w:lang w:val="en-US" w:eastAsia="zh-CN" w:bidi="ar"/>
              </w:rPr>
              <w:t>mg/L</w:t>
            </w:r>
            <w:r>
              <w:rPr>
                <w:rFonts w:hint="default" w:ascii="Times New Roman" w:hAnsi="Times New Roman" w:eastAsia="宋体" w:cs="Times New Roman"/>
                <w:i w:val="0"/>
                <w:iCs w:val="0"/>
                <w:color w:val="auto"/>
                <w:kern w:val="0"/>
                <w:sz w:val="21"/>
                <w:szCs w:val="21"/>
                <w:u w:val="none"/>
                <w:lang w:val="en-US" w:eastAsia="zh-CN" w:bidi="ar"/>
              </w:rPr>
              <w:t>）</w:t>
            </w:r>
          </w:p>
        </w:tc>
        <w:tc>
          <w:tcPr>
            <w:tcW w:w="102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08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066"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23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90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42"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208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产生量（kg/d）</w:t>
            </w:r>
          </w:p>
        </w:tc>
        <w:tc>
          <w:tcPr>
            <w:tcW w:w="102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08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06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23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90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42"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208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治理措施及去向</w:t>
            </w:r>
          </w:p>
        </w:tc>
        <w:tc>
          <w:tcPr>
            <w:tcW w:w="5305" w:type="dxa"/>
            <w:gridSpan w:val="5"/>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通过总排口排入市政污水管网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42" w:type="dxa"/>
            <w:vMerge w:val="restar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废水总排口</w:t>
            </w:r>
          </w:p>
        </w:tc>
        <w:tc>
          <w:tcPr>
            <w:tcW w:w="208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排放水量（</w:t>
            </w:r>
            <w:r>
              <w:rPr>
                <w:rFonts w:hint="default" w:ascii="Times New Roman" w:hAnsi="Times New Roman" w:eastAsia="宋体" w:cs="Times New Roman"/>
                <w:i w:val="0"/>
                <w:iCs w:val="0"/>
                <w:color w:val="auto"/>
                <w:kern w:val="0"/>
                <w:sz w:val="21"/>
                <w:szCs w:val="21"/>
                <w:u w:val="none"/>
                <w:lang w:val="en-US" w:eastAsia="zh-CN" w:bidi="ar"/>
              </w:rPr>
              <w:t>m³/d</w:t>
            </w:r>
            <w:r>
              <w:rPr>
                <w:rFonts w:hint="default" w:ascii="Times New Roman" w:hAnsi="Times New Roman" w:eastAsia="宋体" w:cs="Times New Roman"/>
                <w:i w:val="0"/>
                <w:iCs w:val="0"/>
                <w:color w:val="auto"/>
                <w:kern w:val="0"/>
                <w:sz w:val="21"/>
                <w:szCs w:val="21"/>
                <w:u w:val="none"/>
                <w:lang w:val="en-US" w:eastAsia="zh-CN" w:bidi="ar"/>
              </w:rPr>
              <w:t>）</w:t>
            </w:r>
          </w:p>
        </w:tc>
        <w:tc>
          <w:tcPr>
            <w:tcW w:w="5305" w:type="dxa"/>
            <w:gridSpan w:val="5"/>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1482.41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42" w:type="dxa"/>
            <w:vMerge w:val="continue"/>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208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排放浓度（</w:t>
            </w:r>
            <w:r>
              <w:rPr>
                <w:rFonts w:hint="default" w:ascii="Times New Roman" w:hAnsi="Times New Roman" w:eastAsia="宋体" w:cs="Times New Roman"/>
                <w:i w:val="0"/>
                <w:iCs w:val="0"/>
                <w:color w:val="auto"/>
                <w:kern w:val="0"/>
                <w:sz w:val="21"/>
                <w:szCs w:val="21"/>
                <w:u w:val="none"/>
                <w:lang w:val="en-US" w:eastAsia="zh-CN" w:bidi="ar"/>
              </w:rPr>
              <w:t>mg/L</w:t>
            </w:r>
            <w:r>
              <w:rPr>
                <w:rFonts w:hint="default" w:ascii="Times New Roman" w:hAnsi="Times New Roman" w:eastAsia="宋体" w:cs="Times New Roman"/>
                <w:i w:val="0"/>
                <w:iCs w:val="0"/>
                <w:color w:val="auto"/>
                <w:kern w:val="0"/>
                <w:sz w:val="21"/>
                <w:szCs w:val="21"/>
                <w:u w:val="none"/>
                <w:lang w:val="en-US" w:eastAsia="zh-CN" w:bidi="ar"/>
              </w:rPr>
              <w:t>）</w:t>
            </w:r>
          </w:p>
        </w:tc>
        <w:tc>
          <w:tcPr>
            <w:tcW w:w="1021"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88.78 </w:t>
            </w:r>
          </w:p>
        </w:tc>
        <w:tc>
          <w:tcPr>
            <w:tcW w:w="1084"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36.04 </w:t>
            </w:r>
          </w:p>
        </w:tc>
        <w:tc>
          <w:tcPr>
            <w:tcW w:w="1066"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27.62 </w:t>
            </w:r>
          </w:p>
        </w:tc>
        <w:tc>
          <w:tcPr>
            <w:tcW w:w="1234"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7.03 </w:t>
            </w:r>
          </w:p>
        </w:tc>
        <w:tc>
          <w:tcPr>
            <w:tcW w:w="90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0.01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42" w:type="dxa"/>
            <w:vMerge w:val="continue"/>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208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污染物排放量（</w:t>
            </w:r>
            <w:r>
              <w:rPr>
                <w:rFonts w:hint="default" w:ascii="Times New Roman" w:hAnsi="Times New Roman" w:eastAsia="宋体" w:cs="Times New Roman"/>
                <w:i w:val="0"/>
                <w:iCs w:val="0"/>
                <w:color w:val="auto"/>
                <w:kern w:val="0"/>
                <w:sz w:val="21"/>
                <w:szCs w:val="21"/>
                <w:u w:val="none"/>
                <w:lang w:val="en-US" w:eastAsia="zh-CN" w:bidi="ar"/>
              </w:rPr>
              <w:t>kg/d</w:t>
            </w:r>
            <w:r>
              <w:rPr>
                <w:rFonts w:hint="default" w:ascii="Times New Roman" w:hAnsi="Times New Roman" w:eastAsia="宋体" w:cs="Times New Roman"/>
                <w:i w:val="0"/>
                <w:iCs w:val="0"/>
                <w:color w:val="auto"/>
                <w:kern w:val="0"/>
                <w:sz w:val="21"/>
                <w:szCs w:val="21"/>
                <w:u w:val="none"/>
                <w:lang w:val="en-US" w:eastAsia="zh-CN" w:bidi="ar"/>
              </w:rPr>
              <w:t>）</w:t>
            </w:r>
          </w:p>
        </w:tc>
        <w:tc>
          <w:tcPr>
            <w:tcW w:w="102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131.61 </w:t>
            </w:r>
          </w:p>
        </w:tc>
        <w:tc>
          <w:tcPr>
            <w:tcW w:w="108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53.43 </w:t>
            </w:r>
          </w:p>
        </w:tc>
        <w:tc>
          <w:tcPr>
            <w:tcW w:w="106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40.95 </w:t>
            </w:r>
          </w:p>
        </w:tc>
        <w:tc>
          <w:tcPr>
            <w:tcW w:w="123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10.43 </w:t>
            </w:r>
          </w:p>
        </w:tc>
        <w:tc>
          <w:tcPr>
            <w:tcW w:w="90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0.01 </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（2）切片车间废水污染物产排情况</w:t>
      </w:r>
    </w:p>
    <w:p>
      <w:pPr>
        <w:pStyle w:val="133"/>
        <w:numPr>
          <w:ilvl w:val="0"/>
          <w:numId w:val="11"/>
        </w:numPr>
        <w:spacing w:line="360" w:lineRule="auto"/>
        <w:ind w:left="0" w:leftChars="0" w:firstLine="0" w:firstLineChars="0"/>
        <w:jc w:val="center"/>
        <w:rPr>
          <w:rFonts w:hint="default" w:ascii="Times New Roman" w:hAnsi="Times New Roman" w:cs="Times New Roman"/>
          <w:b/>
          <w:bCs/>
          <w:color w:val="auto"/>
        </w:rPr>
      </w:pPr>
      <w:r>
        <w:rPr>
          <w:rFonts w:hint="default" w:ascii="Times New Roman" w:hAnsi="Times New Roman" w:cs="Times New Roman"/>
          <w:b/>
          <w:bCs/>
          <w:color w:val="auto"/>
          <w:lang w:eastAsia="zh-CN"/>
        </w:rPr>
        <w:t>切片车间</w:t>
      </w:r>
      <w:r>
        <w:rPr>
          <w:rFonts w:hint="default" w:ascii="Times New Roman" w:hAnsi="Times New Roman" w:cs="Times New Roman"/>
          <w:b/>
          <w:bCs/>
          <w:color w:val="auto"/>
        </w:rPr>
        <w:t>废水</w:t>
      </w:r>
      <w:r>
        <w:rPr>
          <w:rFonts w:hint="default" w:ascii="Times New Roman" w:hAnsi="Times New Roman" w:cs="Times New Roman"/>
          <w:b/>
          <w:bCs/>
          <w:color w:val="auto"/>
          <w:lang w:eastAsia="zh-CN"/>
        </w:rPr>
        <w:t>污染物</w:t>
      </w:r>
      <w:r>
        <w:rPr>
          <w:rFonts w:hint="default" w:ascii="Times New Roman" w:hAnsi="Times New Roman" w:cs="Times New Roman"/>
          <w:b/>
          <w:bCs/>
          <w:color w:val="auto"/>
        </w:rPr>
        <w:t>产排情况</w:t>
      </w:r>
    </w:p>
    <w:tbl>
      <w:tblPr>
        <w:tblStyle w:val="44"/>
        <w:tblW w:w="87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08"/>
        <w:gridCol w:w="2139"/>
        <w:gridCol w:w="1289"/>
        <w:gridCol w:w="952"/>
        <w:gridCol w:w="1084"/>
        <w:gridCol w:w="1233"/>
        <w:gridCol w:w="116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jc w:val="center"/>
        </w:trPr>
        <w:tc>
          <w:tcPr>
            <w:tcW w:w="3047" w:type="dxa"/>
            <w:gridSpan w:val="2"/>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项目</w:t>
            </w:r>
          </w:p>
        </w:tc>
        <w:tc>
          <w:tcPr>
            <w:tcW w:w="1289"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952"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BOD</w:t>
            </w:r>
            <w:r>
              <w:rPr>
                <w:rFonts w:hint="default" w:ascii="Times New Roman" w:hAnsi="Times New Roman" w:eastAsia="宋体" w:cs="Times New Roman"/>
                <w:i w:val="0"/>
                <w:iCs w:val="0"/>
                <w:color w:val="auto"/>
                <w:kern w:val="0"/>
                <w:sz w:val="21"/>
                <w:szCs w:val="21"/>
                <w:u w:val="none"/>
                <w:vertAlign w:val="subscript"/>
                <w:lang w:val="en-US" w:eastAsia="zh-CN" w:bidi="ar"/>
              </w:rPr>
              <w:t>5</w:t>
            </w:r>
          </w:p>
        </w:tc>
        <w:tc>
          <w:tcPr>
            <w:tcW w:w="108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SS</w:t>
            </w:r>
          </w:p>
        </w:tc>
        <w:tc>
          <w:tcPr>
            <w:tcW w:w="123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阴离子表面活性剂</w:t>
            </w:r>
          </w:p>
        </w:tc>
        <w:tc>
          <w:tcPr>
            <w:tcW w:w="1165"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氟化物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908"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切割废水</w:t>
            </w:r>
          </w:p>
        </w:tc>
        <w:tc>
          <w:tcPr>
            <w:tcW w:w="213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废水量（</w:t>
            </w:r>
            <w:r>
              <w:rPr>
                <w:rFonts w:hint="default" w:ascii="Times New Roman" w:hAnsi="Times New Roman" w:eastAsia="宋体" w:cs="Times New Roman"/>
                <w:i w:val="0"/>
                <w:iCs w:val="0"/>
                <w:color w:val="auto"/>
                <w:kern w:val="0"/>
                <w:sz w:val="21"/>
                <w:szCs w:val="21"/>
                <w:u w:val="none"/>
                <w:lang w:val="en-US" w:eastAsia="zh-CN" w:bidi="ar"/>
              </w:rPr>
              <w:t>m³/d</w:t>
            </w:r>
            <w:r>
              <w:rPr>
                <w:rFonts w:hint="default" w:ascii="Times New Roman" w:hAnsi="Times New Roman" w:eastAsia="宋体" w:cs="Times New Roman"/>
                <w:i w:val="0"/>
                <w:iCs w:val="0"/>
                <w:color w:val="auto"/>
                <w:kern w:val="0"/>
                <w:sz w:val="21"/>
                <w:szCs w:val="21"/>
                <w:u w:val="none"/>
                <w:lang w:val="en-US" w:eastAsia="zh-CN" w:bidi="ar"/>
              </w:rPr>
              <w:t>）</w:t>
            </w:r>
          </w:p>
        </w:tc>
        <w:tc>
          <w:tcPr>
            <w:tcW w:w="5723" w:type="dxa"/>
            <w:gridSpan w:val="5"/>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613.04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908"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213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污染物浓度（</w:t>
            </w:r>
            <w:r>
              <w:rPr>
                <w:rFonts w:hint="default" w:ascii="Times New Roman" w:hAnsi="Times New Roman" w:eastAsia="宋体" w:cs="Times New Roman"/>
                <w:i w:val="0"/>
                <w:iCs w:val="0"/>
                <w:color w:val="auto"/>
                <w:kern w:val="0"/>
                <w:sz w:val="21"/>
                <w:szCs w:val="21"/>
                <w:u w:val="none"/>
                <w:lang w:val="en-US" w:eastAsia="zh-CN" w:bidi="ar"/>
              </w:rPr>
              <w:t>mg/L</w:t>
            </w:r>
            <w:r>
              <w:rPr>
                <w:rFonts w:hint="default" w:ascii="Times New Roman" w:hAnsi="Times New Roman" w:eastAsia="宋体" w:cs="Times New Roman"/>
                <w:i w:val="0"/>
                <w:iCs w:val="0"/>
                <w:color w:val="auto"/>
                <w:kern w:val="0"/>
                <w:sz w:val="21"/>
                <w:szCs w:val="21"/>
                <w:u w:val="none"/>
                <w:lang w:val="en-US" w:eastAsia="zh-CN" w:bidi="ar"/>
              </w:rPr>
              <w:t>）</w:t>
            </w:r>
          </w:p>
        </w:tc>
        <w:tc>
          <w:tcPr>
            <w:tcW w:w="128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3500</w:t>
            </w:r>
          </w:p>
        </w:tc>
        <w:tc>
          <w:tcPr>
            <w:tcW w:w="952"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1000</w:t>
            </w:r>
          </w:p>
        </w:tc>
        <w:tc>
          <w:tcPr>
            <w:tcW w:w="108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3000</w:t>
            </w:r>
          </w:p>
        </w:tc>
        <w:tc>
          <w:tcPr>
            <w:tcW w:w="123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165"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 w:hRule="atLeast"/>
          <w:jc w:val="center"/>
        </w:trPr>
        <w:tc>
          <w:tcPr>
            <w:tcW w:w="908"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213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污染物产生量（</w:t>
            </w:r>
            <w:r>
              <w:rPr>
                <w:rFonts w:hint="default" w:ascii="Times New Roman" w:hAnsi="Times New Roman" w:eastAsia="宋体" w:cs="Times New Roman"/>
                <w:i w:val="0"/>
                <w:iCs w:val="0"/>
                <w:color w:val="auto"/>
                <w:kern w:val="0"/>
                <w:sz w:val="21"/>
                <w:szCs w:val="21"/>
                <w:u w:val="none"/>
                <w:lang w:val="en-US" w:eastAsia="zh-CN" w:bidi="ar"/>
              </w:rPr>
              <w:t>kg/d</w:t>
            </w:r>
            <w:r>
              <w:rPr>
                <w:rFonts w:hint="default" w:ascii="Times New Roman" w:hAnsi="Times New Roman" w:eastAsia="宋体" w:cs="Times New Roman"/>
                <w:i w:val="0"/>
                <w:iCs w:val="0"/>
                <w:color w:val="auto"/>
                <w:kern w:val="0"/>
                <w:sz w:val="21"/>
                <w:szCs w:val="21"/>
                <w:u w:val="none"/>
                <w:lang w:val="en-US" w:eastAsia="zh-CN" w:bidi="ar"/>
              </w:rPr>
              <w:t>）</w:t>
            </w:r>
          </w:p>
        </w:tc>
        <w:tc>
          <w:tcPr>
            <w:tcW w:w="128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2145.64 </w:t>
            </w:r>
          </w:p>
        </w:tc>
        <w:tc>
          <w:tcPr>
            <w:tcW w:w="95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613.04 </w:t>
            </w:r>
          </w:p>
        </w:tc>
        <w:tc>
          <w:tcPr>
            <w:tcW w:w="108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1839.12 </w:t>
            </w:r>
          </w:p>
        </w:tc>
        <w:tc>
          <w:tcPr>
            <w:tcW w:w="12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16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908"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2139"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治理措施及去向</w:t>
            </w:r>
          </w:p>
        </w:tc>
        <w:tc>
          <w:tcPr>
            <w:tcW w:w="5723" w:type="dxa"/>
            <w:gridSpan w:val="5"/>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经隔膜板框压滤机压滤后再进入综合污水处理站处理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908"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213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出水水量（</w:t>
            </w:r>
            <w:r>
              <w:rPr>
                <w:rFonts w:hint="default" w:ascii="Times New Roman" w:hAnsi="Times New Roman" w:eastAsia="宋体" w:cs="Times New Roman"/>
                <w:i w:val="0"/>
                <w:iCs w:val="0"/>
                <w:color w:val="auto"/>
                <w:kern w:val="0"/>
                <w:sz w:val="21"/>
                <w:szCs w:val="21"/>
                <w:u w:val="none"/>
                <w:lang w:val="en-US" w:eastAsia="zh-CN" w:bidi="ar"/>
              </w:rPr>
              <w:t>m³/d</w:t>
            </w:r>
            <w:r>
              <w:rPr>
                <w:rFonts w:hint="default" w:ascii="Times New Roman" w:hAnsi="Times New Roman" w:eastAsia="宋体" w:cs="Times New Roman"/>
                <w:i w:val="0"/>
                <w:iCs w:val="0"/>
                <w:color w:val="auto"/>
                <w:kern w:val="0"/>
                <w:sz w:val="21"/>
                <w:szCs w:val="21"/>
                <w:u w:val="none"/>
                <w:lang w:val="en-US" w:eastAsia="zh-CN" w:bidi="ar"/>
              </w:rPr>
              <w:t>）</w:t>
            </w:r>
          </w:p>
        </w:tc>
        <w:tc>
          <w:tcPr>
            <w:tcW w:w="5723" w:type="dxa"/>
            <w:gridSpan w:val="5"/>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613.04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908"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213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出水浓度（</w:t>
            </w:r>
            <w:r>
              <w:rPr>
                <w:rFonts w:hint="default" w:ascii="Times New Roman" w:hAnsi="Times New Roman" w:eastAsia="宋体" w:cs="Times New Roman"/>
                <w:i w:val="0"/>
                <w:iCs w:val="0"/>
                <w:color w:val="auto"/>
                <w:kern w:val="0"/>
                <w:sz w:val="21"/>
                <w:szCs w:val="21"/>
                <w:u w:val="none"/>
                <w:lang w:val="en-US" w:eastAsia="zh-CN" w:bidi="ar"/>
              </w:rPr>
              <w:t>mg/L</w:t>
            </w:r>
            <w:r>
              <w:rPr>
                <w:rFonts w:hint="default" w:ascii="Times New Roman" w:hAnsi="Times New Roman" w:eastAsia="宋体" w:cs="Times New Roman"/>
                <w:i w:val="0"/>
                <w:iCs w:val="0"/>
                <w:color w:val="auto"/>
                <w:kern w:val="0"/>
                <w:sz w:val="21"/>
                <w:szCs w:val="21"/>
                <w:u w:val="none"/>
                <w:lang w:val="en-US" w:eastAsia="zh-CN" w:bidi="ar"/>
              </w:rPr>
              <w:t>）</w:t>
            </w:r>
          </w:p>
        </w:tc>
        <w:tc>
          <w:tcPr>
            <w:tcW w:w="128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3500</w:t>
            </w:r>
          </w:p>
        </w:tc>
        <w:tc>
          <w:tcPr>
            <w:tcW w:w="952"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1000</w:t>
            </w:r>
          </w:p>
        </w:tc>
        <w:tc>
          <w:tcPr>
            <w:tcW w:w="108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300</w:t>
            </w:r>
          </w:p>
        </w:tc>
        <w:tc>
          <w:tcPr>
            <w:tcW w:w="123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165"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908"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213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污染物剩余量（</w:t>
            </w:r>
            <w:r>
              <w:rPr>
                <w:rFonts w:hint="default" w:ascii="Times New Roman" w:hAnsi="Times New Roman" w:eastAsia="宋体" w:cs="Times New Roman"/>
                <w:i w:val="0"/>
                <w:iCs w:val="0"/>
                <w:color w:val="auto"/>
                <w:kern w:val="0"/>
                <w:sz w:val="21"/>
                <w:szCs w:val="21"/>
                <w:u w:val="none"/>
                <w:lang w:val="en-US" w:eastAsia="zh-CN" w:bidi="ar"/>
              </w:rPr>
              <w:t>kg/d</w:t>
            </w:r>
            <w:r>
              <w:rPr>
                <w:rFonts w:hint="default" w:ascii="Times New Roman" w:hAnsi="Times New Roman" w:eastAsia="宋体" w:cs="Times New Roman"/>
                <w:i w:val="0"/>
                <w:iCs w:val="0"/>
                <w:color w:val="auto"/>
                <w:kern w:val="0"/>
                <w:sz w:val="21"/>
                <w:szCs w:val="21"/>
                <w:u w:val="none"/>
                <w:lang w:val="en-US" w:eastAsia="zh-CN" w:bidi="ar"/>
              </w:rPr>
              <w:t>）</w:t>
            </w:r>
          </w:p>
        </w:tc>
        <w:tc>
          <w:tcPr>
            <w:tcW w:w="128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2145.64 </w:t>
            </w:r>
          </w:p>
        </w:tc>
        <w:tc>
          <w:tcPr>
            <w:tcW w:w="95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613.04 </w:t>
            </w:r>
          </w:p>
        </w:tc>
        <w:tc>
          <w:tcPr>
            <w:tcW w:w="108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183.91 </w:t>
            </w:r>
          </w:p>
        </w:tc>
        <w:tc>
          <w:tcPr>
            <w:tcW w:w="12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16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908"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脱胶废水</w:t>
            </w:r>
          </w:p>
        </w:tc>
        <w:tc>
          <w:tcPr>
            <w:tcW w:w="213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废水量（</w:t>
            </w:r>
            <w:r>
              <w:rPr>
                <w:rFonts w:hint="default" w:ascii="Times New Roman" w:hAnsi="Times New Roman" w:eastAsia="宋体" w:cs="Times New Roman"/>
                <w:i w:val="0"/>
                <w:iCs w:val="0"/>
                <w:color w:val="auto"/>
                <w:kern w:val="0"/>
                <w:sz w:val="21"/>
                <w:szCs w:val="21"/>
                <w:u w:val="none"/>
                <w:lang w:val="en-US" w:eastAsia="zh-CN" w:bidi="ar"/>
              </w:rPr>
              <w:t>m³/d</w:t>
            </w:r>
            <w:r>
              <w:rPr>
                <w:rFonts w:hint="default" w:ascii="Times New Roman" w:hAnsi="Times New Roman" w:eastAsia="宋体" w:cs="Times New Roman"/>
                <w:i w:val="0"/>
                <w:iCs w:val="0"/>
                <w:color w:val="auto"/>
                <w:kern w:val="0"/>
                <w:sz w:val="21"/>
                <w:szCs w:val="21"/>
                <w:u w:val="none"/>
                <w:lang w:val="en-US" w:eastAsia="zh-CN" w:bidi="ar"/>
              </w:rPr>
              <w:t>）</w:t>
            </w:r>
          </w:p>
        </w:tc>
        <w:tc>
          <w:tcPr>
            <w:tcW w:w="5723" w:type="dxa"/>
            <w:gridSpan w:val="5"/>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908"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213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污染物浓度（</w:t>
            </w:r>
            <w:r>
              <w:rPr>
                <w:rFonts w:hint="default" w:ascii="Times New Roman" w:hAnsi="Times New Roman" w:eastAsia="宋体" w:cs="Times New Roman"/>
                <w:i w:val="0"/>
                <w:iCs w:val="0"/>
                <w:color w:val="auto"/>
                <w:kern w:val="0"/>
                <w:sz w:val="21"/>
                <w:szCs w:val="21"/>
                <w:u w:val="none"/>
                <w:lang w:val="en-US" w:eastAsia="zh-CN" w:bidi="ar"/>
              </w:rPr>
              <w:t>mg/L</w:t>
            </w:r>
            <w:r>
              <w:rPr>
                <w:rFonts w:hint="default" w:ascii="Times New Roman" w:hAnsi="Times New Roman" w:eastAsia="宋体" w:cs="Times New Roman"/>
                <w:i w:val="0"/>
                <w:iCs w:val="0"/>
                <w:color w:val="auto"/>
                <w:kern w:val="0"/>
                <w:sz w:val="21"/>
                <w:szCs w:val="21"/>
                <w:u w:val="none"/>
                <w:lang w:val="en-US" w:eastAsia="zh-CN" w:bidi="ar"/>
              </w:rPr>
              <w:t>）</w:t>
            </w:r>
          </w:p>
        </w:tc>
        <w:tc>
          <w:tcPr>
            <w:tcW w:w="128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1000</w:t>
            </w:r>
          </w:p>
        </w:tc>
        <w:tc>
          <w:tcPr>
            <w:tcW w:w="952"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350</w:t>
            </w:r>
          </w:p>
        </w:tc>
        <w:tc>
          <w:tcPr>
            <w:tcW w:w="108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700</w:t>
            </w:r>
          </w:p>
        </w:tc>
        <w:tc>
          <w:tcPr>
            <w:tcW w:w="123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165"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908"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213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污染物产生量（</w:t>
            </w:r>
            <w:r>
              <w:rPr>
                <w:rFonts w:hint="default" w:ascii="Times New Roman" w:hAnsi="Times New Roman" w:eastAsia="宋体" w:cs="Times New Roman"/>
                <w:i w:val="0"/>
                <w:iCs w:val="0"/>
                <w:color w:val="auto"/>
                <w:kern w:val="0"/>
                <w:sz w:val="21"/>
                <w:szCs w:val="21"/>
                <w:u w:val="none"/>
                <w:lang w:val="en-US" w:eastAsia="zh-CN" w:bidi="ar"/>
              </w:rPr>
              <w:t>kg/d</w:t>
            </w:r>
            <w:r>
              <w:rPr>
                <w:rFonts w:hint="default" w:ascii="Times New Roman" w:hAnsi="Times New Roman" w:eastAsia="宋体" w:cs="Times New Roman"/>
                <w:i w:val="0"/>
                <w:iCs w:val="0"/>
                <w:color w:val="auto"/>
                <w:kern w:val="0"/>
                <w:sz w:val="21"/>
                <w:szCs w:val="21"/>
                <w:u w:val="none"/>
                <w:lang w:val="en-US" w:eastAsia="zh-CN" w:bidi="ar"/>
              </w:rPr>
              <w:t>）</w:t>
            </w:r>
          </w:p>
        </w:tc>
        <w:tc>
          <w:tcPr>
            <w:tcW w:w="128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0.35 </w:t>
            </w:r>
          </w:p>
        </w:tc>
        <w:tc>
          <w:tcPr>
            <w:tcW w:w="95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0.12 </w:t>
            </w:r>
          </w:p>
        </w:tc>
        <w:tc>
          <w:tcPr>
            <w:tcW w:w="108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0.25 </w:t>
            </w:r>
          </w:p>
        </w:tc>
        <w:tc>
          <w:tcPr>
            <w:tcW w:w="12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16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908"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切片初洗废水</w:t>
            </w:r>
          </w:p>
        </w:tc>
        <w:tc>
          <w:tcPr>
            <w:tcW w:w="213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废水量（</w:t>
            </w:r>
            <w:r>
              <w:rPr>
                <w:rFonts w:hint="default" w:ascii="Times New Roman" w:hAnsi="Times New Roman" w:eastAsia="宋体" w:cs="Times New Roman"/>
                <w:i w:val="0"/>
                <w:iCs w:val="0"/>
                <w:color w:val="auto"/>
                <w:kern w:val="0"/>
                <w:sz w:val="21"/>
                <w:szCs w:val="21"/>
                <w:u w:val="none"/>
                <w:lang w:val="en-US" w:eastAsia="zh-CN" w:bidi="ar"/>
              </w:rPr>
              <w:t>m³/d</w:t>
            </w:r>
            <w:r>
              <w:rPr>
                <w:rFonts w:hint="default" w:ascii="Times New Roman" w:hAnsi="Times New Roman" w:eastAsia="宋体" w:cs="Times New Roman"/>
                <w:i w:val="0"/>
                <w:iCs w:val="0"/>
                <w:color w:val="auto"/>
                <w:kern w:val="0"/>
                <w:sz w:val="21"/>
                <w:szCs w:val="21"/>
                <w:u w:val="none"/>
                <w:lang w:val="en-US" w:eastAsia="zh-CN" w:bidi="ar"/>
              </w:rPr>
              <w:t>）</w:t>
            </w:r>
          </w:p>
        </w:tc>
        <w:tc>
          <w:tcPr>
            <w:tcW w:w="5723" w:type="dxa"/>
            <w:gridSpan w:val="5"/>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1787.81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908"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213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污染物浓度（</w:t>
            </w:r>
            <w:r>
              <w:rPr>
                <w:rFonts w:hint="default" w:ascii="Times New Roman" w:hAnsi="Times New Roman" w:eastAsia="宋体" w:cs="Times New Roman"/>
                <w:i w:val="0"/>
                <w:iCs w:val="0"/>
                <w:color w:val="auto"/>
                <w:kern w:val="0"/>
                <w:sz w:val="21"/>
                <w:szCs w:val="21"/>
                <w:u w:val="none"/>
                <w:lang w:val="en-US" w:eastAsia="zh-CN" w:bidi="ar"/>
              </w:rPr>
              <w:t>mg/L</w:t>
            </w:r>
            <w:r>
              <w:rPr>
                <w:rFonts w:hint="default" w:ascii="Times New Roman" w:hAnsi="Times New Roman" w:eastAsia="宋体" w:cs="Times New Roman"/>
                <w:i w:val="0"/>
                <w:iCs w:val="0"/>
                <w:color w:val="auto"/>
                <w:kern w:val="0"/>
                <w:sz w:val="21"/>
                <w:szCs w:val="21"/>
                <w:u w:val="none"/>
                <w:lang w:val="en-US" w:eastAsia="zh-CN" w:bidi="ar"/>
              </w:rPr>
              <w:t>）</w:t>
            </w:r>
          </w:p>
        </w:tc>
        <w:tc>
          <w:tcPr>
            <w:tcW w:w="128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300</w:t>
            </w:r>
          </w:p>
        </w:tc>
        <w:tc>
          <w:tcPr>
            <w:tcW w:w="952"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150</w:t>
            </w:r>
          </w:p>
        </w:tc>
        <w:tc>
          <w:tcPr>
            <w:tcW w:w="108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300</w:t>
            </w:r>
          </w:p>
        </w:tc>
        <w:tc>
          <w:tcPr>
            <w:tcW w:w="123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165"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908"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213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污染物产生量（</w:t>
            </w:r>
            <w:r>
              <w:rPr>
                <w:rFonts w:hint="default" w:ascii="Times New Roman" w:hAnsi="Times New Roman" w:eastAsia="宋体" w:cs="Times New Roman"/>
                <w:i w:val="0"/>
                <w:iCs w:val="0"/>
                <w:color w:val="auto"/>
                <w:kern w:val="0"/>
                <w:sz w:val="21"/>
                <w:szCs w:val="21"/>
                <w:u w:val="none"/>
                <w:lang w:val="en-US" w:eastAsia="zh-CN" w:bidi="ar"/>
              </w:rPr>
              <w:t>kg/d</w:t>
            </w:r>
            <w:r>
              <w:rPr>
                <w:rFonts w:hint="default" w:ascii="Times New Roman" w:hAnsi="Times New Roman" w:eastAsia="宋体" w:cs="Times New Roman"/>
                <w:i w:val="0"/>
                <w:iCs w:val="0"/>
                <w:color w:val="auto"/>
                <w:kern w:val="0"/>
                <w:sz w:val="21"/>
                <w:szCs w:val="21"/>
                <w:u w:val="none"/>
                <w:lang w:val="en-US" w:eastAsia="zh-CN" w:bidi="ar"/>
              </w:rPr>
              <w:t>）</w:t>
            </w:r>
          </w:p>
        </w:tc>
        <w:tc>
          <w:tcPr>
            <w:tcW w:w="128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536.34 </w:t>
            </w:r>
          </w:p>
        </w:tc>
        <w:tc>
          <w:tcPr>
            <w:tcW w:w="95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268.17 </w:t>
            </w:r>
          </w:p>
        </w:tc>
        <w:tc>
          <w:tcPr>
            <w:tcW w:w="108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536.34 </w:t>
            </w:r>
          </w:p>
        </w:tc>
        <w:tc>
          <w:tcPr>
            <w:tcW w:w="12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16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908"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切片精洗废水</w:t>
            </w:r>
          </w:p>
        </w:tc>
        <w:tc>
          <w:tcPr>
            <w:tcW w:w="213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废水量（</w:t>
            </w:r>
            <w:r>
              <w:rPr>
                <w:rFonts w:hint="default" w:ascii="Times New Roman" w:hAnsi="Times New Roman" w:eastAsia="宋体" w:cs="Times New Roman"/>
                <w:i w:val="0"/>
                <w:iCs w:val="0"/>
                <w:color w:val="auto"/>
                <w:kern w:val="0"/>
                <w:sz w:val="21"/>
                <w:szCs w:val="21"/>
                <w:u w:val="none"/>
                <w:lang w:val="en-US" w:eastAsia="zh-CN" w:bidi="ar"/>
              </w:rPr>
              <w:t>m³/d</w:t>
            </w:r>
            <w:r>
              <w:rPr>
                <w:rFonts w:hint="default" w:ascii="Times New Roman" w:hAnsi="Times New Roman" w:eastAsia="宋体" w:cs="Times New Roman"/>
                <w:i w:val="0"/>
                <w:iCs w:val="0"/>
                <w:color w:val="auto"/>
                <w:kern w:val="0"/>
                <w:sz w:val="21"/>
                <w:szCs w:val="21"/>
                <w:u w:val="none"/>
                <w:lang w:val="en-US" w:eastAsia="zh-CN" w:bidi="ar"/>
              </w:rPr>
              <w:t>）</w:t>
            </w:r>
          </w:p>
        </w:tc>
        <w:tc>
          <w:tcPr>
            <w:tcW w:w="5723" w:type="dxa"/>
            <w:gridSpan w:val="5"/>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1042.16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908"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213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污染物浓度（</w:t>
            </w:r>
            <w:r>
              <w:rPr>
                <w:rFonts w:hint="default" w:ascii="Times New Roman" w:hAnsi="Times New Roman" w:eastAsia="宋体" w:cs="Times New Roman"/>
                <w:i w:val="0"/>
                <w:iCs w:val="0"/>
                <w:color w:val="auto"/>
                <w:kern w:val="0"/>
                <w:sz w:val="21"/>
                <w:szCs w:val="21"/>
                <w:u w:val="none"/>
                <w:lang w:val="en-US" w:eastAsia="zh-CN" w:bidi="ar"/>
              </w:rPr>
              <w:t>mg/L</w:t>
            </w:r>
            <w:r>
              <w:rPr>
                <w:rFonts w:hint="default" w:ascii="Times New Roman" w:hAnsi="Times New Roman" w:eastAsia="宋体" w:cs="Times New Roman"/>
                <w:i w:val="0"/>
                <w:iCs w:val="0"/>
                <w:color w:val="auto"/>
                <w:kern w:val="0"/>
                <w:sz w:val="21"/>
                <w:szCs w:val="21"/>
                <w:u w:val="none"/>
                <w:lang w:val="en-US" w:eastAsia="zh-CN" w:bidi="ar"/>
              </w:rPr>
              <w:t>）</w:t>
            </w:r>
          </w:p>
        </w:tc>
        <w:tc>
          <w:tcPr>
            <w:tcW w:w="128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1500</w:t>
            </w:r>
          </w:p>
        </w:tc>
        <w:tc>
          <w:tcPr>
            <w:tcW w:w="952"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500</w:t>
            </w:r>
          </w:p>
        </w:tc>
        <w:tc>
          <w:tcPr>
            <w:tcW w:w="108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23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300</w:t>
            </w:r>
          </w:p>
        </w:tc>
        <w:tc>
          <w:tcPr>
            <w:tcW w:w="1165"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908"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213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污染物产生量（</w:t>
            </w:r>
            <w:r>
              <w:rPr>
                <w:rFonts w:hint="default" w:ascii="Times New Roman" w:hAnsi="Times New Roman" w:eastAsia="宋体" w:cs="Times New Roman"/>
                <w:i w:val="0"/>
                <w:iCs w:val="0"/>
                <w:color w:val="auto"/>
                <w:kern w:val="0"/>
                <w:sz w:val="21"/>
                <w:szCs w:val="21"/>
                <w:u w:val="none"/>
                <w:lang w:val="en-US" w:eastAsia="zh-CN" w:bidi="ar"/>
              </w:rPr>
              <w:t>kg/d</w:t>
            </w:r>
            <w:r>
              <w:rPr>
                <w:rFonts w:hint="default" w:ascii="Times New Roman" w:hAnsi="Times New Roman" w:eastAsia="宋体" w:cs="Times New Roman"/>
                <w:i w:val="0"/>
                <w:iCs w:val="0"/>
                <w:color w:val="auto"/>
                <w:kern w:val="0"/>
                <w:sz w:val="21"/>
                <w:szCs w:val="21"/>
                <w:u w:val="none"/>
                <w:lang w:val="en-US" w:eastAsia="zh-CN" w:bidi="ar"/>
              </w:rPr>
              <w:t>）</w:t>
            </w:r>
          </w:p>
        </w:tc>
        <w:tc>
          <w:tcPr>
            <w:tcW w:w="128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1563.24 </w:t>
            </w:r>
          </w:p>
        </w:tc>
        <w:tc>
          <w:tcPr>
            <w:tcW w:w="95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521.08 </w:t>
            </w:r>
          </w:p>
        </w:tc>
        <w:tc>
          <w:tcPr>
            <w:tcW w:w="108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2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312.65 </w:t>
            </w:r>
          </w:p>
        </w:tc>
        <w:tc>
          <w:tcPr>
            <w:tcW w:w="116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908"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含氟废水</w:t>
            </w:r>
          </w:p>
        </w:tc>
        <w:tc>
          <w:tcPr>
            <w:tcW w:w="213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废水量（</w:t>
            </w:r>
            <w:r>
              <w:rPr>
                <w:rFonts w:hint="default" w:ascii="Times New Roman" w:hAnsi="Times New Roman" w:eastAsia="宋体" w:cs="Times New Roman"/>
                <w:i w:val="0"/>
                <w:iCs w:val="0"/>
                <w:color w:val="auto"/>
                <w:kern w:val="0"/>
                <w:sz w:val="21"/>
                <w:szCs w:val="21"/>
                <w:u w:val="none"/>
                <w:lang w:val="en-US" w:eastAsia="zh-CN" w:bidi="ar"/>
              </w:rPr>
              <w:t>m³/d</w:t>
            </w:r>
            <w:r>
              <w:rPr>
                <w:rFonts w:hint="default" w:ascii="Times New Roman" w:hAnsi="Times New Roman" w:eastAsia="宋体" w:cs="Times New Roman"/>
                <w:i w:val="0"/>
                <w:iCs w:val="0"/>
                <w:color w:val="auto"/>
                <w:kern w:val="0"/>
                <w:sz w:val="21"/>
                <w:szCs w:val="21"/>
                <w:u w:val="none"/>
                <w:lang w:val="en-US" w:eastAsia="zh-CN" w:bidi="ar"/>
              </w:rPr>
              <w:t>）</w:t>
            </w:r>
          </w:p>
        </w:tc>
        <w:tc>
          <w:tcPr>
            <w:tcW w:w="5723" w:type="dxa"/>
            <w:gridSpan w:val="5"/>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908"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213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污染物浓度（</w:t>
            </w:r>
            <w:r>
              <w:rPr>
                <w:rFonts w:hint="default" w:ascii="Times New Roman" w:hAnsi="Times New Roman" w:eastAsia="宋体" w:cs="Times New Roman"/>
                <w:i w:val="0"/>
                <w:iCs w:val="0"/>
                <w:color w:val="auto"/>
                <w:kern w:val="0"/>
                <w:sz w:val="21"/>
                <w:szCs w:val="21"/>
                <w:u w:val="none"/>
                <w:lang w:val="en-US" w:eastAsia="zh-CN" w:bidi="ar"/>
              </w:rPr>
              <w:t>mg/L</w:t>
            </w:r>
            <w:r>
              <w:rPr>
                <w:rFonts w:hint="default" w:ascii="Times New Roman" w:hAnsi="Times New Roman" w:eastAsia="宋体" w:cs="Times New Roman"/>
                <w:i w:val="0"/>
                <w:iCs w:val="0"/>
                <w:color w:val="auto"/>
                <w:kern w:val="0"/>
                <w:sz w:val="21"/>
                <w:szCs w:val="21"/>
                <w:u w:val="none"/>
                <w:lang w:val="en-US" w:eastAsia="zh-CN" w:bidi="ar"/>
              </w:rPr>
              <w:t>）</w:t>
            </w:r>
          </w:p>
        </w:tc>
        <w:tc>
          <w:tcPr>
            <w:tcW w:w="128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95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08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2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165"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149.33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908"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213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污染物产生量（</w:t>
            </w:r>
            <w:r>
              <w:rPr>
                <w:rFonts w:hint="default" w:ascii="Times New Roman" w:hAnsi="Times New Roman" w:eastAsia="宋体" w:cs="Times New Roman"/>
                <w:i w:val="0"/>
                <w:iCs w:val="0"/>
                <w:color w:val="auto"/>
                <w:kern w:val="0"/>
                <w:sz w:val="21"/>
                <w:szCs w:val="21"/>
                <w:u w:val="none"/>
                <w:lang w:val="en-US" w:eastAsia="zh-CN" w:bidi="ar"/>
              </w:rPr>
              <w:t>kg/d</w:t>
            </w:r>
            <w:r>
              <w:rPr>
                <w:rFonts w:hint="default" w:ascii="Times New Roman" w:hAnsi="Times New Roman" w:eastAsia="宋体" w:cs="Times New Roman"/>
                <w:i w:val="0"/>
                <w:iCs w:val="0"/>
                <w:color w:val="auto"/>
                <w:kern w:val="0"/>
                <w:sz w:val="21"/>
                <w:szCs w:val="21"/>
                <w:u w:val="none"/>
                <w:lang w:val="en-US" w:eastAsia="zh-CN" w:bidi="ar"/>
              </w:rPr>
              <w:t>）</w:t>
            </w:r>
          </w:p>
        </w:tc>
        <w:tc>
          <w:tcPr>
            <w:tcW w:w="128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95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08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2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16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0.44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908"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2139"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治理措施及去向</w:t>
            </w:r>
          </w:p>
        </w:tc>
        <w:tc>
          <w:tcPr>
            <w:tcW w:w="5723" w:type="dxa"/>
            <w:gridSpan w:val="5"/>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经含氟废水处理站处理后再进入综合污水处理站处理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908"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213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出水水量（</w:t>
            </w:r>
            <w:r>
              <w:rPr>
                <w:rFonts w:hint="default" w:ascii="Times New Roman" w:hAnsi="Times New Roman" w:eastAsia="宋体" w:cs="Times New Roman"/>
                <w:i w:val="0"/>
                <w:iCs w:val="0"/>
                <w:color w:val="auto"/>
                <w:kern w:val="0"/>
                <w:sz w:val="21"/>
                <w:szCs w:val="21"/>
                <w:u w:val="none"/>
                <w:lang w:val="en-US" w:eastAsia="zh-CN" w:bidi="ar"/>
              </w:rPr>
              <w:t>m³/d</w:t>
            </w:r>
            <w:r>
              <w:rPr>
                <w:rFonts w:hint="default" w:ascii="Times New Roman" w:hAnsi="Times New Roman" w:eastAsia="宋体" w:cs="Times New Roman"/>
                <w:i w:val="0"/>
                <w:iCs w:val="0"/>
                <w:color w:val="auto"/>
                <w:kern w:val="0"/>
                <w:sz w:val="21"/>
                <w:szCs w:val="21"/>
                <w:u w:val="none"/>
                <w:lang w:val="en-US" w:eastAsia="zh-CN" w:bidi="ar"/>
              </w:rPr>
              <w:t>）</w:t>
            </w:r>
          </w:p>
        </w:tc>
        <w:tc>
          <w:tcPr>
            <w:tcW w:w="5723" w:type="dxa"/>
            <w:gridSpan w:val="5"/>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908"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213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出水浓度（</w:t>
            </w:r>
            <w:r>
              <w:rPr>
                <w:rFonts w:hint="default" w:ascii="Times New Roman" w:hAnsi="Times New Roman" w:eastAsia="宋体" w:cs="Times New Roman"/>
                <w:i w:val="0"/>
                <w:iCs w:val="0"/>
                <w:color w:val="auto"/>
                <w:kern w:val="0"/>
                <w:sz w:val="21"/>
                <w:szCs w:val="21"/>
                <w:u w:val="none"/>
                <w:lang w:val="en-US" w:eastAsia="zh-CN" w:bidi="ar"/>
              </w:rPr>
              <w:t>mg/L</w:t>
            </w:r>
            <w:r>
              <w:rPr>
                <w:rFonts w:hint="default" w:ascii="Times New Roman" w:hAnsi="Times New Roman" w:eastAsia="宋体" w:cs="Times New Roman"/>
                <w:i w:val="0"/>
                <w:iCs w:val="0"/>
                <w:color w:val="auto"/>
                <w:kern w:val="0"/>
                <w:sz w:val="21"/>
                <w:szCs w:val="21"/>
                <w:u w:val="none"/>
                <w:lang w:val="en-US" w:eastAsia="zh-CN" w:bidi="ar"/>
              </w:rPr>
              <w:t>）</w:t>
            </w:r>
          </w:p>
        </w:tc>
        <w:tc>
          <w:tcPr>
            <w:tcW w:w="128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95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08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2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165"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908"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213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污染物剩余量（</w:t>
            </w:r>
            <w:r>
              <w:rPr>
                <w:rFonts w:hint="default" w:ascii="Times New Roman" w:hAnsi="Times New Roman" w:eastAsia="宋体" w:cs="Times New Roman"/>
                <w:i w:val="0"/>
                <w:iCs w:val="0"/>
                <w:color w:val="auto"/>
                <w:kern w:val="0"/>
                <w:sz w:val="21"/>
                <w:szCs w:val="21"/>
                <w:u w:val="none"/>
                <w:lang w:val="en-US" w:eastAsia="zh-CN" w:bidi="ar"/>
              </w:rPr>
              <w:t>kg/d</w:t>
            </w:r>
            <w:r>
              <w:rPr>
                <w:rFonts w:hint="default" w:ascii="Times New Roman" w:hAnsi="Times New Roman" w:eastAsia="宋体" w:cs="Times New Roman"/>
                <w:i w:val="0"/>
                <w:iCs w:val="0"/>
                <w:color w:val="auto"/>
                <w:kern w:val="0"/>
                <w:sz w:val="21"/>
                <w:szCs w:val="21"/>
                <w:u w:val="none"/>
                <w:lang w:val="en-US" w:eastAsia="zh-CN" w:bidi="ar"/>
              </w:rPr>
              <w:t>）</w:t>
            </w:r>
          </w:p>
        </w:tc>
        <w:tc>
          <w:tcPr>
            <w:tcW w:w="128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95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08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2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16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0.02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908"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综合污水处理站碱吸收废水</w:t>
            </w:r>
          </w:p>
        </w:tc>
        <w:tc>
          <w:tcPr>
            <w:tcW w:w="213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废水量（</w:t>
            </w:r>
            <w:r>
              <w:rPr>
                <w:rFonts w:hint="default" w:ascii="Times New Roman" w:hAnsi="Times New Roman" w:eastAsia="宋体" w:cs="Times New Roman"/>
                <w:i w:val="0"/>
                <w:iCs w:val="0"/>
                <w:color w:val="auto"/>
                <w:kern w:val="0"/>
                <w:sz w:val="21"/>
                <w:szCs w:val="21"/>
                <w:u w:val="none"/>
                <w:lang w:val="en-US" w:eastAsia="zh-CN" w:bidi="ar"/>
              </w:rPr>
              <w:t>m³/d</w:t>
            </w:r>
            <w:r>
              <w:rPr>
                <w:rFonts w:hint="default" w:ascii="Times New Roman" w:hAnsi="Times New Roman" w:eastAsia="宋体" w:cs="Times New Roman"/>
                <w:i w:val="0"/>
                <w:iCs w:val="0"/>
                <w:color w:val="auto"/>
                <w:kern w:val="0"/>
                <w:sz w:val="21"/>
                <w:szCs w:val="21"/>
                <w:u w:val="none"/>
                <w:lang w:val="en-US" w:eastAsia="zh-CN" w:bidi="ar"/>
              </w:rPr>
              <w:t>）</w:t>
            </w:r>
          </w:p>
        </w:tc>
        <w:tc>
          <w:tcPr>
            <w:tcW w:w="5723" w:type="dxa"/>
            <w:gridSpan w:val="5"/>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908"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213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污染物浓度（</w:t>
            </w:r>
            <w:r>
              <w:rPr>
                <w:rFonts w:hint="default" w:ascii="Times New Roman" w:hAnsi="Times New Roman" w:eastAsia="宋体" w:cs="Times New Roman"/>
                <w:i w:val="0"/>
                <w:iCs w:val="0"/>
                <w:color w:val="auto"/>
                <w:kern w:val="0"/>
                <w:sz w:val="21"/>
                <w:szCs w:val="21"/>
                <w:u w:val="none"/>
                <w:lang w:val="en-US" w:eastAsia="zh-CN" w:bidi="ar"/>
              </w:rPr>
              <w:t>mg/L</w:t>
            </w:r>
            <w:r>
              <w:rPr>
                <w:rFonts w:hint="default" w:ascii="Times New Roman" w:hAnsi="Times New Roman" w:eastAsia="宋体" w:cs="Times New Roman"/>
                <w:i w:val="0"/>
                <w:iCs w:val="0"/>
                <w:color w:val="auto"/>
                <w:kern w:val="0"/>
                <w:sz w:val="21"/>
                <w:szCs w:val="21"/>
                <w:u w:val="none"/>
                <w:lang w:val="en-US" w:eastAsia="zh-CN" w:bidi="ar"/>
              </w:rPr>
              <w:t>）</w:t>
            </w:r>
          </w:p>
        </w:tc>
        <w:tc>
          <w:tcPr>
            <w:tcW w:w="1289"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952"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08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23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165"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908"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213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污染物产生量（</w:t>
            </w:r>
            <w:r>
              <w:rPr>
                <w:rFonts w:hint="default" w:ascii="Times New Roman" w:hAnsi="Times New Roman" w:eastAsia="宋体" w:cs="Times New Roman"/>
                <w:i w:val="0"/>
                <w:iCs w:val="0"/>
                <w:color w:val="auto"/>
                <w:kern w:val="0"/>
                <w:sz w:val="21"/>
                <w:szCs w:val="21"/>
                <w:u w:val="none"/>
                <w:lang w:val="en-US" w:eastAsia="zh-CN" w:bidi="ar"/>
              </w:rPr>
              <w:t>kg/d</w:t>
            </w:r>
            <w:r>
              <w:rPr>
                <w:rFonts w:hint="default" w:ascii="Times New Roman" w:hAnsi="Times New Roman" w:eastAsia="宋体" w:cs="Times New Roman"/>
                <w:i w:val="0"/>
                <w:iCs w:val="0"/>
                <w:color w:val="auto"/>
                <w:kern w:val="0"/>
                <w:sz w:val="21"/>
                <w:szCs w:val="21"/>
                <w:u w:val="none"/>
                <w:lang w:val="en-US" w:eastAsia="zh-CN" w:bidi="ar"/>
              </w:rPr>
              <w:t>）</w:t>
            </w:r>
          </w:p>
        </w:tc>
        <w:tc>
          <w:tcPr>
            <w:tcW w:w="1289"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952"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08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2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16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8770" w:type="dxa"/>
            <w:gridSpan w:val="7"/>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上述废水进入综合污水处理站处理达标后通过总排口排入市政污水管网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908"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综合污水处理站</w:t>
            </w:r>
          </w:p>
        </w:tc>
        <w:tc>
          <w:tcPr>
            <w:tcW w:w="2139"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进水水量（</w:t>
            </w:r>
            <w:r>
              <w:rPr>
                <w:rFonts w:hint="default" w:ascii="Times New Roman" w:hAnsi="Times New Roman" w:eastAsia="宋体" w:cs="Times New Roman"/>
                <w:i w:val="0"/>
                <w:iCs w:val="0"/>
                <w:color w:val="auto"/>
                <w:kern w:val="0"/>
                <w:sz w:val="21"/>
                <w:szCs w:val="21"/>
                <w:u w:val="none"/>
                <w:lang w:val="en-US" w:eastAsia="zh-CN" w:bidi="ar"/>
              </w:rPr>
              <w:t>m³/d</w:t>
            </w:r>
            <w:r>
              <w:rPr>
                <w:rFonts w:hint="default" w:ascii="Times New Roman" w:hAnsi="Times New Roman" w:eastAsia="宋体" w:cs="Times New Roman"/>
                <w:i w:val="0"/>
                <w:iCs w:val="0"/>
                <w:color w:val="auto"/>
                <w:kern w:val="0"/>
                <w:sz w:val="21"/>
                <w:szCs w:val="21"/>
                <w:u w:val="none"/>
                <w:lang w:val="en-US" w:eastAsia="zh-CN" w:bidi="ar"/>
              </w:rPr>
              <w:t>）</w:t>
            </w:r>
          </w:p>
        </w:tc>
        <w:tc>
          <w:tcPr>
            <w:tcW w:w="5723" w:type="dxa"/>
            <w:gridSpan w:val="5"/>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3446.65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908"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213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进水浓度（</w:t>
            </w:r>
            <w:r>
              <w:rPr>
                <w:rFonts w:hint="default" w:ascii="Times New Roman" w:hAnsi="Times New Roman" w:eastAsia="宋体" w:cs="Times New Roman"/>
                <w:i w:val="0"/>
                <w:iCs w:val="0"/>
                <w:color w:val="auto"/>
                <w:kern w:val="0"/>
                <w:sz w:val="21"/>
                <w:szCs w:val="21"/>
                <w:u w:val="none"/>
                <w:lang w:val="en-US" w:eastAsia="zh-CN" w:bidi="ar"/>
              </w:rPr>
              <w:t>mg/L</w:t>
            </w:r>
            <w:r>
              <w:rPr>
                <w:rFonts w:hint="default" w:ascii="Times New Roman" w:hAnsi="Times New Roman" w:eastAsia="宋体" w:cs="Times New Roman"/>
                <w:i w:val="0"/>
                <w:iCs w:val="0"/>
                <w:color w:val="auto"/>
                <w:kern w:val="0"/>
                <w:sz w:val="21"/>
                <w:szCs w:val="21"/>
                <w:u w:val="none"/>
                <w:lang w:val="en-US" w:eastAsia="zh-CN" w:bidi="ar"/>
              </w:rPr>
              <w:t>）</w:t>
            </w:r>
          </w:p>
        </w:tc>
        <w:tc>
          <w:tcPr>
            <w:tcW w:w="128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1231.80 </w:t>
            </w:r>
          </w:p>
        </w:tc>
        <w:tc>
          <w:tcPr>
            <w:tcW w:w="95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406.89 </w:t>
            </w:r>
          </w:p>
        </w:tc>
        <w:tc>
          <w:tcPr>
            <w:tcW w:w="108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209.04 </w:t>
            </w:r>
          </w:p>
        </w:tc>
        <w:tc>
          <w:tcPr>
            <w:tcW w:w="12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90.71 </w:t>
            </w:r>
          </w:p>
        </w:tc>
        <w:tc>
          <w:tcPr>
            <w:tcW w:w="116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0.01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908"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213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污染物产生量（</w:t>
            </w:r>
            <w:r>
              <w:rPr>
                <w:rFonts w:hint="default" w:ascii="Times New Roman" w:hAnsi="Times New Roman" w:eastAsia="宋体" w:cs="Times New Roman"/>
                <w:i w:val="0"/>
                <w:iCs w:val="0"/>
                <w:color w:val="auto"/>
                <w:kern w:val="0"/>
                <w:sz w:val="21"/>
                <w:szCs w:val="21"/>
                <w:u w:val="none"/>
                <w:lang w:val="en-US" w:eastAsia="zh-CN" w:bidi="ar"/>
              </w:rPr>
              <w:t>kg/d</w:t>
            </w:r>
            <w:r>
              <w:rPr>
                <w:rFonts w:hint="default" w:ascii="Times New Roman" w:hAnsi="Times New Roman" w:eastAsia="宋体" w:cs="Times New Roman"/>
                <w:i w:val="0"/>
                <w:iCs w:val="0"/>
                <w:color w:val="auto"/>
                <w:kern w:val="0"/>
                <w:sz w:val="21"/>
                <w:szCs w:val="21"/>
                <w:u w:val="none"/>
                <w:lang w:val="en-US" w:eastAsia="zh-CN" w:bidi="ar"/>
              </w:rPr>
              <w:t>）</w:t>
            </w:r>
          </w:p>
        </w:tc>
        <w:tc>
          <w:tcPr>
            <w:tcW w:w="128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4245.57 </w:t>
            </w:r>
          </w:p>
        </w:tc>
        <w:tc>
          <w:tcPr>
            <w:tcW w:w="95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1402.41 </w:t>
            </w:r>
          </w:p>
        </w:tc>
        <w:tc>
          <w:tcPr>
            <w:tcW w:w="108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720.50 </w:t>
            </w:r>
          </w:p>
        </w:tc>
        <w:tc>
          <w:tcPr>
            <w:tcW w:w="12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312.65 </w:t>
            </w:r>
          </w:p>
        </w:tc>
        <w:tc>
          <w:tcPr>
            <w:tcW w:w="116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0.02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908"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2139"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治理措施及去向</w:t>
            </w:r>
          </w:p>
        </w:tc>
        <w:tc>
          <w:tcPr>
            <w:tcW w:w="5723" w:type="dxa"/>
            <w:gridSpan w:val="5"/>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进入综合污水处理站处理后通过总排口排入市政污水管网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908"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213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出水水量（</w:t>
            </w:r>
            <w:r>
              <w:rPr>
                <w:rFonts w:hint="default" w:ascii="Times New Roman" w:hAnsi="Times New Roman" w:eastAsia="宋体" w:cs="Times New Roman"/>
                <w:i w:val="0"/>
                <w:iCs w:val="0"/>
                <w:color w:val="auto"/>
                <w:kern w:val="0"/>
                <w:sz w:val="21"/>
                <w:szCs w:val="21"/>
                <w:u w:val="none"/>
                <w:lang w:val="en-US" w:eastAsia="zh-CN" w:bidi="ar"/>
              </w:rPr>
              <w:t>m³/d</w:t>
            </w:r>
            <w:r>
              <w:rPr>
                <w:rFonts w:hint="default" w:ascii="Times New Roman" w:hAnsi="Times New Roman" w:eastAsia="宋体" w:cs="Times New Roman"/>
                <w:i w:val="0"/>
                <w:iCs w:val="0"/>
                <w:color w:val="auto"/>
                <w:kern w:val="0"/>
                <w:sz w:val="21"/>
                <w:szCs w:val="21"/>
                <w:u w:val="none"/>
                <w:lang w:val="en-US" w:eastAsia="zh-CN" w:bidi="ar"/>
              </w:rPr>
              <w:t>）</w:t>
            </w:r>
          </w:p>
        </w:tc>
        <w:tc>
          <w:tcPr>
            <w:tcW w:w="5723" w:type="dxa"/>
            <w:gridSpan w:val="5"/>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3446.65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908"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213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出水浓度（</w:t>
            </w:r>
            <w:r>
              <w:rPr>
                <w:rFonts w:hint="default" w:ascii="Times New Roman" w:hAnsi="Times New Roman" w:eastAsia="宋体" w:cs="Times New Roman"/>
                <w:i w:val="0"/>
                <w:iCs w:val="0"/>
                <w:color w:val="auto"/>
                <w:kern w:val="0"/>
                <w:sz w:val="21"/>
                <w:szCs w:val="21"/>
                <w:u w:val="none"/>
                <w:lang w:val="en-US" w:eastAsia="zh-CN" w:bidi="ar"/>
              </w:rPr>
              <w:t>mg/L</w:t>
            </w:r>
            <w:r>
              <w:rPr>
                <w:rFonts w:hint="default" w:ascii="Times New Roman" w:hAnsi="Times New Roman" w:eastAsia="宋体" w:cs="Times New Roman"/>
                <w:i w:val="0"/>
                <w:iCs w:val="0"/>
                <w:color w:val="auto"/>
                <w:kern w:val="0"/>
                <w:sz w:val="21"/>
                <w:szCs w:val="21"/>
                <w:u w:val="none"/>
                <w:lang w:val="en-US" w:eastAsia="zh-CN" w:bidi="ar"/>
              </w:rPr>
              <w:t>）</w:t>
            </w:r>
          </w:p>
        </w:tc>
        <w:tc>
          <w:tcPr>
            <w:tcW w:w="128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98.54 </w:t>
            </w:r>
          </w:p>
        </w:tc>
        <w:tc>
          <w:tcPr>
            <w:tcW w:w="95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40.69 </w:t>
            </w:r>
          </w:p>
        </w:tc>
        <w:tc>
          <w:tcPr>
            <w:tcW w:w="108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31.36 </w:t>
            </w:r>
          </w:p>
        </w:tc>
        <w:tc>
          <w:tcPr>
            <w:tcW w:w="12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9.07 </w:t>
            </w:r>
          </w:p>
        </w:tc>
        <w:tc>
          <w:tcPr>
            <w:tcW w:w="116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0.01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908"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213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污染物排放量（</w:t>
            </w:r>
            <w:r>
              <w:rPr>
                <w:rFonts w:hint="default" w:ascii="Times New Roman" w:hAnsi="Times New Roman" w:eastAsia="宋体" w:cs="Times New Roman"/>
                <w:i w:val="0"/>
                <w:iCs w:val="0"/>
                <w:color w:val="auto"/>
                <w:kern w:val="0"/>
                <w:sz w:val="21"/>
                <w:szCs w:val="21"/>
                <w:u w:val="none"/>
                <w:lang w:val="en-US" w:eastAsia="zh-CN" w:bidi="ar"/>
              </w:rPr>
              <w:t>kg/d</w:t>
            </w:r>
            <w:r>
              <w:rPr>
                <w:rFonts w:hint="default" w:ascii="Times New Roman" w:hAnsi="Times New Roman" w:eastAsia="宋体" w:cs="Times New Roman"/>
                <w:i w:val="0"/>
                <w:iCs w:val="0"/>
                <w:color w:val="auto"/>
                <w:kern w:val="0"/>
                <w:sz w:val="21"/>
                <w:szCs w:val="21"/>
                <w:u w:val="none"/>
                <w:lang w:val="en-US" w:eastAsia="zh-CN" w:bidi="ar"/>
              </w:rPr>
              <w:t>）</w:t>
            </w:r>
          </w:p>
        </w:tc>
        <w:tc>
          <w:tcPr>
            <w:tcW w:w="128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339.64 </w:t>
            </w:r>
          </w:p>
        </w:tc>
        <w:tc>
          <w:tcPr>
            <w:tcW w:w="95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140.24 </w:t>
            </w:r>
          </w:p>
        </w:tc>
        <w:tc>
          <w:tcPr>
            <w:tcW w:w="108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108.09 </w:t>
            </w:r>
          </w:p>
        </w:tc>
        <w:tc>
          <w:tcPr>
            <w:tcW w:w="12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31.26 </w:t>
            </w:r>
          </w:p>
        </w:tc>
        <w:tc>
          <w:tcPr>
            <w:tcW w:w="116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0.02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908"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生活废水</w:t>
            </w:r>
          </w:p>
        </w:tc>
        <w:tc>
          <w:tcPr>
            <w:tcW w:w="213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产生水量（</w:t>
            </w:r>
            <w:r>
              <w:rPr>
                <w:rFonts w:hint="default" w:ascii="Times New Roman" w:hAnsi="Times New Roman" w:eastAsia="宋体" w:cs="Times New Roman"/>
                <w:i w:val="0"/>
                <w:iCs w:val="0"/>
                <w:color w:val="auto"/>
                <w:kern w:val="0"/>
                <w:sz w:val="21"/>
                <w:szCs w:val="21"/>
                <w:u w:val="none"/>
                <w:lang w:val="en-US" w:eastAsia="zh-CN" w:bidi="ar"/>
              </w:rPr>
              <w:t>m³/d</w:t>
            </w:r>
            <w:r>
              <w:rPr>
                <w:rFonts w:hint="default" w:ascii="Times New Roman" w:hAnsi="Times New Roman" w:eastAsia="宋体" w:cs="Times New Roman"/>
                <w:i w:val="0"/>
                <w:iCs w:val="0"/>
                <w:color w:val="auto"/>
                <w:kern w:val="0"/>
                <w:sz w:val="21"/>
                <w:szCs w:val="21"/>
                <w:u w:val="none"/>
                <w:lang w:val="en-US" w:eastAsia="zh-CN" w:bidi="ar"/>
              </w:rPr>
              <w:t>）</w:t>
            </w:r>
          </w:p>
        </w:tc>
        <w:tc>
          <w:tcPr>
            <w:tcW w:w="5723" w:type="dxa"/>
            <w:gridSpan w:val="5"/>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908"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213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产生源强（</w:t>
            </w:r>
            <w:r>
              <w:rPr>
                <w:rFonts w:hint="default" w:ascii="Times New Roman" w:hAnsi="Times New Roman" w:eastAsia="宋体" w:cs="Times New Roman"/>
                <w:i w:val="0"/>
                <w:iCs w:val="0"/>
                <w:color w:val="auto"/>
                <w:kern w:val="0"/>
                <w:sz w:val="21"/>
                <w:szCs w:val="21"/>
                <w:u w:val="none"/>
                <w:lang w:val="en-US" w:eastAsia="zh-CN" w:bidi="ar"/>
              </w:rPr>
              <w:t>mg/L</w:t>
            </w:r>
            <w:r>
              <w:rPr>
                <w:rFonts w:hint="default" w:ascii="Times New Roman" w:hAnsi="Times New Roman" w:eastAsia="宋体" w:cs="Times New Roman"/>
                <w:i w:val="0"/>
                <w:iCs w:val="0"/>
                <w:color w:val="auto"/>
                <w:kern w:val="0"/>
                <w:sz w:val="21"/>
                <w:szCs w:val="21"/>
                <w:u w:val="none"/>
                <w:lang w:val="en-US" w:eastAsia="zh-CN" w:bidi="ar"/>
              </w:rPr>
              <w:t>）</w:t>
            </w:r>
          </w:p>
        </w:tc>
        <w:tc>
          <w:tcPr>
            <w:tcW w:w="128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500</w:t>
            </w:r>
          </w:p>
        </w:tc>
        <w:tc>
          <w:tcPr>
            <w:tcW w:w="952"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200</w:t>
            </w:r>
          </w:p>
        </w:tc>
        <w:tc>
          <w:tcPr>
            <w:tcW w:w="108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200</w:t>
            </w:r>
          </w:p>
        </w:tc>
        <w:tc>
          <w:tcPr>
            <w:tcW w:w="123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165"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908"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213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污染物产生量（</w:t>
            </w:r>
            <w:r>
              <w:rPr>
                <w:rFonts w:hint="default" w:ascii="Times New Roman" w:hAnsi="Times New Roman" w:eastAsia="宋体" w:cs="Times New Roman"/>
                <w:i w:val="0"/>
                <w:iCs w:val="0"/>
                <w:color w:val="auto"/>
                <w:kern w:val="0"/>
                <w:sz w:val="21"/>
                <w:szCs w:val="21"/>
                <w:u w:val="none"/>
                <w:lang w:val="en-US" w:eastAsia="zh-CN" w:bidi="ar"/>
              </w:rPr>
              <w:t>kg/d</w:t>
            </w:r>
            <w:r>
              <w:rPr>
                <w:rFonts w:hint="default" w:ascii="Times New Roman" w:hAnsi="Times New Roman" w:eastAsia="宋体" w:cs="Times New Roman"/>
                <w:i w:val="0"/>
                <w:iCs w:val="0"/>
                <w:color w:val="auto"/>
                <w:kern w:val="0"/>
                <w:sz w:val="21"/>
                <w:szCs w:val="21"/>
                <w:u w:val="none"/>
                <w:lang w:val="en-US" w:eastAsia="zh-CN" w:bidi="ar"/>
              </w:rPr>
              <w:t>）</w:t>
            </w:r>
          </w:p>
        </w:tc>
        <w:tc>
          <w:tcPr>
            <w:tcW w:w="128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29.7</w:t>
            </w:r>
          </w:p>
        </w:tc>
        <w:tc>
          <w:tcPr>
            <w:tcW w:w="95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11.88</w:t>
            </w:r>
          </w:p>
        </w:tc>
        <w:tc>
          <w:tcPr>
            <w:tcW w:w="108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11.88</w:t>
            </w:r>
          </w:p>
        </w:tc>
        <w:tc>
          <w:tcPr>
            <w:tcW w:w="123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165"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908"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213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治理措施及去向</w:t>
            </w:r>
          </w:p>
        </w:tc>
        <w:tc>
          <w:tcPr>
            <w:tcW w:w="5723" w:type="dxa"/>
            <w:gridSpan w:val="5"/>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经隔油池、化粪池处理后通过总排口排入市政污水管网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908"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213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排放水量（</w:t>
            </w:r>
            <w:r>
              <w:rPr>
                <w:rFonts w:hint="default" w:ascii="Times New Roman" w:hAnsi="Times New Roman" w:eastAsia="宋体" w:cs="Times New Roman"/>
                <w:i w:val="0"/>
                <w:iCs w:val="0"/>
                <w:color w:val="auto"/>
                <w:kern w:val="0"/>
                <w:sz w:val="21"/>
                <w:szCs w:val="21"/>
                <w:u w:val="none"/>
                <w:lang w:val="en-US" w:eastAsia="zh-CN" w:bidi="ar"/>
              </w:rPr>
              <w:t>m³/d</w:t>
            </w:r>
            <w:r>
              <w:rPr>
                <w:rFonts w:hint="default" w:ascii="Times New Roman" w:hAnsi="Times New Roman" w:eastAsia="宋体" w:cs="Times New Roman"/>
                <w:i w:val="0"/>
                <w:iCs w:val="0"/>
                <w:color w:val="auto"/>
                <w:kern w:val="0"/>
                <w:sz w:val="21"/>
                <w:szCs w:val="21"/>
                <w:u w:val="none"/>
                <w:lang w:val="en-US" w:eastAsia="zh-CN" w:bidi="ar"/>
              </w:rPr>
              <w:t>）</w:t>
            </w:r>
          </w:p>
        </w:tc>
        <w:tc>
          <w:tcPr>
            <w:tcW w:w="5723" w:type="dxa"/>
            <w:gridSpan w:val="5"/>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908"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213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排放源强（</w:t>
            </w:r>
            <w:r>
              <w:rPr>
                <w:rFonts w:hint="default" w:ascii="Times New Roman" w:hAnsi="Times New Roman" w:eastAsia="宋体" w:cs="Times New Roman"/>
                <w:i w:val="0"/>
                <w:iCs w:val="0"/>
                <w:color w:val="auto"/>
                <w:kern w:val="0"/>
                <w:sz w:val="21"/>
                <w:szCs w:val="21"/>
                <w:u w:val="none"/>
                <w:lang w:val="en-US" w:eastAsia="zh-CN" w:bidi="ar"/>
              </w:rPr>
              <w:t>mg/L</w:t>
            </w:r>
            <w:r>
              <w:rPr>
                <w:rFonts w:hint="default" w:ascii="Times New Roman" w:hAnsi="Times New Roman" w:eastAsia="宋体" w:cs="Times New Roman"/>
                <w:i w:val="0"/>
                <w:iCs w:val="0"/>
                <w:color w:val="auto"/>
                <w:kern w:val="0"/>
                <w:sz w:val="21"/>
                <w:szCs w:val="21"/>
                <w:u w:val="none"/>
                <w:lang w:val="en-US" w:eastAsia="zh-CN" w:bidi="ar"/>
              </w:rPr>
              <w:t>）</w:t>
            </w:r>
          </w:p>
        </w:tc>
        <w:tc>
          <w:tcPr>
            <w:tcW w:w="128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476</w:t>
            </w:r>
          </w:p>
        </w:tc>
        <w:tc>
          <w:tcPr>
            <w:tcW w:w="952"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151.5</w:t>
            </w:r>
          </w:p>
        </w:tc>
        <w:tc>
          <w:tcPr>
            <w:tcW w:w="108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20.75</w:t>
            </w:r>
          </w:p>
        </w:tc>
        <w:tc>
          <w:tcPr>
            <w:tcW w:w="123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165"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908"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213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污染物排放量（</w:t>
            </w:r>
            <w:r>
              <w:rPr>
                <w:rFonts w:hint="default" w:ascii="Times New Roman" w:hAnsi="Times New Roman" w:eastAsia="宋体" w:cs="Times New Roman"/>
                <w:i w:val="0"/>
                <w:iCs w:val="0"/>
                <w:color w:val="auto"/>
                <w:kern w:val="0"/>
                <w:sz w:val="21"/>
                <w:szCs w:val="21"/>
                <w:u w:val="none"/>
                <w:lang w:val="en-US" w:eastAsia="zh-CN" w:bidi="ar"/>
              </w:rPr>
              <w:t>kg/d</w:t>
            </w:r>
            <w:r>
              <w:rPr>
                <w:rFonts w:hint="default" w:ascii="Times New Roman" w:hAnsi="Times New Roman" w:eastAsia="宋体" w:cs="Times New Roman"/>
                <w:i w:val="0"/>
                <w:iCs w:val="0"/>
                <w:color w:val="auto"/>
                <w:kern w:val="0"/>
                <w:sz w:val="21"/>
                <w:szCs w:val="21"/>
                <w:u w:val="none"/>
                <w:lang w:val="en-US" w:eastAsia="zh-CN" w:bidi="ar"/>
              </w:rPr>
              <w:t>）</w:t>
            </w:r>
          </w:p>
        </w:tc>
        <w:tc>
          <w:tcPr>
            <w:tcW w:w="128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28.27 </w:t>
            </w:r>
          </w:p>
        </w:tc>
        <w:tc>
          <w:tcPr>
            <w:tcW w:w="95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9.00 </w:t>
            </w:r>
          </w:p>
        </w:tc>
        <w:tc>
          <w:tcPr>
            <w:tcW w:w="108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1.23 </w:t>
            </w:r>
          </w:p>
        </w:tc>
        <w:tc>
          <w:tcPr>
            <w:tcW w:w="12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16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908"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清净下水</w:t>
            </w:r>
          </w:p>
        </w:tc>
        <w:tc>
          <w:tcPr>
            <w:tcW w:w="213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产生水量（</w:t>
            </w:r>
            <w:r>
              <w:rPr>
                <w:rFonts w:hint="default" w:ascii="Times New Roman" w:hAnsi="Times New Roman" w:eastAsia="宋体" w:cs="Times New Roman"/>
                <w:i w:val="0"/>
                <w:iCs w:val="0"/>
                <w:color w:val="auto"/>
                <w:kern w:val="0"/>
                <w:sz w:val="21"/>
                <w:szCs w:val="21"/>
                <w:u w:val="none"/>
                <w:lang w:val="en-US" w:eastAsia="zh-CN" w:bidi="ar"/>
              </w:rPr>
              <w:t>m³/d</w:t>
            </w:r>
            <w:r>
              <w:rPr>
                <w:rFonts w:hint="default" w:ascii="Times New Roman" w:hAnsi="Times New Roman" w:eastAsia="宋体" w:cs="Times New Roman"/>
                <w:i w:val="0"/>
                <w:iCs w:val="0"/>
                <w:color w:val="auto"/>
                <w:kern w:val="0"/>
                <w:sz w:val="21"/>
                <w:szCs w:val="21"/>
                <w:u w:val="none"/>
                <w:lang w:val="en-US" w:eastAsia="zh-CN" w:bidi="ar"/>
              </w:rPr>
              <w:t>）</w:t>
            </w:r>
          </w:p>
        </w:tc>
        <w:tc>
          <w:tcPr>
            <w:tcW w:w="5723" w:type="dxa"/>
            <w:gridSpan w:val="5"/>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760.73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908"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213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产生源强（</w:t>
            </w:r>
            <w:r>
              <w:rPr>
                <w:rFonts w:hint="default" w:ascii="Times New Roman" w:hAnsi="Times New Roman" w:eastAsia="宋体" w:cs="Times New Roman"/>
                <w:i w:val="0"/>
                <w:iCs w:val="0"/>
                <w:color w:val="auto"/>
                <w:kern w:val="0"/>
                <w:sz w:val="21"/>
                <w:szCs w:val="21"/>
                <w:u w:val="none"/>
                <w:lang w:val="en-US" w:eastAsia="zh-CN" w:bidi="ar"/>
              </w:rPr>
              <w:t>mg/L</w:t>
            </w:r>
            <w:r>
              <w:rPr>
                <w:rFonts w:hint="default" w:ascii="Times New Roman" w:hAnsi="Times New Roman" w:eastAsia="宋体" w:cs="Times New Roman"/>
                <w:i w:val="0"/>
                <w:iCs w:val="0"/>
                <w:color w:val="auto"/>
                <w:kern w:val="0"/>
                <w:sz w:val="21"/>
                <w:szCs w:val="21"/>
                <w:u w:val="none"/>
                <w:lang w:val="en-US" w:eastAsia="zh-CN" w:bidi="ar"/>
              </w:rPr>
              <w:t>）</w:t>
            </w:r>
          </w:p>
        </w:tc>
        <w:tc>
          <w:tcPr>
            <w:tcW w:w="128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952"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08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23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165"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908"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213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产生量（</w:t>
            </w:r>
            <w:r>
              <w:rPr>
                <w:rFonts w:hint="default" w:ascii="Times New Roman" w:hAnsi="Times New Roman" w:eastAsia="宋体" w:cs="Times New Roman"/>
                <w:i w:val="0"/>
                <w:iCs w:val="0"/>
                <w:color w:val="auto"/>
                <w:kern w:val="0"/>
                <w:sz w:val="21"/>
                <w:szCs w:val="21"/>
                <w:u w:val="none"/>
                <w:lang w:val="en-US" w:eastAsia="zh-CN" w:bidi="ar"/>
              </w:rPr>
              <w:t>t/a</w:t>
            </w:r>
            <w:r>
              <w:rPr>
                <w:rFonts w:hint="default" w:ascii="Times New Roman" w:hAnsi="Times New Roman" w:eastAsia="宋体" w:cs="Times New Roman"/>
                <w:i w:val="0"/>
                <w:iCs w:val="0"/>
                <w:color w:val="auto"/>
                <w:kern w:val="0"/>
                <w:sz w:val="21"/>
                <w:szCs w:val="21"/>
                <w:u w:val="none"/>
                <w:lang w:val="en-US" w:eastAsia="zh-CN" w:bidi="ar"/>
              </w:rPr>
              <w:t>）</w:t>
            </w:r>
          </w:p>
        </w:tc>
        <w:tc>
          <w:tcPr>
            <w:tcW w:w="128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95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08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2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16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908"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213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治理措施及去向</w:t>
            </w:r>
          </w:p>
        </w:tc>
        <w:tc>
          <w:tcPr>
            <w:tcW w:w="5723" w:type="dxa"/>
            <w:gridSpan w:val="5"/>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通过总排口排入市政污水管网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908" w:type="dxa"/>
            <w:vMerge w:val="restar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废水总排口</w:t>
            </w:r>
          </w:p>
        </w:tc>
        <w:tc>
          <w:tcPr>
            <w:tcW w:w="213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排放水量（</w:t>
            </w:r>
            <w:r>
              <w:rPr>
                <w:rFonts w:hint="default" w:ascii="Times New Roman" w:hAnsi="Times New Roman" w:eastAsia="宋体" w:cs="Times New Roman"/>
                <w:i w:val="0"/>
                <w:iCs w:val="0"/>
                <w:color w:val="auto"/>
                <w:kern w:val="0"/>
                <w:sz w:val="21"/>
                <w:szCs w:val="21"/>
                <w:u w:val="none"/>
                <w:lang w:val="en-US" w:eastAsia="zh-CN" w:bidi="ar"/>
              </w:rPr>
              <w:t>m³/d</w:t>
            </w:r>
            <w:r>
              <w:rPr>
                <w:rFonts w:hint="default" w:ascii="Times New Roman" w:hAnsi="Times New Roman" w:eastAsia="宋体" w:cs="Times New Roman"/>
                <w:i w:val="0"/>
                <w:iCs w:val="0"/>
                <w:color w:val="auto"/>
                <w:kern w:val="0"/>
                <w:sz w:val="21"/>
                <w:szCs w:val="21"/>
                <w:u w:val="none"/>
                <w:lang w:val="en-US" w:eastAsia="zh-CN" w:bidi="ar"/>
              </w:rPr>
              <w:t>）</w:t>
            </w:r>
          </w:p>
        </w:tc>
        <w:tc>
          <w:tcPr>
            <w:tcW w:w="5723" w:type="dxa"/>
            <w:gridSpan w:val="5"/>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4266.78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908" w:type="dxa"/>
            <w:vMerge w:val="continue"/>
            <w:tcBorders>
              <w:top w:val="nil"/>
              <w:left w:val="single" w:color="000000" w:sz="8" w:space="0"/>
              <w:bottom w:val="single" w:color="000000" w:sz="8" w:space="0"/>
              <w:right w:val="single" w:color="000000" w:sz="8" w:space="0"/>
            </w:tcBorders>
            <w:shd w:val="clear" w:color="auto" w:fill="auto"/>
            <w:noWrap/>
            <w:vAlign w:val="center"/>
          </w:tcPr>
          <w:p>
            <w:pPr>
              <w:jc w:val="center"/>
              <w:rPr>
                <w:rFonts w:hint="default" w:ascii="Times New Roman" w:hAnsi="Times New Roman" w:eastAsia="宋体" w:cs="Times New Roman"/>
                <w:i w:val="0"/>
                <w:iCs w:val="0"/>
                <w:color w:val="auto"/>
                <w:sz w:val="21"/>
                <w:szCs w:val="21"/>
                <w:u w:val="none"/>
              </w:rPr>
            </w:pPr>
          </w:p>
        </w:tc>
        <w:tc>
          <w:tcPr>
            <w:tcW w:w="213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排放浓度（</w:t>
            </w:r>
            <w:r>
              <w:rPr>
                <w:rFonts w:hint="default" w:ascii="Times New Roman" w:hAnsi="Times New Roman" w:eastAsia="宋体" w:cs="Times New Roman"/>
                <w:i w:val="0"/>
                <w:iCs w:val="0"/>
                <w:color w:val="auto"/>
                <w:kern w:val="0"/>
                <w:sz w:val="21"/>
                <w:szCs w:val="21"/>
                <w:u w:val="none"/>
                <w:lang w:val="en-US" w:eastAsia="zh-CN" w:bidi="ar"/>
              </w:rPr>
              <w:t>mg/L</w:t>
            </w:r>
            <w:r>
              <w:rPr>
                <w:rFonts w:hint="default" w:ascii="Times New Roman" w:hAnsi="Times New Roman" w:eastAsia="宋体" w:cs="Times New Roman"/>
                <w:i w:val="0"/>
                <w:iCs w:val="0"/>
                <w:color w:val="auto"/>
                <w:kern w:val="0"/>
                <w:sz w:val="21"/>
                <w:szCs w:val="21"/>
                <w:u w:val="none"/>
                <w:lang w:val="en-US" w:eastAsia="zh-CN" w:bidi="ar"/>
              </w:rPr>
              <w:t>）</w:t>
            </w:r>
          </w:p>
        </w:tc>
        <w:tc>
          <w:tcPr>
            <w:tcW w:w="1289"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86.23 </w:t>
            </w:r>
          </w:p>
        </w:tc>
        <w:tc>
          <w:tcPr>
            <w:tcW w:w="952"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34.98 </w:t>
            </w:r>
          </w:p>
        </w:tc>
        <w:tc>
          <w:tcPr>
            <w:tcW w:w="1084"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25.62 </w:t>
            </w:r>
          </w:p>
        </w:tc>
        <w:tc>
          <w:tcPr>
            <w:tcW w:w="1233"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7.33 </w:t>
            </w:r>
          </w:p>
        </w:tc>
        <w:tc>
          <w:tcPr>
            <w:tcW w:w="1165"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908" w:type="dxa"/>
            <w:vMerge w:val="continue"/>
            <w:tcBorders>
              <w:top w:val="nil"/>
              <w:left w:val="single" w:color="000000" w:sz="8" w:space="0"/>
              <w:bottom w:val="single" w:color="000000" w:sz="8" w:space="0"/>
              <w:right w:val="single" w:color="000000" w:sz="8" w:space="0"/>
            </w:tcBorders>
            <w:shd w:val="clear" w:color="auto" w:fill="auto"/>
            <w:noWrap/>
            <w:vAlign w:val="center"/>
          </w:tcPr>
          <w:p>
            <w:pPr>
              <w:jc w:val="center"/>
              <w:rPr>
                <w:rFonts w:hint="default" w:ascii="Times New Roman" w:hAnsi="Times New Roman" w:eastAsia="宋体" w:cs="Times New Roman"/>
                <w:i w:val="0"/>
                <w:iCs w:val="0"/>
                <w:color w:val="auto"/>
                <w:sz w:val="21"/>
                <w:szCs w:val="21"/>
                <w:u w:val="none"/>
              </w:rPr>
            </w:pPr>
          </w:p>
        </w:tc>
        <w:tc>
          <w:tcPr>
            <w:tcW w:w="213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污染物排放量（</w:t>
            </w:r>
            <w:r>
              <w:rPr>
                <w:rFonts w:hint="default" w:ascii="Times New Roman" w:hAnsi="Times New Roman" w:eastAsia="宋体" w:cs="Times New Roman"/>
                <w:i w:val="0"/>
                <w:iCs w:val="0"/>
                <w:color w:val="auto"/>
                <w:kern w:val="0"/>
                <w:sz w:val="21"/>
                <w:szCs w:val="21"/>
                <w:u w:val="none"/>
                <w:lang w:val="en-US" w:eastAsia="zh-CN" w:bidi="ar"/>
              </w:rPr>
              <w:t>kg/d</w:t>
            </w:r>
            <w:r>
              <w:rPr>
                <w:rFonts w:hint="default" w:ascii="Times New Roman" w:hAnsi="Times New Roman" w:eastAsia="宋体" w:cs="Times New Roman"/>
                <w:i w:val="0"/>
                <w:iCs w:val="0"/>
                <w:color w:val="auto"/>
                <w:kern w:val="0"/>
                <w:sz w:val="21"/>
                <w:szCs w:val="21"/>
                <w:u w:val="none"/>
                <w:lang w:val="en-US" w:eastAsia="zh-CN" w:bidi="ar"/>
              </w:rPr>
              <w:t>）</w:t>
            </w:r>
          </w:p>
        </w:tc>
        <w:tc>
          <w:tcPr>
            <w:tcW w:w="128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367.91 </w:t>
            </w:r>
          </w:p>
        </w:tc>
        <w:tc>
          <w:tcPr>
            <w:tcW w:w="95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149.24 </w:t>
            </w:r>
          </w:p>
        </w:tc>
        <w:tc>
          <w:tcPr>
            <w:tcW w:w="108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109.32 </w:t>
            </w:r>
          </w:p>
        </w:tc>
        <w:tc>
          <w:tcPr>
            <w:tcW w:w="12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31.26 </w:t>
            </w:r>
          </w:p>
        </w:tc>
        <w:tc>
          <w:tcPr>
            <w:tcW w:w="116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0.02 </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default" w:ascii="Times New Roman" w:hAnsi="Times New Roman" w:cs="Times New Roman"/>
          <w:b w:val="0"/>
          <w:bCs/>
          <w:color w:val="auto"/>
        </w:rPr>
      </w:pPr>
      <w:r>
        <w:rPr>
          <w:rFonts w:hint="default" w:ascii="Times New Roman" w:hAnsi="Times New Roman" w:cs="Times New Roman"/>
          <w:b w:val="0"/>
          <w:bCs/>
          <w:color w:val="auto"/>
          <w:lang w:val="en-US" w:eastAsia="zh-CN"/>
        </w:rPr>
        <w:t>（3）全厂废水污染物产排情况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厂区现状已建成投产10GW单晶硅拉棒，切片生产线尚未建成投产，根据“宇泽半导体（云南）有限公司年产5GW单晶硅拉棒及3GW切片生产线项目（二期2GW拉棒）竣工环境保护验收监测报告”验收监测数据，10GW单晶硅拉棒生产线废水产生总量为</w:t>
      </w:r>
      <w:r>
        <w:rPr>
          <w:rFonts w:hint="default" w:ascii="Times New Roman" w:hAnsi="Times New Roman" w:eastAsia="宋体" w:cs="Times New Roman"/>
          <w:color w:val="auto"/>
          <w:lang w:val="en-US" w:eastAsia="zh-CN"/>
        </w:rPr>
        <w:t>1527.8m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vertAlign w:val="baseline"/>
          <w:lang w:val="en-US" w:eastAsia="zh-CN"/>
        </w:rPr>
        <w:t>/d（生产废水1469.8</w:t>
      </w:r>
      <w:r>
        <w:rPr>
          <w:rFonts w:hint="default" w:ascii="Times New Roman" w:hAnsi="Times New Roman" w:eastAsia="宋体" w:cs="Times New Roman"/>
          <w:color w:val="auto"/>
          <w:lang w:val="en-US" w:eastAsia="zh-CN"/>
        </w:rPr>
        <w:t>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/d、生活废水58m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/d</w:t>
      </w:r>
      <w:r>
        <w:rPr>
          <w:rFonts w:hint="default" w:ascii="Times New Roman" w:hAnsi="Times New Roman" w:eastAsia="宋体" w:cs="Times New Roman"/>
          <w:color w:val="auto"/>
          <w:vertAlign w:val="baseline"/>
          <w:lang w:val="en-US" w:eastAsia="zh-CN"/>
        </w:rPr>
        <w:t>），生产废水中含氟废水量1291.8</w:t>
      </w:r>
      <w:r>
        <w:rPr>
          <w:rFonts w:hint="default" w:ascii="Times New Roman" w:hAnsi="Times New Roman" w:eastAsia="宋体" w:cs="Times New Roman"/>
          <w:color w:val="auto"/>
          <w:lang w:val="en-US" w:eastAsia="zh-CN"/>
        </w:rPr>
        <w:t>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vertAlign w:val="baseline"/>
          <w:lang w:val="en-US" w:eastAsia="zh-CN"/>
        </w:rPr>
        <w:t>/d、清净下水178</w:t>
      </w:r>
      <w:r>
        <w:rPr>
          <w:rFonts w:hint="default" w:ascii="Times New Roman" w:hAnsi="Times New Roman" w:eastAsia="宋体" w:cs="Times New Roman"/>
          <w:color w:val="auto"/>
          <w:lang w:val="en-US" w:eastAsia="zh-CN"/>
        </w:rPr>
        <w:t>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vertAlign w:val="baseline"/>
          <w:lang w:val="en-US" w:eastAsia="zh-CN"/>
        </w:rPr>
        <w:t>/d，含氟废水处理站进出口监测数据如下。</w:t>
      </w:r>
    </w:p>
    <w:p>
      <w:pPr>
        <w:pStyle w:val="133"/>
        <w:numPr>
          <w:ilvl w:val="0"/>
          <w:numId w:val="11"/>
        </w:numPr>
        <w:spacing w:line="360" w:lineRule="auto"/>
        <w:ind w:left="0" w:leftChars="0" w:firstLine="0" w:firstLineChars="0"/>
        <w:jc w:val="center"/>
        <w:rPr>
          <w:rFonts w:hint="default" w:ascii="Times New Roman" w:hAnsi="Times New Roman" w:eastAsia="宋体" w:cs="Times New Roman"/>
          <w:b/>
          <w:color w:val="auto"/>
          <w:sz w:val="24"/>
          <w:szCs w:val="24"/>
        </w:rPr>
        <w:sectPr>
          <w:pgSz w:w="11906" w:h="16838"/>
          <w:pgMar w:top="1440" w:right="1797" w:bottom="1440" w:left="1797" w:header="851" w:footer="992" w:gutter="0"/>
          <w:pgBorders>
            <w:top w:val="none" w:sz="0" w:space="0"/>
            <w:left w:val="none" w:sz="0" w:space="0"/>
            <w:bottom w:val="none" w:sz="0" w:space="0"/>
            <w:right w:val="none" w:sz="0" w:space="0"/>
          </w:pgBorders>
          <w:cols w:space="720" w:num="1"/>
          <w:docGrid w:linePitch="312" w:charSpace="0"/>
        </w:sectPr>
      </w:pPr>
    </w:p>
    <w:p>
      <w:pPr>
        <w:pStyle w:val="133"/>
        <w:numPr>
          <w:ilvl w:val="0"/>
          <w:numId w:val="11"/>
        </w:numPr>
        <w:spacing w:line="360" w:lineRule="auto"/>
        <w:ind w:left="0" w:leftChars="0" w:firstLine="0" w:firstLineChars="0"/>
        <w:jc w:val="center"/>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lang w:val="en-US" w:eastAsia="zh-CN"/>
        </w:rPr>
        <w:t>含氟废水处理站进出口</w:t>
      </w:r>
      <w:r>
        <w:rPr>
          <w:rFonts w:hint="default" w:ascii="Times New Roman" w:hAnsi="Times New Roman" w:eastAsia="宋体" w:cs="Times New Roman"/>
          <w:b/>
          <w:color w:val="auto"/>
          <w:sz w:val="24"/>
          <w:szCs w:val="24"/>
        </w:rPr>
        <w:t>检测结果一览表</w:t>
      </w:r>
    </w:p>
    <w:tbl>
      <w:tblPr>
        <w:tblStyle w:val="44"/>
        <w:tblW w:w="135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60"/>
        <w:gridCol w:w="1375"/>
        <w:gridCol w:w="900"/>
        <w:gridCol w:w="813"/>
        <w:gridCol w:w="850"/>
        <w:gridCol w:w="937"/>
        <w:gridCol w:w="988"/>
        <w:gridCol w:w="962"/>
        <w:gridCol w:w="913"/>
        <w:gridCol w:w="900"/>
        <w:gridCol w:w="1000"/>
        <w:gridCol w:w="1062"/>
        <w:gridCol w:w="1038"/>
        <w:gridCol w:w="10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7" w:hRule="atLeast"/>
          <w:jc w:val="center"/>
        </w:trPr>
        <w:tc>
          <w:tcPr>
            <w:tcW w:w="760" w:type="dxa"/>
            <w:vMerge w:val="restart"/>
            <w:shd w:val="clear" w:color="auto" w:fill="auto"/>
            <w:noWrap/>
            <w:vAlign w:val="center"/>
          </w:tcPr>
          <w:p>
            <w:pPr>
              <w:jc w:val="center"/>
              <w:rPr>
                <w:rFonts w:hint="default" w:ascii="Times New Roman" w:hAnsi="Times New Roman" w:eastAsia="宋体" w:cs="Times New Roman"/>
                <w:i w:val="0"/>
                <w:iCs w:val="0"/>
                <w:color w:val="000000"/>
                <w:sz w:val="21"/>
                <w:szCs w:val="21"/>
                <w:u w:val="none"/>
                <w:lang w:eastAsia="zh-CN"/>
              </w:rPr>
            </w:pPr>
            <w:r>
              <w:rPr>
                <w:rFonts w:hint="default" w:ascii="Times New Roman" w:hAnsi="Times New Roman" w:eastAsia="宋体" w:cs="Times New Roman"/>
                <w:i w:val="0"/>
                <w:iCs w:val="0"/>
                <w:color w:val="000000"/>
                <w:sz w:val="21"/>
                <w:szCs w:val="21"/>
                <w:u w:val="none"/>
                <w:lang w:eastAsia="zh-CN"/>
              </w:rPr>
              <w:t>监测日期</w:t>
            </w:r>
          </w:p>
        </w:tc>
        <w:tc>
          <w:tcPr>
            <w:tcW w:w="1375" w:type="dxa"/>
            <w:vMerge w:val="restart"/>
            <w:shd w:val="clear" w:color="auto" w:fill="auto"/>
            <w:noWrap/>
            <w:vAlign w:val="center"/>
          </w:tcPr>
          <w:p>
            <w:pPr>
              <w:jc w:val="center"/>
              <w:rPr>
                <w:rFonts w:hint="default" w:ascii="Times New Roman" w:hAnsi="Times New Roman" w:eastAsia="宋体" w:cs="Times New Roman"/>
                <w:i w:val="0"/>
                <w:iCs w:val="0"/>
                <w:color w:val="000000"/>
                <w:sz w:val="21"/>
                <w:szCs w:val="21"/>
                <w:u w:val="none"/>
                <w:lang w:eastAsia="zh-CN"/>
              </w:rPr>
            </w:pPr>
            <w:r>
              <w:rPr>
                <w:rFonts w:hint="default" w:ascii="Times New Roman" w:hAnsi="Times New Roman" w:eastAsia="宋体" w:cs="Times New Roman"/>
                <w:i w:val="0"/>
                <w:iCs w:val="0"/>
                <w:color w:val="000000"/>
                <w:sz w:val="21"/>
                <w:szCs w:val="21"/>
                <w:u w:val="none"/>
                <w:lang w:eastAsia="zh-CN"/>
              </w:rPr>
              <w:t>检测项目</w:t>
            </w:r>
          </w:p>
        </w:tc>
        <w:tc>
          <w:tcPr>
            <w:tcW w:w="900" w:type="dxa"/>
            <w:vMerge w:val="restar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单位</w:t>
            </w:r>
          </w:p>
        </w:tc>
        <w:tc>
          <w:tcPr>
            <w:tcW w:w="3588" w:type="dxa"/>
            <w:gridSpan w:val="4"/>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sz w:val="21"/>
                <w:szCs w:val="21"/>
                <w:u w:val="none"/>
                <w:lang w:eastAsia="zh-CN"/>
              </w:rPr>
              <w:t>废水处理站进口</w:t>
            </w:r>
            <w:r>
              <w:rPr>
                <w:rFonts w:hint="default" w:ascii="Times New Roman" w:hAnsi="Times New Roman" w:eastAsia="宋体" w:cs="Times New Roman"/>
                <w:i w:val="0"/>
                <w:iCs w:val="0"/>
                <w:color w:val="000000"/>
                <w:sz w:val="21"/>
                <w:szCs w:val="21"/>
                <w:u w:val="none"/>
                <w:lang w:val="en-US" w:eastAsia="zh-CN"/>
              </w:rPr>
              <w:t>1#</w:t>
            </w:r>
          </w:p>
        </w:tc>
        <w:tc>
          <w:tcPr>
            <w:tcW w:w="3775" w:type="dxa"/>
            <w:gridSpan w:val="4"/>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sz w:val="21"/>
                <w:szCs w:val="21"/>
                <w:u w:val="none"/>
                <w:lang w:eastAsia="zh-CN"/>
              </w:rPr>
              <w:t>废水处理站出口</w:t>
            </w:r>
            <w:r>
              <w:rPr>
                <w:rFonts w:hint="default" w:ascii="Times New Roman" w:hAnsi="Times New Roman" w:eastAsia="宋体" w:cs="Times New Roman"/>
                <w:i w:val="0"/>
                <w:iCs w:val="0"/>
                <w:color w:val="000000"/>
                <w:sz w:val="21"/>
                <w:szCs w:val="21"/>
                <w:u w:val="none"/>
                <w:lang w:val="en-US" w:eastAsia="zh-CN"/>
              </w:rPr>
              <w:t>2#</w:t>
            </w:r>
          </w:p>
        </w:tc>
        <w:tc>
          <w:tcPr>
            <w:tcW w:w="1062" w:type="dxa"/>
            <w:vMerge w:val="restart"/>
            <w:shd w:val="clear" w:color="auto" w:fill="auto"/>
            <w:noWrap/>
            <w:vAlign w:val="center"/>
          </w:tcPr>
          <w:p>
            <w:pPr>
              <w:jc w:val="center"/>
              <w:rPr>
                <w:rFonts w:hint="default" w:ascii="Times New Roman" w:hAnsi="Times New Roman" w:eastAsia="宋体" w:cs="Times New Roman"/>
                <w:i w:val="0"/>
                <w:iCs w:val="0"/>
                <w:color w:val="000000"/>
                <w:sz w:val="21"/>
                <w:szCs w:val="21"/>
                <w:u w:val="none"/>
                <w:lang w:eastAsia="zh-CN"/>
              </w:rPr>
            </w:pPr>
            <w:r>
              <w:rPr>
                <w:rFonts w:hint="default" w:ascii="Times New Roman" w:hAnsi="Times New Roman" w:eastAsia="宋体" w:cs="Times New Roman"/>
                <w:i w:val="0"/>
                <w:iCs w:val="0"/>
                <w:color w:val="000000"/>
                <w:sz w:val="21"/>
                <w:szCs w:val="21"/>
                <w:u w:val="none"/>
                <w:lang w:eastAsia="zh-CN"/>
              </w:rPr>
              <w:t>处理效率</w:t>
            </w:r>
          </w:p>
        </w:tc>
        <w:tc>
          <w:tcPr>
            <w:tcW w:w="1038" w:type="dxa"/>
            <w:vMerge w:val="restar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排放标准限值</w:t>
            </w:r>
          </w:p>
        </w:tc>
        <w:tc>
          <w:tcPr>
            <w:tcW w:w="1038" w:type="dxa"/>
            <w:vMerge w:val="restar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7" w:hRule="atLeast"/>
          <w:jc w:val="center"/>
        </w:trPr>
        <w:tc>
          <w:tcPr>
            <w:tcW w:w="760" w:type="dxa"/>
            <w:vMerge w:val="continue"/>
            <w:shd w:val="clear" w:color="auto" w:fill="auto"/>
            <w:noWrap/>
            <w:vAlign w:val="center"/>
          </w:tcPr>
          <w:p>
            <w:pPr>
              <w:jc w:val="center"/>
              <w:rPr>
                <w:rFonts w:hint="default" w:ascii="Times New Roman" w:hAnsi="Times New Roman" w:eastAsia="宋体" w:cs="Times New Roman"/>
              </w:rPr>
            </w:pPr>
          </w:p>
        </w:tc>
        <w:tc>
          <w:tcPr>
            <w:tcW w:w="1375" w:type="dxa"/>
            <w:vMerge w:val="continue"/>
            <w:shd w:val="clear" w:color="auto" w:fill="auto"/>
            <w:noWrap/>
            <w:vAlign w:val="center"/>
          </w:tcPr>
          <w:p>
            <w:pPr>
              <w:jc w:val="center"/>
              <w:rPr>
                <w:rFonts w:hint="default" w:ascii="Times New Roman" w:hAnsi="Times New Roman" w:eastAsia="宋体" w:cs="Times New Roman"/>
              </w:rPr>
            </w:pPr>
          </w:p>
        </w:tc>
        <w:tc>
          <w:tcPr>
            <w:tcW w:w="900" w:type="dxa"/>
            <w:vMerge w:val="continue"/>
            <w:shd w:val="clear" w:color="auto" w:fill="auto"/>
            <w:noWrap/>
            <w:vAlign w:val="center"/>
          </w:tcPr>
          <w:p>
            <w:pPr>
              <w:jc w:val="center"/>
              <w:rPr>
                <w:rFonts w:hint="default" w:ascii="Times New Roman" w:hAnsi="Times New Roman" w:eastAsia="宋体" w:cs="Times New Roman"/>
              </w:rPr>
            </w:pPr>
          </w:p>
        </w:tc>
        <w:tc>
          <w:tcPr>
            <w:tcW w:w="813" w:type="dxa"/>
            <w:shd w:val="clear" w:color="auto" w:fill="auto"/>
            <w:noWrap/>
            <w:vAlign w:val="center"/>
          </w:tcPr>
          <w:p>
            <w:pPr>
              <w:jc w:val="center"/>
              <w:rPr>
                <w:rFonts w:hint="default" w:ascii="Times New Roman" w:hAnsi="Times New Roman" w:eastAsia="宋体" w:cs="Times New Roman"/>
                <w:i w:val="0"/>
                <w:iCs w:val="0"/>
                <w:color w:val="000000"/>
                <w:sz w:val="21"/>
                <w:szCs w:val="21"/>
                <w:u w:val="none"/>
                <w:lang w:eastAsia="zh-CN"/>
              </w:rPr>
            </w:pPr>
            <w:r>
              <w:rPr>
                <w:rFonts w:hint="default" w:ascii="Times New Roman" w:hAnsi="Times New Roman" w:eastAsia="宋体" w:cs="Times New Roman"/>
                <w:i w:val="0"/>
                <w:iCs w:val="0"/>
                <w:color w:val="000000"/>
                <w:sz w:val="21"/>
                <w:szCs w:val="21"/>
                <w:u w:val="none"/>
                <w:lang w:eastAsia="zh-CN"/>
              </w:rPr>
              <w:t>第</w:t>
            </w:r>
            <w:r>
              <w:rPr>
                <w:rFonts w:hint="default" w:ascii="Times New Roman" w:hAnsi="Times New Roman" w:eastAsia="宋体" w:cs="Times New Roman"/>
                <w:i w:val="0"/>
                <w:iCs w:val="0"/>
                <w:color w:val="000000"/>
                <w:sz w:val="21"/>
                <w:szCs w:val="21"/>
                <w:u w:val="none"/>
                <w:lang w:val="en-US" w:eastAsia="zh-CN"/>
              </w:rPr>
              <w:t>1</w:t>
            </w:r>
            <w:r>
              <w:rPr>
                <w:rFonts w:hint="default" w:ascii="Times New Roman" w:hAnsi="Times New Roman" w:eastAsia="宋体" w:cs="Times New Roman"/>
                <w:i w:val="0"/>
                <w:iCs w:val="0"/>
                <w:color w:val="000000"/>
                <w:sz w:val="21"/>
                <w:szCs w:val="21"/>
                <w:u w:val="none"/>
                <w:lang w:eastAsia="zh-CN"/>
              </w:rPr>
              <w:t>次</w:t>
            </w:r>
          </w:p>
        </w:tc>
        <w:tc>
          <w:tcPr>
            <w:tcW w:w="850" w:type="dxa"/>
            <w:shd w:val="clear" w:color="auto" w:fill="auto"/>
            <w:noWrap/>
            <w:vAlign w:val="center"/>
          </w:tcPr>
          <w:p>
            <w:pPr>
              <w:jc w:val="center"/>
              <w:rPr>
                <w:rFonts w:hint="default" w:ascii="Times New Roman" w:hAnsi="Times New Roman" w:eastAsia="宋体" w:cs="Times New Roman"/>
                <w:i w:val="0"/>
                <w:iCs w:val="0"/>
                <w:color w:val="000000"/>
                <w:sz w:val="21"/>
                <w:szCs w:val="21"/>
                <w:u w:val="none"/>
                <w:lang w:eastAsia="zh-CN"/>
              </w:rPr>
            </w:pPr>
            <w:r>
              <w:rPr>
                <w:rFonts w:hint="default" w:ascii="Times New Roman" w:hAnsi="Times New Roman" w:eastAsia="宋体" w:cs="Times New Roman"/>
                <w:i w:val="0"/>
                <w:iCs w:val="0"/>
                <w:color w:val="000000"/>
                <w:sz w:val="21"/>
                <w:szCs w:val="21"/>
                <w:u w:val="none"/>
                <w:lang w:eastAsia="zh-CN"/>
              </w:rPr>
              <w:t>第</w:t>
            </w:r>
            <w:r>
              <w:rPr>
                <w:rFonts w:hint="default" w:ascii="Times New Roman" w:hAnsi="Times New Roman" w:eastAsia="宋体" w:cs="Times New Roman"/>
                <w:i w:val="0"/>
                <w:iCs w:val="0"/>
                <w:color w:val="000000"/>
                <w:sz w:val="21"/>
                <w:szCs w:val="21"/>
                <w:u w:val="none"/>
                <w:lang w:val="en-US" w:eastAsia="zh-CN"/>
              </w:rPr>
              <w:t>2</w:t>
            </w:r>
            <w:r>
              <w:rPr>
                <w:rFonts w:hint="default" w:ascii="Times New Roman" w:hAnsi="Times New Roman" w:eastAsia="宋体" w:cs="Times New Roman"/>
                <w:i w:val="0"/>
                <w:iCs w:val="0"/>
                <w:color w:val="000000"/>
                <w:sz w:val="21"/>
                <w:szCs w:val="21"/>
                <w:u w:val="none"/>
                <w:lang w:eastAsia="zh-CN"/>
              </w:rPr>
              <w:t>次</w:t>
            </w:r>
          </w:p>
        </w:tc>
        <w:tc>
          <w:tcPr>
            <w:tcW w:w="937" w:type="dxa"/>
            <w:shd w:val="clear" w:color="auto" w:fill="auto"/>
            <w:noWrap/>
            <w:vAlign w:val="center"/>
          </w:tcPr>
          <w:p>
            <w:pPr>
              <w:jc w:val="center"/>
              <w:rPr>
                <w:rFonts w:hint="default" w:ascii="Times New Roman" w:hAnsi="Times New Roman" w:eastAsia="宋体" w:cs="Times New Roman"/>
                <w:i w:val="0"/>
                <w:iCs w:val="0"/>
                <w:color w:val="000000"/>
                <w:sz w:val="21"/>
                <w:szCs w:val="21"/>
                <w:u w:val="none"/>
                <w:lang w:eastAsia="zh-CN"/>
              </w:rPr>
            </w:pPr>
            <w:r>
              <w:rPr>
                <w:rFonts w:hint="default" w:ascii="Times New Roman" w:hAnsi="Times New Roman" w:eastAsia="宋体" w:cs="Times New Roman"/>
                <w:i w:val="0"/>
                <w:iCs w:val="0"/>
                <w:color w:val="000000"/>
                <w:sz w:val="21"/>
                <w:szCs w:val="21"/>
                <w:u w:val="none"/>
                <w:lang w:eastAsia="zh-CN"/>
              </w:rPr>
              <w:t>第</w:t>
            </w:r>
            <w:r>
              <w:rPr>
                <w:rFonts w:hint="default" w:ascii="Times New Roman" w:hAnsi="Times New Roman" w:eastAsia="宋体" w:cs="Times New Roman"/>
                <w:i w:val="0"/>
                <w:iCs w:val="0"/>
                <w:color w:val="000000"/>
                <w:sz w:val="21"/>
                <w:szCs w:val="21"/>
                <w:u w:val="none"/>
                <w:lang w:val="en-US" w:eastAsia="zh-CN"/>
              </w:rPr>
              <w:t>3</w:t>
            </w:r>
            <w:r>
              <w:rPr>
                <w:rFonts w:hint="default" w:ascii="Times New Roman" w:hAnsi="Times New Roman" w:eastAsia="宋体" w:cs="Times New Roman"/>
                <w:i w:val="0"/>
                <w:iCs w:val="0"/>
                <w:color w:val="000000"/>
                <w:sz w:val="21"/>
                <w:szCs w:val="21"/>
                <w:u w:val="none"/>
                <w:lang w:eastAsia="zh-CN"/>
              </w:rPr>
              <w:t>次</w:t>
            </w:r>
          </w:p>
        </w:tc>
        <w:tc>
          <w:tcPr>
            <w:tcW w:w="988" w:type="dxa"/>
            <w:shd w:val="clear" w:color="auto" w:fill="auto"/>
            <w:noWrap/>
            <w:vAlign w:val="center"/>
          </w:tcPr>
          <w:p>
            <w:pPr>
              <w:jc w:val="center"/>
              <w:rPr>
                <w:rFonts w:hint="default" w:ascii="Times New Roman" w:hAnsi="Times New Roman" w:eastAsia="宋体" w:cs="Times New Roman"/>
                <w:i w:val="0"/>
                <w:iCs w:val="0"/>
                <w:color w:val="000000"/>
                <w:sz w:val="21"/>
                <w:szCs w:val="21"/>
                <w:u w:val="none"/>
                <w:lang w:eastAsia="zh-CN"/>
              </w:rPr>
            </w:pPr>
            <w:r>
              <w:rPr>
                <w:rFonts w:hint="default" w:ascii="Times New Roman" w:hAnsi="Times New Roman" w:eastAsia="宋体" w:cs="Times New Roman"/>
                <w:i w:val="0"/>
                <w:iCs w:val="0"/>
                <w:color w:val="000000"/>
                <w:sz w:val="21"/>
                <w:szCs w:val="21"/>
                <w:u w:val="none"/>
                <w:lang w:eastAsia="zh-CN"/>
              </w:rPr>
              <w:t>平均值</w:t>
            </w:r>
          </w:p>
        </w:tc>
        <w:tc>
          <w:tcPr>
            <w:tcW w:w="962" w:type="dxa"/>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sz w:val="21"/>
                <w:szCs w:val="21"/>
                <w:u w:val="none"/>
                <w:lang w:eastAsia="zh-CN"/>
              </w:rPr>
              <w:t>第</w:t>
            </w:r>
            <w:r>
              <w:rPr>
                <w:rFonts w:hint="default" w:ascii="Times New Roman" w:hAnsi="Times New Roman" w:eastAsia="宋体" w:cs="Times New Roman"/>
                <w:i w:val="0"/>
                <w:iCs w:val="0"/>
                <w:color w:val="000000"/>
                <w:sz w:val="21"/>
                <w:szCs w:val="21"/>
                <w:u w:val="none"/>
                <w:lang w:val="en-US" w:eastAsia="zh-CN"/>
              </w:rPr>
              <w:t>1</w:t>
            </w:r>
            <w:r>
              <w:rPr>
                <w:rFonts w:hint="default" w:ascii="Times New Roman" w:hAnsi="Times New Roman" w:eastAsia="宋体" w:cs="Times New Roman"/>
                <w:i w:val="0"/>
                <w:iCs w:val="0"/>
                <w:color w:val="000000"/>
                <w:sz w:val="21"/>
                <w:szCs w:val="21"/>
                <w:u w:val="none"/>
                <w:lang w:eastAsia="zh-CN"/>
              </w:rPr>
              <w:t>次</w:t>
            </w:r>
          </w:p>
        </w:tc>
        <w:tc>
          <w:tcPr>
            <w:tcW w:w="913" w:type="dxa"/>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sz w:val="21"/>
                <w:szCs w:val="21"/>
                <w:u w:val="none"/>
                <w:lang w:eastAsia="zh-CN"/>
              </w:rPr>
              <w:t>第</w:t>
            </w:r>
            <w:r>
              <w:rPr>
                <w:rFonts w:hint="default" w:ascii="Times New Roman" w:hAnsi="Times New Roman" w:eastAsia="宋体" w:cs="Times New Roman"/>
                <w:i w:val="0"/>
                <w:iCs w:val="0"/>
                <w:color w:val="000000"/>
                <w:sz w:val="21"/>
                <w:szCs w:val="21"/>
                <w:u w:val="none"/>
                <w:lang w:val="en-US" w:eastAsia="zh-CN"/>
              </w:rPr>
              <w:t>2</w:t>
            </w:r>
            <w:r>
              <w:rPr>
                <w:rFonts w:hint="default" w:ascii="Times New Roman" w:hAnsi="Times New Roman" w:eastAsia="宋体" w:cs="Times New Roman"/>
                <w:i w:val="0"/>
                <w:iCs w:val="0"/>
                <w:color w:val="000000"/>
                <w:sz w:val="21"/>
                <w:szCs w:val="21"/>
                <w:u w:val="none"/>
                <w:lang w:eastAsia="zh-CN"/>
              </w:rPr>
              <w:t>次</w:t>
            </w:r>
          </w:p>
        </w:tc>
        <w:tc>
          <w:tcPr>
            <w:tcW w:w="900" w:type="dxa"/>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sz w:val="21"/>
                <w:szCs w:val="21"/>
                <w:u w:val="none"/>
                <w:lang w:eastAsia="zh-CN"/>
              </w:rPr>
              <w:t>第</w:t>
            </w:r>
            <w:r>
              <w:rPr>
                <w:rFonts w:hint="default" w:ascii="Times New Roman" w:hAnsi="Times New Roman" w:eastAsia="宋体" w:cs="Times New Roman"/>
                <w:i w:val="0"/>
                <w:iCs w:val="0"/>
                <w:color w:val="000000"/>
                <w:sz w:val="21"/>
                <w:szCs w:val="21"/>
                <w:u w:val="none"/>
                <w:lang w:val="en-US" w:eastAsia="zh-CN"/>
              </w:rPr>
              <w:t>3</w:t>
            </w:r>
            <w:r>
              <w:rPr>
                <w:rFonts w:hint="default" w:ascii="Times New Roman" w:hAnsi="Times New Roman" w:eastAsia="宋体" w:cs="Times New Roman"/>
                <w:i w:val="0"/>
                <w:iCs w:val="0"/>
                <w:color w:val="000000"/>
                <w:sz w:val="21"/>
                <w:szCs w:val="21"/>
                <w:u w:val="none"/>
                <w:lang w:eastAsia="zh-CN"/>
              </w:rPr>
              <w:t>次</w:t>
            </w:r>
          </w:p>
        </w:tc>
        <w:tc>
          <w:tcPr>
            <w:tcW w:w="1000" w:type="dxa"/>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sz w:val="21"/>
                <w:szCs w:val="21"/>
                <w:u w:val="none"/>
                <w:lang w:eastAsia="zh-CN"/>
              </w:rPr>
              <w:t>平均值</w:t>
            </w:r>
          </w:p>
        </w:tc>
        <w:tc>
          <w:tcPr>
            <w:tcW w:w="1062" w:type="dxa"/>
            <w:vMerge w:val="continue"/>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c>
          <w:tcPr>
            <w:tcW w:w="1038" w:type="dxa"/>
            <w:vMerge w:val="continue"/>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c>
          <w:tcPr>
            <w:tcW w:w="1038" w:type="dxa"/>
            <w:vMerge w:val="continue"/>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760" w:type="dxa"/>
            <w:vMerge w:val="restar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2023年2月23日</w:t>
            </w:r>
          </w:p>
        </w:tc>
        <w:tc>
          <w:tcPr>
            <w:tcW w:w="1375"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pH值</w:t>
            </w:r>
          </w:p>
        </w:tc>
        <w:tc>
          <w:tcPr>
            <w:tcW w:w="90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无量纲</w:t>
            </w:r>
          </w:p>
        </w:tc>
        <w:tc>
          <w:tcPr>
            <w:tcW w:w="81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8.5</w:t>
            </w:r>
          </w:p>
        </w:tc>
        <w:tc>
          <w:tcPr>
            <w:tcW w:w="85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8.5</w:t>
            </w:r>
          </w:p>
        </w:tc>
        <w:tc>
          <w:tcPr>
            <w:tcW w:w="937"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8.5</w:t>
            </w:r>
          </w:p>
        </w:tc>
        <w:tc>
          <w:tcPr>
            <w:tcW w:w="988"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8.50 </w:t>
            </w:r>
          </w:p>
        </w:tc>
        <w:tc>
          <w:tcPr>
            <w:tcW w:w="962"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6.7</w:t>
            </w:r>
          </w:p>
        </w:tc>
        <w:tc>
          <w:tcPr>
            <w:tcW w:w="91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6.8</w:t>
            </w:r>
          </w:p>
        </w:tc>
        <w:tc>
          <w:tcPr>
            <w:tcW w:w="90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6.8</w:t>
            </w:r>
          </w:p>
        </w:tc>
        <w:tc>
          <w:tcPr>
            <w:tcW w:w="1000"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6.77 </w:t>
            </w:r>
          </w:p>
        </w:tc>
        <w:tc>
          <w:tcPr>
            <w:tcW w:w="1062" w:type="dxa"/>
            <w:shd w:val="clear" w:color="auto" w:fill="auto"/>
            <w:noWrap/>
            <w:vAlign w:val="center"/>
          </w:tcPr>
          <w:p>
            <w:pPr>
              <w:jc w:val="center"/>
              <w:rPr>
                <w:rFonts w:hint="default" w:ascii="Times New Roman" w:hAnsi="Times New Roman" w:eastAsia="宋体" w:cs="Times New Roman"/>
                <w:i w:val="0"/>
                <w:iCs w:val="0"/>
                <w:color w:val="000000"/>
                <w:sz w:val="21"/>
                <w:szCs w:val="21"/>
                <w:u w:val="none"/>
                <w:lang w:val="en-US" w:eastAsia="zh-CN"/>
              </w:rPr>
            </w:pPr>
          </w:p>
        </w:tc>
        <w:tc>
          <w:tcPr>
            <w:tcW w:w="1038"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6.5~9</w:t>
            </w:r>
          </w:p>
        </w:tc>
        <w:tc>
          <w:tcPr>
            <w:tcW w:w="1038"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760" w:type="dxa"/>
            <w:vMerge w:val="continue"/>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c>
          <w:tcPr>
            <w:tcW w:w="1375"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水温</w:t>
            </w:r>
          </w:p>
        </w:tc>
        <w:tc>
          <w:tcPr>
            <w:tcW w:w="90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81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15.8</w:t>
            </w:r>
          </w:p>
        </w:tc>
        <w:tc>
          <w:tcPr>
            <w:tcW w:w="85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16.1</w:t>
            </w:r>
          </w:p>
        </w:tc>
        <w:tc>
          <w:tcPr>
            <w:tcW w:w="937"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15.2</w:t>
            </w:r>
          </w:p>
        </w:tc>
        <w:tc>
          <w:tcPr>
            <w:tcW w:w="988"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15.70 </w:t>
            </w:r>
          </w:p>
        </w:tc>
        <w:tc>
          <w:tcPr>
            <w:tcW w:w="962"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16.0</w:t>
            </w:r>
          </w:p>
        </w:tc>
        <w:tc>
          <w:tcPr>
            <w:tcW w:w="91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15.6</w:t>
            </w:r>
          </w:p>
        </w:tc>
        <w:tc>
          <w:tcPr>
            <w:tcW w:w="90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15.7</w:t>
            </w:r>
          </w:p>
        </w:tc>
        <w:tc>
          <w:tcPr>
            <w:tcW w:w="1000"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15.77 </w:t>
            </w:r>
          </w:p>
        </w:tc>
        <w:tc>
          <w:tcPr>
            <w:tcW w:w="1062" w:type="dxa"/>
            <w:shd w:val="clear" w:color="auto" w:fill="auto"/>
            <w:noWrap/>
            <w:vAlign w:val="center"/>
          </w:tcPr>
          <w:p>
            <w:pPr>
              <w:jc w:val="center"/>
              <w:rPr>
                <w:rFonts w:hint="default" w:ascii="Times New Roman" w:hAnsi="Times New Roman" w:eastAsia="宋体" w:cs="Times New Roman"/>
                <w:i w:val="0"/>
                <w:iCs w:val="0"/>
                <w:color w:val="000000"/>
                <w:sz w:val="21"/>
                <w:szCs w:val="21"/>
                <w:u w:val="none"/>
                <w:lang w:val="en-US" w:eastAsia="zh-CN"/>
              </w:rPr>
            </w:pPr>
          </w:p>
        </w:tc>
        <w:tc>
          <w:tcPr>
            <w:tcW w:w="1038"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038"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760" w:type="dxa"/>
            <w:vMerge w:val="continue"/>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c>
          <w:tcPr>
            <w:tcW w:w="1375"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化学需氧量</w:t>
            </w:r>
          </w:p>
        </w:tc>
        <w:tc>
          <w:tcPr>
            <w:tcW w:w="90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mg/L</w:t>
            </w:r>
          </w:p>
        </w:tc>
        <w:tc>
          <w:tcPr>
            <w:tcW w:w="81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64</w:t>
            </w:r>
          </w:p>
        </w:tc>
        <w:tc>
          <w:tcPr>
            <w:tcW w:w="85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66</w:t>
            </w:r>
          </w:p>
        </w:tc>
        <w:tc>
          <w:tcPr>
            <w:tcW w:w="937"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67</w:t>
            </w:r>
          </w:p>
        </w:tc>
        <w:tc>
          <w:tcPr>
            <w:tcW w:w="988"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65.67 </w:t>
            </w:r>
          </w:p>
        </w:tc>
        <w:tc>
          <w:tcPr>
            <w:tcW w:w="962"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91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11</w:t>
            </w:r>
          </w:p>
        </w:tc>
        <w:tc>
          <w:tcPr>
            <w:tcW w:w="90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1000"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11.67 </w:t>
            </w:r>
          </w:p>
        </w:tc>
        <w:tc>
          <w:tcPr>
            <w:tcW w:w="1062"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82.23%</w:t>
            </w:r>
          </w:p>
        </w:tc>
        <w:tc>
          <w:tcPr>
            <w:tcW w:w="1038"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150</w:t>
            </w:r>
          </w:p>
        </w:tc>
        <w:tc>
          <w:tcPr>
            <w:tcW w:w="1038"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760" w:type="dxa"/>
            <w:vMerge w:val="continue"/>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c>
          <w:tcPr>
            <w:tcW w:w="1375"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五日生化需氧量</w:t>
            </w:r>
          </w:p>
        </w:tc>
        <w:tc>
          <w:tcPr>
            <w:tcW w:w="90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mg/L</w:t>
            </w:r>
          </w:p>
        </w:tc>
        <w:tc>
          <w:tcPr>
            <w:tcW w:w="81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23.5</w:t>
            </w:r>
          </w:p>
        </w:tc>
        <w:tc>
          <w:tcPr>
            <w:tcW w:w="85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23.9</w:t>
            </w:r>
          </w:p>
        </w:tc>
        <w:tc>
          <w:tcPr>
            <w:tcW w:w="937"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24.3</w:t>
            </w:r>
          </w:p>
        </w:tc>
        <w:tc>
          <w:tcPr>
            <w:tcW w:w="988"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23.90 </w:t>
            </w:r>
          </w:p>
        </w:tc>
        <w:tc>
          <w:tcPr>
            <w:tcW w:w="962"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4.4</w:t>
            </w:r>
          </w:p>
        </w:tc>
        <w:tc>
          <w:tcPr>
            <w:tcW w:w="91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3.9</w:t>
            </w:r>
          </w:p>
        </w:tc>
        <w:tc>
          <w:tcPr>
            <w:tcW w:w="90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4.1</w:t>
            </w:r>
          </w:p>
        </w:tc>
        <w:tc>
          <w:tcPr>
            <w:tcW w:w="1000"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4.13 </w:t>
            </w:r>
          </w:p>
        </w:tc>
        <w:tc>
          <w:tcPr>
            <w:tcW w:w="1062"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82.71%</w:t>
            </w:r>
          </w:p>
        </w:tc>
        <w:tc>
          <w:tcPr>
            <w:tcW w:w="1038"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w:t>
            </w:r>
          </w:p>
        </w:tc>
        <w:tc>
          <w:tcPr>
            <w:tcW w:w="1038"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760" w:type="dxa"/>
            <w:vMerge w:val="continue"/>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c>
          <w:tcPr>
            <w:tcW w:w="1375"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悬浮物</w:t>
            </w:r>
          </w:p>
        </w:tc>
        <w:tc>
          <w:tcPr>
            <w:tcW w:w="90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mg/L</w:t>
            </w:r>
          </w:p>
        </w:tc>
        <w:tc>
          <w:tcPr>
            <w:tcW w:w="81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134</w:t>
            </w:r>
          </w:p>
        </w:tc>
        <w:tc>
          <w:tcPr>
            <w:tcW w:w="85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138</w:t>
            </w:r>
          </w:p>
        </w:tc>
        <w:tc>
          <w:tcPr>
            <w:tcW w:w="937"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146</w:t>
            </w:r>
          </w:p>
        </w:tc>
        <w:tc>
          <w:tcPr>
            <w:tcW w:w="988"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139.33 </w:t>
            </w:r>
          </w:p>
        </w:tc>
        <w:tc>
          <w:tcPr>
            <w:tcW w:w="962"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94</w:t>
            </w:r>
          </w:p>
        </w:tc>
        <w:tc>
          <w:tcPr>
            <w:tcW w:w="91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93</w:t>
            </w:r>
          </w:p>
        </w:tc>
        <w:tc>
          <w:tcPr>
            <w:tcW w:w="90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90</w:t>
            </w:r>
          </w:p>
        </w:tc>
        <w:tc>
          <w:tcPr>
            <w:tcW w:w="1000"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92.33 </w:t>
            </w:r>
          </w:p>
        </w:tc>
        <w:tc>
          <w:tcPr>
            <w:tcW w:w="1062"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33.73%</w:t>
            </w:r>
          </w:p>
        </w:tc>
        <w:tc>
          <w:tcPr>
            <w:tcW w:w="1038"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150</w:t>
            </w:r>
          </w:p>
        </w:tc>
        <w:tc>
          <w:tcPr>
            <w:tcW w:w="1038"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760" w:type="dxa"/>
            <w:vMerge w:val="continue"/>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c>
          <w:tcPr>
            <w:tcW w:w="1375"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氨氮</w:t>
            </w:r>
          </w:p>
        </w:tc>
        <w:tc>
          <w:tcPr>
            <w:tcW w:w="90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mg/L</w:t>
            </w:r>
          </w:p>
        </w:tc>
        <w:tc>
          <w:tcPr>
            <w:tcW w:w="81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158</w:t>
            </w:r>
          </w:p>
        </w:tc>
        <w:tc>
          <w:tcPr>
            <w:tcW w:w="85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159</w:t>
            </w:r>
          </w:p>
        </w:tc>
        <w:tc>
          <w:tcPr>
            <w:tcW w:w="937"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161</w:t>
            </w:r>
          </w:p>
        </w:tc>
        <w:tc>
          <w:tcPr>
            <w:tcW w:w="988"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159.33 </w:t>
            </w:r>
          </w:p>
        </w:tc>
        <w:tc>
          <w:tcPr>
            <w:tcW w:w="962"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11.5</w:t>
            </w:r>
          </w:p>
        </w:tc>
        <w:tc>
          <w:tcPr>
            <w:tcW w:w="91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11.4</w:t>
            </w:r>
          </w:p>
        </w:tc>
        <w:tc>
          <w:tcPr>
            <w:tcW w:w="90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11.2</w:t>
            </w:r>
          </w:p>
        </w:tc>
        <w:tc>
          <w:tcPr>
            <w:tcW w:w="1000"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11.37 </w:t>
            </w:r>
          </w:p>
        </w:tc>
        <w:tc>
          <w:tcPr>
            <w:tcW w:w="1062"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92.87%</w:t>
            </w:r>
          </w:p>
        </w:tc>
        <w:tc>
          <w:tcPr>
            <w:tcW w:w="1038"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25</w:t>
            </w:r>
          </w:p>
        </w:tc>
        <w:tc>
          <w:tcPr>
            <w:tcW w:w="1038"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760" w:type="dxa"/>
            <w:vMerge w:val="continue"/>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c>
          <w:tcPr>
            <w:tcW w:w="1375"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阴离子表面活性剂</w:t>
            </w:r>
          </w:p>
        </w:tc>
        <w:tc>
          <w:tcPr>
            <w:tcW w:w="90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mg/L</w:t>
            </w:r>
          </w:p>
        </w:tc>
        <w:tc>
          <w:tcPr>
            <w:tcW w:w="81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0.199</w:t>
            </w:r>
          </w:p>
        </w:tc>
        <w:tc>
          <w:tcPr>
            <w:tcW w:w="85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0.190</w:t>
            </w:r>
          </w:p>
        </w:tc>
        <w:tc>
          <w:tcPr>
            <w:tcW w:w="937"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0.213</w:t>
            </w:r>
          </w:p>
        </w:tc>
        <w:tc>
          <w:tcPr>
            <w:tcW w:w="988"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0.20 </w:t>
            </w:r>
          </w:p>
        </w:tc>
        <w:tc>
          <w:tcPr>
            <w:tcW w:w="962"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0.159</w:t>
            </w:r>
          </w:p>
        </w:tc>
        <w:tc>
          <w:tcPr>
            <w:tcW w:w="91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0.173</w:t>
            </w:r>
          </w:p>
        </w:tc>
        <w:tc>
          <w:tcPr>
            <w:tcW w:w="90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0.151</w:t>
            </w:r>
          </w:p>
        </w:tc>
        <w:tc>
          <w:tcPr>
            <w:tcW w:w="1000"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0.16 </w:t>
            </w:r>
          </w:p>
        </w:tc>
        <w:tc>
          <w:tcPr>
            <w:tcW w:w="1062"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19.77%</w:t>
            </w:r>
          </w:p>
        </w:tc>
        <w:tc>
          <w:tcPr>
            <w:tcW w:w="1038"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w:t>
            </w:r>
          </w:p>
        </w:tc>
        <w:tc>
          <w:tcPr>
            <w:tcW w:w="1038"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760" w:type="dxa"/>
            <w:vMerge w:val="continue"/>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c>
          <w:tcPr>
            <w:tcW w:w="1375"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总磷</w:t>
            </w:r>
          </w:p>
        </w:tc>
        <w:tc>
          <w:tcPr>
            <w:tcW w:w="90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mg/L</w:t>
            </w:r>
          </w:p>
        </w:tc>
        <w:tc>
          <w:tcPr>
            <w:tcW w:w="81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0.49</w:t>
            </w:r>
          </w:p>
        </w:tc>
        <w:tc>
          <w:tcPr>
            <w:tcW w:w="85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0.51</w:t>
            </w:r>
          </w:p>
        </w:tc>
        <w:tc>
          <w:tcPr>
            <w:tcW w:w="937"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0.54</w:t>
            </w:r>
          </w:p>
        </w:tc>
        <w:tc>
          <w:tcPr>
            <w:tcW w:w="988"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0.51 </w:t>
            </w:r>
          </w:p>
        </w:tc>
        <w:tc>
          <w:tcPr>
            <w:tcW w:w="962"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0.08</w:t>
            </w:r>
          </w:p>
        </w:tc>
        <w:tc>
          <w:tcPr>
            <w:tcW w:w="91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0.09</w:t>
            </w:r>
          </w:p>
        </w:tc>
        <w:tc>
          <w:tcPr>
            <w:tcW w:w="90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0.09</w:t>
            </w:r>
          </w:p>
        </w:tc>
        <w:tc>
          <w:tcPr>
            <w:tcW w:w="1000"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0.09 </w:t>
            </w:r>
          </w:p>
        </w:tc>
        <w:tc>
          <w:tcPr>
            <w:tcW w:w="1062"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83.12%</w:t>
            </w:r>
          </w:p>
        </w:tc>
        <w:tc>
          <w:tcPr>
            <w:tcW w:w="1038"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w:t>
            </w:r>
          </w:p>
        </w:tc>
        <w:tc>
          <w:tcPr>
            <w:tcW w:w="1038"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760" w:type="dxa"/>
            <w:vMerge w:val="continue"/>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c>
          <w:tcPr>
            <w:tcW w:w="1375"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氟化物</w:t>
            </w:r>
          </w:p>
        </w:tc>
        <w:tc>
          <w:tcPr>
            <w:tcW w:w="90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mg/L</w:t>
            </w:r>
          </w:p>
        </w:tc>
        <w:tc>
          <w:tcPr>
            <w:tcW w:w="81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143</w:t>
            </w:r>
          </w:p>
        </w:tc>
        <w:tc>
          <w:tcPr>
            <w:tcW w:w="85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147</w:t>
            </w:r>
          </w:p>
        </w:tc>
        <w:tc>
          <w:tcPr>
            <w:tcW w:w="937"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142</w:t>
            </w:r>
          </w:p>
        </w:tc>
        <w:tc>
          <w:tcPr>
            <w:tcW w:w="988"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144.00 </w:t>
            </w:r>
          </w:p>
        </w:tc>
        <w:tc>
          <w:tcPr>
            <w:tcW w:w="962"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7.4</w:t>
            </w:r>
          </w:p>
        </w:tc>
        <w:tc>
          <w:tcPr>
            <w:tcW w:w="91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7.7</w:t>
            </w:r>
          </w:p>
        </w:tc>
        <w:tc>
          <w:tcPr>
            <w:tcW w:w="90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7.8</w:t>
            </w:r>
          </w:p>
        </w:tc>
        <w:tc>
          <w:tcPr>
            <w:tcW w:w="1000"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7.63 </w:t>
            </w:r>
          </w:p>
        </w:tc>
        <w:tc>
          <w:tcPr>
            <w:tcW w:w="1062"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94.70%</w:t>
            </w:r>
          </w:p>
        </w:tc>
        <w:tc>
          <w:tcPr>
            <w:tcW w:w="1038"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w:t>
            </w:r>
          </w:p>
        </w:tc>
        <w:tc>
          <w:tcPr>
            <w:tcW w:w="1038"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760" w:type="dxa"/>
            <w:vMerge w:val="continue"/>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c>
          <w:tcPr>
            <w:tcW w:w="1375"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总氮</w:t>
            </w:r>
          </w:p>
        </w:tc>
        <w:tc>
          <w:tcPr>
            <w:tcW w:w="90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mg/L</w:t>
            </w:r>
          </w:p>
        </w:tc>
        <w:tc>
          <w:tcPr>
            <w:tcW w:w="81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407</w:t>
            </w:r>
          </w:p>
        </w:tc>
        <w:tc>
          <w:tcPr>
            <w:tcW w:w="85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395</w:t>
            </w:r>
          </w:p>
        </w:tc>
        <w:tc>
          <w:tcPr>
            <w:tcW w:w="937"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409</w:t>
            </w:r>
          </w:p>
        </w:tc>
        <w:tc>
          <w:tcPr>
            <w:tcW w:w="988"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403.67 </w:t>
            </w:r>
          </w:p>
        </w:tc>
        <w:tc>
          <w:tcPr>
            <w:tcW w:w="962"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43.9</w:t>
            </w:r>
          </w:p>
        </w:tc>
        <w:tc>
          <w:tcPr>
            <w:tcW w:w="91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45.9</w:t>
            </w:r>
          </w:p>
        </w:tc>
        <w:tc>
          <w:tcPr>
            <w:tcW w:w="90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46.8</w:t>
            </w:r>
          </w:p>
        </w:tc>
        <w:tc>
          <w:tcPr>
            <w:tcW w:w="1000"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45.53 </w:t>
            </w:r>
          </w:p>
        </w:tc>
        <w:tc>
          <w:tcPr>
            <w:tcW w:w="1062"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88.72%</w:t>
            </w:r>
          </w:p>
        </w:tc>
        <w:tc>
          <w:tcPr>
            <w:tcW w:w="1038"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70</w:t>
            </w:r>
          </w:p>
        </w:tc>
        <w:tc>
          <w:tcPr>
            <w:tcW w:w="1038"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760" w:type="dxa"/>
            <w:vMerge w:val="restar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2023年2月24日</w:t>
            </w:r>
          </w:p>
        </w:tc>
        <w:tc>
          <w:tcPr>
            <w:tcW w:w="1375"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pH值</w:t>
            </w:r>
          </w:p>
        </w:tc>
        <w:tc>
          <w:tcPr>
            <w:tcW w:w="90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无量纲</w:t>
            </w:r>
          </w:p>
        </w:tc>
        <w:tc>
          <w:tcPr>
            <w:tcW w:w="81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8.5</w:t>
            </w:r>
          </w:p>
        </w:tc>
        <w:tc>
          <w:tcPr>
            <w:tcW w:w="85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8.4</w:t>
            </w:r>
          </w:p>
        </w:tc>
        <w:tc>
          <w:tcPr>
            <w:tcW w:w="937"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8.5</w:t>
            </w:r>
          </w:p>
        </w:tc>
        <w:tc>
          <w:tcPr>
            <w:tcW w:w="988"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8.47 </w:t>
            </w:r>
          </w:p>
        </w:tc>
        <w:tc>
          <w:tcPr>
            <w:tcW w:w="962"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6.7</w:t>
            </w:r>
          </w:p>
        </w:tc>
        <w:tc>
          <w:tcPr>
            <w:tcW w:w="91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6.7</w:t>
            </w:r>
          </w:p>
        </w:tc>
        <w:tc>
          <w:tcPr>
            <w:tcW w:w="90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6.8</w:t>
            </w:r>
          </w:p>
        </w:tc>
        <w:tc>
          <w:tcPr>
            <w:tcW w:w="1000"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6.73 </w:t>
            </w:r>
          </w:p>
        </w:tc>
        <w:tc>
          <w:tcPr>
            <w:tcW w:w="1062"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038"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6.5~9</w:t>
            </w:r>
          </w:p>
        </w:tc>
        <w:tc>
          <w:tcPr>
            <w:tcW w:w="1038"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760" w:type="dxa"/>
            <w:vMerge w:val="continue"/>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c>
          <w:tcPr>
            <w:tcW w:w="1375"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水温</w:t>
            </w:r>
          </w:p>
        </w:tc>
        <w:tc>
          <w:tcPr>
            <w:tcW w:w="90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81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14.8</w:t>
            </w:r>
          </w:p>
        </w:tc>
        <w:tc>
          <w:tcPr>
            <w:tcW w:w="85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16.2</w:t>
            </w:r>
          </w:p>
        </w:tc>
        <w:tc>
          <w:tcPr>
            <w:tcW w:w="937"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15.5</w:t>
            </w:r>
          </w:p>
        </w:tc>
        <w:tc>
          <w:tcPr>
            <w:tcW w:w="988"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15.50 </w:t>
            </w:r>
          </w:p>
        </w:tc>
        <w:tc>
          <w:tcPr>
            <w:tcW w:w="962"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15.1</w:t>
            </w:r>
          </w:p>
        </w:tc>
        <w:tc>
          <w:tcPr>
            <w:tcW w:w="91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16.2</w:t>
            </w:r>
          </w:p>
        </w:tc>
        <w:tc>
          <w:tcPr>
            <w:tcW w:w="90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15.4</w:t>
            </w:r>
          </w:p>
        </w:tc>
        <w:tc>
          <w:tcPr>
            <w:tcW w:w="1000"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15.57 </w:t>
            </w:r>
          </w:p>
        </w:tc>
        <w:tc>
          <w:tcPr>
            <w:tcW w:w="1062"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038"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038"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760" w:type="dxa"/>
            <w:vMerge w:val="continue"/>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c>
          <w:tcPr>
            <w:tcW w:w="1375"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化学需氧量</w:t>
            </w:r>
          </w:p>
        </w:tc>
        <w:tc>
          <w:tcPr>
            <w:tcW w:w="90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mg/L</w:t>
            </w:r>
          </w:p>
        </w:tc>
        <w:tc>
          <w:tcPr>
            <w:tcW w:w="81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62</w:t>
            </w:r>
          </w:p>
        </w:tc>
        <w:tc>
          <w:tcPr>
            <w:tcW w:w="85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61</w:t>
            </w:r>
          </w:p>
        </w:tc>
        <w:tc>
          <w:tcPr>
            <w:tcW w:w="937"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60</w:t>
            </w:r>
          </w:p>
        </w:tc>
        <w:tc>
          <w:tcPr>
            <w:tcW w:w="988"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61.00 </w:t>
            </w:r>
          </w:p>
        </w:tc>
        <w:tc>
          <w:tcPr>
            <w:tcW w:w="962"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91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90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1000"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12.00 </w:t>
            </w:r>
          </w:p>
        </w:tc>
        <w:tc>
          <w:tcPr>
            <w:tcW w:w="1062"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80.33%</w:t>
            </w:r>
          </w:p>
        </w:tc>
        <w:tc>
          <w:tcPr>
            <w:tcW w:w="1038"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150</w:t>
            </w:r>
          </w:p>
        </w:tc>
        <w:tc>
          <w:tcPr>
            <w:tcW w:w="1038"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760" w:type="dxa"/>
            <w:vMerge w:val="continue"/>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c>
          <w:tcPr>
            <w:tcW w:w="1375"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五日生化需氧量</w:t>
            </w:r>
          </w:p>
        </w:tc>
        <w:tc>
          <w:tcPr>
            <w:tcW w:w="90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mg/L</w:t>
            </w:r>
          </w:p>
        </w:tc>
        <w:tc>
          <w:tcPr>
            <w:tcW w:w="81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22.9</w:t>
            </w:r>
          </w:p>
        </w:tc>
        <w:tc>
          <w:tcPr>
            <w:tcW w:w="85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22.6</w:t>
            </w:r>
          </w:p>
        </w:tc>
        <w:tc>
          <w:tcPr>
            <w:tcW w:w="937"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21.9</w:t>
            </w:r>
          </w:p>
        </w:tc>
        <w:tc>
          <w:tcPr>
            <w:tcW w:w="988"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22.47 </w:t>
            </w:r>
          </w:p>
        </w:tc>
        <w:tc>
          <w:tcPr>
            <w:tcW w:w="962"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4.2</w:t>
            </w:r>
          </w:p>
        </w:tc>
        <w:tc>
          <w:tcPr>
            <w:tcW w:w="91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4.1</w:t>
            </w:r>
          </w:p>
        </w:tc>
        <w:tc>
          <w:tcPr>
            <w:tcW w:w="90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4.2</w:t>
            </w:r>
          </w:p>
        </w:tc>
        <w:tc>
          <w:tcPr>
            <w:tcW w:w="1000"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4.17 </w:t>
            </w:r>
          </w:p>
        </w:tc>
        <w:tc>
          <w:tcPr>
            <w:tcW w:w="1062"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81.45%</w:t>
            </w:r>
          </w:p>
        </w:tc>
        <w:tc>
          <w:tcPr>
            <w:tcW w:w="1038"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w:t>
            </w:r>
          </w:p>
        </w:tc>
        <w:tc>
          <w:tcPr>
            <w:tcW w:w="1038"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760" w:type="dxa"/>
            <w:vMerge w:val="continue"/>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c>
          <w:tcPr>
            <w:tcW w:w="1375"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悬浮物</w:t>
            </w:r>
          </w:p>
        </w:tc>
        <w:tc>
          <w:tcPr>
            <w:tcW w:w="90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mg/L</w:t>
            </w:r>
          </w:p>
        </w:tc>
        <w:tc>
          <w:tcPr>
            <w:tcW w:w="81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130</w:t>
            </w:r>
          </w:p>
        </w:tc>
        <w:tc>
          <w:tcPr>
            <w:tcW w:w="85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146</w:t>
            </w:r>
          </w:p>
        </w:tc>
        <w:tc>
          <w:tcPr>
            <w:tcW w:w="937"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148</w:t>
            </w:r>
          </w:p>
        </w:tc>
        <w:tc>
          <w:tcPr>
            <w:tcW w:w="988"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141.33 </w:t>
            </w:r>
          </w:p>
        </w:tc>
        <w:tc>
          <w:tcPr>
            <w:tcW w:w="962"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96</w:t>
            </w:r>
          </w:p>
        </w:tc>
        <w:tc>
          <w:tcPr>
            <w:tcW w:w="91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93</w:t>
            </w:r>
          </w:p>
        </w:tc>
        <w:tc>
          <w:tcPr>
            <w:tcW w:w="90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98</w:t>
            </w:r>
          </w:p>
        </w:tc>
        <w:tc>
          <w:tcPr>
            <w:tcW w:w="1000"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95.67 </w:t>
            </w:r>
          </w:p>
        </w:tc>
        <w:tc>
          <w:tcPr>
            <w:tcW w:w="1062"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32.31%</w:t>
            </w:r>
          </w:p>
        </w:tc>
        <w:tc>
          <w:tcPr>
            <w:tcW w:w="1038"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150</w:t>
            </w:r>
          </w:p>
        </w:tc>
        <w:tc>
          <w:tcPr>
            <w:tcW w:w="1038"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760" w:type="dxa"/>
            <w:vMerge w:val="continue"/>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c>
          <w:tcPr>
            <w:tcW w:w="1375"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氨氮</w:t>
            </w:r>
          </w:p>
        </w:tc>
        <w:tc>
          <w:tcPr>
            <w:tcW w:w="90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mg/L</w:t>
            </w:r>
          </w:p>
        </w:tc>
        <w:tc>
          <w:tcPr>
            <w:tcW w:w="81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162</w:t>
            </w:r>
          </w:p>
        </w:tc>
        <w:tc>
          <w:tcPr>
            <w:tcW w:w="85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159</w:t>
            </w:r>
          </w:p>
        </w:tc>
        <w:tc>
          <w:tcPr>
            <w:tcW w:w="937"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158</w:t>
            </w:r>
          </w:p>
        </w:tc>
        <w:tc>
          <w:tcPr>
            <w:tcW w:w="988"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159.67 </w:t>
            </w:r>
          </w:p>
        </w:tc>
        <w:tc>
          <w:tcPr>
            <w:tcW w:w="962"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11.2</w:t>
            </w:r>
          </w:p>
        </w:tc>
        <w:tc>
          <w:tcPr>
            <w:tcW w:w="91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11.3</w:t>
            </w:r>
          </w:p>
        </w:tc>
        <w:tc>
          <w:tcPr>
            <w:tcW w:w="90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11.4</w:t>
            </w:r>
          </w:p>
        </w:tc>
        <w:tc>
          <w:tcPr>
            <w:tcW w:w="1000"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11.30 </w:t>
            </w:r>
          </w:p>
        </w:tc>
        <w:tc>
          <w:tcPr>
            <w:tcW w:w="1062"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92.92%</w:t>
            </w:r>
          </w:p>
        </w:tc>
        <w:tc>
          <w:tcPr>
            <w:tcW w:w="1038"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w:t>
            </w:r>
          </w:p>
        </w:tc>
        <w:tc>
          <w:tcPr>
            <w:tcW w:w="1038"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760" w:type="dxa"/>
            <w:vMerge w:val="continue"/>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c>
          <w:tcPr>
            <w:tcW w:w="1375"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阴离子表面活性剂</w:t>
            </w:r>
          </w:p>
        </w:tc>
        <w:tc>
          <w:tcPr>
            <w:tcW w:w="90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mg/L</w:t>
            </w:r>
          </w:p>
        </w:tc>
        <w:tc>
          <w:tcPr>
            <w:tcW w:w="81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0.187</w:t>
            </w:r>
          </w:p>
        </w:tc>
        <w:tc>
          <w:tcPr>
            <w:tcW w:w="85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0.224</w:t>
            </w:r>
          </w:p>
        </w:tc>
        <w:tc>
          <w:tcPr>
            <w:tcW w:w="937"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0.217</w:t>
            </w:r>
          </w:p>
        </w:tc>
        <w:tc>
          <w:tcPr>
            <w:tcW w:w="988"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0.21 </w:t>
            </w:r>
          </w:p>
        </w:tc>
        <w:tc>
          <w:tcPr>
            <w:tcW w:w="962"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0.178</w:t>
            </w:r>
          </w:p>
        </w:tc>
        <w:tc>
          <w:tcPr>
            <w:tcW w:w="91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0.157</w:t>
            </w:r>
          </w:p>
        </w:tc>
        <w:tc>
          <w:tcPr>
            <w:tcW w:w="90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0.166</w:t>
            </w:r>
          </w:p>
        </w:tc>
        <w:tc>
          <w:tcPr>
            <w:tcW w:w="1000"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0.17 </w:t>
            </w:r>
          </w:p>
        </w:tc>
        <w:tc>
          <w:tcPr>
            <w:tcW w:w="1062"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20.22%</w:t>
            </w:r>
          </w:p>
        </w:tc>
        <w:tc>
          <w:tcPr>
            <w:tcW w:w="1038"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1038"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760" w:type="dxa"/>
            <w:vMerge w:val="continue"/>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c>
          <w:tcPr>
            <w:tcW w:w="1375"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总磷</w:t>
            </w:r>
          </w:p>
        </w:tc>
        <w:tc>
          <w:tcPr>
            <w:tcW w:w="90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mg/L</w:t>
            </w:r>
          </w:p>
        </w:tc>
        <w:tc>
          <w:tcPr>
            <w:tcW w:w="81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0.55</w:t>
            </w:r>
          </w:p>
        </w:tc>
        <w:tc>
          <w:tcPr>
            <w:tcW w:w="85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0.53</w:t>
            </w:r>
          </w:p>
        </w:tc>
        <w:tc>
          <w:tcPr>
            <w:tcW w:w="937"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0.51</w:t>
            </w:r>
          </w:p>
        </w:tc>
        <w:tc>
          <w:tcPr>
            <w:tcW w:w="988"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0.53 </w:t>
            </w:r>
          </w:p>
        </w:tc>
        <w:tc>
          <w:tcPr>
            <w:tcW w:w="962"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0.11</w:t>
            </w:r>
          </w:p>
        </w:tc>
        <w:tc>
          <w:tcPr>
            <w:tcW w:w="91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0.12</w:t>
            </w:r>
          </w:p>
        </w:tc>
        <w:tc>
          <w:tcPr>
            <w:tcW w:w="90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0.10</w:t>
            </w:r>
          </w:p>
        </w:tc>
        <w:tc>
          <w:tcPr>
            <w:tcW w:w="1000"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0.11 </w:t>
            </w:r>
          </w:p>
        </w:tc>
        <w:tc>
          <w:tcPr>
            <w:tcW w:w="1062"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79.25%</w:t>
            </w:r>
          </w:p>
        </w:tc>
        <w:tc>
          <w:tcPr>
            <w:tcW w:w="1038"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1038"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760" w:type="dxa"/>
            <w:vMerge w:val="continue"/>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c>
          <w:tcPr>
            <w:tcW w:w="1375"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氟化物</w:t>
            </w:r>
          </w:p>
        </w:tc>
        <w:tc>
          <w:tcPr>
            <w:tcW w:w="90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mg/L</w:t>
            </w:r>
          </w:p>
        </w:tc>
        <w:tc>
          <w:tcPr>
            <w:tcW w:w="81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152</w:t>
            </w:r>
          </w:p>
        </w:tc>
        <w:tc>
          <w:tcPr>
            <w:tcW w:w="85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150</w:t>
            </w:r>
          </w:p>
        </w:tc>
        <w:tc>
          <w:tcPr>
            <w:tcW w:w="937"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146</w:t>
            </w:r>
          </w:p>
        </w:tc>
        <w:tc>
          <w:tcPr>
            <w:tcW w:w="988"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149.33 </w:t>
            </w:r>
          </w:p>
        </w:tc>
        <w:tc>
          <w:tcPr>
            <w:tcW w:w="962"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7.2</w:t>
            </w:r>
          </w:p>
        </w:tc>
        <w:tc>
          <w:tcPr>
            <w:tcW w:w="91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7.4</w:t>
            </w:r>
          </w:p>
        </w:tc>
        <w:tc>
          <w:tcPr>
            <w:tcW w:w="90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6.7</w:t>
            </w:r>
          </w:p>
        </w:tc>
        <w:tc>
          <w:tcPr>
            <w:tcW w:w="1000"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7.10 </w:t>
            </w:r>
          </w:p>
        </w:tc>
        <w:tc>
          <w:tcPr>
            <w:tcW w:w="1062"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95.25%</w:t>
            </w:r>
          </w:p>
        </w:tc>
        <w:tc>
          <w:tcPr>
            <w:tcW w:w="1038"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1038"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60" w:type="dxa"/>
            <w:vMerge w:val="continue"/>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c>
          <w:tcPr>
            <w:tcW w:w="1375"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总氮</w:t>
            </w:r>
          </w:p>
        </w:tc>
        <w:tc>
          <w:tcPr>
            <w:tcW w:w="90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mg/L</w:t>
            </w:r>
          </w:p>
        </w:tc>
        <w:tc>
          <w:tcPr>
            <w:tcW w:w="81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400</w:t>
            </w:r>
          </w:p>
        </w:tc>
        <w:tc>
          <w:tcPr>
            <w:tcW w:w="85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418</w:t>
            </w:r>
          </w:p>
        </w:tc>
        <w:tc>
          <w:tcPr>
            <w:tcW w:w="937"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459</w:t>
            </w:r>
          </w:p>
        </w:tc>
        <w:tc>
          <w:tcPr>
            <w:tcW w:w="988"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425.67 </w:t>
            </w:r>
          </w:p>
        </w:tc>
        <w:tc>
          <w:tcPr>
            <w:tcW w:w="962"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43.6</w:t>
            </w:r>
          </w:p>
        </w:tc>
        <w:tc>
          <w:tcPr>
            <w:tcW w:w="91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45.6</w:t>
            </w:r>
          </w:p>
        </w:tc>
        <w:tc>
          <w:tcPr>
            <w:tcW w:w="90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44.8</w:t>
            </w:r>
          </w:p>
        </w:tc>
        <w:tc>
          <w:tcPr>
            <w:tcW w:w="1000"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44.67 </w:t>
            </w:r>
          </w:p>
        </w:tc>
        <w:tc>
          <w:tcPr>
            <w:tcW w:w="1062"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89.51%</w:t>
            </w:r>
          </w:p>
        </w:tc>
        <w:tc>
          <w:tcPr>
            <w:tcW w:w="1038"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70</w:t>
            </w:r>
          </w:p>
        </w:tc>
        <w:tc>
          <w:tcPr>
            <w:tcW w:w="1038"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达标</w:t>
            </w:r>
          </w:p>
        </w:tc>
      </w:tr>
    </w:tbl>
    <w:p>
      <w:pPr>
        <w:spacing w:beforeLines="50" w:line="360" w:lineRule="auto"/>
        <w:ind w:firstLine="482" w:firstLineChars="200"/>
        <w:rPr>
          <w:rFonts w:hint="default" w:ascii="Times New Roman" w:hAnsi="Times New Roman" w:cs="Times New Roman"/>
          <w:b/>
          <w:color w:val="FF0000"/>
        </w:rPr>
        <w:sectPr>
          <w:pgSz w:w="16838" w:h="11906" w:orient="landscape"/>
          <w:pgMar w:top="1797" w:right="1440" w:bottom="1797" w:left="1440" w:header="851" w:footer="992" w:gutter="0"/>
          <w:pgBorders>
            <w:top w:val="none" w:sz="0" w:space="0"/>
            <w:left w:val="none" w:sz="0" w:space="0"/>
            <w:bottom w:val="none" w:sz="0" w:space="0"/>
            <w:right w:val="none" w:sz="0" w:space="0"/>
          </w:pgBorders>
          <w:cols w:space="0" w:num="1"/>
          <w:rtlGutter w:val="0"/>
          <w:docGrid w:linePitch="312" w:charSpace="0"/>
        </w:sectPr>
      </w:pPr>
    </w:p>
    <w:p>
      <w:pPr>
        <w:pStyle w:val="133"/>
        <w:numPr>
          <w:ilvl w:val="0"/>
          <w:numId w:val="11"/>
        </w:numPr>
        <w:spacing w:line="360" w:lineRule="auto"/>
        <w:ind w:left="0" w:leftChars="0" w:firstLine="0" w:firstLineChars="0"/>
        <w:jc w:val="center"/>
        <w:rPr>
          <w:rFonts w:hint="default" w:ascii="Times New Roman" w:hAnsi="Times New Roman" w:cs="Times New Roman"/>
          <w:b/>
          <w:bCs/>
          <w:color w:val="auto"/>
        </w:rPr>
      </w:pPr>
      <w:r>
        <w:rPr>
          <w:rFonts w:hint="default" w:ascii="Times New Roman" w:hAnsi="Times New Roman" w:cs="Times New Roman"/>
          <w:b/>
          <w:bCs/>
          <w:color w:val="auto"/>
          <w:lang w:eastAsia="zh-CN"/>
        </w:rPr>
        <w:t>全厂</w:t>
      </w:r>
      <w:r>
        <w:rPr>
          <w:rFonts w:hint="default" w:ascii="Times New Roman" w:hAnsi="Times New Roman" w:cs="Times New Roman"/>
          <w:b/>
          <w:bCs/>
          <w:color w:val="auto"/>
        </w:rPr>
        <w:t>废水</w:t>
      </w:r>
      <w:r>
        <w:rPr>
          <w:rFonts w:hint="default" w:ascii="Times New Roman" w:hAnsi="Times New Roman" w:cs="Times New Roman"/>
          <w:b/>
          <w:bCs/>
          <w:color w:val="auto"/>
          <w:lang w:eastAsia="zh-CN"/>
        </w:rPr>
        <w:t>污染物</w:t>
      </w:r>
      <w:r>
        <w:rPr>
          <w:rFonts w:hint="default" w:ascii="Times New Roman" w:hAnsi="Times New Roman" w:cs="Times New Roman"/>
          <w:b/>
          <w:bCs/>
          <w:color w:val="auto"/>
        </w:rPr>
        <w:t>产排情况</w:t>
      </w:r>
    </w:p>
    <w:tbl>
      <w:tblPr>
        <w:tblStyle w:val="44"/>
        <w:tblW w:w="856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75"/>
        <w:gridCol w:w="2085"/>
        <w:gridCol w:w="930"/>
        <w:gridCol w:w="1167"/>
        <w:gridCol w:w="1117"/>
        <w:gridCol w:w="1166"/>
        <w:gridCol w:w="12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2960" w:type="dxa"/>
            <w:gridSpan w:val="2"/>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项目</w:t>
            </w:r>
          </w:p>
        </w:tc>
        <w:tc>
          <w:tcPr>
            <w:tcW w:w="93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116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BOD</w:t>
            </w:r>
            <w:r>
              <w:rPr>
                <w:rFonts w:hint="default" w:ascii="Times New Roman" w:hAnsi="Times New Roman" w:eastAsia="宋体" w:cs="Times New Roman"/>
                <w:i w:val="0"/>
                <w:iCs w:val="0"/>
                <w:color w:val="auto"/>
                <w:kern w:val="0"/>
                <w:sz w:val="21"/>
                <w:szCs w:val="21"/>
                <w:u w:val="none"/>
                <w:vertAlign w:val="subscript"/>
                <w:lang w:val="en-US" w:eastAsia="zh-CN" w:bidi="ar"/>
              </w:rPr>
              <w:t>5</w:t>
            </w:r>
          </w:p>
        </w:tc>
        <w:tc>
          <w:tcPr>
            <w:tcW w:w="111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SS</w:t>
            </w:r>
          </w:p>
        </w:tc>
        <w:tc>
          <w:tcPr>
            <w:tcW w:w="1166"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阴离子表面活性剂</w:t>
            </w:r>
          </w:p>
        </w:tc>
        <w:tc>
          <w:tcPr>
            <w:tcW w:w="122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氟化物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875"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10GW单晶硅拉棒含氟废水</w:t>
            </w:r>
          </w:p>
        </w:tc>
        <w:tc>
          <w:tcPr>
            <w:tcW w:w="208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废水量（</w:t>
            </w:r>
            <w:r>
              <w:rPr>
                <w:rFonts w:hint="default" w:ascii="Times New Roman" w:hAnsi="Times New Roman" w:eastAsia="宋体" w:cs="Times New Roman"/>
                <w:i w:val="0"/>
                <w:iCs w:val="0"/>
                <w:color w:val="auto"/>
                <w:kern w:val="0"/>
                <w:sz w:val="21"/>
                <w:szCs w:val="21"/>
                <w:u w:val="none"/>
                <w:lang w:val="en-US" w:eastAsia="zh-CN" w:bidi="ar"/>
              </w:rPr>
              <w:t>m³/d</w:t>
            </w:r>
            <w:r>
              <w:rPr>
                <w:rFonts w:hint="default" w:ascii="Times New Roman" w:hAnsi="Times New Roman" w:eastAsia="宋体" w:cs="Times New Roman"/>
                <w:i w:val="0"/>
                <w:iCs w:val="0"/>
                <w:color w:val="auto"/>
                <w:kern w:val="0"/>
                <w:sz w:val="21"/>
                <w:szCs w:val="21"/>
                <w:u w:val="none"/>
                <w:lang w:val="en-US" w:eastAsia="zh-CN" w:bidi="ar"/>
              </w:rPr>
              <w:t>）</w:t>
            </w:r>
          </w:p>
        </w:tc>
        <w:tc>
          <w:tcPr>
            <w:tcW w:w="5601" w:type="dxa"/>
            <w:gridSpan w:val="5"/>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1291.8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875"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208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污染物浓度（</w:t>
            </w:r>
            <w:r>
              <w:rPr>
                <w:rFonts w:hint="default" w:ascii="Times New Roman" w:hAnsi="Times New Roman" w:eastAsia="宋体" w:cs="Times New Roman"/>
                <w:i w:val="0"/>
                <w:iCs w:val="0"/>
                <w:color w:val="auto"/>
                <w:kern w:val="0"/>
                <w:sz w:val="21"/>
                <w:szCs w:val="21"/>
                <w:u w:val="none"/>
                <w:lang w:val="en-US" w:eastAsia="zh-CN" w:bidi="ar"/>
              </w:rPr>
              <w:t>mg/L</w:t>
            </w:r>
            <w:r>
              <w:rPr>
                <w:rFonts w:hint="default" w:ascii="Times New Roman" w:hAnsi="Times New Roman" w:eastAsia="宋体" w:cs="Times New Roman"/>
                <w:i w:val="0"/>
                <w:iCs w:val="0"/>
                <w:color w:val="auto"/>
                <w:kern w:val="0"/>
                <w:sz w:val="21"/>
                <w:szCs w:val="21"/>
                <w:u w:val="none"/>
                <w:lang w:val="en-US" w:eastAsia="zh-CN" w:bidi="ar"/>
              </w:rPr>
              <w:t>）</w:t>
            </w:r>
          </w:p>
        </w:tc>
        <w:tc>
          <w:tcPr>
            <w:tcW w:w="9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65.67</w:t>
            </w:r>
          </w:p>
        </w:tc>
        <w:tc>
          <w:tcPr>
            <w:tcW w:w="116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23.9</w:t>
            </w:r>
          </w:p>
        </w:tc>
        <w:tc>
          <w:tcPr>
            <w:tcW w:w="111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141.33</w:t>
            </w:r>
          </w:p>
        </w:tc>
        <w:tc>
          <w:tcPr>
            <w:tcW w:w="1166"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0.21</w:t>
            </w:r>
          </w:p>
        </w:tc>
        <w:tc>
          <w:tcPr>
            <w:tcW w:w="122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149.33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875"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208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污染物产生量（</w:t>
            </w:r>
            <w:r>
              <w:rPr>
                <w:rFonts w:hint="default" w:ascii="Times New Roman" w:hAnsi="Times New Roman" w:eastAsia="宋体" w:cs="Times New Roman"/>
                <w:i w:val="0"/>
                <w:iCs w:val="0"/>
                <w:color w:val="auto"/>
                <w:kern w:val="0"/>
                <w:sz w:val="21"/>
                <w:szCs w:val="21"/>
                <w:u w:val="none"/>
                <w:lang w:val="en-US" w:eastAsia="zh-CN" w:bidi="ar"/>
              </w:rPr>
              <w:t>kg/d</w:t>
            </w:r>
            <w:r>
              <w:rPr>
                <w:rFonts w:hint="default" w:ascii="Times New Roman" w:hAnsi="Times New Roman" w:eastAsia="宋体" w:cs="Times New Roman"/>
                <w:i w:val="0"/>
                <w:iCs w:val="0"/>
                <w:color w:val="auto"/>
                <w:kern w:val="0"/>
                <w:sz w:val="21"/>
                <w:szCs w:val="21"/>
                <w:u w:val="none"/>
                <w:lang w:val="en-US" w:eastAsia="zh-CN" w:bidi="ar"/>
              </w:rPr>
              <w:t>）</w:t>
            </w:r>
          </w:p>
        </w:tc>
        <w:tc>
          <w:tcPr>
            <w:tcW w:w="9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84.83 </w:t>
            </w:r>
          </w:p>
        </w:tc>
        <w:tc>
          <w:tcPr>
            <w:tcW w:w="11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30.87 </w:t>
            </w:r>
          </w:p>
        </w:tc>
        <w:tc>
          <w:tcPr>
            <w:tcW w:w="111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182.57 </w:t>
            </w:r>
          </w:p>
        </w:tc>
        <w:tc>
          <w:tcPr>
            <w:tcW w:w="116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0.27 </w:t>
            </w:r>
          </w:p>
        </w:tc>
        <w:tc>
          <w:tcPr>
            <w:tcW w:w="122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192.90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875"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2085"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治理措施及去向</w:t>
            </w:r>
          </w:p>
        </w:tc>
        <w:tc>
          <w:tcPr>
            <w:tcW w:w="5601" w:type="dxa"/>
            <w:gridSpan w:val="5"/>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经隔膜板框压滤机压滤后再进入综合污水处理站处理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875"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208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出水水量（</w:t>
            </w:r>
            <w:r>
              <w:rPr>
                <w:rFonts w:hint="default" w:ascii="Times New Roman" w:hAnsi="Times New Roman" w:eastAsia="宋体" w:cs="Times New Roman"/>
                <w:i w:val="0"/>
                <w:iCs w:val="0"/>
                <w:color w:val="auto"/>
                <w:kern w:val="0"/>
                <w:sz w:val="21"/>
                <w:szCs w:val="21"/>
                <w:u w:val="none"/>
                <w:lang w:val="en-US" w:eastAsia="zh-CN" w:bidi="ar"/>
              </w:rPr>
              <w:t>m³/d</w:t>
            </w:r>
            <w:r>
              <w:rPr>
                <w:rFonts w:hint="default" w:ascii="Times New Roman" w:hAnsi="Times New Roman" w:eastAsia="宋体" w:cs="Times New Roman"/>
                <w:i w:val="0"/>
                <w:iCs w:val="0"/>
                <w:color w:val="auto"/>
                <w:kern w:val="0"/>
                <w:sz w:val="21"/>
                <w:szCs w:val="21"/>
                <w:u w:val="none"/>
                <w:lang w:val="en-US" w:eastAsia="zh-CN" w:bidi="ar"/>
              </w:rPr>
              <w:t>）</w:t>
            </w:r>
          </w:p>
        </w:tc>
        <w:tc>
          <w:tcPr>
            <w:tcW w:w="5601" w:type="dxa"/>
            <w:gridSpan w:val="5"/>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1291.8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875"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208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出水浓度（</w:t>
            </w:r>
            <w:r>
              <w:rPr>
                <w:rFonts w:hint="default" w:ascii="Times New Roman" w:hAnsi="Times New Roman" w:eastAsia="宋体" w:cs="Times New Roman"/>
                <w:i w:val="0"/>
                <w:iCs w:val="0"/>
                <w:color w:val="auto"/>
                <w:kern w:val="0"/>
                <w:sz w:val="21"/>
                <w:szCs w:val="21"/>
                <w:u w:val="none"/>
                <w:lang w:val="en-US" w:eastAsia="zh-CN" w:bidi="ar"/>
              </w:rPr>
              <w:t>mg/L</w:t>
            </w:r>
            <w:r>
              <w:rPr>
                <w:rFonts w:hint="default" w:ascii="Times New Roman" w:hAnsi="Times New Roman" w:eastAsia="宋体" w:cs="Times New Roman"/>
                <w:i w:val="0"/>
                <w:iCs w:val="0"/>
                <w:color w:val="auto"/>
                <w:kern w:val="0"/>
                <w:sz w:val="21"/>
                <w:szCs w:val="21"/>
                <w:u w:val="none"/>
                <w:lang w:val="en-US" w:eastAsia="zh-CN" w:bidi="ar"/>
              </w:rPr>
              <w:t>）</w:t>
            </w:r>
          </w:p>
        </w:tc>
        <w:tc>
          <w:tcPr>
            <w:tcW w:w="9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11.67</w:t>
            </w:r>
          </w:p>
        </w:tc>
        <w:tc>
          <w:tcPr>
            <w:tcW w:w="116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4.13</w:t>
            </w:r>
          </w:p>
        </w:tc>
        <w:tc>
          <w:tcPr>
            <w:tcW w:w="111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95.67</w:t>
            </w:r>
          </w:p>
        </w:tc>
        <w:tc>
          <w:tcPr>
            <w:tcW w:w="1166"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0.17</w:t>
            </w:r>
          </w:p>
        </w:tc>
        <w:tc>
          <w:tcPr>
            <w:tcW w:w="122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875"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208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污染物剩余量（</w:t>
            </w:r>
            <w:r>
              <w:rPr>
                <w:rFonts w:hint="default" w:ascii="Times New Roman" w:hAnsi="Times New Roman" w:eastAsia="宋体" w:cs="Times New Roman"/>
                <w:i w:val="0"/>
                <w:iCs w:val="0"/>
                <w:color w:val="auto"/>
                <w:kern w:val="0"/>
                <w:sz w:val="21"/>
                <w:szCs w:val="21"/>
                <w:u w:val="none"/>
                <w:lang w:val="en-US" w:eastAsia="zh-CN" w:bidi="ar"/>
              </w:rPr>
              <w:t>kg/d</w:t>
            </w:r>
            <w:r>
              <w:rPr>
                <w:rFonts w:hint="default" w:ascii="Times New Roman" w:hAnsi="Times New Roman" w:eastAsia="宋体" w:cs="Times New Roman"/>
                <w:i w:val="0"/>
                <w:iCs w:val="0"/>
                <w:color w:val="auto"/>
                <w:kern w:val="0"/>
                <w:sz w:val="21"/>
                <w:szCs w:val="21"/>
                <w:u w:val="none"/>
                <w:lang w:val="en-US" w:eastAsia="zh-CN" w:bidi="ar"/>
              </w:rPr>
              <w:t>）</w:t>
            </w:r>
          </w:p>
        </w:tc>
        <w:tc>
          <w:tcPr>
            <w:tcW w:w="9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15.08 </w:t>
            </w:r>
          </w:p>
        </w:tc>
        <w:tc>
          <w:tcPr>
            <w:tcW w:w="11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5.34 </w:t>
            </w:r>
          </w:p>
        </w:tc>
        <w:tc>
          <w:tcPr>
            <w:tcW w:w="111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123.59 </w:t>
            </w:r>
          </w:p>
        </w:tc>
        <w:tc>
          <w:tcPr>
            <w:tcW w:w="116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0.22 </w:t>
            </w:r>
          </w:p>
        </w:tc>
        <w:tc>
          <w:tcPr>
            <w:tcW w:w="122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9.17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875"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切割废水</w:t>
            </w:r>
          </w:p>
        </w:tc>
        <w:tc>
          <w:tcPr>
            <w:tcW w:w="208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废水量（</w:t>
            </w:r>
            <w:r>
              <w:rPr>
                <w:rFonts w:hint="default" w:ascii="Times New Roman" w:hAnsi="Times New Roman" w:eastAsia="宋体" w:cs="Times New Roman"/>
                <w:i w:val="0"/>
                <w:iCs w:val="0"/>
                <w:color w:val="auto"/>
                <w:kern w:val="0"/>
                <w:sz w:val="21"/>
                <w:szCs w:val="21"/>
                <w:u w:val="none"/>
                <w:lang w:val="en-US" w:eastAsia="zh-CN" w:bidi="ar"/>
              </w:rPr>
              <w:t>m³/d</w:t>
            </w:r>
            <w:r>
              <w:rPr>
                <w:rFonts w:hint="default" w:ascii="Times New Roman" w:hAnsi="Times New Roman" w:eastAsia="宋体" w:cs="Times New Roman"/>
                <w:i w:val="0"/>
                <w:iCs w:val="0"/>
                <w:color w:val="auto"/>
                <w:kern w:val="0"/>
                <w:sz w:val="21"/>
                <w:szCs w:val="21"/>
                <w:u w:val="none"/>
                <w:lang w:val="en-US" w:eastAsia="zh-CN" w:bidi="ar"/>
              </w:rPr>
              <w:t>）</w:t>
            </w:r>
          </w:p>
        </w:tc>
        <w:tc>
          <w:tcPr>
            <w:tcW w:w="5601" w:type="dxa"/>
            <w:gridSpan w:val="5"/>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613.04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875"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208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污染物浓度（</w:t>
            </w:r>
            <w:r>
              <w:rPr>
                <w:rFonts w:hint="default" w:ascii="Times New Roman" w:hAnsi="Times New Roman" w:eastAsia="宋体" w:cs="Times New Roman"/>
                <w:i w:val="0"/>
                <w:iCs w:val="0"/>
                <w:color w:val="auto"/>
                <w:kern w:val="0"/>
                <w:sz w:val="21"/>
                <w:szCs w:val="21"/>
                <w:u w:val="none"/>
                <w:lang w:val="en-US" w:eastAsia="zh-CN" w:bidi="ar"/>
              </w:rPr>
              <w:t>mg/L</w:t>
            </w:r>
            <w:r>
              <w:rPr>
                <w:rFonts w:hint="default" w:ascii="Times New Roman" w:hAnsi="Times New Roman" w:eastAsia="宋体" w:cs="Times New Roman"/>
                <w:i w:val="0"/>
                <w:iCs w:val="0"/>
                <w:color w:val="auto"/>
                <w:kern w:val="0"/>
                <w:sz w:val="21"/>
                <w:szCs w:val="21"/>
                <w:u w:val="none"/>
                <w:lang w:val="en-US" w:eastAsia="zh-CN" w:bidi="ar"/>
              </w:rPr>
              <w:t>）</w:t>
            </w:r>
          </w:p>
        </w:tc>
        <w:tc>
          <w:tcPr>
            <w:tcW w:w="9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3500</w:t>
            </w:r>
          </w:p>
        </w:tc>
        <w:tc>
          <w:tcPr>
            <w:tcW w:w="116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1000</w:t>
            </w:r>
          </w:p>
        </w:tc>
        <w:tc>
          <w:tcPr>
            <w:tcW w:w="111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3000</w:t>
            </w:r>
          </w:p>
        </w:tc>
        <w:tc>
          <w:tcPr>
            <w:tcW w:w="1166"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22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875"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208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污染物产生量（</w:t>
            </w:r>
            <w:r>
              <w:rPr>
                <w:rFonts w:hint="default" w:ascii="Times New Roman" w:hAnsi="Times New Roman" w:eastAsia="宋体" w:cs="Times New Roman"/>
                <w:i w:val="0"/>
                <w:iCs w:val="0"/>
                <w:color w:val="auto"/>
                <w:kern w:val="0"/>
                <w:sz w:val="21"/>
                <w:szCs w:val="21"/>
                <w:u w:val="none"/>
                <w:lang w:val="en-US" w:eastAsia="zh-CN" w:bidi="ar"/>
              </w:rPr>
              <w:t>kg/d</w:t>
            </w:r>
            <w:r>
              <w:rPr>
                <w:rFonts w:hint="default" w:ascii="Times New Roman" w:hAnsi="Times New Roman" w:eastAsia="宋体" w:cs="Times New Roman"/>
                <w:i w:val="0"/>
                <w:iCs w:val="0"/>
                <w:color w:val="auto"/>
                <w:kern w:val="0"/>
                <w:sz w:val="21"/>
                <w:szCs w:val="21"/>
                <w:u w:val="none"/>
                <w:lang w:val="en-US" w:eastAsia="zh-CN" w:bidi="ar"/>
              </w:rPr>
              <w:t>）</w:t>
            </w:r>
          </w:p>
        </w:tc>
        <w:tc>
          <w:tcPr>
            <w:tcW w:w="9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2145.64 </w:t>
            </w:r>
          </w:p>
        </w:tc>
        <w:tc>
          <w:tcPr>
            <w:tcW w:w="11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613.04 </w:t>
            </w:r>
          </w:p>
        </w:tc>
        <w:tc>
          <w:tcPr>
            <w:tcW w:w="111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1839.12 </w:t>
            </w:r>
          </w:p>
        </w:tc>
        <w:tc>
          <w:tcPr>
            <w:tcW w:w="116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22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875"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2085"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治理措施及去向</w:t>
            </w:r>
          </w:p>
        </w:tc>
        <w:tc>
          <w:tcPr>
            <w:tcW w:w="5601" w:type="dxa"/>
            <w:gridSpan w:val="5"/>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经隔膜板框压滤机压滤后再进入综合污水处理站处理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875"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208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出水水量（</w:t>
            </w:r>
            <w:r>
              <w:rPr>
                <w:rFonts w:hint="default" w:ascii="Times New Roman" w:hAnsi="Times New Roman" w:eastAsia="宋体" w:cs="Times New Roman"/>
                <w:i w:val="0"/>
                <w:iCs w:val="0"/>
                <w:color w:val="auto"/>
                <w:kern w:val="0"/>
                <w:sz w:val="21"/>
                <w:szCs w:val="21"/>
                <w:u w:val="none"/>
                <w:lang w:val="en-US" w:eastAsia="zh-CN" w:bidi="ar"/>
              </w:rPr>
              <w:t>m³/d</w:t>
            </w:r>
            <w:r>
              <w:rPr>
                <w:rFonts w:hint="default" w:ascii="Times New Roman" w:hAnsi="Times New Roman" w:eastAsia="宋体" w:cs="Times New Roman"/>
                <w:i w:val="0"/>
                <w:iCs w:val="0"/>
                <w:color w:val="auto"/>
                <w:kern w:val="0"/>
                <w:sz w:val="21"/>
                <w:szCs w:val="21"/>
                <w:u w:val="none"/>
                <w:lang w:val="en-US" w:eastAsia="zh-CN" w:bidi="ar"/>
              </w:rPr>
              <w:t>）</w:t>
            </w:r>
          </w:p>
        </w:tc>
        <w:tc>
          <w:tcPr>
            <w:tcW w:w="5601" w:type="dxa"/>
            <w:gridSpan w:val="5"/>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613.04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875"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208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出水浓度（</w:t>
            </w:r>
            <w:r>
              <w:rPr>
                <w:rFonts w:hint="default" w:ascii="Times New Roman" w:hAnsi="Times New Roman" w:eastAsia="宋体" w:cs="Times New Roman"/>
                <w:i w:val="0"/>
                <w:iCs w:val="0"/>
                <w:color w:val="auto"/>
                <w:kern w:val="0"/>
                <w:sz w:val="21"/>
                <w:szCs w:val="21"/>
                <w:u w:val="none"/>
                <w:lang w:val="en-US" w:eastAsia="zh-CN" w:bidi="ar"/>
              </w:rPr>
              <w:t>mg/L</w:t>
            </w:r>
            <w:r>
              <w:rPr>
                <w:rFonts w:hint="default" w:ascii="Times New Roman" w:hAnsi="Times New Roman" w:eastAsia="宋体" w:cs="Times New Roman"/>
                <w:i w:val="0"/>
                <w:iCs w:val="0"/>
                <w:color w:val="auto"/>
                <w:kern w:val="0"/>
                <w:sz w:val="21"/>
                <w:szCs w:val="21"/>
                <w:u w:val="none"/>
                <w:lang w:val="en-US" w:eastAsia="zh-CN" w:bidi="ar"/>
              </w:rPr>
              <w:t>）</w:t>
            </w:r>
          </w:p>
        </w:tc>
        <w:tc>
          <w:tcPr>
            <w:tcW w:w="9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3500</w:t>
            </w:r>
          </w:p>
        </w:tc>
        <w:tc>
          <w:tcPr>
            <w:tcW w:w="116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1000</w:t>
            </w:r>
          </w:p>
        </w:tc>
        <w:tc>
          <w:tcPr>
            <w:tcW w:w="111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300</w:t>
            </w:r>
          </w:p>
        </w:tc>
        <w:tc>
          <w:tcPr>
            <w:tcW w:w="1166"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22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875"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208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污染物剩余量（</w:t>
            </w:r>
            <w:r>
              <w:rPr>
                <w:rFonts w:hint="default" w:ascii="Times New Roman" w:hAnsi="Times New Roman" w:eastAsia="宋体" w:cs="Times New Roman"/>
                <w:i w:val="0"/>
                <w:iCs w:val="0"/>
                <w:color w:val="auto"/>
                <w:kern w:val="0"/>
                <w:sz w:val="21"/>
                <w:szCs w:val="21"/>
                <w:u w:val="none"/>
                <w:lang w:val="en-US" w:eastAsia="zh-CN" w:bidi="ar"/>
              </w:rPr>
              <w:t>kg/d</w:t>
            </w:r>
            <w:r>
              <w:rPr>
                <w:rFonts w:hint="default" w:ascii="Times New Roman" w:hAnsi="Times New Roman" w:eastAsia="宋体" w:cs="Times New Roman"/>
                <w:i w:val="0"/>
                <w:iCs w:val="0"/>
                <w:color w:val="auto"/>
                <w:kern w:val="0"/>
                <w:sz w:val="21"/>
                <w:szCs w:val="21"/>
                <w:u w:val="none"/>
                <w:lang w:val="en-US" w:eastAsia="zh-CN" w:bidi="ar"/>
              </w:rPr>
              <w:t>）</w:t>
            </w:r>
          </w:p>
        </w:tc>
        <w:tc>
          <w:tcPr>
            <w:tcW w:w="9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2145.64 </w:t>
            </w:r>
          </w:p>
        </w:tc>
        <w:tc>
          <w:tcPr>
            <w:tcW w:w="11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613.04 </w:t>
            </w:r>
          </w:p>
        </w:tc>
        <w:tc>
          <w:tcPr>
            <w:tcW w:w="111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183.91 </w:t>
            </w:r>
          </w:p>
        </w:tc>
        <w:tc>
          <w:tcPr>
            <w:tcW w:w="116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22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875"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脱胶废水</w:t>
            </w:r>
          </w:p>
        </w:tc>
        <w:tc>
          <w:tcPr>
            <w:tcW w:w="208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废水量（</w:t>
            </w:r>
            <w:r>
              <w:rPr>
                <w:rFonts w:hint="default" w:ascii="Times New Roman" w:hAnsi="Times New Roman" w:eastAsia="宋体" w:cs="Times New Roman"/>
                <w:i w:val="0"/>
                <w:iCs w:val="0"/>
                <w:color w:val="auto"/>
                <w:kern w:val="0"/>
                <w:sz w:val="21"/>
                <w:szCs w:val="21"/>
                <w:u w:val="none"/>
                <w:lang w:val="en-US" w:eastAsia="zh-CN" w:bidi="ar"/>
              </w:rPr>
              <w:t>m³/d</w:t>
            </w:r>
            <w:r>
              <w:rPr>
                <w:rFonts w:hint="default" w:ascii="Times New Roman" w:hAnsi="Times New Roman" w:eastAsia="宋体" w:cs="Times New Roman"/>
                <w:i w:val="0"/>
                <w:iCs w:val="0"/>
                <w:color w:val="auto"/>
                <w:kern w:val="0"/>
                <w:sz w:val="21"/>
                <w:szCs w:val="21"/>
                <w:u w:val="none"/>
                <w:lang w:val="en-US" w:eastAsia="zh-CN" w:bidi="ar"/>
              </w:rPr>
              <w:t>）</w:t>
            </w:r>
          </w:p>
        </w:tc>
        <w:tc>
          <w:tcPr>
            <w:tcW w:w="5601" w:type="dxa"/>
            <w:gridSpan w:val="5"/>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875"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208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污染物浓度（</w:t>
            </w:r>
            <w:r>
              <w:rPr>
                <w:rFonts w:hint="default" w:ascii="Times New Roman" w:hAnsi="Times New Roman" w:eastAsia="宋体" w:cs="Times New Roman"/>
                <w:i w:val="0"/>
                <w:iCs w:val="0"/>
                <w:color w:val="auto"/>
                <w:kern w:val="0"/>
                <w:sz w:val="21"/>
                <w:szCs w:val="21"/>
                <w:u w:val="none"/>
                <w:lang w:val="en-US" w:eastAsia="zh-CN" w:bidi="ar"/>
              </w:rPr>
              <w:t>mg/L</w:t>
            </w:r>
            <w:r>
              <w:rPr>
                <w:rFonts w:hint="default" w:ascii="Times New Roman" w:hAnsi="Times New Roman" w:eastAsia="宋体" w:cs="Times New Roman"/>
                <w:i w:val="0"/>
                <w:iCs w:val="0"/>
                <w:color w:val="auto"/>
                <w:kern w:val="0"/>
                <w:sz w:val="21"/>
                <w:szCs w:val="21"/>
                <w:u w:val="none"/>
                <w:lang w:val="en-US" w:eastAsia="zh-CN" w:bidi="ar"/>
              </w:rPr>
              <w:t>）</w:t>
            </w:r>
          </w:p>
        </w:tc>
        <w:tc>
          <w:tcPr>
            <w:tcW w:w="9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1000</w:t>
            </w:r>
          </w:p>
        </w:tc>
        <w:tc>
          <w:tcPr>
            <w:tcW w:w="116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350</w:t>
            </w:r>
          </w:p>
        </w:tc>
        <w:tc>
          <w:tcPr>
            <w:tcW w:w="111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700</w:t>
            </w:r>
          </w:p>
        </w:tc>
        <w:tc>
          <w:tcPr>
            <w:tcW w:w="1166"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22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875"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208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污染物产生量（</w:t>
            </w:r>
            <w:r>
              <w:rPr>
                <w:rFonts w:hint="default" w:ascii="Times New Roman" w:hAnsi="Times New Roman" w:eastAsia="宋体" w:cs="Times New Roman"/>
                <w:i w:val="0"/>
                <w:iCs w:val="0"/>
                <w:color w:val="auto"/>
                <w:kern w:val="0"/>
                <w:sz w:val="21"/>
                <w:szCs w:val="21"/>
                <w:u w:val="none"/>
                <w:lang w:val="en-US" w:eastAsia="zh-CN" w:bidi="ar"/>
              </w:rPr>
              <w:t>kg/d</w:t>
            </w:r>
            <w:r>
              <w:rPr>
                <w:rFonts w:hint="default" w:ascii="Times New Roman" w:hAnsi="Times New Roman" w:eastAsia="宋体" w:cs="Times New Roman"/>
                <w:i w:val="0"/>
                <w:iCs w:val="0"/>
                <w:color w:val="auto"/>
                <w:kern w:val="0"/>
                <w:sz w:val="21"/>
                <w:szCs w:val="21"/>
                <w:u w:val="none"/>
                <w:lang w:val="en-US" w:eastAsia="zh-CN" w:bidi="ar"/>
              </w:rPr>
              <w:t>）</w:t>
            </w:r>
          </w:p>
        </w:tc>
        <w:tc>
          <w:tcPr>
            <w:tcW w:w="9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0.35 </w:t>
            </w:r>
          </w:p>
        </w:tc>
        <w:tc>
          <w:tcPr>
            <w:tcW w:w="11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0.12 </w:t>
            </w:r>
          </w:p>
        </w:tc>
        <w:tc>
          <w:tcPr>
            <w:tcW w:w="111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0.25 </w:t>
            </w:r>
          </w:p>
        </w:tc>
        <w:tc>
          <w:tcPr>
            <w:tcW w:w="116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22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875"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切片初洗废水</w:t>
            </w:r>
          </w:p>
        </w:tc>
        <w:tc>
          <w:tcPr>
            <w:tcW w:w="208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废水量（</w:t>
            </w:r>
            <w:r>
              <w:rPr>
                <w:rFonts w:hint="default" w:ascii="Times New Roman" w:hAnsi="Times New Roman" w:eastAsia="宋体" w:cs="Times New Roman"/>
                <w:i w:val="0"/>
                <w:iCs w:val="0"/>
                <w:color w:val="auto"/>
                <w:kern w:val="0"/>
                <w:sz w:val="21"/>
                <w:szCs w:val="21"/>
                <w:u w:val="none"/>
                <w:lang w:val="en-US" w:eastAsia="zh-CN" w:bidi="ar"/>
              </w:rPr>
              <w:t>m³/d</w:t>
            </w:r>
            <w:r>
              <w:rPr>
                <w:rFonts w:hint="default" w:ascii="Times New Roman" w:hAnsi="Times New Roman" w:eastAsia="宋体" w:cs="Times New Roman"/>
                <w:i w:val="0"/>
                <w:iCs w:val="0"/>
                <w:color w:val="auto"/>
                <w:kern w:val="0"/>
                <w:sz w:val="21"/>
                <w:szCs w:val="21"/>
                <w:u w:val="none"/>
                <w:lang w:val="en-US" w:eastAsia="zh-CN" w:bidi="ar"/>
              </w:rPr>
              <w:t>）</w:t>
            </w:r>
          </w:p>
        </w:tc>
        <w:tc>
          <w:tcPr>
            <w:tcW w:w="5601" w:type="dxa"/>
            <w:gridSpan w:val="5"/>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1787.81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875"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208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污染物浓度（</w:t>
            </w:r>
            <w:r>
              <w:rPr>
                <w:rFonts w:hint="default" w:ascii="Times New Roman" w:hAnsi="Times New Roman" w:eastAsia="宋体" w:cs="Times New Roman"/>
                <w:i w:val="0"/>
                <w:iCs w:val="0"/>
                <w:color w:val="auto"/>
                <w:kern w:val="0"/>
                <w:sz w:val="21"/>
                <w:szCs w:val="21"/>
                <w:u w:val="none"/>
                <w:lang w:val="en-US" w:eastAsia="zh-CN" w:bidi="ar"/>
              </w:rPr>
              <w:t>mg/L</w:t>
            </w:r>
            <w:r>
              <w:rPr>
                <w:rFonts w:hint="default" w:ascii="Times New Roman" w:hAnsi="Times New Roman" w:eastAsia="宋体" w:cs="Times New Roman"/>
                <w:i w:val="0"/>
                <w:iCs w:val="0"/>
                <w:color w:val="auto"/>
                <w:kern w:val="0"/>
                <w:sz w:val="21"/>
                <w:szCs w:val="21"/>
                <w:u w:val="none"/>
                <w:lang w:val="en-US" w:eastAsia="zh-CN" w:bidi="ar"/>
              </w:rPr>
              <w:t>）</w:t>
            </w:r>
          </w:p>
        </w:tc>
        <w:tc>
          <w:tcPr>
            <w:tcW w:w="9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300</w:t>
            </w:r>
          </w:p>
        </w:tc>
        <w:tc>
          <w:tcPr>
            <w:tcW w:w="116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150</w:t>
            </w:r>
          </w:p>
        </w:tc>
        <w:tc>
          <w:tcPr>
            <w:tcW w:w="111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300</w:t>
            </w:r>
          </w:p>
        </w:tc>
        <w:tc>
          <w:tcPr>
            <w:tcW w:w="1166"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22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875"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208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污染物产生量（</w:t>
            </w:r>
            <w:r>
              <w:rPr>
                <w:rFonts w:hint="default" w:ascii="Times New Roman" w:hAnsi="Times New Roman" w:eastAsia="宋体" w:cs="Times New Roman"/>
                <w:i w:val="0"/>
                <w:iCs w:val="0"/>
                <w:color w:val="auto"/>
                <w:kern w:val="0"/>
                <w:sz w:val="21"/>
                <w:szCs w:val="21"/>
                <w:u w:val="none"/>
                <w:lang w:val="en-US" w:eastAsia="zh-CN" w:bidi="ar"/>
              </w:rPr>
              <w:t>kg/d</w:t>
            </w:r>
            <w:r>
              <w:rPr>
                <w:rFonts w:hint="default" w:ascii="Times New Roman" w:hAnsi="Times New Roman" w:eastAsia="宋体" w:cs="Times New Roman"/>
                <w:i w:val="0"/>
                <w:iCs w:val="0"/>
                <w:color w:val="auto"/>
                <w:kern w:val="0"/>
                <w:sz w:val="21"/>
                <w:szCs w:val="21"/>
                <w:u w:val="none"/>
                <w:lang w:val="en-US" w:eastAsia="zh-CN" w:bidi="ar"/>
              </w:rPr>
              <w:t>）</w:t>
            </w:r>
          </w:p>
        </w:tc>
        <w:tc>
          <w:tcPr>
            <w:tcW w:w="9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536.34 </w:t>
            </w:r>
          </w:p>
        </w:tc>
        <w:tc>
          <w:tcPr>
            <w:tcW w:w="11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268.17 </w:t>
            </w:r>
          </w:p>
        </w:tc>
        <w:tc>
          <w:tcPr>
            <w:tcW w:w="111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536.34 </w:t>
            </w:r>
          </w:p>
        </w:tc>
        <w:tc>
          <w:tcPr>
            <w:tcW w:w="116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22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875"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切片精洗废水</w:t>
            </w:r>
          </w:p>
        </w:tc>
        <w:tc>
          <w:tcPr>
            <w:tcW w:w="208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废水量（</w:t>
            </w:r>
            <w:r>
              <w:rPr>
                <w:rFonts w:hint="default" w:ascii="Times New Roman" w:hAnsi="Times New Roman" w:eastAsia="宋体" w:cs="Times New Roman"/>
                <w:i w:val="0"/>
                <w:iCs w:val="0"/>
                <w:color w:val="auto"/>
                <w:kern w:val="0"/>
                <w:sz w:val="21"/>
                <w:szCs w:val="21"/>
                <w:u w:val="none"/>
                <w:lang w:val="en-US" w:eastAsia="zh-CN" w:bidi="ar"/>
              </w:rPr>
              <w:t>m³/d</w:t>
            </w:r>
            <w:r>
              <w:rPr>
                <w:rFonts w:hint="default" w:ascii="Times New Roman" w:hAnsi="Times New Roman" w:eastAsia="宋体" w:cs="Times New Roman"/>
                <w:i w:val="0"/>
                <w:iCs w:val="0"/>
                <w:color w:val="auto"/>
                <w:kern w:val="0"/>
                <w:sz w:val="21"/>
                <w:szCs w:val="21"/>
                <w:u w:val="none"/>
                <w:lang w:val="en-US" w:eastAsia="zh-CN" w:bidi="ar"/>
              </w:rPr>
              <w:t>）</w:t>
            </w:r>
          </w:p>
        </w:tc>
        <w:tc>
          <w:tcPr>
            <w:tcW w:w="5601" w:type="dxa"/>
            <w:gridSpan w:val="5"/>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1042.16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875"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208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污染物浓度（</w:t>
            </w:r>
            <w:r>
              <w:rPr>
                <w:rFonts w:hint="default" w:ascii="Times New Roman" w:hAnsi="Times New Roman" w:eastAsia="宋体" w:cs="Times New Roman"/>
                <w:i w:val="0"/>
                <w:iCs w:val="0"/>
                <w:color w:val="auto"/>
                <w:kern w:val="0"/>
                <w:sz w:val="21"/>
                <w:szCs w:val="21"/>
                <w:u w:val="none"/>
                <w:lang w:val="en-US" w:eastAsia="zh-CN" w:bidi="ar"/>
              </w:rPr>
              <w:t>mg/L</w:t>
            </w:r>
            <w:r>
              <w:rPr>
                <w:rFonts w:hint="default" w:ascii="Times New Roman" w:hAnsi="Times New Roman" w:eastAsia="宋体" w:cs="Times New Roman"/>
                <w:i w:val="0"/>
                <w:iCs w:val="0"/>
                <w:color w:val="auto"/>
                <w:kern w:val="0"/>
                <w:sz w:val="21"/>
                <w:szCs w:val="21"/>
                <w:u w:val="none"/>
                <w:lang w:val="en-US" w:eastAsia="zh-CN" w:bidi="ar"/>
              </w:rPr>
              <w:t>）</w:t>
            </w:r>
          </w:p>
        </w:tc>
        <w:tc>
          <w:tcPr>
            <w:tcW w:w="9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1500</w:t>
            </w:r>
          </w:p>
        </w:tc>
        <w:tc>
          <w:tcPr>
            <w:tcW w:w="116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500</w:t>
            </w:r>
          </w:p>
        </w:tc>
        <w:tc>
          <w:tcPr>
            <w:tcW w:w="111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166"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300</w:t>
            </w:r>
          </w:p>
        </w:tc>
        <w:tc>
          <w:tcPr>
            <w:tcW w:w="122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875"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208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污染物产生量（</w:t>
            </w:r>
            <w:r>
              <w:rPr>
                <w:rFonts w:hint="default" w:ascii="Times New Roman" w:hAnsi="Times New Roman" w:eastAsia="宋体" w:cs="Times New Roman"/>
                <w:i w:val="0"/>
                <w:iCs w:val="0"/>
                <w:color w:val="auto"/>
                <w:kern w:val="0"/>
                <w:sz w:val="21"/>
                <w:szCs w:val="21"/>
                <w:u w:val="none"/>
                <w:lang w:val="en-US" w:eastAsia="zh-CN" w:bidi="ar"/>
              </w:rPr>
              <w:t>kg/d</w:t>
            </w:r>
            <w:r>
              <w:rPr>
                <w:rFonts w:hint="default" w:ascii="Times New Roman" w:hAnsi="Times New Roman" w:eastAsia="宋体" w:cs="Times New Roman"/>
                <w:i w:val="0"/>
                <w:iCs w:val="0"/>
                <w:color w:val="auto"/>
                <w:kern w:val="0"/>
                <w:sz w:val="21"/>
                <w:szCs w:val="21"/>
                <w:u w:val="none"/>
                <w:lang w:val="en-US" w:eastAsia="zh-CN" w:bidi="ar"/>
              </w:rPr>
              <w:t>）</w:t>
            </w:r>
          </w:p>
        </w:tc>
        <w:tc>
          <w:tcPr>
            <w:tcW w:w="9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1563.24 </w:t>
            </w:r>
          </w:p>
        </w:tc>
        <w:tc>
          <w:tcPr>
            <w:tcW w:w="11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521.08 </w:t>
            </w:r>
          </w:p>
        </w:tc>
        <w:tc>
          <w:tcPr>
            <w:tcW w:w="111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16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312.65 </w:t>
            </w:r>
          </w:p>
        </w:tc>
        <w:tc>
          <w:tcPr>
            <w:tcW w:w="122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875"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含氟废水</w:t>
            </w:r>
          </w:p>
        </w:tc>
        <w:tc>
          <w:tcPr>
            <w:tcW w:w="208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废水量（</w:t>
            </w:r>
            <w:r>
              <w:rPr>
                <w:rFonts w:hint="default" w:ascii="Times New Roman" w:hAnsi="Times New Roman" w:eastAsia="宋体" w:cs="Times New Roman"/>
                <w:i w:val="0"/>
                <w:iCs w:val="0"/>
                <w:color w:val="auto"/>
                <w:kern w:val="0"/>
                <w:sz w:val="21"/>
                <w:szCs w:val="21"/>
                <w:u w:val="none"/>
                <w:lang w:val="en-US" w:eastAsia="zh-CN" w:bidi="ar"/>
              </w:rPr>
              <w:t>m³/d</w:t>
            </w:r>
            <w:r>
              <w:rPr>
                <w:rFonts w:hint="default" w:ascii="Times New Roman" w:hAnsi="Times New Roman" w:eastAsia="宋体" w:cs="Times New Roman"/>
                <w:i w:val="0"/>
                <w:iCs w:val="0"/>
                <w:color w:val="auto"/>
                <w:kern w:val="0"/>
                <w:sz w:val="21"/>
                <w:szCs w:val="21"/>
                <w:u w:val="none"/>
                <w:lang w:val="en-US" w:eastAsia="zh-CN" w:bidi="ar"/>
              </w:rPr>
              <w:t>）</w:t>
            </w:r>
          </w:p>
        </w:tc>
        <w:tc>
          <w:tcPr>
            <w:tcW w:w="5601" w:type="dxa"/>
            <w:gridSpan w:val="5"/>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875"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208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污染物浓度（</w:t>
            </w:r>
            <w:r>
              <w:rPr>
                <w:rFonts w:hint="default" w:ascii="Times New Roman" w:hAnsi="Times New Roman" w:eastAsia="宋体" w:cs="Times New Roman"/>
                <w:i w:val="0"/>
                <w:iCs w:val="0"/>
                <w:color w:val="auto"/>
                <w:kern w:val="0"/>
                <w:sz w:val="21"/>
                <w:szCs w:val="21"/>
                <w:u w:val="none"/>
                <w:lang w:val="en-US" w:eastAsia="zh-CN" w:bidi="ar"/>
              </w:rPr>
              <w:t>mg/L</w:t>
            </w:r>
            <w:r>
              <w:rPr>
                <w:rFonts w:hint="default" w:ascii="Times New Roman" w:hAnsi="Times New Roman" w:eastAsia="宋体" w:cs="Times New Roman"/>
                <w:i w:val="0"/>
                <w:iCs w:val="0"/>
                <w:color w:val="auto"/>
                <w:kern w:val="0"/>
                <w:sz w:val="21"/>
                <w:szCs w:val="21"/>
                <w:u w:val="none"/>
                <w:lang w:val="en-US" w:eastAsia="zh-CN" w:bidi="ar"/>
              </w:rPr>
              <w:t>）</w:t>
            </w:r>
          </w:p>
        </w:tc>
        <w:tc>
          <w:tcPr>
            <w:tcW w:w="9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1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11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16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22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149.33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875"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208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污染物产生量（</w:t>
            </w:r>
            <w:r>
              <w:rPr>
                <w:rFonts w:hint="default" w:ascii="Times New Roman" w:hAnsi="Times New Roman" w:eastAsia="宋体" w:cs="Times New Roman"/>
                <w:i w:val="0"/>
                <w:iCs w:val="0"/>
                <w:color w:val="auto"/>
                <w:kern w:val="0"/>
                <w:sz w:val="21"/>
                <w:szCs w:val="21"/>
                <w:u w:val="none"/>
                <w:lang w:val="en-US" w:eastAsia="zh-CN" w:bidi="ar"/>
              </w:rPr>
              <w:t>kg/d</w:t>
            </w:r>
            <w:r>
              <w:rPr>
                <w:rFonts w:hint="default" w:ascii="Times New Roman" w:hAnsi="Times New Roman" w:eastAsia="宋体" w:cs="Times New Roman"/>
                <w:i w:val="0"/>
                <w:iCs w:val="0"/>
                <w:color w:val="auto"/>
                <w:kern w:val="0"/>
                <w:sz w:val="21"/>
                <w:szCs w:val="21"/>
                <w:u w:val="none"/>
                <w:lang w:val="en-US" w:eastAsia="zh-CN" w:bidi="ar"/>
              </w:rPr>
              <w:t>）</w:t>
            </w:r>
          </w:p>
        </w:tc>
        <w:tc>
          <w:tcPr>
            <w:tcW w:w="9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1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11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16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22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0.44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875"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2085"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治理措施及去向</w:t>
            </w:r>
          </w:p>
        </w:tc>
        <w:tc>
          <w:tcPr>
            <w:tcW w:w="5601" w:type="dxa"/>
            <w:gridSpan w:val="5"/>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经含氟废水处理站处理后再进入综合污水处理站处理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875"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208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出水水量（</w:t>
            </w:r>
            <w:r>
              <w:rPr>
                <w:rFonts w:hint="default" w:ascii="Times New Roman" w:hAnsi="Times New Roman" w:eastAsia="宋体" w:cs="Times New Roman"/>
                <w:i w:val="0"/>
                <w:iCs w:val="0"/>
                <w:color w:val="auto"/>
                <w:kern w:val="0"/>
                <w:sz w:val="21"/>
                <w:szCs w:val="21"/>
                <w:u w:val="none"/>
                <w:lang w:val="en-US" w:eastAsia="zh-CN" w:bidi="ar"/>
              </w:rPr>
              <w:t>m³/d</w:t>
            </w:r>
            <w:r>
              <w:rPr>
                <w:rFonts w:hint="default" w:ascii="Times New Roman" w:hAnsi="Times New Roman" w:eastAsia="宋体" w:cs="Times New Roman"/>
                <w:i w:val="0"/>
                <w:iCs w:val="0"/>
                <w:color w:val="auto"/>
                <w:kern w:val="0"/>
                <w:sz w:val="21"/>
                <w:szCs w:val="21"/>
                <w:u w:val="none"/>
                <w:lang w:val="en-US" w:eastAsia="zh-CN" w:bidi="ar"/>
              </w:rPr>
              <w:t>）</w:t>
            </w:r>
          </w:p>
        </w:tc>
        <w:tc>
          <w:tcPr>
            <w:tcW w:w="5601" w:type="dxa"/>
            <w:gridSpan w:val="5"/>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875"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208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出水浓度（</w:t>
            </w:r>
            <w:r>
              <w:rPr>
                <w:rFonts w:hint="default" w:ascii="Times New Roman" w:hAnsi="Times New Roman" w:eastAsia="宋体" w:cs="Times New Roman"/>
                <w:i w:val="0"/>
                <w:iCs w:val="0"/>
                <w:color w:val="auto"/>
                <w:kern w:val="0"/>
                <w:sz w:val="21"/>
                <w:szCs w:val="21"/>
                <w:u w:val="none"/>
                <w:lang w:val="en-US" w:eastAsia="zh-CN" w:bidi="ar"/>
              </w:rPr>
              <w:t>mg/L</w:t>
            </w:r>
            <w:r>
              <w:rPr>
                <w:rFonts w:hint="default" w:ascii="Times New Roman" w:hAnsi="Times New Roman" w:eastAsia="宋体" w:cs="Times New Roman"/>
                <w:i w:val="0"/>
                <w:iCs w:val="0"/>
                <w:color w:val="auto"/>
                <w:kern w:val="0"/>
                <w:sz w:val="21"/>
                <w:szCs w:val="21"/>
                <w:u w:val="none"/>
                <w:lang w:val="en-US" w:eastAsia="zh-CN" w:bidi="ar"/>
              </w:rPr>
              <w:t>）</w:t>
            </w:r>
          </w:p>
        </w:tc>
        <w:tc>
          <w:tcPr>
            <w:tcW w:w="9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1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11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16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22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875"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208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污染物剩余量（</w:t>
            </w:r>
            <w:r>
              <w:rPr>
                <w:rFonts w:hint="default" w:ascii="Times New Roman" w:hAnsi="Times New Roman" w:eastAsia="宋体" w:cs="Times New Roman"/>
                <w:i w:val="0"/>
                <w:iCs w:val="0"/>
                <w:color w:val="auto"/>
                <w:kern w:val="0"/>
                <w:sz w:val="21"/>
                <w:szCs w:val="21"/>
                <w:u w:val="none"/>
                <w:lang w:val="en-US" w:eastAsia="zh-CN" w:bidi="ar"/>
              </w:rPr>
              <w:t>kg/d</w:t>
            </w:r>
            <w:r>
              <w:rPr>
                <w:rFonts w:hint="default" w:ascii="Times New Roman" w:hAnsi="Times New Roman" w:eastAsia="宋体" w:cs="Times New Roman"/>
                <w:i w:val="0"/>
                <w:iCs w:val="0"/>
                <w:color w:val="auto"/>
                <w:kern w:val="0"/>
                <w:sz w:val="21"/>
                <w:szCs w:val="21"/>
                <w:u w:val="none"/>
                <w:lang w:val="en-US" w:eastAsia="zh-CN" w:bidi="ar"/>
              </w:rPr>
              <w:t>）</w:t>
            </w:r>
          </w:p>
        </w:tc>
        <w:tc>
          <w:tcPr>
            <w:tcW w:w="9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1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11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16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22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0.02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875"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综合污水处理站碱吸收废水</w:t>
            </w:r>
          </w:p>
        </w:tc>
        <w:tc>
          <w:tcPr>
            <w:tcW w:w="208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废水量（</w:t>
            </w:r>
            <w:r>
              <w:rPr>
                <w:rFonts w:hint="default" w:ascii="Times New Roman" w:hAnsi="Times New Roman" w:eastAsia="宋体" w:cs="Times New Roman"/>
                <w:i w:val="0"/>
                <w:iCs w:val="0"/>
                <w:color w:val="auto"/>
                <w:kern w:val="0"/>
                <w:sz w:val="21"/>
                <w:szCs w:val="21"/>
                <w:u w:val="none"/>
                <w:lang w:val="en-US" w:eastAsia="zh-CN" w:bidi="ar"/>
              </w:rPr>
              <w:t>m³/d</w:t>
            </w:r>
            <w:r>
              <w:rPr>
                <w:rFonts w:hint="default" w:ascii="Times New Roman" w:hAnsi="Times New Roman" w:eastAsia="宋体" w:cs="Times New Roman"/>
                <w:i w:val="0"/>
                <w:iCs w:val="0"/>
                <w:color w:val="auto"/>
                <w:kern w:val="0"/>
                <w:sz w:val="21"/>
                <w:szCs w:val="21"/>
                <w:u w:val="none"/>
                <w:lang w:val="en-US" w:eastAsia="zh-CN" w:bidi="ar"/>
              </w:rPr>
              <w:t>）</w:t>
            </w:r>
          </w:p>
        </w:tc>
        <w:tc>
          <w:tcPr>
            <w:tcW w:w="5601" w:type="dxa"/>
            <w:gridSpan w:val="5"/>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875"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208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污染物浓度（</w:t>
            </w:r>
            <w:r>
              <w:rPr>
                <w:rFonts w:hint="default" w:ascii="Times New Roman" w:hAnsi="Times New Roman" w:eastAsia="宋体" w:cs="Times New Roman"/>
                <w:i w:val="0"/>
                <w:iCs w:val="0"/>
                <w:color w:val="auto"/>
                <w:kern w:val="0"/>
                <w:sz w:val="21"/>
                <w:szCs w:val="21"/>
                <w:u w:val="none"/>
                <w:lang w:val="en-US" w:eastAsia="zh-CN" w:bidi="ar"/>
              </w:rPr>
              <w:t>mg/L</w:t>
            </w:r>
            <w:r>
              <w:rPr>
                <w:rFonts w:hint="default" w:ascii="Times New Roman" w:hAnsi="Times New Roman" w:eastAsia="宋体" w:cs="Times New Roman"/>
                <w:i w:val="0"/>
                <w:iCs w:val="0"/>
                <w:color w:val="auto"/>
                <w:kern w:val="0"/>
                <w:sz w:val="21"/>
                <w:szCs w:val="21"/>
                <w:u w:val="none"/>
                <w:lang w:val="en-US" w:eastAsia="zh-CN" w:bidi="ar"/>
              </w:rPr>
              <w:t>）</w:t>
            </w:r>
          </w:p>
        </w:tc>
        <w:tc>
          <w:tcPr>
            <w:tcW w:w="93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16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11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166"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22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875"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208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污染物产生量（</w:t>
            </w:r>
            <w:r>
              <w:rPr>
                <w:rFonts w:hint="default" w:ascii="Times New Roman" w:hAnsi="Times New Roman" w:eastAsia="宋体" w:cs="Times New Roman"/>
                <w:i w:val="0"/>
                <w:iCs w:val="0"/>
                <w:color w:val="auto"/>
                <w:kern w:val="0"/>
                <w:sz w:val="21"/>
                <w:szCs w:val="21"/>
                <w:u w:val="none"/>
                <w:lang w:val="en-US" w:eastAsia="zh-CN" w:bidi="ar"/>
              </w:rPr>
              <w:t>kg/d</w:t>
            </w:r>
            <w:r>
              <w:rPr>
                <w:rFonts w:hint="default" w:ascii="Times New Roman" w:hAnsi="Times New Roman" w:eastAsia="宋体" w:cs="Times New Roman"/>
                <w:i w:val="0"/>
                <w:iCs w:val="0"/>
                <w:color w:val="auto"/>
                <w:kern w:val="0"/>
                <w:sz w:val="21"/>
                <w:szCs w:val="21"/>
                <w:u w:val="none"/>
                <w:lang w:val="en-US" w:eastAsia="zh-CN" w:bidi="ar"/>
              </w:rPr>
              <w:t>）</w:t>
            </w:r>
          </w:p>
        </w:tc>
        <w:tc>
          <w:tcPr>
            <w:tcW w:w="93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16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11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16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22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8561" w:type="dxa"/>
            <w:gridSpan w:val="7"/>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上述废水进入综合污水处理站处理达标后通过总排口排入市政污水管网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875"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综合污水处理站</w:t>
            </w:r>
          </w:p>
        </w:tc>
        <w:tc>
          <w:tcPr>
            <w:tcW w:w="2085"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进水水量（</w:t>
            </w:r>
            <w:r>
              <w:rPr>
                <w:rFonts w:hint="default" w:ascii="Times New Roman" w:hAnsi="Times New Roman" w:eastAsia="宋体" w:cs="Times New Roman"/>
                <w:i w:val="0"/>
                <w:iCs w:val="0"/>
                <w:color w:val="auto"/>
                <w:kern w:val="0"/>
                <w:sz w:val="21"/>
                <w:szCs w:val="21"/>
                <w:u w:val="none"/>
                <w:lang w:val="en-US" w:eastAsia="zh-CN" w:bidi="ar"/>
              </w:rPr>
              <w:t>m³/d</w:t>
            </w:r>
            <w:r>
              <w:rPr>
                <w:rFonts w:hint="default" w:ascii="Times New Roman" w:hAnsi="Times New Roman" w:eastAsia="宋体" w:cs="Times New Roman"/>
                <w:i w:val="0"/>
                <w:iCs w:val="0"/>
                <w:color w:val="auto"/>
                <w:kern w:val="0"/>
                <w:sz w:val="21"/>
                <w:szCs w:val="21"/>
                <w:u w:val="none"/>
                <w:lang w:val="en-US" w:eastAsia="zh-CN" w:bidi="ar"/>
              </w:rPr>
              <w:t>）</w:t>
            </w:r>
          </w:p>
        </w:tc>
        <w:tc>
          <w:tcPr>
            <w:tcW w:w="5601" w:type="dxa"/>
            <w:gridSpan w:val="5"/>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4738.45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875"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208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进水浓度（</w:t>
            </w:r>
            <w:r>
              <w:rPr>
                <w:rFonts w:hint="default" w:ascii="Times New Roman" w:hAnsi="Times New Roman" w:eastAsia="宋体" w:cs="Times New Roman"/>
                <w:i w:val="0"/>
                <w:iCs w:val="0"/>
                <w:color w:val="auto"/>
                <w:kern w:val="0"/>
                <w:sz w:val="21"/>
                <w:szCs w:val="21"/>
                <w:u w:val="none"/>
                <w:lang w:val="en-US" w:eastAsia="zh-CN" w:bidi="ar"/>
              </w:rPr>
              <w:t>mg/L</w:t>
            </w:r>
            <w:r>
              <w:rPr>
                <w:rFonts w:hint="default" w:ascii="Times New Roman" w:hAnsi="Times New Roman" w:eastAsia="宋体" w:cs="Times New Roman"/>
                <w:i w:val="0"/>
                <w:iCs w:val="0"/>
                <w:color w:val="auto"/>
                <w:kern w:val="0"/>
                <w:sz w:val="21"/>
                <w:szCs w:val="21"/>
                <w:u w:val="none"/>
                <w:lang w:val="en-US" w:eastAsia="zh-CN" w:bidi="ar"/>
              </w:rPr>
              <w:t>）</w:t>
            </w:r>
          </w:p>
        </w:tc>
        <w:tc>
          <w:tcPr>
            <w:tcW w:w="9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899.16 </w:t>
            </w:r>
          </w:p>
        </w:tc>
        <w:tc>
          <w:tcPr>
            <w:tcW w:w="11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297.09 </w:t>
            </w:r>
          </w:p>
        </w:tc>
        <w:tc>
          <w:tcPr>
            <w:tcW w:w="111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178.14 </w:t>
            </w:r>
          </w:p>
        </w:tc>
        <w:tc>
          <w:tcPr>
            <w:tcW w:w="116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66.03 </w:t>
            </w:r>
          </w:p>
        </w:tc>
        <w:tc>
          <w:tcPr>
            <w:tcW w:w="122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1.94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875"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208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污染物产生量（</w:t>
            </w:r>
            <w:r>
              <w:rPr>
                <w:rFonts w:hint="default" w:ascii="Times New Roman" w:hAnsi="Times New Roman" w:eastAsia="宋体" w:cs="Times New Roman"/>
                <w:i w:val="0"/>
                <w:iCs w:val="0"/>
                <w:color w:val="auto"/>
                <w:kern w:val="0"/>
                <w:sz w:val="21"/>
                <w:szCs w:val="21"/>
                <w:u w:val="none"/>
                <w:lang w:val="en-US" w:eastAsia="zh-CN" w:bidi="ar"/>
              </w:rPr>
              <w:t>kg/d</w:t>
            </w:r>
            <w:r>
              <w:rPr>
                <w:rFonts w:hint="default" w:ascii="Times New Roman" w:hAnsi="Times New Roman" w:eastAsia="宋体" w:cs="Times New Roman"/>
                <w:i w:val="0"/>
                <w:iCs w:val="0"/>
                <w:color w:val="auto"/>
                <w:kern w:val="0"/>
                <w:sz w:val="21"/>
                <w:szCs w:val="21"/>
                <w:u w:val="none"/>
                <w:lang w:val="en-US" w:eastAsia="zh-CN" w:bidi="ar"/>
              </w:rPr>
              <w:t>）</w:t>
            </w:r>
          </w:p>
        </w:tc>
        <w:tc>
          <w:tcPr>
            <w:tcW w:w="9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4260.65 </w:t>
            </w:r>
          </w:p>
        </w:tc>
        <w:tc>
          <w:tcPr>
            <w:tcW w:w="11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1407.75 </w:t>
            </w:r>
          </w:p>
        </w:tc>
        <w:tc>
          <w:tcPr>
            <w:tcW w:w="111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844.09 </w:t>
            </w:r>
          </w:p>
        </w:tc>
        <w:tc>
          <w:tcPr>
            <w:tcW w:w="116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312.87 </w:t>
            </w:r>
          </w:p>
        </w:tc>
        <w:tc>
          <w:tcPr>
            <w:tcW w:w="122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9.19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875"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2085"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治理措施及去向</w:t>
            </w:r>
          </w:p>
        </w:tc>
        <w:tc>
          <w:tcPr>
            <w:tcW w:w="5601" w:type="dxa"/>
            <w:gridSpan w:val="5"/>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进入综合污水处理站处理后通过总排口排入市政污水管网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875"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208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出水水量（</w:t>
            </w:r>
            <w:r>
              <w:rPr>
                <w:rFonts w:hint="default" w:ascii="Times New Roman" w:hAnsi="Times New Roman" w:eastAsia="宋体" w:cs="Times New Roman"/>
                <w:i w:val="0"/>
                <w:iCs w:val="0"/>
                <w:color w:val="auto"/>
                <w:kern w:val="0"/>
                <w:sz w:val="21"/>
                <w:szCs w:val="21"/>
                <w:u w:val="none"/>
                <w:lang w:val="en-US" w:eastAsia="zh-CN" w:bidi="ar"/>
              </w:rPr>
              <w:t>m³/d</w:t>
            </w:r>
            <w:r>
              <w:rPr>
                <w:rFonts w:hint="default" w:ascii="Times New Roman" w:hAnsi="Times New Roman" w:eastAsia="宋体" w:cs="Times New Roman"/>
                <w:i w:val="0"/>
                <w:iCs w:val="0"/>
                <w:color w:val="auto"/>
                <w:kern w:val="0"/>
                <w:sz w:val="21"/>
                <w:szCs w:val="21"/>
                <w:u w:val="none"/>
                <w:lang w:val="en-US" w:eastAsia="zh-CN" w:bidi="ar"/>
              </w:rPr>
              <w:t>）</w:t>
            </w:r>
          </w:p>
        </w:tc>
        <w:tc>
          <w:tcPr>
            <w:tcW w:w="5601" w:type="dxa"/>
            <w:gridSpan w:val="5"/>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4738.45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875"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208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出水浓度（</w:t>
            </w:r>
            <w:r>
              <w:rPr>
                <w:rFonts w:hint="default" w:ascii="Times New Roman" w:hAnsi="Times New Roman" w:eastAsia="宋体" w:cs="Times New Roman"/>
                <w:i w:val="0"/>
                <w:iCs w:val="0"/>
                <w:color w:val="auto"/>
                <w:kern w:val="0"/>
                <w:sz w:val="21"/>
                <w:szCs w:val="21"/>
                <w:u w:val="none"/>
                <w:lang w:val="en-US" w:eastAsia="zh-CN" w:bidi="ar"/>
              </w:rPr>
              <w:t>mg/L</w:t>
            </w:r>
            <w:r>
              <w:rPr>
                <w:rFonts w:hint="default" w:ascii="Times New Roman" w:hAnsi="Times New Roman" w:eastAsia="宋体" w:cs="Times New Roman"/>
                <w:i w:val="0"/>
                <w:iCs w:val="0"/>
                <w:color w:val="auto"/>
                <w:kern w:val="0"/>
                <w:sz w:val="21"/>
                <w:szCs w:val="21"/>
                <w:u w:val="none"/>
                <w:lang w:val="en-US" w:eastAsia="zh-CN" w:bidi="ar"/>
              </w:rPr>
              <w:t>）</w:t>
            </w:r>
          </w:p>
        </w:tc>
        <w:tc>
          <w:tcPr>
            <w:tcW w:w="9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71.93 </w:t>
            </w:r>
          </w:p>
        </w:tc>
        <w:tc>
          <w:tcPr>
            <w:tcW w:w="11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29.71 </w:t>
            </w:r>
          </w:p>
        </w:tc>
        <w:tc>
          <w:tcPr>
            <w:tcW w:w="111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26.72 </w:t>
            </w:r>
          </w:p>
        </w:tc>
        <w:tc>
          <w:tcPr>
            <w:tcW w:w="116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6.60 </w:t>
            </w:r>
          </w:p>
        </w:tc>
        <w:tc>
          <w:tcPr>
            <w:tcW w:w="122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1.94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875"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208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污染物排放量（</w:t>
            </w:r>
            <w:r>
              <w:rPr>
                <w:rFonts w:hint="default" w:ascii="Times New Roman" w:hAnsi="Times New Roman" w:eastAsia="宋体" w:cs="Times New Roman"/>
                <w:i w:val="0"/>
                <w:iCs w:val="0"/>
                <w:color w:val="auto"/>
                <w:kern w:val="0"/>
                <w:sz w:val="21"/>
                <w:szCs w:val="21"/>
                <w:u w:val="none"/>
                <w:lang w:val="en-US" w:eastAsia="zh-CN" w:bidi="ar"/>
              </w:rPr>
              <w:t>kg/d</w:t>
            </w:r>
            <w:r>
              <w:rPr>
                <w:rFonts w:hint="default" w:ascii="Times New Roman" w:hAnsi="Times New Roman" w:eastAsia="宋体" w:cs="Times New Roman"/>
                <w:i w:val="0"/>
                <w:iCs w:val="0"/>
                <w:color w:val="auto"/>
                <w:kern w:val="0"/>
                <w:sz w:val="21"/>
                <w:szCs w:val="21"/>
                <w:u w:val="none"/>
                <w:lang w:val="en-US" w:eastAsia="zh-CN" w:bidi="ar"/>
              </w:rPr>
              <w:t>）</w:t>
            </w:r>
          </w:p>
        </w:tc>
        <w:tc>
          <w:tcPr>
            <w:tcW w:w="9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340.84 </w:t>
            </w:r>
          </w:p>
        </w:tc>
        <w:tc>
          <w:tcPr>
            <w:tcW w:w="11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140.78 </w:t>
            </w:r>
          </w:p>
        </w:tc>
        <w:tc>
          <w:tcPr>
            <w:tcW w:w="111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126.63 </w:t>
            </w:r>
          </w:p>
        </w:tc>
        <w:tc>
          <w:tcPr>
            <w:tcW w:w="116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31.29 </w:t>
            </w:r>
          </w:p>
        </w:tc>
        <w:tc>
          <w:tcPr>
            <w:tcW w:w="122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9.19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875"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生活废水</w:t>
            </w:r>
          </w:p>
        </w:tc>
        <w:tc>
          <w:tcPr>
            <w:tcW w:w="208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产生水量（</w:t>
            </w:r>
            <w:r>
              <w:rPr>
                <w:rFonts w:hint="default" w:ascii="Times New Roman" w:hAnsi="Times New Roman" w:eastAsia="宋体" w:cs="Times New Roman"/>
                <w:i w:val="0"/>
                <w:iCs w:val="0"/>
                <w:color w:val="auto"/>
                <w:kern w:val="0"/>
                <w:sz w:val="21"/>
                <w:szCs w:val="21"/>
                <w:u w:val="none"/>
                <w:lang w:val="en-US" w:eastAsia="zh-CN" w:bidi="ar"/>
              </w:rPr>
              <w:t>m³/d</w:t>
            </w:r>
            <w:r>
              <w:rPr>
                <w:rFonts w:hint="default" w:ascii="Times New Roman" w:hAnsi="Times New Roman" w:eastAsia="宋体" w:cs="Times New Roman"/>
                <w:i w:val="0"/>
                <w:iCs w:val="0"/>
                <w:color w:val="auto"/>
                <w:kern w:val="0"/>
                <w:sz w:val="21"/>
                <w:szCs w:val="21"/>
                <w:u w:val="none"/>
                <w:lang w:val="en-US" w:eastAsia="zh-CN" w:bidi="ar"/>
              </w:rPr>
              <w:t>）</w:t>
            </w:r>
          </w:p>
        </w:tc>
        <w:tc>
          <w:tcPr>
            <w:tcW w:w="5601" w:type="dxa"/>
            <w:gridSpan w:val="5"/>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875"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208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产生源强（</w:t>
            </w:r>
            <w:r>
              <w:rPr>
                <w:rFonts w:hint="default" w:ascii="Times New Roman" w:hAnsi="Times New Roman" w:eastAsia="宋体" w:cs="Times New Roman"/>
                <w:i w:val="0"/>
                <w:iCs w:val="0"/>
                <w:color w:val="auto"/>
                <w:kern w:val="0"/>
                <w:sz w:val="21"/>
                <w:szCs w:val="21"/>
                <w:u w:val="none"/>
                <w:lang w:val="en-US" w:eastAsia="zh-CN" w:bidi="ar"/>
              </w:rPr>
              <w:t>mg/L</w:t>
            </w:r>
            <w:r>
              <w:rPr>
                <w:rFonts w:hint="default" w:ascii="Times New Roman" w:hAnsi="Times New Roman" w:eastAsia="宋体" w:cs="Times New Roman"/>
                <w:i w:val="0"/>
                <w:iCs w:val="0"/>
                <w:color w:val="auto"/>
                <w:kern w:val="0"/>
                <w:sz w:val="21"/>
                <w:szCs w:val="21"/>
                <w:u w:val="none"/>
                <w:lang w:val="en-US" w:eastAsia="zh-CN" w:bidi="ar"/>
              </w:rPr>
              <w:t>）</w:t>
            </w:r>
          </w:p>
        </w:tc>
        <w:tc>
          <w:tcPr>
            <w:tcW w:w="9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500</w:t>
            </w:r>
          </w:p>
        </w:tc>
        <w:tc>
          <w:tcPr>
            <w:tcW w:w="116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200</w:t>
            </w:r>
          </w:p>
        </w:tc>
        <w:tc>
          <w:tcPr>
            <w:tcW w:w="111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200</w:t>
            </w:r>
          </w:p>
        </w:tc>
        <w:tc>
          <w:tcPr>
            <w:tcW w:w="1166"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22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875"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208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污染物产生量（</w:t>
            </w:r>
            <w:r>
              <w:rPr>
                <w:rFonts w:hint="default" w:ascii="Times New Roman" w:hAnsi="Times New Roman" w:eastAsia="宋体" w:cs="Times New Roman"/>
                <w:i w:val="0"/>
                <w:iCs w:val="0"/>
                <w:color w:val="auto"/>
                <w:kern w:val="0"/>
                <w:sz w:val="21"/>
                <w:szCs w:val="21"/>
                <w:u w:val="none"/>
                <w:lang w:val="en-US" w:eastAsia="zh-CN" w:bidi="ar"/>
              </w:rPr>
              <w:t>kg/d</w:t>
            </w:r>
            <w:r>
              <w:rPr>
                <w:rFonts w:hint="default" w:ascii="Times New Roman" w:hAnsi="Times New Roman" w:eastAsia="宋体" w:cs="Times New Roman"/>
                <w:i w:val="0"/>
                <w:iCs w:val="0"/>
                <w:color w:val="auto"/>
                <w:kern w:val="0"/>
                <w:sz w:val="21"/>
                <w:szCs w:val="21"/>
                <w:u w:val="none"/>
                <w:lang w:val="en-US" w:eastAsia="zh-CN" w:bidi="ar"/>
              </w:rPr>
              <w:t>）</w:t>
            </w:r>
          </w:p>
        </w:tc>
        <w:tc>
          <w:tcPr>
            <w:tcW w:w="9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58.95</w:t>
            </w:r>
          </w:p>
        </w:tc>
        <w:tc>
          <w:tcPr>
            <w:tcW w:w="11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23.58</w:t>
            </w:r>
          </w:p>
        </w:tc>
        <w:tc>
          <w:tcPr>
            <w:tcW w:w="111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23.58</w:t>
            </w:r>
          </w:p>
        </w:tc>
        <w:tc>
          <w:tcPr>
            <w:tcW w:w="1166"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22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875"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208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治理措施及去向</w:t>
            </w:r>
          </w:p>
        </w:tc>
        <w:tc>
          <w:tcPr>
            <w:tcW w:w="5601" w:type="dxa"/>
            <w:gridSpan w:val="5"/>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经隔油池、化粪池处理后通过总排口排入市政污水管网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875"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208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排放水量（</w:t>
            </w:r>
            <w:r>
              <w:rPr>
                <w:rFonts w:hint="default" w:ascii="Times New Roman" w:hAnsi="Times New Roman" w:eastAsia="宋体" w:cs="Times New Roman"/>
                <w:i w:val="0"/>
                <w:iCs w:val="0"/>
                <w:color w:val="auto"/>
                <w:kern w:val="0"/>
                <w:sz w:val="21"/>
                <w:szCs w:val="21"/>
                <w:u w:val="none"/>
                <w:lang w:val="en-US" w:eastAsia="zh-CN" w:bidi="ar"/>
              </w:rPr>
              <w:t>m³/d</w:t>
            </w:r>
            <w:r>
              <w:rPr>
                <w:rFonts w:hint="default" w:ascii="Times New Roman" w:hAnsi="Times New Roman" w:eastAsia="宋体" w:cs="Times New Roman"/>
                <w:i w:val="0"/>
                <w:iCs w:val="0"/>
                <w:color w:val="auto"/>
                <w:kern w:val="0"/>
                <w:sz w:val="21"/>
                <w:szCs w:val="21"/>
                <w:u w:val="none"/>
                <w:lang w:val="en-US" w:eastAsia="zh-CN" w:bidi="ar"/>
              </w:rPr>
              <w:t>）</w:t>
            </w:r>
          </w:p>
        </w:tc>
        <w:tc>
          <w:tcPr>
            <w:tcW w:w="5601" w:type="dxa"/>
            <w:gridSpan w:val="5"/>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875"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208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排放源强（</w:t>
            </w:r>
            <w:r>
              <w:rPr>
                <w:rFonts w:hint="default" w:ascii="Times New Roman" w:hAnsi="Times New Roman" w:eastAsia="宋体" w:cs="Times New Roman"/>
                <w:i w:val="0"/>
                <w:iCs w:val="0"/>
                <w:color w:val="auto"/>
                <w:kern w:val="0"/>
                <w:sz w:val="21"/>
                <w:szCs w:val="21"/>
                <w:u w:val="none"/>
                <w:lang w:val="en-US" w:eastAsia="zh-CN" w:bidi="ar"/>
              </w:rPr>
              <w:t>mg/L</w:t>
            </w:r>
            <w:r>
              <w:rPr>
                <w:rFonts w:hint="default" w:ascii="Times New Roman" w:hAnsi="Times New Roman" w:eastAsia="宋体" w:cs="Times New Roman"/>
                <w:i w:val="0"/>
                <w:iCs w:val="0"/>
                <w:color w:val="auto"/>
                <w:kern w:val="0"/>
                <w:sz w:val="21"/>
                <w:szCs w:val="21"/>
                <w:u w:val="none"/>
                <w:lang w:val="en-US" w:eastAsia="zh-CN" w:bidi="ar"/>
              </w:rPr>
              <w:t>）</w:t>
            </w:r>
          </w:p>
        </w:tc>
        <w:tc>
          <w:tcPr>
            <w:tcW w:w="9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476</w:t>
            </w:r>
          </w:p>
        </w:tc>
        <w:tc>
          <w:tcPr>
            <w:tcW w:w="116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151.5</w:t>
            </w:r>
          </w:p>
        </w:tc>
        <w:tc>
          <w:tcPr>
            <w:tcW w:w="111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20.75</w:t>
            </w:r>
          </w:p>
        </w:tc>
        <w:tc>
          <w:tcPr>
            <w:tcW w:w="1166"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22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875"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208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污染物排放量（</w:t>
            </w:r>
            <w:r>
              <w:rPr>
                <w:rFonts w:hint="default" w:ascii="Times New Roman" w:hAnsi="Times New Roman" w:eastAsia="宋体" w:cs="Times New Roman"/>
                <w:i w:val="0"/>
                <w:iCs w:val="0"/>
                <w:color w:val="auto"/>
                <w:kern w:val="0"/>
                <w:sz w:val="21"/>
                <w:szCs w:val="21"/>
                <w:u w:val="none"/>
                <w:lang w:val="en-US" w:eastAsia="zh-CN" w:bidi="ar"/>
              </w:rPr>
              <w:t>kg/d</w:t>
            </w:r>
            <w:r>
              <w:rPr>
                <w:rFonts w:hint="default" w:ascii="Times New Roman" w:hAnsi="Times New Roman" w:eastAsia="宋体" w:cs="Times New Roman"/>
                <w:i w:val="0"/>
                <w:iCs w:val="0"/>
                <w:color w:val="auto"/>
                <w:kern w:val="0"/>
                <w:sz w:val="21"/>
                <w:szCs w:val="21"/>
                <w:u w:val="none"/>
                <w:lang w:val="en-US" w:eastAsia="zh-CN" w:bidi="ar"/>
              </w:rPr>
              <w:t>）</w:t>
            </w:r>
          </w:p>
        </w:tc>
        <w:tc>
          <w:tcPr>
            <w:tcW w:w="9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56.12 </w:t>
            </w:r>
          </w:p>
        </w:tc>
        <w:tc>
          <w:tcPr>
            <w:tcW w:w="11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17.86 </w:t>
            </w:r>
          </w:p>
        </w:tc>
        <w:tc>
          <w:tcPr>
            <w:tcW w:w="111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2.45 </w:t>
            </w:r>
          </w:p>
        </w:tc>
        <w:tc>
          <w:tcPr>
            <w:tcW w:w="116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22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875"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清净下水</w:t>
            </w:r>
          </w:p>
        </w:tc>
        <w:tc>
          <w:tcPr>
            <w:tcW w:w="208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产生水量（</w:t>
            </w:r>
            <w:r>
              <w:rPr>
                <w:rFonts w:hint="default" w:ascii="Times New Roman" w:hAnsi="Times New Roman" w:eastAsia="宋体" w:cs="Times New Roman"/>
                <w:i w:val="0"/>
                <w:iCs w:val="0"/>
                <w:color w:val="auto"/>
                <w:kern w:val="0"/>
                <w:sz w:val="21"/>
                <w:szCs w:val="21"/>
                <w:u w:val="none"/>
                <w:lang w:val="en-US" w:eastAsia="zh-CN" w:bidi="ar"/>
              </w:rPr>
              <w:t>m³/d</w:t>
            </w:r>
            <w:r>
              <w:rPr>
                <w:rFonts w:hint="default" w:ascii="Times New Roman" w:hAnsi="Times New Roman" w:eastAsia="宋体" w:cs="Times New Roman"/>
                <w:i w:val="0"/>
                <w:iCs w:val="0"/>
                <w:color w:val="auto"/>
                <w:kern w:val="0"/>
                <w:sz w:val="21"/>
                <w:szCs w:val="21"/>
                <w:u w:val="none"/>
                <w:lang w:val="en-US" w:eastAsia="zh-CN" w:bidi="ar"/>
              </w:rPr>
              <w:t>）</w:t>
            </w:r>
          </w:p>
        </w:tc>
        <w:tc>
          <w:tcPr>
            <w:tcW w:w="5601" w:type="dxa"/>
            <w:gridSpan w:val="5"/>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938.73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875"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208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产生源强（</w:t>
            </w:r>
            <w:r>
              <w:rPr>
                <w:rFonts w:hint="default" w:ascii="Times New Roman" w:hAnsi="Times New Roman" w:eastAsia="宋体" w:cs="Times New Roman"/>
                <w:i w:val="0"/>
                <w:iCs w:val="0"/>
                <w:color w:val="auto"/>
                <w:kern w:val="0"/>
                <w:sz w:val="21"/>
                <w:szCs w:val="21"/>
                <w:u w:val="none"/>
                <w:lang w:val="en-US" w:eastAsia="zh-CN" w:bidi="ar"/>
              </w:rPr>
              <w:t>mg/L</w:t>
            </w:r>
            <w:r>
              <w:rPr>
                <w:rFonts w:hint="default" w:ascii="Times New Roman" w:hAnsi="Times New Roman" w:eastAsia="宋体" w:cs="Times New Roman"/>
                <w:i w:val="0"/>
                <w:iCs w:val="0"/>
                <w:color w:val="auto"/>
                <w:kern w:val="0"/>
                <w:sz w:val="21"/>
                <w:szCs w:val="21"/>
                <w:u w:val="none"/>
                <w:lang w:val="en-US" w:eastAsia="zh-CN" w:bidi="ar"/>
              </w:rPr>
              <w:t>）</w:t>
            </w:r>
          </w:p>
        </w:tc>
        <w:tc>
          <w:tcPr>
            <w:tcW w:w="9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16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11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166"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22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875"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208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产生量（kg/d）</w:t>
            </w:r>
          </w:p>
        </w:tc>
        <w:tc>
          <w:tcPr>
            <w:tcW w:w="9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1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11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16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22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75"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208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治理措施及去向</w:t>
            </w:r>
          </w:p>
        </w:tc>
        <w:tc>
          <w:tcPr>
            <w:tcW w:w="5601" w:type="dxa"/>
            <w:gridSpan w:val="5"/>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通过总排口排入市政污水管网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75" w:type="dxa"/>
            <w:vMerge w:val="restar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废水总排口</w:t>
            </w:r>
          </w:p>
        </w:tc>
        <w:tc>
          <w:tcPr>
            <w:tcW w:w="208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排放水量（</w:t>
            </w:r>
            <w:r>
              <w:rPr>
                <w:rFonts w:hint="default" w:ascii="Times New Roman" w:hAnsi="Times New Roman" w:eastAsia="宋体" w:cs="Times New Roman"/>
                <w:i w:val="0"/>
                <w:iCs w:val="0"/>
                <w:color w:val="auto"/>
                <w:kern w:val="0"/>
                <w:sz w:val="21"/>
                <w:szCs w:val="21"/>
                <w:u w:val="none"/>
                <w:lang w:val="en-US" w:eastAsia="zh-CN" w:bidi="ar"/>
              </w:rPr>
              <w:t>m³/d</w:t>
            </w:r>
            <w:r>
              <w:rPr>
                <w:rFonts w:hint="default" w:ascii="Times New Roman" w:hAnsi="Times New Roman" w:eastAsia="宋体" w:cs="Times New Roman"/>
                <w:i w:val="0"/>
                <w:iCs w:val="0"/>
                <w:color w:val="auto"/>
                <w:kern w:val="0"/>
                <w:sz w:val="21"/>
                <w:szCs w:val="21"/>
                <w:u w:val="none"/>
                <w:lang w:val="en-US" w:eastAsia="zh-CN" w:bidi="ar"/>
              </w:rPr>
              <w:t>）</w:t>
            </w:r>
          </w:p>
        </w:tc>
        <w:tc>
          <w:tcPr>
            <w:tcW w:w="5601" w:type="dxa"/>
            <w:gridSpan w:val="5"/>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5795.08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75" w:type="dxa"/>
            <w:vMerge w:val="continue"/>
            <w:tcBorders>
              <w:top w:val="nil"/>
              <w:left w:val="single" w:color="000000" w:sz="8" w:space="0"/>
              <w:bottom w:val="single" w:color="000000" w:sz="8" w:space="0"/>
              <w:right w:val="single" w:color="000000" w:sz="8" w:space="0"/>
            </w:tcBorders>
            <w:shd w:val="clear" w:color="auto" w:fill="auto"/>
            <w:noWrap/>
            <w:vAlign w:val="center"/>
          </w:tcPr>
          <w:p>
            <w:pPr>
              <w:jc w:val="center"/>
              <w:rPr>
                <w:rFonts w:hint="default" w:ascii="Times New Roman" w:hAnsi="Times New Roman" w:eastAsia="宋体" w:cs="Times New Roman"/>
                <w:i w:val="0"/>
                <w:iCs w:val="0"/>
                <w:color w:val="auto"/>
                <w:sz w:val="21"/>
                <w:szCs w:val="21"/>
                <w:u w:val="none"/>
              </w:rPr>
            </w:pPr>
          </w:p>
        </w:tc>
        <w:tc>
          <w:tcPr>
            <w:tcW w:w="208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排放浓度（</w:t>
            </w:r>
            <w:r>
              <w:rPr>
                <w:rFonts w:hint="default" w:ascii="Times New Roman" w:hAnsi="Times New Roman" w:eastAsia="宋体" w:cs="Times New Roman"/>
                <w:i w:val="0"/>
                <w:iCs w:val="0"/>
                <w:color w:val="auto"/>
                <w:kern w:val="0"/>
                <w:sz w:val="21"/>
                <w:szCs w:val="21"/>
                <w:u w:val="none"/>
                <w:lang w:val="en-US" w:eastAsia="zh-CN" w:bidi="ar"/>
              </w:rPr>
              <w:t>mg/L</w:t>
            </w:r>
            <w:r>
              <w:rPr>
                <w:rFonts w:hint="default" w:ascii="Times New Roman" w:hAnsi="Times New Roman" w:eastAsia="宋体" w:cs="Times New Roman"/>
                <w:i w:val="0"/>
                <w:iCs w:val="0"/>
                <w:color w:val="auto"/>
                <w:kern w:val="0"/>
                <w:sz w:val="21"/>
                <w:szCs w:val="21"/>
                <w:u w:val="none"/>
                <w:lang w:val="en-US" w:eastAsia="zh-CN" w:bidi="ar"/>
              </w:rPr>
              <w:t>）</w:t>
            </w:r>
          </w:p>
        </w:tc>
        <w:tc>
          <w:tcPr>
            <w:tcW w:w="93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68.50 </w:t>
            </w:r>
          </w:p>
        </w:tc>
        <w:tc>
          <w:tcPr>
            <w:tcW w:w="116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27.37 </w:t>
            </w:r>
          </w:p>
        </w:tc>
        <w:tc>
          <w:tcPr>
            <w:tcW w:w="111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22.27 </w:t>
            </w:r>
          </w:p>
        </w:tc>
        <w:tc>
          <w:tcPr>
            <w:tcW w:w="1166"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5.40 </w:t>
            </w:r>
          </w:p>
        </w:tc>
        <w:tc>
          <w:tcPr>
            <w:tcW w:w="1221"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1.59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75" w:type="dxa"/>
            <w:vMerge w:val="continue"/>
            <w:tcBorders>
              <w:top w:val="nil"/>
              <w:left w:val="single" w:color="000000" w:sz="8" w:space="0"/>
              <w:bottom w:val="single" w:color="000000" w:sz="8" w:space="0"/>
              <w:right w:val="single" w:color="000000" w:sz="8" w:space="0"/>
            </w:tcBorders>
            <w:shd w:val="clear" w:color="auto" w:fill="auto"/>
            <w:noWrap/>
            <w:vAlign w:val="center"/>
          </w:tcPr>
          <w:p>
            <w:pPr>
              <w:jc w:val="center"/>
              <w:rPr>
                <w:rFonts w:hint="default" w:ascii="Times New Roman" w:hAnsi="Times New Roman" w:eastAsia="宋体" w:cs="Times New Roman"/>
                <w:i w:val="0"/>
                <w:iCs w:val="0"/>
                <w:color w:val="auto"/>
                <w:sz w:val="21"/>
                <w:szCs w:val="21"/>
                <w:u w:val="none"/>
              </w:rPr>
            </w:pPr>
          </w:p>
        </w:tc>
        <w:tc>
          <w:tcPr>
            <w:tcW w:w="208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污染物排放量（</w:t>
            </w:r>
            <w:r>
              <w:rPr>
                <w:rFonts w:hint="default" w:ascii="Times New Roman" w:hAnsi="Times New Roman" w:eastAsia="宋体" w:cs="Times New Roman"/>
                <w:i w:val="0"/>
                <w:iCs w:val="0"/>
                <w:color w:val="auto"/>
                <w:kern w:val="0"/>
                <w:sz w:val="21"/>
                <w:szCs w:val="21"/>
                <w:u w:val="none"/>
                <w:lang w:val="en-US" w:eastAsia="zh-CN" w:bidi="ar"/>
              </w:rPr>
              <w:t>kg/d</w:t>
            </w:r>
            <w:r>
              <w:rPr>
                <w:rFonts w:hint="default" w:ascii="Times New Roman" w:hAnsi="Times New Roman" w:eastAsia="宋体" w:cs="Times New Roman"/>
                <w:i w:val="0"/>
                <w:iCs w:val="0"/>
                <w:color w:val="auto"/>
                <w:kern w:val="0"/>
                <w:sz w:val="21"/>
                <w:szCs w:val="21"/>
                <w:u w:val="none"/>
                <w:lang w:val="en-US" w:eastAsia="zh-CN" w:bidi="ar"/>
              </w:rPr>
              <w:t>）</w:t>
            </w:r>
          </w:p>
        </w:tc>
        <w:tc>
          <w:tcPr>
            <w:tcW w:w="9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396.96 </w:t>
            </w:r>
          </w:p>
        </w:tc>
        <w:tc>
          <w:tcPr>
            <w:tcW w:w="11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158.64 </w:t>
            </w:r>
          </w:p>
        </w:tc>
        <w:tc>
          <w:tcPr>
            <w:tcW w:w="111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129.08 </w:t>
            </w:r>
          </w:p>
        </w:tc>
        <w:tc>
          <w:tcPr>
            <w:tcW w:w="116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31.29 </w:t>
            </w:r>
          </w:p>
        </w:tc>
        <w:tc>
          <w:tcPr>
            <w:tcW w:w="122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9.19 </w:t>
            </w:r>
          </w:p>
        </w:tc>
      </w:tr>
    </w:tbl>
    <w:p>
      <w:pPr>
        <w:pStyle w:val="55"/>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default" w:ascii="Times New Roman" w:hAnsi="Times New Roman" w:cs="Times New Roman"/>
        </w:rPr>
      </w:pPr>
      <w:r>
        <w:rPr>
          <w:rFonts w:hint="default" w:ascii="Times New Roman" w:hAnsi="Times New Roman" w:cs="Times New Roman"/>
          <w:b w:val="0"/>
          <w:bCs/>
          <w:color w:val="auto"/>
          <w:lang w:eastAsia="zh-CN"/>
        </w:rPr>
        <w:t>根据上表分析，全厂废水排放浓度可以达到</w:t>
      </w:r>
      <w:r>
        <w:rPr>
          <w:rFonts w:hint="default" w:ascii="Times New Roman" w:hAnsi="Times New Roman" w:cs="Times New Roman"/>
          <w:color w:val="auto"/>
          <w:szCs w:val="21"/>
        </w:rPr>
        <w:t>《污水综合排放标准》</w:t>
      </w:r>
      <w:r>
        <w:rPr>
          <w:rFonts w:hint="default" w:ascii="Times New Roman" w:hAnsi="Times New Roman" w:cs="Times New Roman"/>
          <w:color w:val="auto"/>
        </w:rPr>
        <w:t>（GB8978</w:t>
      </w:r>
      <w:r>
        <w:rPr>
          <w:rFonts w:hint="default" w:ascii="Times New Roman" w:hAnsi="Times New Roman" w:cs="Times New Roman"/>
          <w:color w:val="auto"/>
          <w:szCs w:val="21"/>
        </w:rPr>
        <w:t>-</w:t>
      </w:r>
      <w:r>
        <w:rPr>
          <w:rFonts w:hint="default" w:ascii="Times New Roman" w:hAnsi="Times New Roman" w:cs="Times New Roman"/>
          <w:color w:val="auto"/>
        </w:rPr>
        <w:t>1996）三级标准、</w:t>
      </w:r>
      <w:r>
        <w:rPr>
          <w:rFonts w:hint="default" w:ascii="Times New Roman" w:hAnsi="Times New Roman" w:cs="Times New Roman"/>
          <w:color w:val="auto"/>
          <w:szCs w:val="21"/>
        </w:rPr>
        <w:t>《污水排入城镇下水道水质标准》(GB/T31962-2015)B级标准值、《电子工业水污染物排放标准》(GB39731-2020)间接排放标准值三者取严执行</w:t>
      </w:r>
      <w:r>
        <w:rPr>
          <w:rFonts w:hint="default" w:ascii="Times New Roman" w:hAnsi="Times New Roman" w:cs="Times New Roman"/>
          <w:color w:val="auto"/>
          <w:szCs w:val="21"/>
          <w:lang w:eastAsia="zh-CN"/>
        </w:rPr>
        <w:t>的</w:t>
      </w:r>
      <w:r>
        <w:rPr>
          <w:rFonts w:hint="default" w:ascii="Times New Roman" w:hAnsi="Times New Roman" w:cs="Times New Roman"/>
          <w:color w:val="auto"/>
          <w:szCs w:val="21"/>
        </w:rPr>
        <w:t>标准值</w:t>
      </w:r>
      <w:r>
        <w:rPr>
          <w:rFonts w:hint="default" w:ascii="Times New Roman" w:hAnsi="Times New Roman" w:cs="Times New Roman"/>
          <w:color w:val="auto"/>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color w:val="auto"/>
        </w:rPr>
      </w:pPr>
      <w:r>
        <w:rPr>
          <w:rFonts w:hint="default" w:ascii="Times New Roman" w:hAnsi="Times New Roman" w:cs="Times New Roman"/>
          <w:b/>
          <w:color w:val="auto"/>
        </w:rPr>
        <w:t>三、噪声</w:t>
      </w:r>
    </w:p>
    <w:p>
      <w:pPr>
        <w:pStyle w:val="18"/>
        <w:spacing w:after="0" w:line="360" w:lineRule="auto"/>
        <w:ind w:left="0" w:leftChars="0" w:firstLine="482"/>
        <w:rPr>
          <w:rFonts w:hint="default" w:ascii="Times New Roman" w:hAnsi="Times New Roman" w:cs="Times New Roman"/>
          <w:color w:val="auto"/>
        </w:rPr>
      </w:pPr>
      <w:r>
        <w:rPr>
          <w:rFonts w:hint="default" w:ascii="Times New Roman" w:hAnsi="Times New Roman" w:cs="Times New Roman"/>
          <w:snapToGrid w:val="0"/>
          <w:color w:val="auto"/>
        </w:rPr>
        <w:t>项目主要噪声源为</w:t>
      </w:r>
      <w:r>
        <w:rPr>
          <w:rFonts w:hint="default" w:ascii="Times New Roman" w:hAnsi="Times New Roman" w:cs="Times New Roman"/>
          <w:snapToGrid w:val="0"/>
          <w:color w:val="auto"/>
          <w:lang w:eastAsia="zh-CN"/>
        </w:rPr>
        <w:t>金刚线切片</w:t>
      </w:r>
      <w:r>
        <w:rPr>
          <w:rFonts w:hint="default" w:ascii="Times New Roman" w:hAnsi="Times New Roman" w:cs="Times New Roman"/>
          <w:color w:val="auto"/>
          <w:lang w:eastAsia="zh-CN"/>
        </w:rPr>
        <w:t>机、脱插清洗一体机、脱胶机</w:t>
      </w:r>
      <w:r>
        <w:rPr>
          <w:rFonts w:hint="default" w:ascii="Times New Roman" w:hAnsi="Times New Roman" w:cs="Times New Roman"/>
          <w:color w:val="auto"/>
        </w:rPr>
        <w:t>各类设备运转噪声</w:t>
      </w:r>
      <w:r>
        <w:rPr>
          <w:rFonts w:hint="default" w:ascii="Times New Roman" w:hAnsi="Times New Roman" w:cs="Times New Roman"/>
          <w:snapToGrid w:val="0"/>
          <w:color w:val="auto"/>
        </w:rPr>
        <w:t>，各种设备的声级值一般在</w:t>
      </w:r>
      <w:r>
        <w:rPr>
          <w:rFonts w:hint="default" w:ascii="Times New Roman" w:hAnsi="Times New Roman" w:cs="Times New Roman"/>
          <w:snapToGrid w:val="0"/>
          <w:color w:val="auto"/>
          <w:lang w:val="en-US" w:eastAsia="zh-CN"/>
        </w:rPr>
        <w:t>70</w:t>
      </w:r>
      <w:r>
        <w:rPr>
          <w:rFonts w:hint="default" w:ascii="Times New Roman" w:hAnsi="Times New Roman" w:cs="Times New Roman"/>
          <w:snapToGrid w:val="0"/>
          <w:color w:val="auto"/>
        </w:rPr>
        <w:t>～</w:t>
      </w:r>
      <w:r>
        <w:rPr>
          <w:rFonts w:hint="default" w:ascii="Times New Roman" w:hAnsi="Times New Roman" w:cs="Times New Roman"/>
          <w:snapToGrid w:val="0"/>
          <w:color w:val="auto"/>
          <w:lang w:val="en-US" w:eastAsia="zh-CN"/>
        </w:rPr>
        <w:t>90</w:t>
      </w:r>
      <w:r>
        <w:rPr>
          <w:rFonts w:hint="default" w:ascii="Times New Roman" w:hAnsi="Times New Roman" w:cs="Times New Roman"/>
          <w:snapToGrid w:val="0"/>
          <w:color w:val="auto"/>
        </w:rPr>
        <w:t>dB（A）。</w:t>
      </w:r>
      <w:r>
        <w:rPr>
          <w:rFonts w:hint="default" w:ascii="Times New Roman" w:hAnsi="Times New Roman" w:cs="Times New Roman"/>
          <w:color w:val="auto"/>
        </w:rPr>
        <w:t>经过设备减振消声，厂房吸声、隔声并以距离衰减后，可控制厂界噪声达标。其余工序和设备噪声值不大，厂界噪声可达标。</w:t>
      </w:r>
    </w:p>
    <w:p>
      <w:pPr>
        <w:pStyle w:val="133"/>
        <w:numPr>
          <w:ilvl w:val="0"/>
          <w:numId w:val="11"/>
        </w:numPr>
        <w:spacing w:line="360" w:lineRule="auto"/>
        <w:ind w:left="0" w:leftChars="0" w:firstLine="0" w:firstLineChars="0"/>
        <w:jc w:val="center"/>
        <w:rPr>
          <w:rFonts w:hint="default" w:ascii="Times New Roman" w:hAnsi="Times New Roman" w:cs="Times New Roman"/>
          <w:b/>
          <w:bCs/>
          <w:color w:val="auto"/>
        </w:rPr>
      </w:pPr>
      <w:r>
        <w:rPr>
          <w:rFonts w:hint="default" w:ascii="Times New Roman" w:hAnsi="Times New Roman" w:cs="Times New Roman"/>
          <w:b/>
          <w:bCs/>
          <w:color w:val="auto"/>
        </w:rPr>
        <w:t>项目噪声源强分布情况（单位：dB(A)）</w:t>
      </w:r>
    </w:p>
    <w:tbl>
      <w:tblPr>
        <w:tblStyle w:val="44"/>
        <w:tblW w:w="46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6"/>
        <w:gridCol w:w="1825"/>
        <w:gridCol w:w="846"/>
        <w:gridCol w:w="1360"/>
        <w:gridCol w:w="1300"/>
        <w:gridCol w:w="13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80"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lang w:eastAsia="zh-CN"/>
              </w:rPr>
              <w:t>声源</w:t>
            </w:r>
            <w:r>
              <w:rPr>
                <w:rFonts w:hint="default" w:ascii="Times New Roman" w:hAnsi="Times New Roman" w:cs="Times New Roman"/>
                <w:color w:val="auto"/>
              </w:rPr>
              <w:t>位置</w:t>
            </w:r>
          </w:p>
        </w:tc>
        <w:tc>
          <w:tcPr>
            <w:tcW w:w="1161"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设备名称</w:t>
            </w:r>
          </w:p>
        </w:tc>
        <w:tc>
          <w:tcPr>
            <w:tcW w:w="538"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台/套</w:t>
            </w:r>
          </w:p>
        </w:tc>
        <w:tc>
          <w:tcPr>
            <w:tcW w:w="865"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源强dB(A)</w:t>
            </w:r>
          </w:p>
        </w:tc>
        <w:tc>
          <w:tcPr>
            <w:tcW w:w="827" w:type="pct"/>
            <w:vAlign w:val="center"/>
          </w:tcPr>
          <w:p>
            <w:pPr>
              <w:pStyle w:val="167"/>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声源类别</w:t>
            </w:r>
          </w:p>
        </w:tc>
        <w:tc>
          <w:tcPr>
            <w:tcW w:w="827" w:type="pct"/>
            <w:vAlign w:val="center"/>
          </w:tcPr>
          <w:p>
            <w:pPr>
              <w:pStyle w:val="167"/>
              <w:rPr>
                <w:rFonts w:hint="default" w:ascii="Times New Roman" w:hAnsi="Times New Roman" w:cs="Times New Roman"/>
                <w:color w:val="auto"/>
                <w:lang w:eastAsia="zh-CN"/>
              </w:rPr>
            </w:pPr>
            <w:r>
              <w:rPr>
                <w:rFonts w:hint="default" w:ascii="Times New Roman" w:hAnsi="Times New Roman" w:cs="Times New Roman"/>
                <w:color w:val="auto"/>
                <w:lang w:eastAsia="zh-CN"/>
              </w:rPr>
              <w:t>发声特性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80" w:type="pct"/>
            <w:vMerge w:val="restar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切片车间</w:t>
            </w:r>
          </w:p>
        </w:tc>
        <w:tc>
          <w:tcPr>
            <w:tcW w:w="1161"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金刚线切片机</w:t>
            </w:r>
          </w:p>
        </w:tc>
        <w:tc>
          <w:tcPr>
            <w:tcW w:w="538" w:type="pct"/>
            <w:vAlign w:val="center"/>
          </w:tcPr>
          <w:p>
            <w:pPr>
              <w:pStyle w:val="167"/>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44</w:t>
            </w:r>
          </w:p>
        </w:tc>
        <w:tc>
          <w:tcPr>
            <w:tcW w:w="865"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75</w:t>
            </w:r>
          </w:p>
        </w:tc>
        <w:tc>
          <w:tcPr>
            <w:tcW w:w="827" w:type="pct"/>
            <w:vAlign w:val="center"/>
          </w:tcPr>
          <w:p>
            <w:pPr>
              <w:pStyle w:val="167"/>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室内点声源</w:t>
            </w:r>
          </w:p>
        </w:tc>
        <w:tc>
          <w:tcPr>
            <w:tcW w:w="827" w:type="pct"/>
            <w:vAlign w:val="center"/>
          </w:tcPr>
          <w:p>
            <w:pPr>
              <w:pStyle w:val="167"/>
              <w:rPr>
                <w:rFonts w:hint="default" w:ascii="Times New Roman" w:hAnsi="Times New Roman" w:cs="Times New Roman"/>
                <w:color w:val="auto"/>
                <w:lang w:eastAsia="zh-CN"/>
              </w:rPr>
            </w:pPr>
            <w:r>
              <w:rPr>
                <w:rFonts w:hint="default" w:ascii="Times New Roman" w:hAnsi="Times New Roman" w:cs="Times New Roman"/>
                <w:color w:val="auto"/>
                <w:lang w:eastAsia="zh-CN"/>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80" w:type="pct"/>
            <w:vMerge w:val="continue"/>
            <w:vAlign w:val="center"/>
          </w:tcPr>
          <w:p>
            <w:pPr>
              <w:pStyle w:val="167"/>
              <w:rPr>
                <w:rFonts w:hint="default" w:ascii="Times New Roman" w:hAnsi="Times New Roman" w:cs="Times New Roman"/>
                <w:color w:val="auto"/>
              </w:rPr>
            </w:pPr>
          </w:p>
        </w:tc>
        <w:tc>
          <w:tcPr>
            <w:tcW w:w="1161" w:type="pct"/>
            <w:vAlign w:val="center"/>
          </w:tcPr>
          <w:p>
            <w:pPr>
              <w:pStyle w:val="167"/>
              <w:rPr>
                <w:rFonts w:hint="default" w:ascii="Times New Roman" w:hAnsi="Times New Roman" w:cs="Times New Roman"/>
                <w:color w:val="auto"/>
                <w:lang w:eastAsia="zh-CN"/>
              </w:rPr>
            </w:pPr>
            <w:r>
              <w:rPr>
                <w:rFonts w:hint="default" w:ascii="Times New Roman" w:hAnsi="Times New Roman" w:cs="Times New Roman"/>
                <w:color w:val="auto"/>
                <w:lang w:eastAsia="zh-CN"/>
              </w:rPr>
              <w:t>脱插清洗一体机</w:t>
            </w:r>
          </w:p>
        </w:tc>
        <w:tc>
          <w:tcPr>
            <w:tcW w:w="538" w:type="pct"/>
            <w:vAlign w:val="center"/>
          </w:tcPr>
          <w:p>
            <w:pPr>
              <w:pStyle w:val="167"/>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8</w:t>
            </w:r>
          </w:p>
        </w:tc>
        <w:tc>
          <w:tcPr>
            <w:tcW w:w="865" w:type="pct"/>
            <w:vAlign w:val="center"/>
          </w:tcPr>
          <w:p>
            <w:pPr>
              <w:pStyle w:val="167"/>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80</w:t>
            </w:r>
          </w:p>
        </w:tc>
        <w:tc>
          <w:tcPr>
            <w:tcW w:w="827"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lang w:eastAsia="zh-CN"/>
              </w:rPr>
              <w:t>室内点声源</w:t>
            </w:r>
          </w:p>
        </w:tc>
        <w:tc>
          <w:tcPr>
            <w:tcW w:w="827"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lang w:eastAsia="zh-CN"/>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80" w:type="pct"/>
            <w:vMerge w:val="continue"/>
            <w:vAlign w:val="center"/>
          </w:tcPr>
          <w:p>
            <w:pPr>
              <w:pStyle w:val="167"/>
              <w:rPr>
                <w:rFonts w:hint="default" w:ascii="Times New Roman" w:hAnsi="Times New Roman" w:cs="Times New Roman"/>
                <w:color w:val="auto"/>
              </w:rPr>
            </w:pPr>
          </w:p>
        </w:tc>
        <w:tc>
          <w:tcPr>
            <w:tcW w:w="1161" w:type="pct"/>
            <w:vAlign w:val="center"/>
          </w:tcPr>
          <w:p>
            <w:pPr>
              <w:pStyle w:val="167"/>
              <w:rPr>
                <w:rFonts w:hint="default" w:ascii="Times New Roman" w:hAnsi="Times New Roman" w:cs="Times New Roman"/>
                <w:color w:val="auto"/>
                <w:lang w:eastAsia="zh-CN"/>
              </w:rPr>
            </w:pPr>
            <w:r>
              <w:rPr>
                <w:rFonts w:hint="default" w:ascii="Times New Roman" w:hAnsi="Times New Roman" w:cs="Times New Roman"/>
                <w:color w:val="auto"/>
                <w:lang w:eastAsia="zh-CN"/>
              </w:rPr>
              <w:t>脱胶机</w:t>
            </w:r>
          </w:p>
        </w:tc>
        <w:tc>
          <w:tcPr>
            <w:tcW w:w="538" w:type="pct"/>
            <w:vAlign w:val="center"/>
          </w:tcPr>
          <w:p>
            <w:pPr>
              <w:pStyle w:val="167"/>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2</w:t>
            </w:r>
          </w:p>
        </w:tc>
        <w:tc>
          <w:tcPr>
            <w:tcW w:w="865" w:type="pct"/>
            <w:vAlign w:val="center"/>
          </w:tcPr>
          <w:p>
            <w:pPr>
              <w:pStyle w:val="167"/>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70</w:t>
            </w:r>
          </w:p>
        </w:tc>
        <w:tc>
          <w:tcPr>
            <w:tcW w:w="827" w:type="pct"/>
            <w:vAlign w:val="center"/>
          </w:tcPr>
          <w:p>
            <w:pPr>
              <w:pStyle w:val="167"/>
              <w:rPr>
                <w:rFonts w:hint="default" w:ascii="Times New Roman" w:hAnsi="Times New Roman" w:cs="Times New Roman"/>
                <w:color w:val="auto"/>
                <w:lang w:val="en-US" w:eastAsia="zh-CN"/>
              </w:rPr>
            </w:pPr>
            <w:r>
              <w:rPr>
                <w:rFonts w:hint="default" w:ascii="Times New Roman" w:hAnsi="Times New Roman" w:cs="Times New Roman"/>
                <w:color w:val="auto"/>
                <w:lang w:eastAsia="zh-CN"/>
              </w:rPr>
              <w:t>室内点声源</w:t>
            </w:r>
          </w:p>
        </w:tc>
        <w:tc>
          <w:tcPr>
            <w:tcW w:w="827" w:type="pct"/>
            <w:vAlign w:val="center"/>
          </w:tcPr>
          <w:p>
            <w:pPr>
              <w:pStyle w:val="167"/>
              <w:rPr>
                <w:rFonts w:hint="default" w:ascii="Times New Roman" w:hAnsi="Times New Roman" w:cs="Times New Roman"/>
                <w:color w:val="auto"/>
                <w:lang w:val="en-US" w:eastAsia="zh-CN"/>
              </w:rPr>
            </w:pPr>
            <w:r>
              <w:rPr>
                <w:rFonts w:hint="default" w:ascii="Times New Roman" w:hAnsi="Times New Roman" w:cs="Times New Roman"/>
                <w:color w:val="auto"/>
                <w:lang w:eastAsia="zh-CN"/>
              </w:rPr>
              <w:t>连续</w:t>
            </w:r>
          </w:p>
        </w:tc>
      </w:tr>
    </w:tbl>
    <w:p>
      <w:pPr>
        <w:spacing w:beforeLines="50" w:line="360" w:lineRule="auto"/>
        <w:ind w:firstLine="482" w:firstLineChars="200"/>
        <w:rPr>
          <w:rFonts w:hint="default" w:ascii="Times New Roman" w:hAnsi="Times New Roman" w:cs="Times New Roman"/>
          <w:b/>
          <w:color w:val="auto"/>
        </w:rPr>
      </w:pPr>
      <w:r>
        <w:rPr>
          <w:rFonts w:hint="default" w:ascii="Times New Roman" w:hAnsi="Times New Roman" w:cs="Times New Roman"/>
          <w:b/>
          <w:color w:val="auto"/>
        </w:rPr>
        <w:t>四、固废</w:t>
      </w:r>
    </w:p>
    <w:p>
      <w:pPr>
        <w:pStyle w:val="172"/>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本项目固废主要包括生产过程中产生废金刚线</w:t>
      </w:r>
      <w:r>
        <w:rPr>
          <w:rFonts w:hint="default" w:ascii="Times New Roman" w:hAnsi="Times New Roman" w:cs="Times New Roman"/>
          <w:color w:val="auto"/>
          <w:lang w:eastAsia="zh-CN"/>
        </w:rPr>
        <w:t>、</w:t>
      </w:r>
      <w:r>
        <w:rPr>
          <w:rFonts w:hint="default" w:ascii="Times New Roman" w:hAnsi="Times New Roman" w:cs="Times New Roman"/>
          <w:color w:val="auto"/>
        </w:rPr>
        <w:t>废胶、废活性炭、压滤硅泥、</w:t>
      </w:r>
      <w:r>
        <w:rPr>
          <w:rFonts w:hint="default" w:ascii="Times New Roman" w:hAnsi="Times New Roman" w:cs="Times New Roman"/>
          <w:color w:val="auto"/>
          <w:lang w:eastAsia="zh-CN"/>
        </w:rPr>
        <w:t>综合污水处理站</w:t>
      </w:r>
      <w:r>
        <w:rPr>
          <w:rFonts w:hint="default" w:ascii="Times New Roman" w:hAnsi="Times New Roman" w:cs="Times New Roman"/>
          <w:color w:val="auto"/>
        </w:rPr>
        <w:t>污泥、</w:t>
      </w:r>
      <w:r>
        <w:rPr>
          <w:rFonts w:hint="default" w:ascii="Times New Roman" w:hAnsi="Times New Roman" w:cs="Times New Roman"/>
          <w:color w:val="auto"/>
          <w:lang w:eastAsia="zh-CN"/>
        </w:rPr>
        <w:t>废切片、</w:t>
      </w:r>
      <w:r>
        <w:rPr>
          <w:rFonts w:hint="default" w:ascii="Times New Roman" w:hAnsi="Times New Roman" w:cs="Times New Roman"/>
          <w:color w:val="auto"/>
        </w:rPr>
        <w:t>废包装及容器</w:t>
      </w:r>
      <w:r>
        <w:rPr>
          <w:rFonts w:hint="default" w:ascii="Times New Roman" w:hAnsi="Times New Roman" w:cs="Times New Roman"/>
          <w:color w:val="auto"/>
          <w:lang w:eastAsia="zh-CN"/>
        </w:rPr>
        <w:t>、废反渗透膜和废离子交换树脂、</w:t>
      </w:r>
      <w:r>
        <w:rPr>
          <w:rFonts w:hint="default" w:ascii="Times New Roman" w:hAnsi="Times New Roman" w:cs="Times New Roman"/>
          <w:color w:val="auto"/>
        </w:rPr>
        <w:t>生活垃圾。</w:t>
      </w:r>
    </w:p>
    <w:p>
      <w:pPr>
        <w:pStyle w:val="5"/>
        <w:spacing w:line="360" w:lineRule="auto"/>
        <w:ind w:left="0" w:leftChars="0" w:firstLine="480" w:firstLineChars="200"/>
        <w:rPr>
          <w:rFonts w:hint="default" w:ascii="Times New Roman" w:hAnsi="Times New Roman" w:eastAsia="宋体" w:cs="Times New Roman"/>
          <w:color w:val="auto"/>
          <w:kern w:val="44"/>
          <w:lang w:val="en-US" w:eastAsia="zh-CN"/>
        </w:rPr>
      </w:pPr>
      <w:r>
        <w:rPr>
          <w:rFonts w:hint="default" w:ascii="Times New Roman" w:hAnsi="Times New Roman" w:cs="Times New Roman"/>
          <w:color w:val="auto"/>
          <w:kern w:val="44"/>
          <w:lang w:val="en-US" w:eastAsia="zh-CN"/>
        </w:rPr>
        <w:t>1、废金刚线</w:t>
      </w:r>
    </w:p>
    <w:p>
      <w:pPr>
        <w:pStyle w:val="5"/>
        <w:spacing w:line="360" w:lineRule="auto"/>
        <w:ind w:left="0" w:leftChars="0" w:firstLine="480" w:firstLineChars="200"/>
        <w:rPr>
          <w:rFonts w:hint="default" w:ascii="Times New Roman" w:hAnsi="Times New Roman" w:cs="Times New Roman"/>
          <w:color w:val="auto"/>
          <w:kern w:val="44"/>
        </w:rPr>
      </w:pPr>
      <w:r>
        <w:rPr>
          <w:rFonts w:hint="default" w:ascii="Times New Roman" w:hAnsi="Times New Roman" w:cs="Times New Roman"/>
          <w:color w:val="auto"/>
        </w:rPr>
        <w:t>项目切片使用金刚线进行切割，磨损后不再使用，废金刚线产生量为</w:t>
      </w:r>
      <w:r>
        <w:rPr>
          <w:rFonts w:hint="default" w:ascii="Times New Roman" w:hAnsi="Times New Roman" w:cs="Times New Roman"/>
          <w:color w:val="auto"/>
          <w:lang w:val="en-US" w:eastAsia="zh-CN"/>
        </w:rPr>
        <w:t>886.95</w:t>
      </w:r>
      <w:r>
        <w:rPr>
          <w:rFonts w:hint="default" w:ascii="Times New Roman" w:hAnsi="Times New Roman" w:cs="Times New Roman"/>
          <w:color w:val="auto"/>
        </w:rPr>
        <w:t>t/a，暂存在</w:t>
      </w:r>
      <w:r>
        <w:rPr>
          <w:rFonts w:hint="default" w:ascii="Times New Roman" w:hAnsi="Times New Roman" w:cs="Times New Roman"/>
          <w:color w:val="auto"/>
          <w:lang w:eastAsia="zh-CN"/>
        </w:rPr>
        <w:t>硅泥库</w:t>
      </w:r>
      <w:r>
        <w:rPr>
          <w:rFonts w:hint="default" w:ascii="Times New Roman" w:hAnsi="Times New Roman" w:cs="Times New Roman"/>
          <w:color w:val="auto"/>
        </w:rPr>
        <w:t>，委托</w:t>
      </w:r>
      <w:r>
        <w:rPr>
          <w:rFonts w:hint="default" w:ascii="Times New Roman" w:hAnsi="Times New Roman" w:cs="Times New Roman"/>
          <w:color w:val="auto"/>
          <w:lang w:eastAsia="zh-CN"/>
        </w:rPr>
        <w:t>废旧资源回收公司回收综合利用</w:t>
      </w:r>
      <w:r>
        <w:rPr>
          <w:rFonts w:hint="default" w:ascii="Times New Roman" w:hAnsi="Times New Roman" w:cs="Times New Roman"/>
          <w:color w:val="auto"/>
          <w:kern w:val="44"/>
        </w:rPr>
        <w:t>。</w:t>
      </w:r>
    </w:p>
    <w:p>
      <w:pPr>
        <w:pStyle w:val="5"/>
        <w:spacing w:line="360" w:lineRule="auto"/>
        <w:ind w:left="0" w:leftChars="0" w:firstLine="480" w:firstLineChars="200"/>
        <w:rPr>
          <w:rFonts w:hint="default" w:ascii="Times New Roman" w:hAnsi="Times New Roman" w:eastAsia="宋体" w:cs="Times New Roman"/>
          <w:color w:val="auto"/>
          <w:kern w:val="44"/>
          <w:lang w:val="en-US" w:eastAsia="zh-CN"/>
        </w:rPr>
      </w:pPr>
      <w:r>
        <w:rPr>
          <w:rFonts w:hint="default" w:ascii="Times New Roman" w:hAnsi="Times New Roman" w:cs="Times New Roman"/>
          <w:color w:val="auto"/>
          <w:kern w:val="44"/>
          <w:lang w:val="en-US" w:eastAsia="zh-CN"/>
        </w:rPr>
        <w:t>2、废胶</w:t>
      </w:r>
    </w:p>
    <w:p>
      <w:pPr>
        <w:pStyle w:val="5"/>
        <w:spacing w:line="360" w:lineRule="auto"/>
        <w:ind w:left="0" w:leftChars="0" w:firstLine="480" w:firstLineChars="200"/>
        <w:rPr>
          <w:rFonts w:hint="default" w:ascii="Times New Roman" w:hAnsi="Times New Roman" w:cs="Times New Roman"/>
          <w:color w:val="auto"/>
          <w:kern w:val="44"/>
        </w:rPr>
      </w:pPr>
      <w:r>
        <w:rPr>
          <w:rFonts w:hint="default" w:ascii="Times New Roman" w:hAnsi="Times New Roman" w:cs="Times New Roman"/>
          <w:color w:val="auto"/>
          <w:kern w:val="44"/>
        </w:rPr>
        <w:t>切片生产线使用环氧树脂胶作为</w:t>
      </w:r>
      <w:r>
        <w:rPr>
          <w:rFonts w:hint="default" w:ascii="Times New Roman" w:hAnsi="Times New Roman" w:cs="Times New Roman"/>
          <w:color w:val="auto"/>
          <w:kern w:val="44"/>
          <w:lang w:eastAsia="zh-CN"/>
        </w:rPr>
        <w:t>粘棒胶</w:t>
      </w:r>
      <w:r>
        <w:rPr>
          <w:rFonts w:hint="default" w:ascii="Times New Roman" w:hAnsi="Times New Roman" w:cs="Times New Roman"/>
          <w:color w:val="auto"/>
          <w:kern w:val="44"/>
        </w:rPr>
        <w:t>，脱胶后产生的废胶约为</w:t>
      </w:r>
      <w:r>
        <w:rPr>
          <w:rFonts w:hint="default" w:ascii="Times New Roman" w:hAnsi="Times New Roman" w:cs="Times New Roman"/>
          <w:color w:val="auto"/>
          <w:kern w:val="44"/>
          <w:lang w:val="en-US" w:eastAsia="zh-CN"/>
        </w:rPr>
        <w:t>76.5</w:t>
      </w:r>
      <w:r>
        <w:rPr>
          <w:rFonts w:hint="default" w:ascii="Times New Roman" w:hAnsi="Times New Roman" w:cs="Times New Roman"/>
          <w:color w:val="auto"/>
          <w:kern w:val="44"/>
        </w:rPr>
        <w:t>t/a，</w:t>
      </w:r>
      <w:r>
        <w:rPr>
          <w:rFonts w:hint="default" w:ascii="Times New Roman" w:hAnsi="Times New Roman" w:cs="Times New Roman"/>
          <w:color w:val="auto"/>
        </w:rPr>
        <w:t>根据《国家危险废物名录（2021版）》，废胶属“HW13 有机树脂类废物”，危废代码为900-016-13。暂存在</w:t>
      </w:r>
      <w:r>
        <w:rPr>
          <w:rFonts w:hint="default" w:ascii="Times New Roman" w:hAnsi="Times New Roman" w:cs="Times New Roman"/>
          <w:color w:val="auto"/>
          <w:lang w:eastAsia="zh-CN"/>
        </w:rPr>
        <w:t>危废库内</w:t>
      </w:r>
      <w:r>
        <w:rPr>
          <w:rFonts w:hint="default" w:ascii="Times New Roman" w:hAnsi="Times New Roman" w:cs="Times New Roman"/>
          <w:color w:val="auto"/>
        </w:rPr>
        <w:t>，委托</w:t>
      </w:r>
      <w:r>
        <w:rPr>
          <w:rFonts w:hint="default" w:ascii="Times New Roman" w:hAnsi="Times New Roman" w:cs="Times New Roman"/>
          <w:color w:val="auto"/>
          <w:lang w:eastAsia="zh-CN"/>
        </w:rPr>
        <w:t>有危废处置资质的单位进行处理</w:t>
      </w:r>
      <w:r>
        <w:rPr>
          <w:rFonts w:hint="default" w:ascii="Times New Roman" w:hAnsi="Times New Roman" w:cs="Times New Roman"/>
          <w:color w:val="auto"/>
        </w:rPr>
        <w:t>。</w:t>
      </w:r>
    </w:p>
    <w:p>
      <w:pPr>
        <w:pStyle w:val="5"/>
        <w:spacing w:line="360" w:lineRule="auto"/>
        <w:ind w:left="0" w:leftChars="0" w:firstLine="480" w:firstLineChars="200"/>
        <w:rPr>
          <w:rFonts w:hint="default" w:ascii="Times New Roman" w:hAnsi="Times New Roman" w:cs="Times New Roman"/>
          <w:color w:val="auto"/>
        </w:rPr>
      </w:pPr>
      <w:r>
        <w:rPr>
          <w:rFonts w:hint="default" w:ascii="Times New Roman" w:hAnsi="Times New Roman" w:cs="Times New Roman"/>
          <w:color w:val="auto"/>
          <w:lang w:val="en-US" w:eastAsia="zh-CN"/>
        </w:rPr>
        <w:t>3</w:t>
      </w:r>
      <w:r>
        <w:rPr>
          <w:rFonts w:hint="default" w:ascii="Times New Roman" w:hAnsi="Times New Roman" w:cs="Times New Roman"/>
          <w:color w:val="auto"/>
        </w:rPr>
        <w:t>、废活性炭</w:t>
      </w:r>
    </w:p>
    <w:p>
      <w:pPr>
        <w:pStyle w:val="5"/>
        <w:spacing w:line="360" w:lineRule="auto"/>
        <w:ind w:left="0" w:leftChars="0" w:firstLine="480" w:firstLineChars="200"/>
        <w:rPr>
          <w:rFonts w:hint="default" w:ascii="Times New Roman" w:hAnsi="Times New Roman" w:cs="Times New Roman"/>
          <w:color w:val="auto"/>
          <w:kern w:val="44"/>
        </w:rPr>
      </w:pPr>
      <w:r>
        <w:rPr>
          <w:rFonts w:hint="default" w:ascii="Times New Roman" w:hAnsi="Times New Roman" w:cs="Times New Roman"/>
          <w:color w:val="auto"/>
        </w:rPr>
        <w:t>切片车间有机废气采用活性炭吸附塔进行吸附处理，根据相关资料，1t的活性炭可吸附0.3t挥发性有机废气，据此计算，本项目活性炭吸附有机废气量为</w:t>
      </w:r>
      <w:r>
        <w:rPr>
          <w:rFonts w:hint="default" w:ascii="Times New Roman" w:hAnsi="Times New Roman" w:cs="Times New Roman"/>
          <w:color w:val="auto"/>
          <w:lang w:val="en-US" w:eastAsia="zh-CN"/>
        </w:rPr>
        <w:t>1.88</w:t>
      </w:r>
      <w:r>
        <w:rPr>
          <w:rFonts w:hint="default" w:ascii="Times New Roman" w:hAnsi="Times New Roman" w:cs="Times New Roman"/>
          <w:color w:val="auto"/>
        </w:rPr>
        <w:t>t/a，则废活性炭产生量约为</w:t>
      </w:r>
      <w:r>
        <w:rPr>
          <w:rFonts w:hint="default" w:ascii="Times New Roman" w:hAnsi="Times New Roman" w:cs="Times New Roman"/>
          <w:color w:val="auto"/>
          <w:lang w:val="en-US" w:eastAsia="zh-CN"/>
        </w:rPr>
        <w:t>6.23</w:t>
      </w:r>
      <w:r>
        <w:rPr>
          <w:rFonts w:hint="default" w:ascii="Times New Roman" w:hAnsi="Times New Roman" w:cs="Times New Roman"/>
          <w:color w:val="auto"/>
        </w:rPr>
        <w:t>t/a。根据《国家危险废物名录（2021版）》，VOCs治理过程中产生的废活性炭属“HW49其他废物”，危废代码为900-039-49，暂存在</w:t>
      </w:r>
      <w:r>
        <w:rPr>
          <w:rFonts w:hint="default" w:ascii="Times New Roman" w:hAnsi="Times New Roman" w:cs="Times New Roman"/>
          <w:color w:val="auto"/>
          <w:lang w:eastAsia="zh-CN"/>
        </w:rPr>
        <w:t>危废库内</w:t>
      </w:r>
      <w:r>
        <w:rPr>
          <w:rFonts w:hint="default" w:ascii="Times New Roman" w:hAnsi="Times New Roman" w:cs="Times New Roman"/>
          <w:color w:val="auto"/>
        </w:rPr>
        <w:t>，委托</w:t>
      </w:r>
      <w:r>
        <w:rPr>
          <w:rFonts w:hint="default" w:ascii="Times New Roman" w:hAnsi="Times New Roman" w:cs="Times New Roman"/>
          <w:color w:val="auto"/>
          <w:lang w:eastAsia="zh-CN"/>
        </w:rPr>
        <w:t>有危废处置资质的单位进行处理</w:t>
      </w:r>
      <w:r>
        <w:rPr>
          <w:rFonts w:hint="default" w:ascii="Times New Roman" w:hAnsi="Times New Roman" w:cs="Times New Roman"/>
          <w:color w:val="auto"/>
        </w:rPr>
        <w:t>。</w:t>
      </w:r>
    </w:p>
    <w:p>
      <w:pPr>
        <w:pStyle w:val="5"/>
        <w:spacing w:line="360" w:lineRule="auto"/>
        <w:ind w:left="0" w:leftChars="0" w:firstLine="480" w:firstLineChars="200"/>
        <w:rPr>
          <w:rFonts w:hint="default" w:ascii="Times New Roman" w:hAnsi="Times New Roman" w:cs="Times New Roman"/>
          <w:color w:val="auto"/>
          <w:kern w:val="44"/>
        </w:rPr>
      </w:pPr>
      <w:r>
        <w:rPr>
          <w:rFonts w:hint="default" w:ascii="Times New Roman" w:hAnsi="Times New Roman" w:cs="Times New Roman"/>
          <w:color w:val="auto"/>
          <w:kern w:val="44"/>
          <w:lang w:val="en-US" w:eastAsia="zh-CN"/>
        </w:rPr>
        <w:t>4</w:t>
      </w:r>
      <w:r>
        <w:rPr>
          <w:rFonts w:hint="default" w:ascii="Times New Roman" w:hAnsi="Times New Roman" w:cs="Times New Roman"/>
          <w:color w:val="auto"/>
          <w:kern w:val="44"/>
        </w:rPr>
        <w:t>、压滤硅泥</w:t>
      </w:r>
    </w:p>
    <w:p>
      <w:pPr>
        <w:pStyle w:val="5"/>
        <w:spacing w:line="360" w:lineRule="auto"/>
        <w:ind w:left="0" w:leftChars="0" w:firstLine="480" w:firstLineChars="200"/>
        <w:rPr>
          <w:rFonts w:hint="default" w:ascii="Times New Roman" w:hAnsi="Times New Roman" w:cs="Times New Roman"/>
          <w:color w:val="auto"/>
          <w:kern w:val="44"/>
        </w:rPr>
      </w:pPr>
      <w:r>
        <w:rPr>
          <w:rFonts w:hint="default" w:ascii="Times New Roman" w:hAnsi="Times New Roman" w:cs="Times New Roman"/>
          <w:color w:val="auto"/>
          <w:kern w:val="44"/>
          <w:lang w:eastAsia="zh-CN"/>
        </w:rPr>
        <w:t>压滤硅泥为切片过程中切割液冲洗带走的硅粉以及文丘里除尘塔带走的硅粉，经压滤系统压滤后形成的硅泥，根据物料平衡可知，硅泥</w:t>
      </w:r>
      <w:r>
        <w:rPr>
          <w:rFonts w:hint="default" w:ascii="Times New Roman" w:hAnsi="Times New Roman" w:cs="Times New Roman"/>
          <w:color w:val="auto"/>
          <w:kern w:val="44"/>
        </w:rPr>
        <w:t>产生量为</w:t>
      </w:r>
      <w:r>
        <w:rPr>
          <w:rFonts w:hint="default" w:ascii="Times New Roman" w:hAnsi="Times New Roman" w:cs="Times New Roman"/>
          <w:color w:val="auto"/>
          <w:kern w:val="44"/>
          <w:lang w:val="en-US" w:eastAsia="zh-CN"/>
        </w:rPr>
        <w:t>1631.69</w:t>
      </w:r>
      <w:r>
        <w:rPr>
          <w:rFonts w:hint="default" w:ascii="Times New Roman" w:hAnsi="Times New Roman" w:cs="Times New Roman"/>
          <w:color w:val="auto"/>
          <w:kern w:val="44"/>
        </w:rPr>
        <w:t>t/a，</w:t>
      </w:r>
      <w:r>
        <w:rPr>
          <w:rFonts w:hint="default" w:ascii="Times New Roman" w:hAnsi="Times New Roman" w:cs="Times New Roman"/>
          <w:color w:val="auto"/>
          <w:kern w:val="44"/>
          <w:lang w:eastAsia="zh-CN"/>
        </w:rPr>
        <w:t>装袋</w:t>
      </w:r>
      <w:r>
        <w:rPr>
          <w:rFonts w:hint="default" w:ascii="Times New Roman" w:hAnsi="Times New Roman" w:cs="Times New Roman"/>
          <w:color w:val="auto"/>
          <w:kern w:val="44"/>
        </w:rPr>
        <w:t>暂存在</w:t>
      </w:r>
      <w:r>
        <w:rPr>
          <w:rFonts w:hint="default" w:ascii="Times New Roman" w:hAnsi="Times New Roman" w:cs="Times New Roman"/>
          <w:color w:val="auto"/>
          <w:kern w:val="44"/>
          <w:lang w:eastAsia="zh-CN"/>
        </w:rPr>
        <w:t>硅泥库内</w:t>
      </w:r>
      <w:r>
        <w:rPr>
          <w:rFonts w:hint="default" w:ascii="Times New Roman" w:hAnsi="Times New Roman" w:cs="Times New Roman"/>
          <w:color w:val="auto"/>
          <w:kern w:val="44"/>
        </w:rPr>
        <w:t>，</w:t>
      </w:r>
      <w:r>
        <w:rPr>
          <w:rFonts w:hint="default" w:ascii="Times New Roman" w:hAnsi="Times New Roman" w:cs="Times New Roman"/>
          <w:color w:val="auto"/>
          <w:lang w:eastAsia="zh-CN"/>
        </w:rPr>
        <w:t>外售给工业硅生产企业</w:t>
      </w:r>
      <w:r>
        <w:rPr>
          <w:rFonts w:hint="default" w:ascii="Times New Roman" w:hAnsi="Times New Roman" w:cs="Times New Roman"/>
          <w:color w:val="auto"/>
          <w:kern w:val="44"/>
        </w:rPr>
        <w:t>。</w:t>
      </w:r>
    </w:p>
    <w:p>
      <w:pPr>
        <w:pStyle w:val="5"/>
        <w:spacing w:line="360" w:lineRule="auto"/>
        <w:ind w:left="0" w:leftChars="0" w:firstLine="480" w:firstLineChars="200"/>
        <w:rPr>
          <w:rFonts w:hint="default" w:ascii="Times New Roman" w:hAnsi="Times New Roman" w:eastAsia="宋体" w:cs="Times New Roman"/>
          <w:color w:val="auto"/>
          <w:kern w:val="44"/>
          <w:lang w:eastAsia="zh-CN"/>
        </w:rPr>
      </w:pPr>
      <w:r>
        <w:rPr>
          <w:rFonts w:hint="default" w:ascii="Times New Roman" w:hAnsi="Times New Roman" w:cs="Times New Roman"/>
          <w:color w:val="auto"/>
          <w:kern w:val="44"/>
          <w:lang w:val="en-US" w:eastAsia="zh-CN"/>
        </w:rPr>
        <w:t>5</w:t>
      </w:r>
      <w:r>
        <w:rPr>
          <w:rFonts w:hint="default" w:ascii="Times New Roman" w:hAnsi="Times New Roman" w:cs="Times New Roman"/>
          <w:color w:val="auto"/>
          <w:kern w:val="44"/>
        </w:rPr>
        <w:t>、</w:t>
      </w:r>
      <w:r>
        <w:rPr>
          <w:rFonts w:hint="default" w:ascii="Times New Roman" w:hAnsi="Times New Roman" w:cs="Times New Roman"/>
          <w:color w:val="auto"/>
          <w:kern w:val="44"/>
          <w:lang w:eastAsia="zh-CN"/>
        </w:rPr>
        <w:t>综合污水处理站污泥</w:t>
      </w:r>
    </w:p>
    <w:p>
      <w:pPr>
        <w:pStyle w:val="5"/>
        <w:spacing w:line="360" w:lineRule="auto"/>
        <w:ind w:left="0" w:leftChars="0" w:firstLine="480" w:firstLineChars="200"/>
        <w:rPr>
          <w:rFonts w:hint="default" w:ascii="Times New Roman" w:hAnsi="Times New Roman" w:eastAsia="宋体" w:cs="Times New Roman"/>
          <w:color w:val="auto"/>
          <w:kern w:val="21"/>
          <w:vertAlign w:val="baseline"/>
          <w:lang w:val="en-US" w:eastAsia="zh-CN" w:bidi="ar"/>
        </w:rPr>
      </w:pPr>
      <w:r>
        <w:rPr>
          <w:rFonts w:hint="default" w:ascii="Times New Roman" w:hAnsi="Times New Roman" w:cs="Times New Roman"/>
          <w:color w:val="auto"/>
          <w:kern w:val="21"/>
          <w:lang w:eastAsia="zh-CN" w:bidi="ar"/>
        </w:rPr>
        <w:t>本项目废水处理量为</w:t>
      </w:r>
      <w:r>
        <w:rPr>
          <w:rFonts w:hint="default" w:ascii="Times New Roman" w:hAnsi="Times New Roman" w:cs="Times New Roman"/>
          <w:color w:val="auto"/>
          <w:kern w:val="21"/>
          <w:lang w:val="en-US" w:eastAsia="zh-CN" w:bidi="ar"/>
        </w:rPr>
        <w:t>1249.34m</w:t>
      </w:r>
      <w:r>
        <w:rPr>
          <w:rFonts w:hint="default" w:ascii="Times New Roman" w:hAnsi="Times New Roman" w:cs="Times New Roman"/>
          <w:color w:val="auto"/>
          <w:kern w:val="21"/>
          <w:vertAlign w:val="superscript"/>
          <w:lang w:val="en-US" w:eastAsia="zh-CN" w:bidi="ar"/>
        </w:rPr>
        <w:t>3</w:t>
      </w:r>
      <w:r>
        <w:rPr>
          <w:rFonts w:hint="default" w:ascii="Times New Roman" w:hAnsi="Times New Roman" w:cs="Times New Roman"/>
          <w:color w:val="auto"/>
          <w:kern w:val="21"/>
          <w:vertAlign w:val="baseline"/>
          <w:lang w:val="en-US" w:eastAsia="zh-CN" w:bidi="ar"/>
        </w:rPr>
        <w:t>/d，污泥产生量按废水量的1%计，则综合污水处理站污泥量为12.49t/d、4558.85t/a。</w:t>
      </w:r>
    </w:p>
    <w:p>
      <w:pPr>
        <w:pStyle w:val="5"/>
        <w:spacing w:line="360" w:lineRule="auto"/>
        <w:ind w:left="0" w:leftChars="0" w:firstLine="480" w:firstLineChars="200"/>
        <w:rPr>
          <w:rFonts w:hint="default" w:ascii="Times New Roman" w:hAnsi="Times New Roman" w:eastAsia="宋体" w:cs="Times New Roman"/>
          <w:snapToGrid w:val="0"/>
          <w:color w:val="auto"/>
          <w:lang w:eastAsia="zh-CN"/>
        </w:rPr>
      </w:pPr>
      <w:r>
        <w:rPr>
          <w:rFonts w:hint="default" w:ascii="Times New Roman" w:hAnsi="Times New Roman" w:cs="Times New Roman"/>
          <w:color w:val="auto"/>
          <w:kern w:val="21"/>
          <w:lang w:bidi="ar"/>
        </w:rPr>
        <w:t>根据《关于污（废）水处理设施产生污泥危险特性鉴别有关意见的函》（环境保护部，环函[2010]129号），“专门处理工业废水（或同时处理少量生活污水）的处理设施产生的污泥，可能具有危险特性，应按《国家危险废物名录》、国家环境保护标准《危险废物鉴别技术规范》（HJ/T298-2007）和危险废物鉴别标准的规定，对污泥进行危险特性鉴别。</w:t>
      </w:r>
      <w:r>
        <w:rPr>
          <w:rFonts w:hint="default" w:ascii="Times New Roman" w:hAnsi="Times New Roman" w:cs="Times New Roman"/>
          <w:color w:val="auto"/>
          <w:kern w:val="21"/>
          <w:lang w:eastAsia="zh-CN" w:bidi="ar"/>
        </w:rPr>
        <w:t>”若</w:t>
      </w:r>
      <w:r>
        <w:rPr>
          <w:rFonts w:hint="default" w:ascii="Times New Roman" w:hAnsi="Times New Roman" w:cs="Times New Roman"/>
          <w:color w:val="auto"/>
          <w:kern w:val="21"/>
          <w:lang w:bidi="ar"/>
        </w:rPr>
        <w:t>鉴别污泥属性属于危险废物，则</w:t>
      </w:r>
      <w:r>
        <w:rPr>
          <w:rFonts w:hint="default" w:ascii="Times New Roman" w:hAnsi="Times New Roman" w:cs="Times New Roman"/>
          <w:color w:val="auto"/>
          <w:kern w:val="21"/>
          <w:lang w:eastAsia="zh-CN" w:bidi="ar"/>
        </w:rPr>
        <w:t>应</w:t>
      </w:r>
      <w:r>
        <w:rPr>
          <w:rFonts w:hint="default" w:ascii="Times New Roman" w:hAnsi="Times New Roman" w:cs="Times New Roman"/>
          <w:color w:val="auto"/>
          <w:kern w:val="21"/>
          <w:lang w:bidi="ar"/>
        </w:rPr>
        <w:t>委托有</w:t>
      </w:r>
      <w:r>
        <w:rPr>
          <w:rFonts w:hint="default" w:ascii="Times New Roman" w:hAnsi="Times New Roman" w:cs="Times New Roman"/>
          <w:color w:val="auto"/>
          <w:kern w:val="21"/>
          <w:lang w:eastAsia="zh-CN" w:bidi="ar"/>
        </w:rPr>
        <w:t>危废</w:t>
      </w:r>
      <w:r>
        <w:rPr>
          <w:rFonts w:hint="default" w:ascii="Times New Roman" w:hAnsi="Times New Roman" w:cs="Times New Roman"/>
          <w:color w:val="auto"/>
          <w:kern w:val="21"/>
          <w:lang w:bidi="ar"/>
        </w:rPr>
        <w:t>资质的单位处置</w:t>
      </w:r>
      <w:r>
        <w:rPr>
          <w:rFonts w:hint="default" w:ascii="Times New Roman" w:hAnsi="Times New Roman" w:cs="Times New Roman"/>
          <w:color w:val="auto"/>
          <w:kern w:val="21"/>
          <w:lang w:eastAsia="zh-CN" w:bidi="ar"/>
        </w:rPr>
        <w:t>；不属于危废则外售给污泥综合利用公司进行处置。</w:t>
      </w:r>
    </w:p>
    <w:p>
      <w:pPr>
        <w:pStyle w:val="5"/>
        <w:spacing w:line="360" w:lineRule="auto"/>
        <w:ind w:left="0" w:leftChars="0" w:firstLine="480" w:firstLineChars="200"/>
        <w:rPr>
          <w:rFonts w:hint="default" w:ascii="Times New Roman" w:hAnsi="Times New Roman" w:eastAsia="宋体" w:cs="Times New Roman"/>
          <w:snapToGrid w:val="0"/>
          <w:color w:val="auto"/>
          <w:lang w:val="en-US" w:eastAsia="zh-CN"/>
        </w:rPr>
      </w:pPr>
      <w:r>
        <w:rPr>
          <w:rFonts w:hint="default" w:ascii="Times New Roman" w:hAnsi="Times New Roman" w:cs="Times New Roman"/>
          <w:snapToGrid w:val="0"/>
          <w:color w:val="auto"/>
          <w:lang w:val="en-US" w:eastAsia="zh-CN"/>
        </w:rPr>
        <w:t>6、废切片</w:t>
      </w:r>
    </w:p>
    <w:p>
      <w:pPr>
        <w:pStyle w:val="5"/>
        <w:spacing w:line="360" w:lineRule="auto"/>
        <w:ind w:left="0" w:leftChars="0" w:firstLine="480" w:firstLineChars="200"/>
        <w:rPr>
          <w:rFonts w:hint="default" w:ascii="Times New Roman" w:hAnsi="Times New Roman" w:eastAsia="宋体" w:cs="Times New Roman"/>
          <w:snapToGrid w:val="0"/>
          <w:color w:val="auto"/>
          <w:lang w:val="en-US" w:eastAsia="zh-CN"/>
        </w:rPr>
      </w:pPr>
      <w:r>
        <w:rPr>
          <w:rFonts w:hint="default" w:ascii="Times New Roman" w:hAnsi="Times New Roman" w:cs="Times New Roman"/>
          <w:snapToGrid w:val="0"/>
          <w:color w:val="auto"/>
          <w:lang w:eastAsia="zh-CN"/>
        </w:rPr>
        <w:t>根据建设单位提供资料，项目切片约有</w:t>
      </w:r>
      <w:r>
        <w:rPr>
          <w:rFonts w:hint="default" w:ascii="Times New Roman" w:hAnsi="Times New Roman" w:cs="Times New Roman"/>
          <w:snapToGrid w:val="0"/>
          <w:color w:val="auto"/>
          <w:lang w:val="en-US" w:eastAsia="zh-CN"/>
        </w:rPr>
        <w:t>2%废片率，废切片产生量为181.26t/a，</w:t>
      </w:r>
      <w:r>
        <w:rPr>
          <w:rFonts w:hint="default" w:ascii="Times New Roman" w:hAnsi="Times New Roman" w:cs="Times New Roman"/>
          <w:color w:val="auto"/>
          <w:lang w:val="en-US" w:eastAsia="zh-CN"/>
        </w:rPr>
        <w:t>破碎</w:t>
      </w:r>
      <w:r>
        <w:rPr>
          <w:rFonts w:hint="default" w:ascii="Times New Roman" w:hAnsi="Times New Roman" w:cs="Times New Roman"/>
          <w:snapToGrid w:val="0"/>
          <w:color w:val="auto"/>
          <w:szCs w:val="20"/>
        </w:rPr>
        <w:t>后回用</w:t>
      </w:r>
      <w:r>
        <w:rPr>
          <w:rFonts w:hint="default" w:ascii="Times New Roman" w:hAnsi="Times New Roman" w:cs="Times New Roman"/>
          <w:snapToGrid w:val="0"/>
          <w:color w:val="auto"/>
          <w:szCs w:val="20"/>
          <w:lang w:eastAsia="zh-CN"/>
        </w:rPr>
        <w:t>于单晶硅棒生产。</w:t>
      </w:r>
    </w:p>
    <w:p>
      <w:pPr>
        <w:pStyle w:val="5"/>
        <w:spacing w:line="360" w:lineRule="auto"/>
        <w:ind w:left="0" w:leftChars="0" w:firstLine="480" w:firstLineChars="200"/>
        <w:jc w:val="both"/>
        <w:rPr>
          <w:rFonts w:hint="default" w:ascii="Times New Roman" w:hAnsi="Times New Roman" w:cs="Times New Roman"/>
          <w:color w:val="auto"/>
        </w:rPr>
      </w:pPr>
      <w:r>
        <w:rPr>
          <w:rFonts w:hint="default" w:ascii="Times New Roman" w:hAnsi="Times New Roman" w:cs="Times New Roman"/>
          <w:color w:val="auto"/>
          <w:lang w:val="en-US" w:eastAsia="zh-CN"/>
        </w:rPr>
        <w:t>7</w:t>
      </w:r>
      <w:r>
        <w:rPr>
          <w:rFonts w:hint="default" w:ascii="Times New Roman" w:hAnsi="Times New Roman" w:cs="Times New Roman"/>
          <w:color w:val="auto"/>
        </w:rPr>
        <w:t>、废包装及容器</w:t>
      </w:r>
    </w:p>
    <w:p>
      <w:pPr>
        <w:pStyle w:val="5"/>
        <w:spacing w:line="360" w:lineRule="auto"/>
        <w:ind w:left="0" w:leftChars="0" w:firstLine="480" w:firstLineChars="200"/>
        <w:rPr>
          <w:rFonts w:hint="default" w:ascii="Times New Roman" w:hAnsi="Times New Roman" w:cs="Times New Roman"/>
          <w:color w:val="auto"/>
        </w:rPr>
      </w:pPr>
      <w:r>
        <w:rPr>
          <w:rFonts w:hint="default" w:ascii="Times New Roman" w:hAnsi="Times New Roman" w:cs="Times New Roman"/>
          <w:color w:val="auto"/>
        </w:rPr>
        <w:t>本项目废包装及容器产生量为</w:t>
      </w:r>
      <w:r>
        <w:rPr>
          <w:rFonts w:hint="default" w:ascii="Times New Roman" w:hAnsi="Times New Roman" w:cs="Times New Roman"/>
          <w:color w:val="auto"/>
          <w:lang w:val="en-US" w:eastAsia="zh-CN"/>
        </w:rPr>
        <w:t>5</w:t>
      </w:r>
      <w:r>
        <w:rPr>
          <w:rFonts w:hint="default" w:ascii="Times New Roman" w:hAnsi="Times New Roman" w:cs="Times New Roman"/>
          <w:color w:val="auto"/>
        </w:rPr>
        <w:t>t/a，</w:t>
      </w:r>
      <w:r>
        <w:rPr>
          <w:rFonts w:hint="default" w:ascii="Times New Roman" w:hAnsi="Times New Roman" w:cs="Times New Roman"/>
          <w:snapToGrid w:val="0"/>
          <w:color w:val="auto"/>
        </w:rPr>
        <w:t>暂存在</w:t>
      </w:r>
      <w:r>
        <w:rPr>
          <w:rFonts w:hint="default" w:ascii="Times New Roman" w:hAnsi="Times New Roman" w:cs="Times New Roman"/>
          <w:snapToGrid w:val="0"/>
          <w:color w:val="auto"/>
          <w:lang w:eastAsia="zh-CN"/>
        </w:rPr>
        <w:t>硅泥库</w:t>
      </w:r>
      <w:r>
        <w:rPr>
          <w:rFonts w:hint="default" w:ascii="Times New Roman" w:hAnsi="Times New Roman" w:cs="Times New Roman"/>
          <w:snapToGrid w:val="0"/>
          <w:color w:val="auto"/>
        </w:rPr>
        <w:t>，</w:t>
      </w:r>
      <w:r>
        <w:rPr>
          <w:rFonts w:hint="default" w:ascii="Times New Roman" w:hAnsi="Times New Roman" w:cs="Times New Roman"/>
          <w:color w:val="auto"/>
        </w:rPr>
        <w:t>委托</w:t>
      </w:r>
      <w:r>
        <w:rPr>
          <w:rFonts w:hint="default" w:ascii="Times New Roman" w:hAnsi="Times New Roman" w:cs="Times New Roman"/>
          <w:color w:val="auto"/>
          <w:lang w:eastAsia="zh-CN"/>
        </w:rPr>
        <w:t>废旧资源回收公司回收综合利用</w:t>
      </w:r>
      <w:r>
        <w:rPr>
          <w:rFonts w:hint="default" w:ascii="Times New Roman" w:hAnsi="Times New Roman" w:cs="Times New Roman"/>
          <w:color w:val="auto"/>
        </w:rPr>
        <w:t>。</w:t>
      </w:r>
    </w:p>
    <w:p>
      <w:pPr>
        <w:pStyle w:val="5"/>
        <w:spacing w:line="360" w:lineRule="auto"/>
        <w:ind w:left="0" w:leftChars="0" w:firstLine="480" w:firstLineChars="200"/>
        <w:rPr>
          <w:rFonts w:hint="default" w:ascii="Times New Roman" w:hAnsi="Times New Roman" w:eastAsia="宋体" w:cs="Times New Roman"/>
          <w:color w:val="auto"/>
          <w:lang w:eastAsia="zh-CN"/>
        </w:rPr>
      </w:pPr>
      <w:r>
        <w:rPr>
          <w:rFonts w:hint="default" w:ascii="Times New Roman" w:hAnsi="Times New Roman" w:cs="Times New Roman"/>
          <w:color w:val="auto"/>
          <w:lang w:val="en-US" w:eastAsia="zh-CN"/>
        </w:rPr>
        <w:t>8</w:t>
      </w:r>
      <w:r>
        <w:rPr>
          <w:rFonts w:hint="default" w:ascii="Times New Roman" w:hAnsi="Times New Roman" w:cs="Times New Roman"/>
          <w:color w:val="auto"/>
        </w:rPr>
        <w:t>、</w:t>
      </w:r>
      <w:r>
        <w:rPr>
          <w:rFonts w:hint="default" w:ascii="Times New Roman" w:hAnsi="Times New Roman" w:cs="Times New Roman"/>
          <w:color w:val="auto"/>
          <w:lang w:eastAsia="zh-CN"/>
        </w:rPr>
        <w:t>废反渗透膜和废离子交换树脂</w:t>
      </w:r>
    </w:p>
    <w:p>
      <w:pPr>
        <w:pStyle w:val="5"/>
        <w:spacing w:line="360" w:lineRule="auto"/>
        <w:ind w:left="0" w:leftChars="0" w:firstLine="480" w:firstLineChars="200"/>
        <w:rPr>
          <w:rFonts w:hint="default" w:ascii="Times New Roman" w:hAnsi="Times New Roman" w:eastAsia="宋体" w:cs="Times New Roman"/>
          <w:color w:val="auto"/>
          <w:kern w:val="44"/>
          <w:lang w:val="en-US" w:eastAsia="zh-CN"/>
        </w:rPr>
      </w:pPr>
      <w:r>
        <w:rPr>
          <w:rFonts w:hint="default" w:ascii="Times New Roman" w:hAnsi="Times New Roman" w:cs="Times New Roman"/>
          <w:color w:val="auto"/>
          <w:kern w:val="44"/>
          <w:lang w:eastAsia="zh-CN"/>
        </w:rPr>
        <w:t>项目纯水制备系统使用“沉淀+反渗透+钠型阳离子树脂交换法”制备纯水，产生废反渗透膜和废离子交换树脂</w:t>
      </w:r>
      <w:r>
        <w:rPr>
          <w:rFonts w:hint="default" w:ascii="Times New Roman" w:hAnsi="Times New Roman" w:cs="Times New Roman"/>
          <w:color w:val="auto"/>
          <w:kern w:val="44"/>
          <w:lang w:val="en-US" w:eastAsia="zh-CN"/>
        </w:rPr>
        <w:t>3t/a，不属于危险废物，由生产厂家上门回收再生处理。</w:t>
      </w:r>
    </w:p>
    <w:p>
      <w:pPr>
        <w:pStyle w:val="5"/>
        <w:spacing w:line="360" w:lineRule="auto"/>
        <w:ind w:left="0" w:leftChars="0" w:firstLine="480" w:firstLineChars="200"/>
        <w:rPr>
          <w:rFonts w:hint="default" w:ascii="Times New Roman" w:hAnsi="Times New Roman" w:cs="Times New Roman"/>
          <w:color w:val="auto"/>
        </w:rPr>
      </w:pPr>
      <w:r>
        <w:rPr>
          <w:rFonts w:hint="default" w:ascii="Times New Roman" w:hAnsi="Times New Roman" w:cs="Times New Roman"/>
          <w:color w:val="auto"/>
          <w:lang w:val="en-US" w:eastAsia="zh-CN"/>
        </w:rPr>
        <w:t>9</w:t>
      </w:r>
      <w:r>
        <w:rPr>
          <w:rFonts w:hint="default" w:ascii="Times New Roman" w:hAnsi="Times New Roman" w:cs="Times New Roman"/>
          <w:color w:val="auto"/>
        </w:rPr>
        <w:t>、生活垃圾</w:t>
      </w:r>
    </w:p>
    <w:p>
      <w:pPr>
        <w:pStyle w:val="5"/>
        <w:spacing w:line="360" w:lineRule="auto"/>
        <w:ind w:left="0" w:leftChars="0" w:firstLine="480" w:firstLineChars="200"/>
        <w:rPr>
          <w:rFonts w:hint="default" w:ascii="Times New Roman" w:hAnsi="Times New Roman" w:cs="Times New Roman"/>
          <w:color w:val="auto"/>
        </w:rPr>
      </w:pPr>
      <w:r>
        <w:rPr>
          <w:rFonts w:hint="default" w:ascii="Times New Roman" w:hAnsi="Times New Roman" w:cs="Times New Roman"/>
          <w:color w:val="auto"/>
        </w:rPr>
        <w:t>本项目劳动</w:t>
      </w:r>
      <w:r>
        <w:rPr>
          <w:rFonts w:hint="default" w:ascii="Times New Roman" w:hAnsi="Times New Roman" w:cs="Times New Roman"/>
          <w:color w:val="auto"/>
          <w:lang w:eastAsia="zh-CN"/>
        </w:rPr>
        <w:t>定员</w:t>
      </w:r>
      <w:r>
        <w:rPr>
          <w:rFonts w:hint="default" w:ascii="Times New Roman" w:hAnsi="Times New Roman" w:cs="Times New Roman"/>
          <w:color w:val="auto"/>
          <w:lang w:val="en-US" w:eastAsia="zh-CN"/>
        </w:rPr>
        <w:t>200</w:t>
      </w:r>
      <w:r>
        <w:rPr>
          <w:rFonts w:hint="default" w:ascii="Times New Roman" w:hAnsi="Times New Roman" w:cs="Times New Roman"/>
          <w:color w:val="auto"/>
        </w:rPr>
        <w:t>人，生活垃圾产生量为</w:t>
      </w:r>
      <w:r>
        <w:rPr>
          <w:rFonts w:hint="default" w:ascii="Times New Roman" w:hAnsi="Times New Roman" w:cs="Times New Roman"/>
          <w:color w:val="auto"/>
          <w:lang w:val="en-US" w:eastAsia="zh-CN"/>
        </w:rPr>
        <w:t>36.5</w:t>
      </w:r>
      <w:r>
        <w:rPr>
          <w:rFonts w:hint="default" w:ascii="Times New Roman" w:hAnsi="Times New Roman" w:cs="Times New Roman"/>
          <w:color w:val="auto"/>
        </w:rPr>
        <w:t>t/a，收集后交由环卫部门定期清运处置。</w:t>
      </w:r>
    </w:p>
    <w:p>
      <w:pPr>
        <w:pStyle w:val="133"/>
        <w:numPr>
          <w:ilvl w:val="0"/>
          <w:numId w:val="11"/>
        </w:numPr>
        <w:spacing w:line="360" w:lineRule="auto"/>
        <w:ind w:left="0" w:leftChars="0" w:firstLine="0" w:firstLineChars="0"/>
        <w:jc w:val="center"/>
        <w:rPr>
          <w:rFonts w:hint="default" w:ascii="Times New Roman" w:hAnsi="Times New Roman" w:cs="Times New Roman"/>
          <w:b/>
          <w:bCs/>
          <w:color w:val="auto"/>
        </w:rPr>
      </w:pPr>
      <w:r>
        <w:rPr>
          <w:rFonts w:hint="default" w:ascii="Times New Roman" w:hAnsi="Times New Roman" w:cs="Times New Roman"/>
          <w:b/>
          <w:bCs/>
          <w:color w:val="auto"/>
        </w:rPr>
        <w:t>项目固体废物产生及治理情况</w:t>
      </w:r>
    </w:p>
    <w:tbl>
      <w:tblPr>
        <w:tblStyle w:val="44"/>
        <w:tblW w:w="86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5"/>
        <w:gridCol w:w="1708"/>
        <w:gridCol w:w="1333"/>
        <w:gridCol w:w="1196"/>
        <w:gridCol w:w="33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15" w:type="dxa"/>
            <w:vAlign w:val="center"/>
          </w:tcPr>
          <w:p>
            <w:pPr>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来源</w:t>
            </w:r>
          </w:p>
        </w:tc>
        <w:tc>
          <w:tcPr>
            <w:tcW w:w="1708" w:type="dxa"/>
            <w:vAlign w:val="center"/>
          </w:tcPr>
          <w:p>
            <w:pPr>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名称</w:t>
            </w:r>
          </w:p>
        </w:tc>
        <w:tc>
          <w:tcPr>
            <w:tcW w:w="1333" w:type="dxa"/>
            <w:vAlign w:val="center"/>
          </w:tcPr>
          <w:p>
            <w:pPr>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属性</w:t>
            </w:r>
          </w:p>
        </w:tc>
        <w:tc>
          <w:tcPr>
            <w:tcW w:w="1196" w:type="dxa"/>
            <w:vAlign w:val="center"/>
          </w:tcPr>
          <w:p>
            <w:pPr>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产生量（t/a）</w:t>
            </w:r>
          </w:p>
        </w:tc>
        <w:tc>
          <w:tcPr>
            <w:tcW w:w="3325" w:type="dxa"/>
            <w:vAlign w:val="center"/>
          </w:tcPr>
          <w:p>
            <w:pPr>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拟采取的处置方式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15" w:type="dxa"/>
            <w:vMerge w:val="restart"/>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切片车间</w:t>
            </w:r>
          </w:p>
        </w:tc>
        <w:tc>
          <w:tcPr>
            <w:tcW w:w="1708" w:type="dxa"/>
            <w:vAlign w:val="center"/>
          </w:tcPr>
          <w:p>
            <w:pPr>
              <w:jc w:val="center"/>
              <w:rPr>
                <w:rFonts w:hint="default" w:ascii="Times New Roman" w:hAnsi="Times New Roman" w:eastAsia="宋体" w:cs="Times New Roman"/>
                <w:bCs/>
                <w:color w:val="auto"/>
                <w:sz w:val="21"/>
                <w:szCs w:val="21"/>
                <w:lang w:eastAsia="zh-CN"/>
              </w:rPr>
            </w:pPr>
            <w:r>
              <w:rPr>
                <w:rFonts w:hint="default" w:ascii="Times New Roman" w:hAnsi="Times New Roman" w:cs="Times New Roman"/>
                <w:bCs/>
                <w:color w:val="auto"/>
                <w:sz w:val="21"/>
                <w:szCs w:val="21"/>
                <w:lang w:eastAsia="zh-CN"/>
              </w:rPr>
              <w:t>废金刚线</w:t>
            </w:r>
          </w:p>
        </w:tc>
        <w:tc>
          <w:tcPr>
            <w:tcW w:w="1333" w:type="dxa"/>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一般固废</w:t>
            </w:r>
          </w:p>
        </w:tc>
        <w:tc>
          <w:tcPr>
            <w:tcW w:w="1196" w:type="dxa"/>
            <w:vAlign w:val="center"/>
          </w:tcPr>
          <w:p>
            <w:pPr>
              <w:jc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886.95</w:t>
            </w:r>
          </w:p>
        </w:tc>
        <w:tc>
          <w:tcPr>
            <w:tcW w:w="3325" w:type="dxa"/>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color w:val="auto"/>
                <w:sz w:val="21"/>
                <w:szCs w:val="21"/>
              </w:rPr>
              <w:t>暂存在</w:t>
            </w:r>
            <w:r>
              <w:rPr>
                <w:rFonts w:hint="default" w:ascii="Times New Roman" w:hAnsi="Times New Roman" w:cs="Times New Roman"/>
                <w:color w:val="auto"/>
                <w:sz w:val="21"/>
                <w:szCs w:val="21"/>
                <w:lang w:eastAsia="zh-CN"/>
              </w:rPr>
              <w:t>硅泥库</w:t>
            </w:r>
            <w:r>
              <w:rPr>
                <w:rFonts w:hint="default" w:ascii="Times New Roman" w:hAnsi="Times New Roman" w:cs="Times New Roman"/>
                <w:color w:val="auto"/>
                <w:sz w:val="21"/>
                <w:szCs w:val="21"/>
              </w:rPr>
              <w:t>，委托</w:t>
            </w:r>
            <w:r>
              <w:rPr>
                <w:rFonts w:hint="default" w:ascii="Times New Roman" w:hAnsi="Times New Roman" w:cs="Times New Roman"/>
                <w:color w:val="auto"/>
                <w:sz w:val="21"/>
                <w:szCs w:val="21"/>
                <w:lang w:eastAsia="zh-CN"/>
              </w:rPr>
              <w:t>废旧资源回收公司回收综合利用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15" w:type="dxa"/>
            <w:vMerge w:val="continue"/>
            <w:vAlign w:val="center"/>
          </w:tcPr>
          <w:p>
            <w:pPr>
              <w:jc w:val="center"/>
              <w:rPr>
                <w:rFonts w:hint="default" w:ascii="Times New Roman" w:hAnsi="Times New Roman" w:cs="Times New Roman"/>
                <w:bCs/>
                <w:color w:val="auto"/>
                <w:sz w:val="21"/>
                <w:szCs w:val="21"/>
              </w:rPr>
            </w:pPr>
          </w:p>
        </w:tc>
        <w:tc>
          <w:tcPr>
            <w:tcW w:w="1708" w:type="dxa"/>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废胶</w:t>
            </w:r>
          </w:p>
        </w:tc>
        <w:tc>
          <w:tcPr>
            <w:tcW w:w="1333" w:type="dxa"/>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危险废物900-016-13</w:t>
            </w:r>
          </w:p>
        </w:tc>
        <w:tc>
          <w:tcPr>
            <w:tcW w:w="1196" w:type="dxa"/>
            <w:vAlign w:val="center"/>
          </w:tcPr>
          <w:p>
            <w:pPr>
              <w:jc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76.5</w:t>
            </w:r>
          </w:p>
        </w:tc>
        <w:tc>
          <w:tcPr>
            <w:tcW w:w="3325" w:type="dxa"/>
            <w:vMerge w:val="restart"/>
            <w:vAlign w:val="center"/>
          </w:tcPr>
          <w:p>
            <w:pPr>
              <w:jc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eastAsia="zh-CN"/>
              </w:rPr>
              <w:t>暂存在危废库</w:t>
            </w:r>
            <w:r>
              <w:rPr>
                <w:rFonts w:hint="default" w:ascii="Times New Roman" w:hAnsi="Times New Roman" w:cs="Times New Roman"/>
                <w:bCs/>
                <w:color w:val="auto"/>
                <w:sz w:val="21"/>
                <w:szCs w:val="21"/>
                <w:lang w:val="en-US" w:eastAsia="zh-CN"/>
              </w:rPr>
              <w:t>，由有危废处置资质的单位进行处置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15" w:type="dxa"/>
            <w:vMerge w:val="continue"/>
            <w:vAlign w:val="center"/>
          </w:tcPr>
          <w:p>
            <w:pPr>
              <w:jc w:val="center"/>
              <w:rPr>
                <w:rFonts w:hint="default" w:ascii="Times New Roman" w:hAnsi="Times New Roman" w:cs="Times New Roman"/>
                <w:bCs/>
                <w:color w:val="auto"/>
                <w:sz w:val="21"/>
                <w:szCs w:val="21"/>
              </w:rPr>
            </w:pPr>
          </w:p>
        </w:tc>
        <w:tc>
          <w:tcPr>
            <w:tcW w:w="1708" w:type="dxa"/>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废活性炭</w:t>
            </w:r>
          </w:p>
        </w:tc>
        <w:tc>
          <w:tcPr>
            <w:tcW w:w="1333" w:type="dxa"/>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危险废物900-039-49</w:t>
            </w:r>
          </w:p>
        </w:tc>
        <w:tc>
          <w:tcPr>
            <w:tcW w:w="1196" w:type="dxa"/>
            <w:vAlign w:val="center"/>
          </w:tcPr>
          <w:p>
            <w:pPr>
              <w:jc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6.23</w:t>
            </w:r>
          </w:p>
        </w:tc>
        <w:tc>
          <w:tcPr>
            <w:tcW w:w="3325" w:type="dxa"/>
            <w:vMerge w:val="continue"/>
            <w:vAlign w:val="center"/>
          </w:tcPr>
          <w:p>
            <w:pPr>
              <w:jc w:val="center"/>
              <w:rPr>
                <w:rFonts w:hint="default" w:ascii="Times New Roman" w:hAnsi="Times New Roman" w:eastAsia="宋体" w:cs="Times New Roman"/>
                <w:bCs/>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15" w:type="dxa"/>
            <w:vMerge w:val="continue"/>
            <w:vAlign w:val="center"/>
          </w:tcPr>
          <w:p>
            <w:pPr>
              <w:jc w:val="center"/>
              <w:rPr>
                <w:rFonts w:hint="default" w:ascii="Times New Roman" w:hAnsi="Times New Roman" w:cs="Times New Roman"/>
                <w:bCs/>
                <w:color w:val="auto"/>
                <w:sz w:val="21"/>
                <w:szCs w:val="21"/>
              </w:rPr>
            </w:pPr>
          </w:p>
        </w:tc>
        <w:tc>
          <w:tcPr>
            <w:tcW w:w="1708" w:type="dxa"/>
            <w:vAlign w:val="center"/>
          </w:tcPr>
          <w:p>
            <w:pPr>
              <w:jc w:val="center"/>
              <w:rPr>
                <w:rFonts w:hint="default" w:ascii="Times New Roman" w:hAnsi="Times New Roman" w:eastAsia="宋体" w:cs="Times New Roman"/>
                <w:bCs/>
                <w:color w:val="auto"/>
                <w:sz w:val="21"/>
                <w:szCs w:val="21"/>
                <w:lang w:eastAsia="zh-CN"/>
              </w:rPr>
            </w:pPr>
            <w:r>
              <w:rPr>
                <w:rFonts w:hint="default" w:ascii="Times New Roman" w:hAnsi="Times New Roman" w:cs="Times New Roman"/>
                <w:bCs/>
                <w:color w:val="auto"/>
                <w:sz w:val="21"/>
                <w:szCs w:val="21"/>
                <w:lang w:eastAsia="zh-CN"/>
              </w:rPr>
              <w:t>压滤硅泥</w:t>
            </w:r>
          </w:p>
        </w:tc>
        <w:tc>
          <w:tcPr>
            <w:tcW w:w="1333" w:type="dxa"/>
            <w:vAlign w:val="center"/>
          </w:tcPr>
          <w:p>
            <w:pPr>
              <w:jc w:val="center"/>
              <w:rPr>
                <w:rFonts w:hint="default" w:ascii="Times New Roman" w:hAnsi="Times New Roman" w:eastAsia="宋体" w:cs="Times New Roman"/>
                <w:bCs/>
                <w:color w:val="auto"/>
                <w:sz w:val="21"/>
                <w:szCs w:val="21"/>
                <w:lang w:eastAsia="zh-CN"/>
              </w:rPr>
            </w:pPr>
            <w:r>
              <w:rPr>
                <w:rFonts w:hint="default" w:ascii="Times New Roman" w:hAnsi="Times New Roman" w:cs="Times New Roman"/>
                <w:bCs/>
                <w:color w:val="auto"/>
                <w:sz w:val="21"/>
                <w:szCs w:val="21"/>
                <w:lang w:eastAsia="zh-CN"/>
              </w:rPr>
              <w:t>一般固废</w:t>
            </w:r>
          </w:p>
        </w:tc>
        <w:tc>
          <w:tcPr>
            <w:tcW w:w="1196" w:type="dxa"/>
            <w:vAlign w:val="center"/>
          </w:tcPr>
          <w:p>
            <w:pPr>
              <w:jc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1631.69</w:t>
            </w:r>
          </w:p>
        </w:tc>
        <w:tc>
          <w:tcPr>
            <w:tcW w:w="3325" w:type="dxa"/>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color w:val="auto"/>
                <w:kern w:val="44"/>
                <w:sz w:val="21"/>
                <w:szCs w:val="21"/>
                <w:lang w:eastAsia="zh-CN"/>
              </w:rPr>
              <w:t>装袋</w:t>
            </w:r>
            <w:r>
              <w:rPr>
                <w:rFonts w:hint="default" w:ascii="Times New Roman" w:hAnsi="Times New Roman" w:cs="Times New Roman"/>
                <w:color w:val="auto"/>
                <w:kern w:val="44"/>
                <w:sz w:val="21"/>
                <w:szCs w:val="21"/>
              </w:rPr>
              <w:t>暂存在</w:t>
            </w:r>
            <w:r>
              <w:rPr>
                <w:rFonts w:hint="default" w:ascii="Times New Roman" w:hAnsi="Times New Roman" w:cs="Times New Roman"/>
                <w:color w:val="auto"/>
                <w:kern w:val="44"/>
                <w:sz w:val="21"/>
                <w:szCs w:val="21"/>
                <w:lang w:eastAsia="zh-CN"/>
              </w:rPr>
              <w:t>硅泥库内</w:t>
            </w:r>
            <w:r>
              <w:rPr>
                <w:rFonts w:hint="default" w:ascii="Times New Roman" w:hAnsi="Times New Roman" w:cs="Times New Roman"/>
                <w:color w:val="auto"/>
                <w:kern w:val="44"/>
                <w:sz w:val="21"/>
                <w:szCs w:val="21"/>
              </w:rPr>
              <w:t>，</w:t>
            </w:r>
            <w:r>
              <w:rPr>
                <w:rFonts w:hint="default" w:ascii="Times New Roman" w:hAnsi="Times New Roman" w:cs="Times New Roman"/>
                <w:color w:val="auto"/>
                <w:sz w:val="21"/>
                <w:szCs w:val="21"/>
                <w:lang w:eastAsia="zh-CN"/>
              </w:rPr>
              <w:t>外售给工业硅生产企业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15" w:type="dxa"/>
            <w:vMerge w:val="continue"/>
            <w:vAlign w:val="center"/>
          </w:tcPr>
          <w:p>
            <w:pPr>
              <w:jc w:val="center"/>
              <w:rPr>
                <w:rFonts w:hint="default" w:ascii="Times New Roman" w:hAnsi="Times New Roman" w:cs="Times New Roman"/>
                <w:bCs/>
                <w:color w:val="auto"/>
                <w:sz w:val="21"/>
                <w:szCs w:val="21"/>
              </w:rPr>
            </w:pPr>
          </w:p>
        </w:tc>
        <w:tc>
          <w:tcPr>
            <w:tcW w:w="1708" w:type="dxa"/>
            <w:vAlign w:val="center"/>
          </w:tcPr>
          <w:p>
            <w:pPr>
              <w:jc w:val="center"/>
              <w:rPr>
                <w:rFonts w:hint="default" w:ascii="Times New Roman" w:hAnsi="Times New Roman" w:cs="Times New Roman"/>
                <w:bCs/>
                <w:color w:val="auto"/>
                <w:sz w:val="21"/>
                <w:szCs w:val="21"/>
                <w:lang w:eastAsia="zh-CN"/>
              </w:rPr>
            </w:pPr>
            <w:r>
              <w:rPr>
                <w:rFonts w:hint="default" w:ascii="Times New Roman" w:hAnsi="Times New Roman" w:cs="Times New Roman"/>
                <w:bCs/>
                <w:color w:val="auto"/>
                <w:sz w:val="21"/>
                <w:szCs w:val="21"/>
                <w:lang w:eastAsia="zh-CN"/>
              </w:rPr>
              <w:t>废切片</w:t>
            </w:r>
          </w:p>
        </w:tc>
        <w:tc>
          <w:tcPr>
            <w:tcW w:w="1333" w:type="dxa"/>
            <w:vAlign w:val="center"/>
          </w:tcPr>
          <w:p>
            <w:pPr>
              <w:jc w:val="center"/>
              <w:rPr>
                <w:rFonts w:hint="default" w:ascii="Times New Roman" w:hAnsi="Times New Roman" w:cs="Times New Roman"/>
                <w:bCs/>
                <w:color w:val="auto"/>
                <w:sz w:val="21"/>
                <w:szCs w:val="21"/>
                <w:lang w:eastAsia="zh-CN"/>
              </w:rPr>
            </w:pPr>
            <w:r>
              <w:rPr>
                <w:rFonts w:hint="default" w:ascii="Times New Roman" w:hAnsi="Times New Roman" w:cs="Times New Roman"/>
                <w:bCs/>
                <w:color w:val="auto"/>
                <w:sz w:val="21"/>
                <w:szCs w:val="21"/>
                <w:lang w:val="en-US" w:eastAsia="zh-CN"/>
              </w:rPr>
              <w:t>一般固废</w:t>
            </w:r>
          </w:p>
        </w:tc>
        <w:tc>
          <w:tcPr>
            <w:tcW w:w="1196" w:type="dxa"/>
            <w:vAlign w:val="center"/>
          </w:tcPr>
          <w:p>
            <w:pPr>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181.26</w:t>
            </w:r>
          </w:p>
        </w:tc>
        <w:tc>
          <w:tcPr>
            <w:tcW w:w="3325" w:type="dxa"/>
            <w:vAlign w:val="center"/>
          </w:tcPr>
          <w:p>
            <w:pPr>
              <w:jc w:val="center"/>
              <w:rPr>
                <w:rFonts w:hint="default" w:ascii="Times New Roman" w:hAnsi="Times New Roman" w:eastAsia="宋体" w:cs="Times New Roman"/>
                <w:bCs/>
                <w:color w:val="auto"/>
                <w:sz w:val="21"/>
                <w:szCs w:val="21"/>
                <w:lang w:eastAsia="zh-CN"/>
              </w:rPr>
            </w:pPr>
            <w:r>
              <w:rPr>
                <w:rFonts w:hint="default" w:ascii="Times New Roman" w:hAnsi="Times New Roman" w:cs="Times New Roman"/>
                <w:color w:val="auto"/>
                <w:sz w:val="21"/>
                <w:szCs w:val="21"/>
                <w:lang w:val="en-US" w:eastAsia="zh-CN"/>
              </w:rPr>
              <w:t>破碎</w:t>
            </w:r>
            <w:r>
              <w:rPr>
                <w:rFonts w:hint="default" w:ascii="Times New Roman" w:hAnsi="Times New Roman" w:cs="Times New Roman"/>
                <w:snapToGrid w:val="0"/>
                <w:color w:val="auto"/>
                <w:sz w:val="21"/>
                <w:szCs w:val="21"/>
              </w:rPr>
              <w:t>后回用</w:t>
            </w:r>
            <w:r>
              <w:rPr>
                <w:rFonts w:hint="default" w:ascii="Times New Roman" w:hAnsi="Times New Roman" w:cs="Times New Roman"/>
                <w:snapToGrid w:val="0"/>
                <w:color w:val="auto"/>
                <w:sz w:val="21"/>
                <w:szCs w:val="21"/>
                <w:lang w:eastAsia="zh-CN"/>
              </w:rPr>
              <w:t>于单晶硅棒生产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15" w:type="dxa"/>
            <w:vMerge w:val="continue"/>
            <w:vAlign w:val="center"/>
          </w:tcPr>
          <w:p>
            <w:pPr>
              <w:jc w:val="center"/>
              <w:rPr>
                <w:rFonts w:hint="default" w:ascii="Times New Roman" w:hAnsi="Times New Roman" w:cs="Times New Roman"/>
                <w:bCs/>
                <w:color w:val="auto"/>
                <w:sz w:val="21"/>
                <w:szCs w:val="21"/>
              </w:rPr>
            </w:pPr>
          </w:p>
        </w:tc>
        <w:tc>
          <w:tcPr>
            <w:tcW w:w="1708" w:type="dxa"/>
            <w:vAlign w:val="center"/>
          </w:tcPr>
          <w:p>
            <w:pPr>
              <w:jc w:val="center"/>
              <w:rPr>
                <w:rFonts w:hint="default" w:ascii="Times New Roman" w:hAnsi="Times New Roman" w:cs="Times New Roman"/>
                <w:bCs/>
                <w:color w:val="auto"/>
                <w:sz w:val="21"/>
                <w:szCs w:val="21"/>
                <w:lang w:eastAsia="zh-CN"/>
              </w:rPr>
            </w:pPr>
            <w:r>
              <w:rPr>
                <w:rFonts w:hint="default" w:ascii="Times New Roman" w:hAnsi="Times New Roman" w:cs="Times New Roman"/>
                <w:bCs/>
                <w:color w:val="auto"/>
                <w:sz w:val="21"/>
                <w:szCs w:val="21"/>
                <w:lang w:eastAsia="zh-CN"/>
              </w:rPr>
              <w:t>废包装及容器</w:t>
            </w:r>
          </w:p>
        </w:tc>
        <w:tc>
          <w:tcPr>
            <w:tcW w:w="1333" w:type="dxa"/>
            <w:vAlign w:val="center"/>
          </w:tcPr>
          <w:p>
            <w:pPr>
              <w:jc w:val="center"/>
              <w:rPr>
                <w:rFonts w:hint="default" w:ascii="Times New Roman" w:hAnsi="Times New Roman" w:cs="Times New Roman"/>
                <w:bCs/>
                <w:color w:val="auto"/>
                <w:sz w:val="21"/>
                <w:szCs w:val="21"/>
                <w:lang w:eastAsia="zh-CN"/>
              </w:rPr>
            </w:pPr>
            <w:r>
              <w:rPr>
                <w:rFonts w:hint="default" w:ascii="Times New Roman" w:hAnsi="Times New Roman" w:cs="Times New Roman"/>
                <w:bCs/>
                <w:color w:val="auto"/>
                <w:sz w:val="21"/>
                <w:szCs w:val="21"/>
                <w:lang w:eastAsia="zh-CN"/>
              </w:rPr>
              <w:t>一般固废</w:t>
            </w:r>
          </w:p>
        </w:tc>
        <w:tc>
          <w:tcPr>
            <w:tcW w:w="1196" w:type="dxa"/>
            <w:vAlign w:val="center"/>
          </w:tcPr>
          <w:p>
            <w:pPr>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5</w:t>
            </w:r>
          </w:p>
        </w:tc>
        <w:tc>
          <w:tcPr>
            <w:tcW w:w="3325" w:type="dxa"/>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color w:val="auto"/>
                <w:sz w:val="21"/>
                <w:szCs w:val="21"/>
              </w:rPr>
              <w:t>暂存在</w:t>
            </w:r>
            <w:r>
              <w:rPr>
                <w:rFonts w:hint="default" w:ascii="Times New Roman" w:hAnsi="Times New Roman" w:cs="Times New Roman"/>
                <w:color w:val="auto"/>
                <w:sz w:val="21"/>
                <w:szCs w:val="21"/>
                <w:lang w:eastAsia="zh-CN"/>
              </w:rPr>
              <w:t>硅泥库</w:t>
            </w:r>
            <w:r>
              <w:rPr>
                <w:rFonts w:hint="default" w:ascii="Times New Roman" w:hAnsi="Times New Roman" w:cs="Times New Roman"/>
                <w:color w:val="auto"/>
                <w:sz w:val="21"/>
                <w:szCs w:val="21"/>
              </w:rPr>
              <w:t>，委托</w:t>
            </w:r>
            <w:r>
              <w:rPr>
                <w:rFonts w:hint="default" w:ascii="Times New Roman" w:hAnsi="Times New Roman" w:cs="Times New Roman"/>
                <w:color w:val="auto"/>
                <w:sz w:val="21"/>
                <w:szCs w:val="21"/>
                <w:lang w:eastAsia="zh-CN"/>
              </w:rPr>
              <w:t>废旧资源回收公司回收综合利用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15" w:type="dxa"/>
            <w:vMerge w:val="continue"/>
            <w:vAlign w:val="center"/>
          </w:tcPr>
          <w:p>
            <w:pPr>
              <w:jc w:val="center"/>
              <w:rPr>
                <w:rFonts w:hint="default" w:ascii="Times New Roman" w:hAnsi="Times New Roman" w:cs="Times New Roman"/>
                <w:bCs/>
                <w:color w:val="auto"/>
                <w:sz w:val="21"/>
                <w:szCs w:val="21"/>
              </w:rPr>
            </w:pPr>
          </w:p>
        </w:tc>
        <w:tc>
          <w:tcPr>
            <w:tcW w:w="1708" w:type="dxa"/>
            <w:vAlign w:val="center"/>
          </w:tcPr>
          <w:p>
            <w:pPr>
              <w:jc w:val="center"/>
              <w:rPr>
                <w:rFonts w:hint="default" w:ascii="Times New Roman" w:hAnsi="Times New Roman" w:cs="Times New Roman"/>
                <w:bCs/>
                <w:color w:val="auto"/>
                <w:sz w:val="21"/>
                <w:szCs w:val="21"/>
                <w:lang w:eastAsia="zh-CN"/>
              </w:rPr>
            </w:pPr>
            <w:r>
              <w:rPr>
                <w:rFonts w:hint="default" w:ascii="Times New Roman" w:hAnsi="Times New Roman" w:cs="Times New Roman"/>
                <w:bCs/>
                <w:color w:val="auto"/>
                <w:sz w:val="21"/>
                <w:szCs w:val="21"/>
                <w:lang w:eastAsia="zh-CN"/>
              </w:rPr>
              <w:t>废反渗透膜和废离子交换树脂</w:t>
            </w:r>
          </w:p>
        </w:tc>
        <w:tc>
          <w:tcPr>
            <w:tcW w:w="1333" w:type="dxa"/>
            <w:vAlign w:val="center"/>
          </w:tcPr>
          <w:p>
            <w:pPr>
              <w:jc w:val="center"/>
              <w:rPr>
                <w:rFonts w:hint="default" w:ascii="Times New Roman" w:hAnsi="Times New Roman" w:cs="Times New Roman"/>
                <w:bCs/>
                <w:color w:val="auto"/>
                <w:sz w:val="21"/>
                <w:szCs w:val="21"/>
                <w:lang w:eastAsia="zh-CN"/>
              </w:rPr>
            </w:pPr>
            <w:r>
              <w:rPr>
                <w:rFonts w:hint="default" w:ascii="Times New Roman" w:hAnsi="Times New Roman" w:cs="Times New Roman"/>
                <w:bCs/>
                <w:color w:val="auto"/>
                <w:sz w:val="21"/>
                <w:szCs w:val="21"/>
                <w:lang w:eastAsia="zh-CN"/>
              </w:rPr>
              <w:t>一般固废</w:t>
            </w:r>
          </w:p>
        </w:tc>
        <w:tc>
          <w:tcPr>
            <w:tcW w:w="1196" w:type="dxa"/>
            <w:vAlign w:val="center"/>
          </w:tcPr>
          <w:p>
            <w:pPr>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3</w:t>
            </w:r>
          </w:p>
        </w:tc>
        <w:tc>
          <w:tcPr>
            <w:tcW w:w="3325" w:type="dxa"/>
            <w:vAlign w:val="center"/>
          </w:tcPr>
          <w:p>
            <w:pPr>
              <w:jc w:val="center"/>
              <w:rPr>
                <w:rFonts w:hint="default" w:ascii="Times New Roman" w:hAnsi="Times New Roman" w:eastAsia="宋体" w:cs="Times New Roman"/>
                <w:bCs/>
                <w:color w:val="auto"/>
                <w:sz w:val="21"/>
                <w:szCs w:val="21"/>
                <w:lang w:eastAsia="zh-CN"/>
              </w:rPr>
            </w:pPr>
            <w:r>
              <w:rPr>
                <w:rFonts w:hint="default" w:ascii="Times New Roman" w:hAnsi="Times New Roman" w:cs="Times New Roman"/>
                <w:bCs/>
                <w:color w:val="auto"/>
                <w:sz w:val="21"/>
                <w:szCs w:val="21"/>
                <w:lang w:eastAsia="zh-CN"/>
              </w:rPr>
              <w:t>由生产厂家上门更换回收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15" w:type="dxa"/>
            <w:vAlign w:val="center"/>
          </w:tcPr>
          <w:p>
            <w:pPr>
              <w:jc w:val="center"/>
              <w:rPr>
                <w:rFonts w:hint="default" w:ascii="Times New Roman" w:hAnsi="Times New Roman" w:eastAsia="宋体" w:cs="Times New Roman"/>
                <w:bCs/>
                <w:color w:val="auto"/>
                <w:sz w:val="21"/>
                <w:szCs w:val="21"/>
                <w:lang w:eastAsia="zh-CN"/>
              </w:rPr>
            </w:pPr>
            <w:r>
              <w:rPr>
                <w:rFonts w:hint="default" w:ascii="Times New Roman" w:hAnsi="Times New Roman" w:cs="Times New Roman"/>
                <w:bCs/>
                <w:color w:val="auto"/>
                <w:sz w:val="21"/>
                <w:szCs w:val="21"/>
                <w:lang w:eastAsia="zh-CN"/>
              </w:rPr>
              <w:t>综合污水处理站</w:t>
            </w:r>
          </w:p>
        </w:tc>
        <w:tc>
          <w:tcPr>
            <w:tcW w:w="1708" w:type="dxa"/>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lang w:eastAsia="zh-CN"/>
              </w:rPr>
              <w:t>综合污水处理站</w:t>
            </w:r>
            <w:r>
              <w:rPr>
                <w:rFonts w:hint="default" w:ascii="Times New Roman" w:hAnsi="Times New Roman" w:cs="Times New Roman"/>
                <w:bCs/>
                <w:color w:val="auto"/>
                <w:sz w:val="21"/>
                <w:szCs w:val="21"/>
              </w:rPr>
              <w:t>污泥</w:t>
            </w:r>
          </w:p>
        </w:tc>
        <w:tc>
          <w:tcPr>
            <w:tcW w:w="1333" w:type="dxa"/>
            <w:vAlign w:val="center"/>
          </w:tcPr>
          <w:p>
            <w:pPr>
              <w:jc w:val="center"/>
              <w:rPr>
                <w:rFonts w:hint="default" w:ascii="Times New Roman" w:hAnsi="Times New Roman" w:eastAsia="宋体" w:cs="Times New Roman"/>
                <w:bCs/>
                <w:color w:val="auto"/>
                <w:sz w:val="21"/>
                <w:szCs w:val="21"/>
                <w:lang w:eastAsia="zh-CN"/>
              </w:rPr>
            </w:pPr>
            <w:r>
              <w:rPr>
                <w:rFonts w:hint="default" w:ascii="Times New Roman" w:hAnsi="Times New Roman" w:cs="Times New Roman"/>
                <w:bCs/>
                <w:color w:val="auto"/>
                <w:sz w:val="21"/>
                <w:szCs w:val="21"/>
                <w:lang w:eastAsia="zh-CN"/>
              </w:rPr>
              <w:t>需进行属性鉴别</w:t>
            </w:r>
          </w:p>
        </w:tc>
        <w:tc>
          <w:tcPr>
            <w:tcW w:w="1196" w:type="dxa"/>
            <w:vAlign w:val="center"/>
          </w:tcPr>
          <w:p>
            <w:pPr>
              <w:jc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4558.85</w:t>
            </w:r>
          </w:p>
        </w:tc>
        <w:tc>
          <w:tcPr>
            <w:tcW w:w="3325" w:type="dxa"/>
            <w:vAlign w:val="center"/>
          </w:tcPr>
          <w:p>
            <w:pPr>
              <w:jc w:val="center"/>
              <w:rPr>
                <w:rFonts w:hint="default" w:ascii="Times New Roman" w:hAnsi="Times New Roman" w:eastAsia="宋体" w:cs="Times New Roman"/>
                <w:bCs/>
                <w:color w:val="auto"/>
                <w:sz w:val="21"/>
                <w:szCs w:val="21"/>
                <w:lang w:eastAsia="zh-CN"/>
              </w:rPr>
            </w:pPr>
            <w:r>
              <w:rPr>
                <w:rFonts w:hint="default" w:ascii="Times New Roman" w:hAnsi="Times New Roman" w:cs="Times New Roman"/>
                <w:bCs/>
                <w:color w:val="auto"/>
                <w:sz w:val="21"/>
                <w:szCs w:val="21"/>
                <w:lang w:eastAsia="zh-CN"/>
              </w:rPr>
              <w:t>进行属性鉴别，</w:t>
            </w:r>
            <w:r>
              <w:rPr>
                <w:rFonts w:hint="default" w:ascii="Times New Roman" w:hAnsi="Times New Roman" w:cs="Times New Roman"/>
                <w:color w:val="auto"/>
                <w:kern w:val="21"/>
                <w:sz w:val="21"/>
                <w:szCs w:val="21"/>
                <w:lang w:eastAsia="zh-CN" w:bidi="ar"/>
              </w:rPr>
              <w:t>若</w:t>
            </w:r>
            <w:r>
              <w:rPr>
                <w:rFonts w:hint="default" w:ascii="Times New Roman" w:hAnsi="Times New Roman" w:cs="Times New Roman"/>
                <w:color w:val="auto"/>
                <w:kern w:val="21"/>
                <w:sz w:val="21"/>
                <w:szCs w:val="21"/>
                <w:lang w:bidi="ar"/>
              </w:rPr>
              <w:t>鉴别污泥属性属于危险废物，则</w:t>
            </w:r>
            <w:r>
              <w:rPr>
                <w:rFonts w:hint="default" w:ascii="Times New Roman" w:hAnsi="Times New Roman" w:cs="Times New Roman"/>
                <w:color w:val="auto"/>
                <w:kern w:val="21"/>
                <w:sz w:val="21"/>
                <w:szCs w:val="21"/>
                <w:lang w:eastAsia="zh-CN" w:bidi="ar"/>
              </w:rPr>
              <w:t>应</w:t>
            </w:r>
            <w:r>
              <w:rPr>
                <w:rFonts w:hint="default" w:ascii="Times New Roman" w:hAnsi="Times New Roman" w:cs="Times New Roman"/>
                <w:color w:val="auto"/>
                <w:kern w:val="21"/>
                <w:sz w:val="21"/>
                <w:szCs w:val="21"/>
                <w:lang w:bidi="ar"/>
              </w:rPr>
              <w:t>委托有</w:t>
            </w:r>
            <w:r>
              <w:rPr>
                <w:rFonts w:hint="default" w:ascii="Times New Roman" w:hAnsi="Times New Roman" w:cs="Times New Roman"/>
                <w:color w:val="auto"/>
                <w:kern w:val="21"/>
                <w:sz w:val="21"/>
                <w:szCs w:val="21"/>
                <w:lang w:eastAsia="zh-CN" w:bidi="ar"/>
              </w:rPr>
              <w:t>危废</w:t>
            </w:r>
            <w:r>
              <w:rPr>
                <w:rFonts w:hint="default" w:ascii="Times New Roman" w:hAnsi="Times New Roman" w:cs="Times New Roman"/>
                <w:color w:val="auto"/>
                <w:kern w:val="21"/>
                <w:sz w:val="21"/>
                <w:szCs w:val="21"/>
                <w:lang w:bidi="ar"/>
              </w:rPr>
              <w:t>资质的单位处置</w:t>
            </w:r>
            <w:r>
              <w:rPr>
                <w:rFonts w:hint="default" w:ascii="Times New Roman" w:hAnsi="Times New Roman" w:cs="Times New Roman"/>
                <w:color w:val="auto"/>
                <w:kern w:val="21"/>
                <w:sz w:val="21"/>
                <w:szCs w:val="21"/>
                <w:lang w:eastAsia="zh-CN" w:bidi="ar"/>
              </w:rPr>
              <w:t>；不属于危废则外售给污泥综合利用公司进行处置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15" w:type="dxa"/>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办公生活区域</w:t>
            </w:r>
          </w:p>
        </w:tc>
        <w:tc>
          <w:tcPr>
            <w:tcW w:w="1708" w:type="dxa"/>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生活垃圾</w:t>
            </w:r>
          </w:p>
        </w:tc>
        <w:tc>
          <w:tcPr>
            <w:tcW w:w="1333" w:type="dxa"/>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w:t>
            </w:r>
          </w:p>
        </w:tc>
        <w:tc>
          <w:tcPr>
            <w:tcW w:w="1196" w:type="dxa"/>
            <w:vAlign w:val="center"/>
          </w:tcPr>
          <w:p>
            <w:pPr>
              <w:jc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36.5</w:t>
            </w:r>
          </w:p>
        </w:tc>
        <w:tc>
          <w:tcPr>
            <w:tcW w:w="3325" w:type="dxa"/>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收集后交由环卫部门定期清运处置</w:t>
            </w:r>
          </w:p>
        </w:tc>
      </w:tr>
    </w:tbl>
    <w:p>
      <w:pPr>
        <w:pStyle w:val="6"/>
        <w:keepNext/>
        <w:keepLines/>
        <w:pageBreakBefore w:val="0"/>
        <w:widowControl w:val="0"/>
        <w:kinsoku/>
        <w:wordWrap/>
        <w:overflowPunct/>
        <w:topLinePunct w:val="0"/>
        <w:autoSpaceDE/>
        <w:autoSpaceDN/>
        <w:bidi w:val="0"/>
        <w:adjustRightInd/>
        <w:snapToGrid/>
        <w:spacing w:before="157" w:beforeLines="50" w:after="0" w:line="360" w:lineRule="auto"/>
        <w:textAlignment w:val="auto"/>
        <w:rPr>
          <w:rFonts w:hint="default" w:ascii="Times New Roman" w:hAnsi="Times New Roman" w:cs="Times New Roman"/>
          <w:color w:val="auto"/>
          <w:szCs w:val="28"/>
        </w:rPr>
      </w:pPr>
      <w:bookmarkStart w:id="303" w:name="_Toc11122"/>
      <w:r>
        <w:rPr>
          <w:rFonts w:hint="default" w:ascii="Times New Roman" w:hAnsi="Times New Roman" w:cs="Times New Roman"/>
          <w:color w:val="auto"/>
          <w:szCs w:val="28"/>
          <w:lang w:val="en-US" w:eastAsia="zh-CN"/>
        </w:rPr>
        <w:t>3</w:t>
      </w:r>
      <w:r>
        <w:rPr>
          <w:rFonts w:hint="default" w:ascii="Times New Roman" w:hAnsi="Times New Roman" w:cs="Times New Roman"/>
          <w:color w:val="auto"/>
          <w:szCs w:val="28"/>
        </w:rPr>
        <w:t>.2.</w:t>
      </w:r>
      <w:r>
        <w:rPr>
          <w:rFonts w:hint="default" w:ascii="Times New Roman" w:hAnsi="Times New Roman" w:cs="Times New Roman"/>
          <w:color w:val="auto"/>
          <w:szCs w:val="28"/>
          <w:lang w:val="en-US" w:eastAsia="zh-CN"/>
        </w:rPr>
        <w:t>5</w:t>
      </w:r>
      <w:r>
        <w:rPr>
          <w:rFonts w:hint="default" w:ascii="Times New Roman" w:hAnsi="Times New Roman" w:cs="Times New Roman"/>
          <w:color w:val="auto"/>
          <w:szCs w:val="28"/>
        </w:rPr>
        <w:t>项目主要污染物排放汇总表</w:t>
      </w:r>
      <w:bookmarkEnd w:id="303"/>
    </w:p>
    <w:p>
      <w:pPr>
        <w:pStyle w:val="133"/>
        <w:numPr>
          <w:ilvl w:val="0"/>
          <w:numId w:val="11"/>
        </w:numPr>
        <w:spacing w:line="360" w:lineRule="auto"/>
        <w:ind w:left="0" w:leftChars="0" w:firstLine="0" w:firstLineChars="0"/>
        <w:jc w:val="center"/>
        <w:rPr>
          <w:rFonts w:hint="default" w:ascii="Times New Roman" w:hAnsi="Times New Roman" w:cs="Times New Roman"/>
          <w:b/>
          <w:bCs/>
          <w:color w:val="auto"/>
        </w:rPr>
      </w:pPr>
      <w:r>
        <w:rPr>
          <w:rFonts w:hint="default" w:ascii="Times New Roman" w:hAnsi="Times New Roman" w:cs="Times New Roman"/>
          <w:b/>
          <w:bCs/>
          <w:color w:val="auto"/>
        </w:rPr>
        <w:t>本项目主要污染物排放汇总表</w:t>
      </w:r>
    </w:p>
    <w:tbl>
      <w:tblPr>
        <w:tblStyle w:val="44"/>
        <w:tblW w:w="816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45"/>
        <w:gridCol w:w="1250"/>
        <w:gridCol w:w="1720"/>
        <w:gridCol w:w="945"/>
        <w:gridCol w:w="1200"/>
        <w:gridCol w:w="1044"/>
        <w:gridCol w:w="12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715" w:type="dxa"/>
            <w:gridSpan w:val="3"/>
            <w:vAlign w:val="center"/>
          </w:tcPr>
          <w:p>
            <w:pPr>
              <w:jc w:val="center"/>
              <w:rPr>
                <w:rFonts w:hint="default" w:ascii="Times New Roman" w:hAnsi="Times New Roman" w:cs="Times New Roman"/>
                <w:b/>
                <w:color w:val="auto"/>
                <w:sz w:val="21"/>
                <w:szCs w:val="21"/>
              </w:rPr>
            </w:pPr>
            <w:r>
              <w:rPr>
                <w:rFonts w:hint="default" w:ascii="Times New Roman" w:hAnsi="Times New Roman" w:cs="Times New Roman"/>
                <w:color w:val="auto"/>
                <w:sz w:val="21"/>
                <w:szCs w:val="21"/>
              </w:rPr>
              <w:br w:type="page"/>
            </w:r>
            <w:r>
              <w:rPr>
                <w:rFonts w:hint="default" w:ascii="Times New Roman" w:hAnsi="Times New Roman" w:cs="Times New Roman"/>
                <w:b/>
                <w:color w:val="auto"/>
                <w:sz w:val="21"/>
                <w:szCs w:val="21"/>
              </w:rPr>
              <w:t>污染物</w:t>
            </w:r>
          </w:p>
        </w:tc>
        <w:tc>
          <w:tcPr>
            <w:tcW w:w="945" w:type="dxa"/>
            <w:vAlign w:val="center"/>
          </w:tcPr>
          <w:p>
            <w:pPr>
              <w:jc w:val="center"/>
              <w:rPr>
                <w:rFonts w:hint="default" w:ascii="Times New Roman" w:hAnsi="Times New Roman" w:eastAsia="宋体" w:cs="Times New Roman"/>
                <w:b/>
                <w:color w:val="auto"/>
                <w:sz w:val="21"/>
                <w:szCs w:val="21"/>
                <w:lang w:eastAsia="zh-CN"/>
              </w:rPr>
            </w:pPr>
            <w:r>
              <w:rPr>
                <w:rFonts w:hint="default" w:ascii="Times New Roman" w:hAnsi="Times New Roman" w:cs="Times New Roman"/>
                <w:b/>
                <w:color w:val="auto"/>
                <w:sz w:val="21"/>
                <w:szCs w:val="21"/>
                <w:lang w:eastAsia="zh-CN"/>
              </w:rPr>
              <w:t>单位</w:t>
            </w:r>
          </w:p>
        </w:tc>
        <w:tc>
          <w:tcPr>
            <w:tcW w:w="1200" w:type="dxa"/>
            <w:vAlign w:val="center"/>
          </w:tcPr>
          <w:p>
            <w:pPr>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产生量</w:t>
            </w:r>
          </w:p>
        </w:tc>
        <w:tc>
          <w:tcPr>
            <w:tcW w:w="1044" w:type="dxa"/>
            <w:vAlign w:val="center"/>
          </w:tcPr>
          <w:p>
            <w:pPr>
              <w:widowControl/>
              <w:jc w:val="center"/>
              <w:textAlignment w:val="top"/>
              <w:rPr>
                <w:rFonts w:hint="default" w:ascii="Times New Roman" w:hAnsi="Times New Roman" w:cs="Times New Roman"/>
                <w:b/>
                <w:color w:val="auto"/>
                <w:sz w:val="21"/>
                <w:szCs w:val="21"/>
              </w:rPr>
            </w:pPr>
            <w:r>
              <w:rPr>
                <w:rFonts w:hint="default" w:ascii="Times New Roman" w:hAnsi="Times New Roman" w:cs="Times New Roman"/>
                <w:b/>
                <w:color w:val="auto"/>
                <w:kern w:val="0"/>
                <w:sz w:val="21"/>
                <w:szCs w:val="21"/>
              </w:rPr>
              <w:t>削减量</w:t>
            </w:r>
          </w:p>
        </w:tc>
        <w:tc>
          <w:tcPr>
            <w:tcW w:w="1260" w:type="dxa"/>
            <w:vAlign w:val="center"/>
          </w:tcPr>
          <w:p>
            <w:pPr>
              <w:widowControl/>
              <w:jc w:val="center"/>
              <w:textAlignment w:val="top"/>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排放量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745" w:type="dxa"/>
            <w:vMerge w:val="restart"/>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废气</w:t>
            </w:r>
          </w:p>
        </w:tc>
        <w:tc>
          <w:tcPr>
            <w:tcW w:w="2970" w:type="dxa"/>
            <w:gridSpan w:val="2"/>
            <w:vAlign w:val="center"/>
          </w:tcPr>
          <w:p>
            <w:pPr>
              <w:jc w:val="center"/>
              <w:rPr>
                <w:rFonts w:hint="default" w:ascii="Times New Roman" w:hAnsi="Times New Roman" w:cs="Times New Roman"/>
                <w:bCs/>
                <w:color w:val="auto"/>
                <w:sz w:val="21"/>
                <w:szCs w:val="21"/>
                <w:lang w:eastAsia="zh-CN"/>
              </w:rPr>
            </w:pPr>
            <w:r>
              <w:rPr>
                <w:rFonts w:hint="default" w:ascii="Times New Roman" w:hAnsi="Times New Roman" w:cs="Times New Roman"/>
                <w:bCs/>
                <w:color w:val="auto"/>
                <w:sz w:val="21"/>
                <w:szCs w:val="21"/>
                <w:lang w:eastAsia="zh-CN"/>
              </w:rPr>
              <w:t>废气量</w:t>
            </w:r>
          </w:p>
        </w:tc>
        <w:tc>
          <w:tcPr>
            <w:tcW w:w="945" w:type="dxa"/>
            <w:vAlign w:val="center"/>
          </w:tcPr>
          <w:p>
            <w:pPr>
              <w:widowControl/>
              <w:jc w:val="center"/>
              <w:textAlignment w:val="center"/>
              <w:rPr>
                <w:rFonts w:hint="default" w:ascii="Times New Roman" w:hAnsi="Times New Roman" w:cs="Times New Roman"/>
                <w:bCs/>
                <w:color w:val="auto"/>
                <w:sz w:val="21"/>
                <w:szCs w:val="21"/>
                <w:vertAlign w:val="baseline"/>
                <w:lang w:val="en-US" w:eastAsia="zh-CN"/>
              </w:rPr>
            </w:pPr>
            <w:r>
              <w:rPr>
                <w:rFonts w:hint="default" w:ascii="Times New Roman" w:hAnsi="Times New Roman" w:cs="Times New Roman"/>
                <w:bCs/>
                <w:color w:val="auto"/>
                <w:sz w:val="21"/>
                <w:szCs w:val="21"/>
                <w:lang w:val="en-US" w:eastAsia="zh-CN"/>
              </w:rPr>
              <w:t>万m</w:t>
            </w:r>
            <w:r>
              <w:rPr>
                <w:rFonts w:hint="default" w:ascii="Times New Roman" w:hAnsi="Times New Roman" w:cs="Times New Roman"/>
                <w:bCs/>
                <w:color w:val="auto"/>
                <w:sz w:val="21"/>
                <w:szCs w:val="21"/>
                <w:vertAlign w:val="superscript"/>
                <w:lang w:val="en-US" w:eastAsia="zh-CN"/>
              </w:rPr>
              <w:t>3</w:t>
            </w:r>
            <w:r>
              <w:rPr>
                <w:rFonts w:hint="default" w:ascii="Times New Roman" w:hAnsi="Times New Roman" w:cs="Times New Roman"/>
                <w:bCs/>
                <w:color w:val="auto"/>
                <w:sz w:val="21"/>
                <w:szCs w:val="21"/>
                <w:vertAlign w:val="baseline"/>
                <w:lang w:val="en-US" w:eastAsia="zh-CN"/>
              </w:rPr>
              <w:t>/a</w:t>
            </w:r>
          </w:p>
        </w:tc>
        <w:tc>
          <w:tcPr>
            <w:tcW w:w="1200" w:type="dxa"/>
            <w:vAlign w:val="center"/>
          </w:tcPr>
          <w:p>
            <w:pPr>
              <w:widowControl/>
              <w:jc w:val="center"/>
              <w:textAlignment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105120</w:t>
            </w:r>
          </w:p>
        </w:tc>
        <w:tc>
          <w:tcPr>
            <w:tcW w:w="1044" w:type="dxa"/>
            <w:vAlign w:val="center"/>
          </w:tcPr>
          <w:p>
            <w:pPr>
              <w:widowControl/>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bCs/>
                <w:color w:val="auto"/>
                <w:sz w:val="21"/>
                <w:szCs w:val="21"/>
                <w:lang w:val="en-US" w:eastAsia="zh-CN"/>
              </w:rPr>
              <w:t>0</w:t>
            </w:r>
          </w:p>
        </w:tc>
        <w:tc>
          <w:tcPr>
            <w:tcW w:w="1260" w:type="dxa"/>
            <w:vAlign w:val="center"/>
          </w:tcPr>
          <w:p>
            <w:pPr>
              <w:widowControl/>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bCs/>
                <w:color w:val="auto"/>
                <w:sz w:val="21"/>
                <w:szCs w:val="21"/>
                <w:lang w:val="en-US" w:eastAsia="zh-CN"/>
              </w:rPr>
              <w:t>105120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745" w:type="dxa"/>
            <w:vMerge w:val="continue"/>
            <w:vAlign w:val="center"/>
          </w:tcPr>
          <w:p>
            <w:pPr>
              <w:jc w:val="center"/>
              <w:rPr>
                <w:rFonts w:hint="default" w:ascii="Times New Roman" w:hAnsi="Times New Roman" w:cs="Times New Roman"/>
                <w:bCs/>
                <w:color w:val="auto"/>
                <w:sz w:val="21"/>
                <w:szCs w:val="21"/>
              </w:rPr>
            </w:pPr>
          </w:p>
        </w:tc>
        <w:tc>
          <w:tcPr>
            <w:tcW w:w="1250" w:type="dxa"/>
            <w:vAlign w:val="center"/>
          </w:tcPr>
          <w:p>
            <w:pPr>
              <w:jc w:val="center"/>
              <w:rPr>
                <w:rFonts w:hint="default" w:ascii="Times New Roman" w:hAnsi="Times New Roman" w:eastAsia="宋体" w:cs="Times New Roman"/>
                <w:bCs/>
                <w:color w:val="auto"/>
                <w:sz w:val="21"/>
                <w:szCs w:val="21"/>
                <w:lang w:eastAsia="zh-CN"/>
              </w:rPr>
            </w:pPr>
            <w:r>
              <w:rPr>
                <w:rFonts w:hint="default" w:ascii="Times New Roman" w:hAnsi="Times New Roman" w:cs="Times New Roman"/>
                <w:bCs/>
                <w:color w:val="auto"/>
                <w:sz w:val="21"/>
                <w:szCs w:val="21"/>
              </w:rPr>
              <w:t>有机废气</w:t>
            </w:r>
            <w:r>
              <w:rPr>
                <w:rFonts w:hint="default" w:ascii="Times New Roman" w:hAnsi="Times New Roman" w:cs="Times New Roman"/>
                <w:bCs/>
                <w:color w:val="auto"/>
                <w:sz w:val="21"/>
                <w:szCs w:val="21"/>
                <w:lang w:eastAsia="zh-CN"/>
              </w:rPr>
              <w:t>（有组织）</w:t>
            </w:r>
          </w:p>
        </w:tc>
        <w:tc>
          <w:tcPr>
            <w:tcW w:w="1720" w:type="dxa"/>
            <w:vAlign w:val="center"/>
          </w:tcPr>
          <w:p>
            <w:pPr>
              <w:jc w:val="center"/>
              <w:rPr>
                <w:rFonts w:hint="default" w:ascii="Times New Roman" w:hAnsi="Times New Roman" w:eastAsia="宋体" w:cs="Times New Roman"/>
                <w:bCs/>
                <w:color w:val="auto"/>
                <w:sz w:val="21"/>
                <w:szCs w:val="21"/>
                <w:lang w:eastAsia="zh-CN"/>
              </w:rPr>
            </w:pPr>
            <w:r>
              <w:rPr>
                <w:rFonts w:hint="default" w:ascii="Times New Roman" w:hAnsi="Times New Roman" w:cs="Times New Roman"/>
                <w:bCs/>
                <w:color w:val="auto"/>
                <w:sz w:val="21"/>
                <w:szCs w:val="21"/>
                <w:lang w:eastAsia="zh-CN"/>
              </w:rPr>
              <w:t>非甲烷总烃</w:t>
            </w:r>
          </w:p>
        </w:tc>
        <w:tc>
          <w:tcPr>
            <w:tcW w:w="945" w:type="dxa"/>
            <w:vAlign w:val="center"/>
          </w:tcPr>
          <w:p>
            <w:pPr>
              <w:widowControl/>
              <w:jc w:val="center"/>
              <w:textAlignment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t/a</w:t>
            </w:r>
          </w:p>
        </w:tc>
        <w:tc>
          <w:tcPr>
            <w:tcW w:w="1200" w:type="dxa"/>
            <w:vAlign w:val="center"/>
          </w:tcPr>
          <w:p>
            <w:pPr>
              <w:widowControl/>
              <w:jc w:val="center"/>
              <w:textAlignment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3.133</w:t>
            </w:r>
          </w:p>
        </w:tc>
        <w:tc>
          <w:tcPr>
            <w:tcW w:w="1044" w:type="dxa"/>
            <w:vAlign w:val="center"/>
          </w:tcPr>
          <w:p>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1.88</w:t>
            </w:r>
          </w:p>
        </w:tc>
        <w:tc>
          <w:tcPr>
            <w:tcW w:w="1260" w:type="dxa"/>
            <w:vAlign w:val="center"/>
          </w:tcPr>
          <w:p>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1.253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2" w:hRule="atLeast"/>
          <w:jc w:val="center"/>
        </w:trPr>
        <w:tc>
          <w:tcPr>
            <w:tcW w:w="745" w:type="dxa"/>
            <w:vMerge w:val="continue"/>
            <w:vAlign w:val="center"/>
          </w:tcPr>
          <w:p>
            <w:pPr>
              <w:jc w:val="center"/>
              <w:rPr>
                <w:rFonts w:hint="default" w:ascii="Times New Roman" w:hAnsi="Times New Roman" w:cs="Times New Roman"/>
                <w:bCs/>
                <w:color w:val="auto"/>
                <w:sz w:val="21"/>
                <w:szCs w:val="21"/>
              </w:rPr>
            </w:pPr>
          </w:p>
        </w:tc>
        <w:tc>
          <w:tcPr>
            <w:tcW w:w="1250" w:type="dxa"/>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有机废气（无组织）</w:t>
            </w:r>
          </w:p>
        </w:tc>
        <w:tc>
          <w:tcPr>
            <w:tcW w:w="1720" w:type="dxa"/>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lang w:eastAsia="zh-CN"/>
              </w:rPr>
              <w:t>非甲烷总烃</w:t>
            </w:r>
          </w:p>
        </w:tc>
        <w:tc>
          <w:tcPr>
            <w:tcW w:w="945" w:type="dxa"/>
            <w:vAlign w:val="center"/>
          </w:tcPr>
          <w:p>
            <w:pPr>
              <w:widowControl/>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bCs/>
                <w:color w:val="auto"/>
                <w:sz w:val="21"/>
                <w:szCs w:val="21"/>
                <w:lang w:val="en-US" w:eastAsia="zh-CN"/>
              </w:rPr>
              <w:t>t/a</w:t>
            </w:r>
          </w:p>
        </w:tc>
        <w:tc>
          <w:tcPr>
            <w:tcW w:w="1200" w:type="dxa"/>
            <w:vAlign w:val="center"/>
          </w:tcPr>
          <w:p>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0.350</w:t>
            </w:r>
          </w:p>
        </w:tc>
        <w:tc>
          <w:tcPr>
            <w:tcW w:w="1044" w:type="dxa"/>
            <w:vAlign w:val="center"/>
          </w:tcPr>
          <w:p>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w:t>
            </w:r>
          </w:p>
        </w:tc>
        <w:tc>
          <w:tcPr>
            <w:tcW w:w="1260" w:type="dxa"/>
            <w:vAlign w:val="center"/>
          </w:tcPr>
          <w:p>
            <w:pPr>
              <w:widowControl/>
              <w:jc w:val="center"/>
              <w:rPr>
                <w:rFonts w:hint="default" w:ascii="Times New Roman" w:hAnsi="Times New Roman" w:cs="Times New Roman"/>
                <w:color w:val="auto"/>
                <w:kern w:val="0"/>
                <w:sz w:val="21"/>
                <w:szCs w:val="21"/>
                <w:lang w:val="en-US"/>
              </w:rPr>
            </w:pPr>
            <w:r>
              <w:rPr>
                <w:rFonts w:hint="default" w:ascii="Times New Roman" w:hAnsi="Times New Roman" w:cs="Times New Roman"/>
                <w:color w:val="auto"/>
                <w:kern w:val="0"/>
                <w:sz w:val="21"/>
                <w:szCs w:val="21"/>
                <w:lang w:val="en-US" w:eastAsia="zh-CN"/>
              </w:rPr>
              <w:t>0.350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2" w:hRule="atLeast"/>
          <w:jc w:val="center"/>
        </w:trPr>
        <w:tc>
          <w:tcPr>
            <w:tcW w:w="745" w:type="dxa"/>
            <w:vMerge w:val="continue"/>
            <w:vAlign w:val="center"/>
          </w:tcPr>
          <w:p>
            <w:pPr>
              <w:jc w:val="center"/>
              <w:rPr>
                <w:rFonts w:hint="default" w:ascii="Times New Roman" w:hAnsi="Times New Roman" w:cs="Times New Roman"/>
                <w:bCs/>
                <w:color w:val="auto"/>
                <w:sz w:val="21"/>
                <w:szCs w:val="21"/>
              </w:rPr>
            </w:pPr>
          </w:p>
        </w:tc>
        <w:tc>
          <w:tcPr>
            <w:tcW w:w="1250" w:type="dxa"/>
            <w:vAlign w:val="center"/>
          </w:tcPr>
          <w:p>
            <w:pPr>
              <w:jc w:val="center"/>
              <w:rPr>
                <w:rFonts w:hint="default" w:ascii="Times New Roman" w:hAnsi="Times New Roman" w:eastAsia="宋体" w:cs="Times New Roman"/>
                <w:bCs/>
                <w:color w:val="auto"/>
                <w:sz w:val="21"/>
                <w:szCs w:val="21"/>
                <w:lang w:eastAsia="zh-CN"/>
              </w:rPr>
            </w:pPr>
            <w:r>
              <w:rPr>
                <w:rFonts w:hint="default" w:ascii="Times New Roman" w:hAnsi="Times New Roman" w:cs="Times New Roman"/>
                <w:bCs/>
                <w:color w:val="auto"/>
                <w:sz w:val="21"/>
                <w:szCs w:val="21"/>
                <w:lang w:eastAsia="zh-CN"/>
              </w:rPr>
              <w:t>切片粉尘</w:t>
            </w:r>
          </w:p>
        </w:tc>
        <w:tc>
          <w:tcPr>
            <w:tcW w:w="1720" w:type="dxa"/>
            <w:vAlign w:val="center"/>
          </w:tcPr>
          <w:p>
            <w:pPr>
              <w:jc w:val="center"/>
              <w:rPr>
                <w:rFonts w:hint="default" w:ascii="Times New Roman" w:hAnsi="Times New Roman" w:cs="Times New Roman"/>
                <w:bCs/>
                <w:color w:val="auto"/>
                <w:sz w:val="21"/>
                <w:szCs w:val="21"/>
                <w:lang w:eastAsia="zh-CN"/>
              </w:rPr>
            </w:pPr>
            <w:r>
              <w:rPr>
                <w:rFonts w:hint="default" w:ascii="Times New Roman" w:hAnsi="Times New Roman" w:cs="Times New Roman"/>
                <w:bCs/>
                <w:color w:val="auto"/>
                <w:sz w:val="21"/>
                <w:szCs w:val="21"/>
                <w:lang w:eastAsia="zh-CN"/>
              </w:rPr>
              <w:t>颗粒物</w:t>
            </w:r>
          </w:p>
        </w:tc>
        <w:tc>
          <w:tcPr>
            <w:tcW w:w="945" w:type="dxa"/>
            <w:vAlign w:val="center"/>
          </w:tcPr>
          <w:p>
            <w:pPr>
              <w:widowControl/>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bCs/>
                <w:color w:val="auto"/>
                <w:sz w:val="21"/>
                <w:szCs w:val="21"/>
                <w:lang w:val="en-US" w:eastAsia="zh-CN"/>
              </w:rPr>
              <w:t>t/a</w:t>
            </w:r>
          </w:p>
        </w:tc>
        <w:tc>
          <w:tcPr>
            <w:tcW w:w="1200" w:type="dxa"/>
            <w:vAlign w:val="center"/>
          </w:tcPr>
          <w:p>
            <w:pPr>
              <w:widowControl/>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16.47</w:t>
            </w:r>
          </w:p>
        </w:tc>
        <w:tc>
          <w:tcPr>
            <w:tcW w:w="1044" w:type="dxa"/>
            <w:vAlign w:val="center"/>
          </w:tcPr>
          <w:p>
            <w:pPr>
              <w:widowControl/>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16.14</w:t>
            </w:r>
          </w:p>
        </w:tc>
        <w:tc>
          <w:tcPr>
            <w:tcW w:w="1260" w:type="dxa"/>
            <w:vAlign w:val="center"/>
          </w:tcPr>
          <w:p>
            <w:pPr>
              <w:widowControl/>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2" w:hRule="atLeast"/>
          <w:jc w:val="center"/>
        </w:trPr>
        <w:tc>
          <w:tcPr>
            <w:tcW w:w="745" w:type="dxa"/>
            <w:vMerge w:val="continue"/>
            <w:vAlign w:val="center"/>
          </w:tcPr>
          <w:p>
            <w:pPr>
              <w:jc w:val="center"/>
              <w:rPr>
                <w:rFonts w:hint="default" w:ascii="Times New Roman" w:hAnsi="Times New Roman" w:cs="Times New Roman"/>
                <w:bCs/>
                <w:color w:val="auto"/>
                <w:sz w:val="21"/>
                <w:szCs w:val="21"/>
              </w:rPr>
            </w:pPr>
          </w:p>
        </w:tc>
        <w:tc>
          <w:tcPr>
            <w:tcW w:w="1250" w:type="dxa"/>
            <w:vAlign w:val="center"/>
          </w:tcPr>
          <w:p>
            <w:pPr>
              <w:jc w:val="center"/>
              <w:rPr>
                <w:rFonts w:hint="default" w:ascii="Times New Roman" w:hAnsi="Times New Roman" w:eastAsia="宋体" w:cs="Times New Roman"/>
                <w:bCs/>
                <w:color w:val="auto"/>
                <w:sz w:val="21"/>
                <w:szCs w:val="21"/>
                <w:lang w:eastAsia="zh-CN"/>
              </w:rPr>
            </w:pPr>
            <w:r>
              <w:rPr>
                <w:rFonts w:hint="default" w:ascii="Times New Roman" w:hAnsi="Times New Roman" w:cs="Times New Roman"/>
                <w:bCs/>
                <w:color w:val="auto"/>
                <w:sz w:val="21"/>
                <w:szCs w:val="21"/>
                <w:lang w:eastAsia="zh-CN"/>
              </w:rPr>
              <w:t>酸洗废气</w:t>
            </w:r>
          </w:p>
        </w:tc>
        <w:tc>
          <w:tcPr>
            <w:tcW w:w="1720" w:type="dxa"/>
            <w:vAlign w:val="center"/>
          </w:tcPr>
          <w:p>
            <w:pPr>
              <w:jc w:val="center"/>
              <w:rPr>
                <w:rFonts w:hint="default" w:ascii="Times New Roman" w:hAnsi="Times New Roman" w:cs="Times New Roman"/>
                <w:bCs/>
                <w:color w:val="auto"/>
                <w:sz w:val="21"/>
                <w:szCs w:val="21"/>
                <w:lang w:eastAsia="zh-CN"/>
              </w:rPr>
            </w:pPr>
            <w:r>
              <w:rPr>
                <w:rFonts w:hint="default" w:ascii="Times New Roman" w:hAnsi="Times New Roman" w:cs="Times New Roman"/>
                <w:bCs/>
                <w:color w:val="auto"/>
                <w:sz w:val="21"/>
                <w:szCs w:val="21"/>
                <w:lang w:eastAsia="zh-CN"/>
              </w:rPr>
              <w:t>氟化物</w:t>
            </w:r>
          </w:p>
        </w:tc>
        <w:tc>
          <w:tcPr>
            <w:tcW w:w="945" w:type="dxa"/>
            <w:vAlign w:val="center"/>
          </w:tcPr>
          <w:p>
            <w:pPr>
              <w:widowControl/>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bCs/>
                <w:color w:val="auto"/>
                <w:sz w:val="21"/>
                <w:szCs w:val="21"/>
                <w:lang w:val="en-US" w:eastAsia="zh-CN"/>
              </w:rPr>
              <w:t>t/a</w:t>
            </w:r>
          </w:p>
        </w:tc>
        <w:tc>
          <w:tcPr>
            <w:tcW w:w="1200" w:type="dxa"/>
            <w:vAlign w:val="center"/>
          </w:tcPr>
          <w:p>
            <w:pPr>
              <w:widowControl/>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0.053</w:t>
            </w:r>
          </w:p>
        </w:tc>
        <w:tc>
          <w:tcPr>
            <w:tcW w:w="1044" w:type="dxa"/>
            <w:vAlign w:val="center"/>
          </w:tcPr>
          <w:p>
            <w:pPr>
              <w:widowControl/>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0.048</w:t>
            </w:r>
          </w:p>
        </w:tc>
        <w:tc>
          <w:tcPr>
            <w:tcW w:w="1260" w:type="dxa"/>
            <w:vAlign w:val="center"/>
          </w:tcPr>
          <w:p>
            <w:pPr>
              <w:widowControl/>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2" w:hRule="atLeast"/>
          <w:jc w:val="center"/>
        </w:trPr>
        <w:tc>
          <w:tcPr>
            <w:tcW w:w="745" w:type="dxa"/>
            <w:vMerge w:val="continue"/>
            <w:vAlign w:val="center"/>
          </w:tcPr>
          <w:p>
            <w:pPr>
              <w:jc w:val="center"/>
              <w:rPr>
                <w:rFonts w:hint="default" w:ascii="Times New Roman" w:hAnsi="Times New Roman" w:cs="Times New Roman"/>
                <w:bCs/>
                <w:color w:val="auto"/>
                <w:sz w:val="21"/>
                <w:szCs w:val="21"/>
              </w:rPr>
            </w:pPr>
          </w:p>
        </w:tc>
        <w:tc>
          <w:tcPr>
            <w:tcW w:w="1250" w:type="dxa"/>
            <w:vMerge w:val="restart"/>
            <w:vAlign w:val="center"/>
          </w:tcPr>
          <w:p>
            <w:pPr>
              <w:jc w:val="center"/>
              <w:rPr>
                <w:rFonts w:hint="default" w:ascii="Times New Roman" w:hAnsi="Times New Roman" w:eastAsia="宋体" w:cs="Times New Roman"/>
                <w:bCs/>
                <w:color w:val="auto"/>
                <w:sz w:val="21"/>
                <w:szCs w:val="21"/>
                <w:lang w:eastAsia="zh-CN"/>
              </w:rPr>
            </w:pPr>
            <w:r>
              <w:rPr>
                <w:rFonts w:hint="default" w:ascii="Times New Roman" w:hAnsi="Times New Roman" w:cs="Times New Roman"/>
                <w:bCs/>
                <w:color w:val="auto"/>
                <w:sz w:val="21"/>
                <w:szCs w:val="21"/>
                <w:lang w:eastAsia="zh-CN"/>
              </w:rPr>
              <w:t>污水处理站恶臭</w:t>
            </w:r>
          </w:p>
        </w:tc>
        <w:tc>
          <w:tcPr>
            <w:tcW w:w="1720" w:type="dxa"/>
            <w:vAlign w:val="center"/>
          </w:tcPr>
          <w:p>
            <w:pPr>
              <w:jc w:val="center"/>
              <w:rPr>
                <w:rFonts w:hint="default" w:ascii="Times New Roman" w:hAnsi="Times New Roman" w:cs="Times New Roman"/>
                <w:bCs/>
                <w:color w:val="auto"/>
                <w:sz w:val="21"/>
                <w:szCs w:val="21"/>
                <w:lang w:eastAsia="zh-CN"/>
              </w:rPr>
            </w:pPr>
            <w:r>
              <w:rPr>
                <w:rFonts w:hint="default" w:ascii="Times New Roman" w:hAnsi="Times New Roman" w:cs="Times New Roman"/>
                <w:bCs/>
                <w:color w:val="auto"/>
                <w:sz w:val="21"/>
                <w:szCs w:val="21"/>
                <w:lang w:eastAsia="zh-CN"/>
              </w:rPr>
              <w:t>氨</w:t>
            </w:r>
          </w:p>
        </w:tc>
        <w:tc>
          <w:tcPr>
            <w:tcW w:w="945" w:type="dxa"/>
            <w:vAlign w:val="center"/>
          </w:tcPr>
          <w:p>
            <w:pPr>
              <w:widowControl/>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bCs/>
                <w:color w:val="auto"/>
                <w:sz w:val="21"/>
                <w:szCs w:val="21"/>
                <w:lang w:val="en-US" w:eastAsia="zh-CN"/>
              </w:rPr>
              <w:t>t/a</w:t>
            </w:r>
          </w:p>
        </w:tc>
        <w:tc>
          <w:tcPr>
            <w:tcW w:w="1200" w:type="dxa"/>
            <w:vAlign w:val="center"/>
          </w:tcPr>
          <w:p>
            <w:pPr>
              <w:widowControl/>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0.483</w:t>
            </w:r>
          </w:p>
        </w:tc>
        <w:tc>
          <w:tcPr>
            <w:tcW w:w="1044" w:type="dxa"/>
            <w:vAlign w:val="center"/>
          </w:tcPr>
          <w:p>
            <w:pPr>
              <w:widowControl/>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0.29</w:t>
            </w:r>
          </w:p>
        </w:tc>
        <w:tc>
          <w:tcPr>
            <w:tcW w:w="1260" w:type="dxa"/>
            <w:vAlign w:val="center"/>
          </w:tcPr>
          <w:p>
            <w:pPr>
              <w:widowControl/>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0.193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2" w:hRule="atLeast"/>
          <w:jc w:val="center"/>
        </w:trPr>
        <w:tc>
          <w:tcPr>
            <w:tcW w:w="745" w:type="dxa"/>
            <w:vMerge w:val="continue"/>
            <w:vAlign w:val="center"/>
          </w:tcPr>
          <w:p>
            <w:pPr>
              <w:jc w:val="center"/>
              <w:rPr>
                <w:rFonts w:hint="default" w:ascii="Times New Roman" w:hAnsi="Times New Roman" w:cs="Times New Roman"/>
                <w:bCs/>
                <w:color w:val="auto"/>
                <w:sz w:val="21"/>
                <w:szCs w:val="21"/>
              </w:rPr>
            </w:pPr>
          </w:p>
        </w:tc>
        <w:tc>
          <w:tcPr>
            <w:tcW w:w="1250" w:type="dxa"/>
            <w:vMerge w:val="continue"/>
            <w:vAlign w:val="center"/>
          </w:tcPr>
          <w:p>
            <w:pPr>
              <w:jc w:val="center"/>
              <w:rPr>
                <w:rFonts w:hint="default" w:ascii="Times New Roman" w:hAnsi="Times New Roman" w:cs="Times New Roman"/>
                <w:bCs/>
                <w:color w:val="auto"/>
                <w:sz w:val="21"/>
                <w:szCs w:val="21"/>
              </w:rPr>
            </w:pPr>
          </w:p>
        </w:tc>
        <w:tc>
          <w:tcPr>
            <w:tcW w:w="1720" w:type="dxa"/>
            <w:vAlign w:val="center"/>
          </w:tcPr>
          <w:p>
            <w:pPr>
              <w:jc w:val="center"/>
              <w:rPr>
                <w:rFonts w:hint="default" w:ascii="Times New Roman" w:hAnsi="Times New Roman" w:cs="Times New Roman"/>
                <w:bCs/>
                <w:color w:val="auto"/>
                <w:sz w:val="21"/>
                <w:szCs w:val="21"/>
                <w:lang w:eastAsia="zh-CN"/>
              </w:rPr>
            </w:pPr>
            <w:r>
              <w:rPr>
                <w:rFonts w:hint="default" w:ascii="Times New Roman" w:hAnsi="Times New Roman" w:cs="Times New Roman"/>
                <w:bCs/>
                <w:color w:val="auto"/>
                <w:sz w:val="21"/>
                <w:szCs w:val="21"/>
                <w:lang w:eastAsia="zh-CN"/>
              </w:rPr>
              <w:t>硫化氢</w:t>
            </w:r>
          </w:p>
        </w:tc>
        <w:tc>
          <w:tcPr>
            <w:tcW w:w="945" w:type="dxa"/>
            <w:vAlign w:val="center"/>
          </w:tcPr>
          <w:p>
            <w:pPr>
              <w:widowControl/>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bCs/>
                <w:color w:val="auto"/>
                <w:sz w:val="21"/>
                <w:szCs w:val="21"/>
                <w:lang w:val="en-US" w:eastAsia="zh-CN"/>
              </w:rPr>
              <w:t>t/a</w:t>
            </w:r>
          </w:p>
        </w:tc>
        <w:tc>
          <w:tcPr>
            <w:tcW w:w="1200" w:type="dxa"/>
            <w:vAlign w:val="center"/>
          </w:tcPr>
          <w:p>
            <w:pPr>
              <w:widowControl/>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0.02</w:t>
            </w:r>
          </w:p>
        </w:tc>
        <w:tc>
          <w:tcPr>
            <w:tcW w:w="1044" w:type="dxa"/>
            <w:vAlign w:val="center"/>
          </w:tcPr>
          <w:p>
            <w:pPr>
              <w:widowControl/>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0.018</w:t>
            </w:r>
          </w:p>
        </w:tc>
        <w:tc>
          <w:tcPr>
            <w:tcW w:w="1260" w:type="dxa"/>
            <w:vAlign w:val="center"/>
          </w:tcPr>
          <w:p>
            <w:pPr>
              <w:widowControl/>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0.002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2" w:hRule="atLeast"/>
          <w:jc w:val="center"/>
        </w:trPr>
        <w:tc>
          <w:tcPr>
            <w:tcW w:w="745" w:type="dxa"/>
            <w:vMerge w:val="restart"/>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废水</w:t>
            </w:r>
          </w:p>
        </w:tc>
        <w:tc>
          <w:tcPr>
            <w:tcW w:w="1250" w:type="dxa"/>
            <w:vMerge w:val="restart"/>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生产废水、生活废水</w:t>
            </w:r>
          </w:p>
        </w:tc>
        <w:tc>
          <w:tcPr>
            <w:tcW w:w="1720" w:type="dxa"/>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废水量</w:t>
            </w:r>
          </w:p>
        </w:tc>
        <w:tc>
          <w:tcPr>
            <w:tcW w:w="945"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bCs/>
                <w:color w:val="auto"/>
                <w:sz w:val="21"/>
                <w:szCs w:val="21"/>
                <w:lang w:val="en-US" w:eastAsia="zh-CN"/>
              </w:rPr>
              <w:t>万m</w:t>
            </w:r>
            <w:r>
              <w:rPr>
                <w:rFonts w:hint="default" w:ascii="Times New Roman" w:hAnsi="Times New Roman" w:cs="Times New Roman"/>
                <w:bCs/>
                <w:color w:val="auto"/>
                <w:sz w:val="21"/>
                <w:szCs w:val="21"/>
                <w:vertAlign w:val="superscript"/>
                <w:lang w:val="en-US" w:eastAsia="zh-CN"/>
              </w:rPr>
              <w:t>3</w:t>
            </w:r>
            <w:r>
              <w:rPr>
                <w:rFonts w:hint="default" w:ascii="Times New Roman" w:hAnsi="Times New Roman" w:cs="Times New Roman"/>
                <w:bCs/>
                <w:color w:val="auto"/>
                <w:sz w:val="21"/>
                <w:szCs w:val="21"/>
                <w:vertAlign w:val="baseline"/>
                <w:lang w:val="en-US" w:eastAsia="zh-CN"/>
              </w:rPr>
              <w:t>/a</w:t>
            </w:r>
          </w:p>
        </w:tc>
        <w:tc>
          <w:tcPr>
            <w:tcW w:w="1200" w:type="dxa"/>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54.11</w:t>
            </w:r>
          </w:p>
        </w:tc>
        <w:tc>
          <w:tcPr>
            <w:tcW w:w="1044" w:type="dxa"/>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c>
          <w:tcPr>
            <w:tcW w:w="1260" w:type="dxa"/>
            <w:vAlign w:val="center"/>
          </w:tcPr>
          <w:p>
            <w:pPr>
              <w:jc w:val="center"/>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lang w:val="en-US" w:eastAsia="zh-CN"/>
              </w:rPr>
              <w:t>54.11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2" w:hRule="atLeast"/>
          <w:jc w:val="center"/>
        </w:trPr>
        <w:tc>
          <w:tcPr>
            <w:tcW w:w="745" w:type="dxa"/>
            <w:vMerge w:val="continue"/>
            <w:vAlign w:val="center"/>
          </w:tcPr>
          <w:p>
            <w:pPr>
              <w:jc w:val="center"/>
              <w:rPr>
                <w:rFonts w:hint="default" w:ascii="Times New Roman" w:hAnsi="Times New Roman" w:cs="Times New Roman"/>
                <w:bCs/>
                <w:color w:val="auto"/>
                <w:sz w:val="21"/>
                <w:szCs w:val="21"/>
              </w:rPr>
            </w:pPr>
          </w:p>
        </w:tc>
        <w:tc>
          <w:tcPr>
            <w:tcW w:w="1250" w:type="dxa"/>
            <w:vMerge w:val="continue"/>
            <w:vAlign w:val="center"/>
          </w:tcPr>
          <w:p>
            <w:pPr>
              <w:jc w:val="center"/>
              <w:rPr>
                <w:rFonts w:hint="default" w:ascii="Times New Roman" w:hAnsi="Times New Roman" w:cs="Times New Roman"/>
                <w:bCs/>
                <w:color w:val="auto"/>
                <w:sz w:val="21"/>
                <w:szCs w:val="21"/>
              </w:rPr>
            </w:pPr>
          </w:p>
        </w:tc>
        <w:tc>
          <w:tcPr>
            <w:tcW w:w="1720" w:type="dxa"/>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COD</w:t>
            </w:r>
          </w:p>
        </w:tc>
        <w:tc>
          <w:tcPr>
            <w:tcW w:w="945"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bCs/>
                <w:color w:val="auto"/>
                <w:sz w:val="21"/>
                <w:szCs w:val="21"/>
                <w:lang w:val="en-US" w:eastAsia="zh-CN"/>
              </w:rPr>
              <w:t>t/a</w:t>
            </w:r>
          </w:p>
        </w:tc>
        <w:tc>
          <w:tcPr>
            <w:tcW w:w="1200"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561.09</w:t>
            </w:r>
          </w:p>
        </w:tc>
        <w:tc>
          <w:tcPr>
            <w:tcW w:w="1044"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513.05</w:t>
            </w:r>
          </w:p>
        </w:tc>
        <w:tc>
          <w:tcPr>
            <w:tcW w:w="1260"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48.04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2" w:hRule="atLeast"/>
          <w:jc w:val="center"/>
        </w:trPr>
        <w:tc>
          <w:tcPr>
            <w:tcW w:w="745" w:type="dxa"/>
            <w:vMerge w:val="continue"/>
            <w:vAlign w:val="center"/>
          </w:tcPr>
          <w:p>
            <w:pPr>
              <w:jc w:val="center"/>
              <w:rPr>
                <w:rFonts w:hint="default" w:ascii="Times New Roman" w:hAnsi="Times New Roman" w:cs="Times New Roman"/>
                <w:bCs/>
                <w:color w:val="auto"/>
                <w:sz w:val="21"/>
                <w:szCs w:val="21"/>
              </w:rPr>
            </w:pPr>
          </w:p>
        </w:tc>
        <w:tc>
          <w:tcPr>
            <w:tcW w:w="1250" w:type="dxa"/>
            <w:vMerge w:val="continue"/>
            <w:vAlign w:val="center"/>
          </w:tcPr>
          <w:p>
            <w:pPr>
              <w:jc w:val="center"/>
              <w:rPr>
                <w:rFonts w:hint="default" w:ascii="Times New Roman" w:hAnsi="Times New Roman" w:cs="Times New Roman"/>
                <w:bCs/>
                <w:color w:val="auto"/>
                <w:sz w:val="21"/>
                <w:szCs w:val="21"/>
              </w:rPr>
            </w:pPr>
          </w:p>
        </w:tc>
        <w:tc>
          <w:tcPr>
            <w:tcW w:w="1720" w:type="dxa"/>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BOD</w:t>
            </w:r>
            <w:r>
              <w:rPr>
                <w:rFonts w:hint="default" w:ascii="Times New Roman" w:hAnsi="Times New Roman" w:cs="Times New Roman"/>
                <w:bCs/>
                <w:color w:val="auto"/>
                <w:sz w:val="21"/>
                <w:szCs w:val="21"/>
                <w:vertAlign w:val="subscript"/>
              </w:rPr>
              <w:t>5</w:t>
            </w:r>
          </w:p>
        </w:tc>
        <w:tc>
          <w:tcPr>
            <w:tcW w:w="945"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bCs/>
                <w:color w:val="auto"/>
                <w:sz w:val="21"/>
                <w:szCs w:val="21"/>
                <w:lang w:val="en-US" w:eastAsia="zh-CN"/>
              </w:rPr>
              <w:t>t/a</w:t>
            </w:r>
          </w:p>
        </w:tc>
        <w:tc>
          <w:tcPr>
            <w:tcW w:w="1200"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182.52</w:t>
            </w:r>
          </w:p>
        </w:tc>
        <w:tc>
          <w:tcPr>
            <w:tcW w:w="1044"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163.02</w:t>
            </w:r>
          </w:p>
        </w:tc>
        <w:tc>
          <w:tcPr>
            <w:tcW w:w="1260"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19.50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2" w:hRule="atLeast"/>
          <w:jc w:val="center"/>
        </w:trPr>
        <w:tc>
          <w:tcPr>
            <w:tcW w:w="745" w:type="dxa"/>
            <w:vMerge w:val="continue"/>
            <w:vAlign w:val="center"/>
          </w:tcPr>
          <w:p>
            <w:pPr>
              <w:jc w:val="center"/>
              <w:rPr>
                <w:rFonts w:hint="default" w:ascii="Times New Roman" w:hAnsi="Times New Roman" w:cs="Times New Roman"/>
                <w:bCs/>
                <w:color w:val="auto"/>
                <w:sz w:val="21"/>
                <w:szCs w:val="21"/>
              </w:rPr>
            </w:pPr>
          </w:p>
        </w:tc>
        <w:tc>
          <w:tcPr>
            <w:tcW w:w="1250" w:type="dxa"/>
            <w:vMerge w:val="continue"/>
            <w:vAlign w:val="center"/>
          </w:tcPr>
          <w:p>
            <w:pPr>
              <w:jc w:val="center"/>
              <w:rPr>
                <w:rFonts w:hint="default" w:ascii="Times New Roman" w:hAnsi="Times New Roman" w:cs="Times New Roman"/>
                <w:bCs/>
                <w:color w:val="auto"/>
                <w:sz w:val="21"/>
                <w:szCs w:val="21"/>
              </w:rPr>
            </w:pPr>
          </w:p>
        </w:tc>
        <w:tc>
          <w:tcPr>
            <w:tcW w:w="1720" w:type="dxa"/>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SS</w:t>
            </w:r>
          </w:p>
        </w:tc>
        <w:tc>
          <w:tcPr>
            <w:tcW w:w="945"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bCs/>
                <w:color w:val="auto"/>
                <w:sz w:val="21"/>
                <w:szCs w:val="21"/>
                <w:lang w:val="en-US" w:eastAsia="zh-CN"/>
              </w:rPr>
              <w:t>t/a</w:t>
            </w:r>
          </w:p>
        </w:tc>
        <w:tc>
          <w:tcPr>
            <w:tcW w:w="1200"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100.07</w:t>
            </w:r>
          </w:p>
        </w:tc>
        <w:tc>
          <w:tcPr>
            <w:tcW w:w="1044"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85.12</w:t>
            </w:r>
          </w:p>
        </w:tc>
        <w:tc>
          <w:tcPr>
            <w:tcW w:w="1260"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14.95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2" w:hRule="atLeast"/>
          <w:jc w:val="center"/>
        </w:trPr>
        <w:tc>
          <w:tcPr>
            <w:tcW w:w="745" w:type="dxa"/>
            <w:vMerge w:val="continue"/>
            <w:vAlign w:val="center"/>
          </w:tcPr>
          <w:p>
            <w:pPr>
              <w:jc w:val="center"/>
              <w:rPr>
                <w:rFonts w:hint="default" w:ascii="Times New Roman" w:hAnsi="Times New Roman" w:cs="Times New Roman"/>
                <w:bCs/>
                <w:color w:val="auto"/>
                <w:sz w:val="21"/>
                <w:szCs w:val="21"/>
              </w:rPr>
            </w:pPr>
          </w:p>
        </w:tc>
        <w:tc>
          <w:tcPr>
            <w:tcW w:w="1250" w:type="dxa"/>
            <w:vMerge w:val="continue"/>
            <w:vAlign w:val="center"/>
          </w:tcPr>
          <w:p>
            <w:pPr>
              <w:jc w:val="center"/>
              <w:rPr>
                <w:rFonts w:hint="default" w:ascii="Times New Roman" w:hAnsi="Times New Roman" w:cs="Times New Roman"/>
                <w:bCs/>
                <w:color w:val="auto"/>
                <w:sz w:val="21"/>
                <w:szCs w:val="21"/>
              </w:rPr>
            </w:pPr>
          </w:p>
        </w:tc>
        <w:tc>
          <w:tcPr>
            <w:tcW w:w="1720" w:type="dxa"/>
            <w:vAlign w:val="center"/>
          </w:tcPr>
          <w:p>
            <w:pPr>
              <w:jc w:val="center"/>
              <w:rPr>
                <w:rFonts w:hint="default" w:ascii="Times New Roman" w:hAnsi="Times New Roman" w:eastAsia="宋体" w:cs="Times New Roman"/>
                <w:bCs/>
                <w:color w:val="auto"/>
                <w:sz w:val="21"/>
                <w:szCs w:val="21"/>
                <w:lang w:eastAsia="zh-CN"/>
              </w:rPr>
            </w:pPr>
            <w:r>
              <w:rPr>
                <w:rFonts w:hint="default" w:ascii="Times New Roman" w:hAnsi="Times New Roman" w:cs="Times New Roman"/>
                <w:bCs/>
                <w:color w:val="auto"/>
                <w:sz w:val="21"/>
                <w:szCs w:val="21"/>
                <w:lang w:eastAsia="zh-CN"/>
              </w:rPr>
              <w:t>阴离子表面活性剂</w:t>
            </w:r>
          </w:p>
        </w:tc>
        <w:tc>
          <w:tcPr>
            <w:tcW w:w="945"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bCs/>
                <w:color w:val="auto"/>
                <w:sz w:val="21"/>
                <w:szCs w:val="21"/>
                <w:lang w:val="en-US" w:eastAsia="zh-CN"/>
              </w:rPr>
              <w:t>t/a</w:t>
            </w:r>
          </w:p>
        </w:tc>
        <w:tc>
          <w:tcPr>
            <w:tcW w:w="1200"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38.06</w:t>
            </w:r>
          </w:p>
        </w:tc>
        <w:tc>
          <w:tcPr>
            <w:tcW w:w="1044"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34.25</w:t>
            </w:r>
          </w:p>
        </w:tc>
        <w:tc>
          <w:tcPr>
            <w:tcW w:w="1260"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3.81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2" w:hRule="atLeast"/>
          <w:jc w:val="center"/>
        </w:trPr>
        <w:tc>
          <w:tcPr>
            <w:tcW w:w="745" w:type="dxa"/>
            <w:vMerge w:val="continue"/>
            <w:vAlign w:val="center"/>
          </w:tcPr>
          <w:p>
            <w:pPr>
              <w:jc w:val="center"/>
              <w:rPr>
                <w:rFonts w:hint="default" w:ascii="Times New Roman" w:hAnsi="Times New Roman" w:eastAsia="宋体" w:cs="Times New Roman"/>
                <w:bCs/>
                <w:color w:val="auto"/>
                <w:sz w:val="21"/>
                <w:szCs w:val="21"/>
                <w:lang w:eastAsia="zh-CN"/>
              </w:rPr>
            </w:pPr>
          </w:p>
        </w:tc>
        <w:tc>
          <w:tcPr>
            <w:tcW w:w="1250" w:type="dxa"/>
            <w:vMerge w:val="continue"/>
            <w:vAlign w:val="center"/>
          </w:tcPr>
          <w:p>
            <w:pPr>
              <w:jc w:val="center"/>
              <w:rPr>
                <w:rFonts w:hint="default" w:ascii="Times New Roman" w:hAnsi="Times New Roman" w:cs="Times New Roman"/>
                <w:bCs/>
                <w:color w:val="auto"/>
                <w:sz w:val="21"/>
                <w:szCs w:val="21"/>
              </w:rPr>
            </w:pPr>
          </w:p>
        </w:tc>
        <w:tc>
          <w:tcPr>
            <w:tcW w:w="1720" w:type="dxa"/>
            <w:vAlign w:val="center"/>
          </w:tcPr>
          <w:p>
            <w:pPr>
              <w:jc w:val="center"/>
              <w:rPr>
                <w:rFonts w:hint="default" w:ascii="Times New Roman" w:hAnsi="Times New Roman" w:cs="Times New Roman"/>
                <w:bCs/>
                <w:color w:val="auto"/>
                <w:sz w:val="21"/>
                <w:szCs w:val="21"/>
                <w:lang w:eastAsia="zh-CN"/>
              </w:rPr>
            </w:pPr>
            <w:r>
              <w:rPr>
                <w:rFonts w:hint="default" w:ascii="Times New Roman" w:hAnsi="Times New Roman" w:cs="Times New Roman"/>
                <w:bCs/>
                <w:color w:val="auto"/>
                <w:sz w:val="21"/>
                <w:szCs w:val="21"/>
                <w:lang w:eastAsia="zh-CN"/>
              </w:rPr>
              <w:t>氟化物</w:t>
            </w:r>
          </w:p>
        </w:tc>
        <w:tc>
          <w:tcPr>
            <w:tcW w:w="945"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bCs/>
                <w:color w:val="auto"/>
                <w:sz w:val="21"/>
                <w:szCs w:val="21"/>
                <w:lang w:val="en-US" w:eastAsia="zh-CN"/>
              </w:rPr>
              <w:t>t/a</w:t>
            </w:r>
          </w:p>
        </w:tc>
        <w:tc>
          <w:tcPr>
            <w:tcW w:w="1200"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0.058</w:t>
            </w:r>
          </w:p>
        </w:tc>
        <w:tc>
          <w:tcPr>
            <w:tcW w:w="1044"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0.054</w:t>
            </w:r>
          </w:p>
        </w:tc>
        <w:tc>
          <w:tcPr>
            <w:tcW w:w="1260"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0.004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2" w:hRule="atLeast"/>
          <w:jc w:val="center"/>
        </w:trPr>
        <w:tc>
          <w:tcPr>
            <w:tcW w:w="745" w:type="dxa"/>
            <w:vMerge w:val="restart"/>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固废</w:t>
            </w:r>
          </w:p>
        </w:tc>
        <w:tc>
          <w:tcPr>
            <w:tcW w:w="1250" w:type="dxa"/>
            <w:vMerge w:val="restart"/>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危险废物</w:t>
            </w:r>
          </w:p>
        </w:tc>
        <w:tc>
          <w:tcPr>
            <w:tcW w:w="1720" w:type="dxa"/>
            <w:vAlign w:val="center"/>
          </w:tcPr>
          <w:p>
            <w:pPr>
              <w:jc w:val="center"/>
              <w:rPr>
                <w:rFonts w:hint="default" w:ascii="Times New Roman" w:hAnsi="Times New Roman" w:eastAsia="宋体" w:cs="Times New Roman"/>
                <w:bCs/>
                <w:color w:val="auto"/>
                <w:sz w:val="21"/>
                <w:szCs w:val="21"/>
                <w:lang w:eastAsia="zh-CN"/>
              </w:rPr>
            </w:pPr>
            <w:r>
              <w:rPr>
                <w:rFonts w:hint="default" w:ascii="Times New Roman" w:hAnsi="Times New Roman" w:cs="Times New Roman"/>
                <w:bCs/>
                <w:color w:val="auto"/>
                <w:sz w:val="21"/>
                <w:szCs w:val="21"/>
                <w:lang w:eastAsia="zh-CN"/>
              </w:rPr>
              <w:t>废胶</w:t>
            </w:r>
          </w:p>
        </w:tc>
        <w:tc>
          <w:tcPr>
            <w:tcW w:w="945"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bCs/>
                <w:color w:val="auto"/>
                <w:sz w:val="21"/>
                <w:szCs w:val="21"/>
                <w:lang w:val="en-US" w:eastAsia="zh-CN"/>
              </w:rPr>
              <w:t>t/a</w:t>
            </w:r>
          </w:p>
        </w:tc>
        <w:tc>
          <w:tcPr>
            <w:tcW w:w="1200" w:type="dxa"/>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76.5</w:t>
            </w:r>
          </w:p>
        </w:tc>
        <w:tc>
          <w:tcPr>
            <w:tcW w:w="1044" w:type="dxa"/>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76.5</w:t>
            </w:r>
          </w:p>
        </w:tc>
        <w:tc>
          <w:tcPr>
            <w:tcW w:w="1260" w:type="dxa"/>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2" w:hRule="atLeast"/>
          <w:jc w:val="center"/>
        </w:trPr>
        <w:tc>
          <w:tcPr>
            <w:tcW w:w="745" w:type="dxa"/>
            <w:vMerge w:val="continue"/>
            <w:vAlign w:val="center"/>
          </w:tcPr>
          <w:p>
            <w:pPr>
              <w:jc w:val="center"/>
              <w:rPr>
                <w:rFonts w:hint="default" w:ascii="Times New Roman" w:hAnsi="Times New Roman" w:cs="Times New Roman"/>
                <w:bCs/>
                <w:color w:val="auto"/>
                <w:sz w:val="21"/>
                <w:szCs w:val="21"/>
              </w:rPr>
            </w:pPr>
          </w:p>
        </w:tc>
        <w:tc>
          <w:tcPr>
            <w:tcW w:w="1250" w:type="dxa"/>
            <w:vMerge w:val="continue"/>
            <w:vAlign w:val="center"/>
          </w:tcPr>
          <w:p>
            <w:pPr>
              <w:jc w:val="center"/>
              <w:rPr>
                <w:rFonts w:hint="default" w:ascii="Times New Roman" w:hAnsi="Times New Roman" w:cs="Times New Roman"/>
                <w:bCs/>
                <w:color w:val="auto"/>
                <w:sz w:val="21"/>
                <w:szCs w:val="21"/>
              </w:rPr>
            </w:pPr>
          </w:p>
        </w:tc>
        <w:tc>
          <w:tcPr>
            <w:tcW w:w="1720" w:type="dxa"/>
            <w:vAlign w:val="center"/>
          </w:tcPr>
          <w:p>
            <w:pPr>
              <w:jc w:val="center"/>
              <w:rPr>
                <w:rFonts w:hint="default" w:ascii="Times New Roman" w:hAnsi="Times New Roman" w:eastAsia="宋体" w:cs="Times New Roman"/>
                <w:bCs/>
                <w:color w:val="auto"/>
                <w:sz w:val="21"/>
                <w:szCs w:val="21"/>
                <w:lang w:eastAsia="zh-CN"/>
              </w:rPr>
            </w:pPr>
            <w:r>
              <w:rPr>
                <w:rFonts w:hint="default" w:ascii="Times New Roman" w:hAnsi="Times New Roman" w:cs="Times New Roman"/>
                <w:bCs/>
                <w:color w:val="auto"/>
                <w:sz w:val="21"/>
                <w:szCs w:val="21"/>
                <w:lang w:eastAsia="zh-CN"/>
              </w:rPr>
              <w:t>废活性炭</w:t>
            </w:r>
          </w:p>
        </w:tc>
        <w:tc>
          <w:tcPr>
            <w:tcW w:w="945"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bCs/>
                <w:color w:val="auto"/>
                <w:sz w:val="21"/>
                <w:szCs w:val="21"/>
                <w:lang w:val="en-US" w:eastAsia="zh-CN"/>
              </w:rPr>
              <w:t>t/a</w:t>
            </w:r>
          </w:p>
        </w:tc>
        <w:tc>
          <w:tcPr>
            <w:tcW w:w="1200" w:type="dxa"/>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6.23</w:t>
            </w:r>
          </w:p>
        </w:tc>
        <w:tc>
          <w:tcPr>
            <w:tcW w:w="1044" w:type="dxa"/>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6.23</w:t>
            </w:r>
          </w:p>
        </w:tc>
        <w:tc>
          <w:tcPr>
            <w:tcW w:w="1260" w:type="dxa"/>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2" w:hRule="atLeast"/>
          <w:jc w:val="center"/>
        </w:trPr>
        <w:tc>
          <w:tcPr>
            <w:tcW w:w="745" w:type="dxa"/>
            <w:vMerge w:val="continue"/>
            <w:vAlign w:val="center"/>
          </w:tcPr>
          <w:p>
            <w:pPr>
              <w:jc w:val="center"/>
              <w:rPr>
                <w:rFonts w:hint="default" w:ascii="Times New Roman" w:hAnsi="Times New Roman" w:cs="Times New Roman"/>
                <w:bCs/>
                <w:color w:val="auto"/>
                <w:sz w:val="21"/>
                <w:szCs w:val="21"/>
              </w:rPr>
            </w:pPr>
          </w:p>
        </w:tc>
        <w:tc>
          <w:tcPr>
            <w:tcW w:w="1250" w:type="dxa"/>
            <w:vMerge w:val="restart"/>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一般固废</w:t>
            </w:r>
          </w:p>
        </w:tc>
        <w:tc>
          <w:tcPr>
            <w:tcW w:w="1720" w:type="dxa"/>
            <w:vAlign w:val="center"/>
          </w:tcPr>
          <w:p>
            <w:pPr>
              <w:jc w:val="center"/>
              <w:rPr>
                <w:rFonts w:hint="default" w:ascii="Times New Roman" w:hAnsi="Times New Roman" w:eastAsia="宋体" w:cs="Times New Roman"/>
                <w:bCs/>
                <w:color w:val="auto"/>
                <w:sz w:val="21"/>
                <w:szCs w:val="21"/>
                <w:lang w:eastAsia="zh-CN"/>
              </w:rPr>
            </w:pPr>
            <w:r>
              <w:rPr>
                <w:rFonts w:hint="default" w:ascii="Times New Roman" w:hAnsi="Times New Roman" w:cs="Times New Roman"/>
                <w:bCs/>
                <w:color w:val="auto"/>
                <w:sz w:val="21"/>
                <w:szCs w:val="21"/>
                <w:lang w:eastAsia="zh-CN"/>
              </w:rPr>
              <w:t>废金刚线</w:t>
            </w:r>
          </w:p>
        </w:tc>
        <w:tc>
          <w:tcPr>
            <w:tcW w:w="945"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bCs/>
                <w:color w:val="auto"/>
                <w:sz w:val="21"/>
                <w:szCs w:val="21"/>
                <w:lang w:val="en-US" w:eastAsia="zh-CN"/>
              </w:rPr>
              <w:t>t/a</w:t>
            </w:r>
          </w:p>
        </w:tc>
        <w:tc>
          <w:tcPr>
            <w:tcW w:w="1200" w:type="dxa"/>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886.95</w:t>
            </w:r>
          </w:p>
        </w:tc>
        <w:tc>
          <w:tcPr>
            <w:tcW w:w="1044" w:type="dxa"/>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886.95</w:t>
            </w:r>
          </w:p>
        </w:tc>
        <w:tc>
          <w:tcPr>
            <w:tcW w:w="1260" w:type="dxa"/>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2" w:hRule="atLeast"/>
          <w:jc w:val="center"/>
        </w:trPr>
        <w:tc>
          <w:tcPr>
            <w:tcW w:w="745" w:type="dxa"/>
            <w:vMerge w:val="continue"/>
            <w:vAlign w:val="center"/>
          </w:tcPr>
          <w:p>
            <w:pPr>
              <w:jc w:val="center"/>
              <w:rPr>
                <w:rFonts w:hint="default" w:ascii="Times New Roman" w:hAnsi="Times New Roman" w:cs="Times New Roman"/>
                <w:bCs/>
                <w:color w:val="auto"/>
                <w:sz w:val="21"/>
                <w:szCs w:val="21"/>
              </w:rPr>
            </w:pPr>
          </w:p>
        </w:tc>
        <w:tc>
          <w:tcPr>
            <w:tcW w:w="1250" w:type="dxa"/>
            <w:vMerge w:val="continue"/>
            <w:vAlign w:val="center"/>
          </w:tcPr>
          <w:p>
            <w:pPr>
              <w:jc w:val="center"/>
              <w:rPr>
                <w:rFonts w:hint="default" w:ascii="Times New Roman" w:hAnsi="Times New Roman" w:cs="Times New Roman"/>
                <w:bCs/>
                <w:color w:val="auto"/>
                <w:sz w:val="21"/>
                <w:szCs w:val="21"/>
              </w:rPr>
            </w:pPr>
          </w:p>
        </w:tc>
        <w:tc>
          <w:tcPr>
            <w:tcW w:w="1720" w:type="dxa"/>
            <w:vAlign w:val="center"/>
          </w:tcPr>
          <w:p>
            <w:pPr>
              <w:jc w:val="center"/>
              <w:rPr>
                <w:rFonts w:hint="default" w:ascii="Times New Roman" w:hAnsi="Times New Roman" w:eastAsia="宋体" w:cs="Times New Roman"/>
                <w:bCs/>
                <w:color w:val="auto"/>
                <w:sz w:val="21"/>
                <w:szCs w:val="21"/>
                <w:lang w:eastAsia="zh-CN"/>
              </w:rPr>
            </w:pPr>
            <w:r>
              <w:rPr>
                <w:rFonts w:hint="default" w:ascii="Times New Roman" w:hAnsi="Times New Roman" w:cs="Times New Roman"/>
                <w:bCs/>
                <w:color w:val="auto"/>
                <w:sz w:val="21"/>
                <w:szCs w:val="21"/>
                <w:lang w:eastAsia="zh-CN"/>
              </w:rPr>
              <w:t>压滤硅泥</w:t>
            </w:r>
          </w:p>
        </w:tc>
        <w:tc>
          <w:tcPr>
            <w:tcW w:w="945"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bCs/>
                <w:color w:val="auto"/>
                <w:sz w:val="21"/>
                <w:szCs w:val="21"/>
                <w:lang w:val="en-US" w:eastAsia="zh-CN"/>
              </w:rPr>
              <w:t>t/a</w:t>
            </w:r>
          </w:p>
        </w:tc>
        <w:tc>
          <w:tcPr>
            <w:tcW w:w="1200" w:type="dxa"/>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1631.69</w:t>
            </w:r>
          </w:p>
        </w:tc>
        <w:tc>
          <w:tcPr>
            <w:tcW w:w="1044" w:type="dxa"/>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1631.69</w:t>
            </w:r>
          </w:p>
        </w:tc>
        <w:tc>
          <w:tcPr>
            <w:tcW w:w="1260" w:type="dxa"/>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2" w:hRule="atLeast"/>
          <w:jc w:val="center"/>
        </w:trPr>
        <w:tc>
          <w:tcPr>
            <w:tcW w:w="745" w:type="dxa"/>
            <w:vMerge w:val="continue"/>
            <w:vAlign w:val="center"/>
          </w:tcPr>
          <w:p>
            <w:pPr>
              <w:jc w:val="center"/>
              <w:rPr>
                <w:rFonts w:hint="default" w:ascii="Times New Roman" w:hAnsi="Times New Roman" w:cs="Times New Roman"/>
                <w:bCs/>
                <w:color w:val="auto"/>
                <w:sz w:val="21"/>
                <w:szCs w:val="21"/>
              </w:rPr>
            </w:pPr>
          </w:p>
        </w:tc>
        <w:tc>
          <w:tcPr>
            <w:tcW w:w="1250" w:type="dxa"/>
            <w:vMerge w:val="continue"/>
            <w:vAlign w:val="center"/>
          </w:tcPr>
          <w:p>
            <w:pPr>
              <w:jc w:val="center"/>
              <w:rPr>
                <w:rFonts w:hint="default" w:ascii="Times New Roman" w:hAnsi="Times New Roman" w:cs="Times New Roman"/>
                <w:bCs/>
                <w:color w:val="auto"/>
                <w:sz w:val="21"/>
                <w:szCs w:val="21"/>
              </w:rPr>
            </w:pPr>
          </w:p>
        </w:tc>
        <w:tc>
          <w:tcPr>
            <w:tcW w:w="1720" w:type="dxa"/>
            <w:vAlign w:val="center"/>
          </w:tcPr>
          <w:p>
            <w:pPr>
              <w:jc w:val="center"/>
              <w:rPr>
                <w:rFonts w:hint="default" w:ascii="Times New Roman" w:hAnsi="Times New Roman" w:eastAsia="宋体" w:cs="Times New Roman"/>
                <w:bCs/>
                <w:color w:val="auto"/>
                <w:sz w:val="21"/>
                <w:szCs w:val="21"/>
                <w:lang w:eastAsia="zh-CN"/>
              </w:rPr>
            </w:pPr>
            <w:r>
              <w:rPr>
                <w:rFonts w:hint="default" w:ascii="Times New Roman" w:hAnsi="Times New Roman" w:cs="Times New Roman"/>
                <w:bCs/>
                <w:color w:val="auto"/>
                <w:sz w:val="21"/>
                <w:szCs w:val="21"/>
                <w:lang w:eastAsia="zh-CN"/>
              </w:rPr>
              <w:t>废切片</w:t>
            </w:r>
          </w:p>
        </w:tc>
        <w:tc>
          <w:tcPr>
            <w:tcW w:w="945"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bCs/>
                <w:color w:val="auto"/>
                <w:sz w:val="21"/>
                <w:szCs w:val="21"/>
                <w:lang w:val="en-US" w:eastAsia="zh-CN"/>
              </w:rPr>
              <w:t>t/a</w:t>
            </w:r>
          </w:p>
        </w:tc>
        <w:tc>
          <w:tcPr>
            <w:tcW w:w="1200" w:type="dxa"/>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181.26</w:t>
            </w:r>
          </w:p>
        </w:tc>
        <w:tc>
          <w:tcPr>
            <w:tcW w:w="1044" w:type="dxa"/>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181.26</w:t>
            </w:r>
          </w:p>
        </w:tc>
        <w:tc>
          <w:tcPr>
            <w:tcW w:w="1260" w:type="dxa"/>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2" w:hRule="atLeast"/>
          <w:jc w:val="center"/>
        </w:trPr>
        <w:tc>
          <w:tcPr>
            <w:tcW w:w="745" w:type="dxa"/>
            <w:vMerge w:val="continue"/>
            <w:vAlign w:val="center"/>
          </w:tcPr>
          <w:p>
            <w:pPr>
              <w:jc w:val="center"/>
              <w:rPr>
                <w:rFonts w:hint="default" w:ascii="Times New Roman" w:hAnsi="Times New Roman" w:cs="Times New Roman"/>
                <w:bCs/>
                <w:color w:val="auto"/>
                <w:sz w:val="21"/>
                <w:szCs w:val="21"/>
              </w:rPr>
            </w:pPr>
          </w:p>
        </w:tc>
        <w:tc>
          <w:tcPr>
            <w:tcW w:w="1250" w:type="dxa"/>
            <w:vMerge w:val="continue"/>
            <w:vAlign w:val="center"/>
          </w:tcPr>
          <w:p>
            <w:pPr>
              <w:jc w:val="center"/>
              <w:rPr>
                <w:rFonts w:hint="default" w:ascii="Times New Roman" w:hAnsi="Times New Roman" w:cs="Times New Roman"/>
                <w:bCs/>
                <w:color w:val="auto"/>
                <w:sz w:val="21"/>
                <w:szCs w:val="21"/>
              </w:rPr>
            </w:pPr>
          </w:p>
        </w:tc>
        <w:tc>
          <w:tcPr>
            <w:tcW w:w="1720" w:type="dxa"/>
            <w:vAlign w:val="center"/>
          </w:tcPr>
          <w:p>
            <w:pPr>
              <w:jc w:val="center"/>
              <w:rPr>
                <w:rFonts w:hint="default" w:ascii="Times New Roman" w:hAnsi="Times New Roman" w:eastAsia="宋体" w:cs="Times New Roman"/>
                <w:bCs/>
                <w:color w:val="auto"/>
                <w:sz w:val="21"/>
                <w:szCs w:val="21"/>
                <w:lang w:eastAsia="zh-CN"/>
              </w:rPr>
            </w:pPr>
            <w:r>
              <w:rPr>
                <w:rFonts w:hint="default" w:ascii="Times New Roman" w:hAnsi="Times New Roman" w:cs="Times New Roman"/>
                <w:bCs/>
                <w:color w:val="auto"/>
                <w:sz w:val="21"/>
                <w:szCs w:val="21"/>
                <w:lang w:eastAsia="zh-CN"/>
              </w:rPr>
              <w:t>废包装及容器</w:t>
            </w:r>
          </w:p>
        </w:tc>
        <w:tc>
          <w:tcPr>
            <w:tcW w:w="945"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bCs/>
                <w:color w:val="auto"/>
                <w:sz w:val="21"/>
                <w:szCs w:val="21"/>
                <w:lang w:val="en-US" w:eastAsia="zh-CN"/>
              </w:rPr>
              <w:t>t/a</w:t>
            </w:r>
          </w:p>
        </w:tc>
        <w:tc>
          <w:tcPr>
            <w:tcW w:w="1200" w:type="dxa"/>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5</w:t>
            </w:r>
          </w:p>
        </w:tc>
        <w:tc>
          <w:tcPr>
            <w:tcW w:w="1044" w:type="dxa"/>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5</w:t>
            </w:r>
          </w:p>
        </w:tc>
        <w:tc>
          <w:tcPr>
            <w:tcW w:w="1260" w:type="dxa"/>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2" w:hRule="atLeast"/>
          <w:jc w:val="center"/>
        </w:trPr>
        <w:tc>
          <w:tcPr>
            <w:tcW w:w="745" w:type="dxa"/>
            <w:vMerge w:val="continue"/>
            <w:vAlign w:val="center"/>
          </w:tcPr>
          <w:p>
            <w:pPr>
              <w:jc w:val="center"/>
              <w:rPr>
                <w:rFonts w:hint="default" w:ascii="Times New Roman" w:hAnsi="Times New Roman" w:cs="Times New Roman"/>
                <w:bCs/>
                <w:color w:val="auto"/>
                <w:sz w:val="21"/>
                <w:szCs w:val="21"/>
              </w:rPr>
            </w:pPr>
          </w:p>
        </w:tc>
        <w:tc>
          <w:tcPr>
            <w:tcW w:w="1250" w:type="dxa"/>
            <w:vMerge w:val="continue"/>
            <w:vAlign w:val="center"/>
          </w:tcPr>
          <w:p>
            <w:pPr>
              <w:jc w:val="center"/>
              <w:rPr>
                <w:rFonts w:hint="default" w:ascii="Times New Roman" w:hAnsi="Times New Roman" w:cs="Times New Roman"/>
                <w:bCs/>
                <w:color w:val="auto"/>
                <w:sz w:val="21"/>
                <w:szCs w:val="21"/>
              </w:rPr>
            </w:pPr>
          </w:p>
        </w:tc>
        <w:tc>
          <w:tcPr>
            <w:tcW w:w="1720" w:type="dxa"/>
            <w:vAlign w:val="center"/>
          </w:tcPr>
          <w:p>
            <w:pPr>
              <w:jc w:val="center"/>
              <w:rPr>
                <w:rFonts w:hint="default" w:ascii="Times New Roman" w:hAnsi="Times New Roman" w:eastAsia="宋体" w:cs="Times New Roman"/>
                <w:bCs/>
                <w:color w:val="auto"/>
                <w:sz w:val="21"/>
                <w:szCs w:val="21"/>
                <w:lang w:eastAsia="zh-CN"/>
              </w:rPr>
            </w:pPr>
            <w:r>
              <w:rPr>
                <w:rFonts w:hint="default" w:ascii="Times New Roman" w:hAnsi="Times New Roman" w:cs="Times New Roman"/>
                <w:bCs/>
                <w:color w:val="auto"/>
                <w:sz w:val="21"/>
                <w:szCs w:val="21"/>
                <w:lang w:eastAsia="zh-CN"/>
              </w:rPr>
              <w:t>废反渗透膜和废离子交换树脂</w:t>
            </w:r>
          </w:p>
        </w:tc>
        <w:tc>
          <w:tcPr>
            <w:tcW w:w="945"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bCs/>
                <w:color w:val="auto"/>
                <w:sz w:val="21"/>
                <w:szCs w:val="21"/>
                <w:lang w:val="en-US" w:eastAsia="zh-CN"/>
              </w:rPr>
              <w:t>t/a</w:t>
            </w:r>
          </w:p>
        </w:tc>
        <w:tc>
          <w:tcPr>
            <w:tcW w:w="1200" w:type="dxa"/>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w:t>
            </w:r>
          </w:p>
        </w:tc>
        <w:tc>
          <w:tcPr>
            <w:tcW w:w="1044" w:type="dxa"/>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3</w:t>
            </w:r>
          </w:p>
        </w:tc>
        <w:tc>
          <w:tcPr>
            <w:tcW w:w="1260" w:type="dxa"/>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2" w:hRule="atLeast"/>
          <w:jc w:val="center"/>
        </w:trPr>
        <w:tc>
          <w:tcPr>
            <w:tcW w:w="745" w:type="dxa"/>
            <w:vMerge w:val="continue"/>
            <w:vAlign w:val="center"/>
          </w:tcPr>
          <w:p>
            <w:pPr>
              <w:jc w:val="center"/>
              <w:rPr>
                <w:rFonts w:hint="default" w:ascii="Times New Roman" w:hAnsi="Times New Roman" w:cs="Times New Roman"/>
                <w:bCs/>
                <w:color w:val="auto"/>
                <w:sz w:val="21"/>
                <w:szCs w:val="21"/>
              </w:rPr>
            </w:pPr>
          </w:p>
        </w:tc>
        <w:tc>
          <w:tcPr>
            <w:tcW w:w="1250" w:type="dxa"/>
            <w:vMerge w:val="continue"/>
            <w:vAlign w:val="center"/>
          </w:tcPr>
          <w:p>
            <w:pPr>
              <w:jc w:val="center"/>
              <w:rPr>
                <w:rFonts w:hint="default" w:ascii="Times New Roman" w:hAnsi="Times New Roman" w:cs="Times New Roman"/>
                <w:bCs/>
                <w:color w:val="auto"/>
                <w:sz w:val="21"/>
                <w:szCs w:val="21"/>
              </w:rPr>
            </w:pPr>
          </w:p>
        </w:tc>
        <w:tc>
          <w:tcPr>
            <w:tcW w:w="1720" w:type="dxa"/>
            <w:vAlign w:val="center"/>
          </w:tcPr>
          <w:p>
            <w:pPr>
              <w:jc w:val="center"/>
              <w:rPr>
                <w:rFonts w:hint="default" w:ascii="Times New Roman" w:hAnsi="Times New Roman" w:cs="Times New Roman"/>
                <w:bCs/>
                <w:color w:val="auto"/>
                <w:sz w:val="21"/>
                <w:szCs w:val="21"/>
                <w:lang w:eastAsia="zh-CN"/>
              </w:rPr>
            </w:pPr>
            <w:r>
              <w:rPr>
                <w:rFonts w:hint="default" w:ascii="Times New Roman" w:hAnsi="Times New Roman" w:cs="Times New Roman"/>
                <w:bCs/>
                <w:color w:val="auto"/>
                <w:sz w:val="21"/>
                <w:szCs w:val="21"/>
                <w:lang w:eastAsia="zh-CN"/>
              </w:rPr>
              <w:t>综合污水处理站污泥（需进行属性鉴别）</w:t>
            </w:r>
          </w:p>
        </w:tc>
        <w:tc>
          <w:tcPr>
            <w:tcW w:w="945"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bCs/>
                <w:color w:val="auto"/>
                <w:sz w:val="21"/>
                <w:szCs w:val="21"/>
                <w:lang w:val="en-US" w:eastAsia="zh-CN"/>
              </w:rPr>
              <w:t>t/a</w:t>
            </w:r>
          </w:p>
        </w:tc>
        <w:tc>
          <w:tcPr>
            <w:tcW w:w="1200"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4558.85</w:t>
            </w:r>
          </w:p>
        </w:tc>
        <w:tc>
          <w:tcPr>
            <w:tcW w:w="1044"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4558.85</w:t>
            </w:r>
          </w:p>
        </w:tc>
        <w:tc>
          <w:tcPr>
            <w:tcW w:w="1260"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kern w:val="2"/>
                <w:sz w:val="21"/>
                <w:szCs w:val="21"/>
                <w:lang w:val="en-US" w:eastAsia="zh-CN" w:bidi="ar-SA"/>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2" w:hRule="atLeast"/>
          <w:jc w:val="center"/>
        </w:trPr>
        <w:tc>
          <w:tcPr>
            <w:tcW w:w="745" w:type="dxa"/>
            <w:vMerge w:val="continue"/>
            <w:vAlign w:val="center"/>
          </w:tcPr>
          <w:p>
            <w:pPr>
              <w:jc w:val="center"/>
              <w:rPr>
                <w:rFonts w:hint="default" w:ascii="Times New Roman" w:hAnsi="Times New Roman" w:cs="Times New Roman"/>
                <w:bCs/>
                <w:color w:val="auto"/>
                <w:sz w:val="21"/>
                <w:szCs w:val="21"/>
              </w:rPr>
            </w:pPr>
          </w:p>
        </w:tc>
        <w:tc>
          <w:tcPr>
            <w:tcW w:w="2970" w:type="dxa"/>
            <w:gridSpan w:val="2"/>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生活垃圾</w:t>
            </w:r>
          </w:p>
        </w:tc>
        <w:tc>
          <w:tcPr>
            <w:tcW w:w="945"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bCs/>
                <w:color w:val="auto"/>
                <w:sz w:val="21"/>
                <w:szCs w:val="21"/>
                <w:lang w:val="en-US" w:eastAsia="zh-CN"/>
              </w:rPr>
              <w:t>t/a</w:t>
            </w:r>
          </w:p>
        </w:tc>
        <w:tc>
          <w:tcPr>
            <w:tcW w:w="1200" w:type="dxa"/>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36.5</w:t>
            </w:r>
          </w:p>
        </w:tc>
        <w:tc>
          <w:tcPr>
            <w:tcW w:w="1044" w:type="dxa"/>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36.5</w:t>
            </w:r>
          </w:p>
        </w:tc>
        <w:tc>
          <w:tcPr>
            <w:tcW w:w="1260" w:type="dxa"/>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0</w:t>
            </w:r>
          </w:p>
        </w:tc>
      </w:tr>
    </w:tbl>
    <w:p>
      <w:pPr>
        <w:pStyle w:val="133"/>
        <w:numPr>
          <w:ilvl w:val="0"/>
          <w:numId w:val="13"/>
        </w:numPr>
        <w:spacing w:line="360" w:lineRule="auto"/>
        <w:ind w:left="420" w:firstLineChars="0"/>
        <w:jc w:val="center"/>
        <w:rPr>
          <w:rFonts w:hint="default" w:ascii="Times New Roman" w:hAnsi="Times New Roman" w:cs="Times New Roman"/>
          <w:b/>
          <w:bCs/>
        </w:rPr>
        <w:sectPr>
          <w:pgSz w:w="11906" w:h="16838"/>
          <w:pgMar w:top="1440" w:right="1797" w:bottom="1440" w:left="1797" w:header="851" w:footer="992" w:gutter="0"/>
          <w:pgBorders>
            <w:top w:val="none" w:sz="0" w:space="0"/>
            <w:left w:val="none" w:sz="0" w:space="0"/>
            <w:bottom w:val="none" w:sz="0" w:space="0"/>
            <w:right w:val="none" w:sz="0" w:space="0"/>
          </w:pgBorders>
          <w:cols w:space="720" w:num="1"/>
          <w:docGrid w:linePitch="312" w:charSpace="0"/>
        </w:sectPr>
      </w:pPr>
    </w:p>
    <w:p>
      <w:pPr>
        <w:pStyle w:val="133"/>
        <w:numPr>
          <w:ilvl w:val="0"/>
          <w:numId w:val="11"/>
        </w:numPr>
        <w:spacing w:line="360" w:lineRule="auto"/>
        <w:ind w:left="0" w:leftChars="0" w:firstLine="0" w:firstLineChars="0"/>
        <w:jc w:val="center"/>
        <w:rPr>
          <w:rFonts w:hint="default" w:ascii="Times New Roman" w:hAnsi="Times New Roman" w:cs="Times New Roman"/>
          <w:b/>
          <w:bCs/>
        </w:rPr>
      </w:pPr>
      <w:r>
        <w:rPr>
          <w:rFonts w:hint="default" w:ascii="Times New Roman" w:hAnsi="Times New Roman" w:cs="Times New Roman"/>
          <w:b/>
          <w:bCs/>
          <w:sz w:val="24"/>
          <w:szCs w:val="24"/>
        </w:rPr>
        <w:t>项目</w:t>
      </w:r>
      <w:r>
        <w:rPr>
          <w:rFonts w:hint="default" w:ascii="Times New Roman" w:hAnsi="Times New Roman" w:cs="Times New Roman"/>
          <w:b/>
          <w:bCs/>
          <w:color w:val="auto"/>
          <w:sz w:val="24"/>
          <w:szCs w:val="24"/>
          <w:lang w:val="en-US" w:eastAsia="zh-CN"/>
        </w:rPr>
        <w:t>建成</w:t>
      </w:r>
      <w:r>
        <w:rPr>
          <w:rFonts w:hint="default" w:ascii="Times New Roman" w:hAnsi="Times New Roman" w:cs="Times New Roman"/>
          <w:b/>
          <w:bCs/>
          <w:sz w:val="24"/>
          <w:szCs w:val="24"/>
        </w:rPr>
        <w:t>后</w:t>
      </w:r>
      <w:r>
        <w:rPr>
          <w:rFonts w:hint="default" w:ascii="Times New Roman" w:hAnsi="Times New Roman" w:cs="Times New Roman"/>
          <w:b/>
          <w:bCs/>
        </w:rPr>
        <w:t>全厂污染物排放汇总表</w:t>
      </w:r>
    </w:p>
    <w:tbl>
      <w:tblPr>
        <w:tblStyle w:val="44"/>
        <w:tblW w:w="12532" w:type="dxa"/>
        <w:jc w:val="center"/>
        <w:tblLayout w:type="fixed"/>
        <w:tblCellMar>
          <w:top w:w="0" w:type="dxa"/>
          <w:left w:w="108" w:type="dxa"/>
          <w:bottom w:w="0" w:type="dxa"/>
          <w:right w:w="108" w:type="dxa"/>
        </w:tblCellMar>
      </w:tblPr>
      <w:tblGrid>
        <w:gridCol w:w="888"/>
        <w:gridCol w:w="1020"/>
        <w:gridCol w:w="1035"/>
        <w:gridCol w:w="904"/>
        <w:gridCol w:w="2171"/>
        <w:gridCol w:w="1545"/>
        <w:gridCol w:w="1019"/>
        <w:gridCol w:w="1500"/>
        <w:gridCol w:w="1234"/>
        <w:gridCol w:w="1216"/>
      </w:tblGrid>
      <w:tr>
        <w:tblPrEx>
          <w:tblCellMar>
            <w:top w:w="0" w:type="dxa"/>
            <w:left w:w="108" w:type="dxa"/>
            <w:bottom w:w="0" w:type="dxa"/>
            <w:right w:w="108" w:type="dxa"/>
          </w:tblCellMar>
        </w:tblPrEx>
        <w:trPr>
          <w:trHeight w:val="439" w:hRule="atLeast"/>
          <w:jc w:val="center"/>
        </w:trPr>
        <w:tc>
          <w:tcPr>
            <w:tcW w:w="88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污染物</w:t>
            </w:r>
          </w:p>
        </w:tc>
        <w:tc>
          <w:tcPr>
            <w:tcW w:w="205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color w:val="000000"/>
                <w:kern w:val="0"/>
                <w:sz w:val="21"/>
                <w:szCs w:val="21"/>
                <w:lang w:eastAsia="zh-CN"/>
              </w:rPr>
            </w:pPr>
            <w:r>
              <w:rPr>
                <w:rFonts w:hint="default" w:ascii="Times New Roman" w:hAnsi="Times New Roman" w:cs="Times New Roman"/>
                <w:color w:val="000000"/>
                <w:kern w:val="0"/>
                <w:sz w:val="21"/>
                <w:szCs w:val="21"/>
                <w:lang w:eastAsia="zh-CN"/>
              </w:rPr>
              <w:t>污染物</w:t>
            </w:r>
          </w:p>
        </w:tc>
        <w:tc>
          <w:tcPr>
            <w:tcW w:w="90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color w:val="000000"/>
                <w:kern w:val="0"/>
                <w:sz w:val="21"/>
                <w:szCs w:val="21"/>
                <w:lang w:eastAsia="zh-CN"/>
              </w:rPr>
            </w:pPr>
            <w:r>
              <w:rPr>
                <w:rFonts w:hint="default" w:ascii="Times New Roman" w:hAnsi="Times New Roman" w:cs="Times New Roman"/>
                <w:color w:val="000000"/>
                <w:kern w:val="0"/>
                <w:sz w:val="21"/>
                <w:szCs w:val="21"/>
                <w:lang w:eastAsia="zh-CN"/>
              </w:rPr>
              <w:t>单位</w:t>
            </w:r>
          </w:p>
        </w:tc>
        <w:tc>
          <w:tcPr>
            <w:tcW w:w="217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kern w:val="0"/>
                <w:sz w:val="21"/>
                <w:szCs w:val="21"/>
                <w:lang w:eastAsia="zh-CN"/>
              </w:rPr>
            </w:pPr>
            <w:r>
              <w:rPr>
                <w:rFonts w:hint="default" w:ascii="Times New Roman" w:hAnsi="Times New Roman" w:cs="Times New Roman"/>
                <w:color w:val="000000"/>
                <w:kern w:val="0"/>
                <w:sz w:val="21"/>
                <w:szCs w:val="21"/>
                <w:lang w:eastAsia="zh-CN"/>
              </w:rPr>
              <w:t>宇泽半导体（云南）有限公司年产5GW单晶硅拉棒及3GW切片生产线项目</w:t>
            </w:r>
          </w:p>
        </w:tc>
        <w:tc>
          <w:tcPr>
            <w:tcW w:w="154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kern w:val="0"/>
                <w:sz w:val="21"/>
                <w:szCs w:val="21"/>
                <w:lang w:eastAsia="zh-CN"/>
              </w:rPr>
            </w:pPr>
            <w:r>
              <w:rPr>
                <w:rFonts w:hint="default" w:ascii="Times New Roman" w:hAnsi="Times New Roman" w:cs="Times New Roman"/>
                <w:color w:val="000000"/>
                <w:kern w:val="0"/>
                <w:sz w:val="21"/>
                <w:szCs w:val="21"/>
                <w:lang w:eastAsia="zh-CN"/>
              </w:rPr>
              <w:t>年产5GW单晶硅拉棒及</w:t>
            </w:r>
            <w:r>
              <w:rPr>
                <w:rFonts w:hint="default" w:ascii="Times New Roman" w:hAnsi="Times New Roman" w:cs="Times New Roman"/>
                <w:color w:val="000000"/>
                <w:kern w:val="0"/>
                <w:sz w:val="21"/>
                <w:szCs w:val="21"/>
                <w:lang w:val="en-US" w:eastAsia="zh-CN"/>
              </w:rPr>
              <w:t>2</w:t>
            </w:r>
            <w:r>
              <w:rPr>
                <w:rFonts w:hint="default" w:ascii="Times New Roman" w:hAnsi="Times New Roman" w:cs="Times New Roman"/>
                <w:color w:val="000000"/>
                <w:kern w:val="0"/>
                <w:sz w:val="21"/>
                <w:szCs w:val="21"/>
                <w:lang w:eastAsia="zh-CN"/>
              </w:rPr>
              <w:t>GW切片项目</w:t>
            </w:r>
          </w:p>
        </w:tc>
        <w:tc>
          <w:tcPr>
            <w:tcW w:w="10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本项目排放量</w:t>
            </w:r>
          </w:p>
        </w:tc>
        <w:tc>
          <w:tcPr>
            <w:tcW w:w="15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w:t>
            </w:r>
            <w:r>
              <w:rPr>
                <w:rFonts w:hint="default" w:ascii="Times New Roman" w:hAnsi="Times New Roman" w:cs="Times New Roman"/>
                <w:color w:val="000000"/>
                <w:kern w:val="0"/>
                <w:sz w:val="21"/>
                <w:szCs w:val="21"/>
              </w:rPr>
              <w:t>以新带老</w:t>
            </w:r>
            <w:r>
              <w:rPr>
                <w:rFonts w:hint="default" w:ascii="Times New Roman" w:hAnsi="Times New Roman" w:cs="Times New Roman"/>
                <w:color w:val="000000"/>
                <w:kern w:val="0"/>
                <w:sz w:val="21"/>
                <w:szCs w:val="21"/>
              </w:rPr>
              <w:t>”措施</w:t>
            </w:r>
            <w:r>
              <w:rPr>
                <w:rFonts w:hint="default" w:ascii="Times New Roman" w:hAnsi="Times New Roman" w:cs="Times New Roman"/>
                <w:color w:val="000000"/>
                <w:kern w:val="0"/>
                <w:sz w:val="21"/>
                <w:szCs w:val="21"/>
              </w:rPr>
              <w:t>削减量</w:t>
            </w:r>
          </w:p>
        </w:tc>
        <w:tc>
          <w:tcPr>
            <w:tcW w:w="12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排放总量</w:t>
            </w:r>
          </w:p>
        </w:tc>
        <w:tc>
          <w:tcPr>
            <w:tcW w:w="121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排放增减量</w:t>
            </w:r>
          </w:p>
        </w:tc>
      </w:tr>
      <w:tr>
        <w:tblPrEx>
          <w:tblCellMar>
            <w:top w:w="0" w:type="dxa"/>
            <w:left w:w="108" w:type="dxa"/>
            <w:bottom w:w="0" w:type="dxa"/>
            <w:right w:w="108" w:type="dxa"/>
          </w:tblCellMar>
        </w:tblPrEx>
        <w:trPr>
          <w:trHeight w:val="330" w:hRule="atLeast"/>
          <w:jc w:val="center"/>
        </w:trPr>
        <w:tc>
          <w:tcPr>
            <w:tcW w:w="888"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废气</w:t>
            </w:r>
          </w:p>
        </w:tc>
        <w:tc>
          <w:tcPr>
            <w:tcW w:w="205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废气量</w:t>
            </w:r>
          </w:p>
        </w:tc>
        <w:tc>
          <w:tcPr>
            <w:tcW w:w="90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color w:val="000000"/>
                <w:sz w:val="22"/>
                <w:szCs w:val="22"/>
              </w:rPr>
            </w:pPr>
            <w:r>
              <w:rPr>
                <w:rFonts w:hint="default" w:ascii="Times New Roman" w:hAnsi="Times New Roman" w:cs="Times New Roman"/>
                <w:color w:val="000000"/>
                <w:kern w:val="0"/>
                <w:sz w:val="21"/>
                <w:szCs w:val="21"/>
              </w:rPr>
              <w:t>万m</w:t>
            </w:r>
            <w:r>
              <w:rPr>
                <w:rFonts w:hint="default" w:ascii="Times New Roman" w:hAnsi="Times New Roman" w:cs="Times New Roman"/>
                <w:color w:val="000000"/>
                <w:kern w:val="0"/>
                <w:sz w:val="21"/>
                <w:szCs w:val="21"/>
                <w:vertAlign w:val="superscript"/>
              </w:rPr>
              <w:t>3</w:t>
            </w:r>
            <w:r>
              <w:rPr>
                <w:rFonts w:hint="default" w:ascii="Times New Roman" w:hAnsi="Times New Roman" w:cs="Times New Roman"/>
                <w:color w:val="000000"/>
                <w:kern w:val="0"/>
                <w:sz w:val="21"/>
                <w:szCs w:val="21"/>
              </w:rPr>
              <w:t>/a</w:t>
            </w:r>
          </w:p>
        </w:tc>
        <w:tc>
          <w:tcPr>
            <w:tcW w:w="217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11520</w:t>
            </w:r>
          </w:p>
        </w:tc>
        <w:tc>
          <w:tcPr>
            <w:tcW w:w="15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12672</w:t>
            </w:r>
          </w:p>
        </w:tc>
        <w:tc>
          <w:tcPr>
            <w:tcW w:w="10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sz w:val="21"/>
                <w:szCs w:val="21"/>
              </w:rPr>
            </w:pPr>
            <w:r>
              <w:rPr>
                <w:rFonts w:hint="default" w:ascii="Times New Roman" w:hAnsi="Times New Roman" w:cs="Times New Roman"/>
                <w:bCs/>
                <w:color w:val="auto"/>
                <w:sz w:val="21"/>
                <w:szCs w:val="21"/>
                <w:lang w:val="en-US" w:eastAsia="zh-CN"/>
              </w:rPr>
              <w:t>105120</w:t>
            </w:r>
          </w:p>
        </w:tc>
        <w:tc>
          <w:tcPr>
            <w:tcW w:w="15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24192</w:t>
            </w:r>
          </w:p>
        </w:tc>
        <w:tc>
          <w:tcPr>
            <w:tcW w:w="12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105120</w:t>
            </w:r>
          </w:p>
        </w:tc>
        <w:tc>
          <w:tcPr>
            <w:tcW w:w="12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eastAsia"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80928</w:t>
            </w:r>
          </w:p>
        </w:tc>
      </w:tr>
      <w:tr>
        <w:tblPrEx>
          <w:tblCellMar>
            <w:top w:w="0" w:type="dxa"/>
            <w:left w:w="108" w:type="dxa"/>
            <w:bottom w:w="0" w:type="dxa"/>
            <w:right w:w="108" w:type="dxa"/>
          </w:tblCellMar>
        </w:tblPrEx>
        <w:trPr>
          <w:trHeight w:val="300" w:hRule="atLeast"/>
          <w:jc w:val="center"/>
        </w:trPr>
        <w:tc>
          <w:tcPr>
            <w:tcW w:w="888" w:type="dxa"/>
            <w:vMerge w:val="continue"/>
            <w:tcBorders>
              <w:top w:val="nil"/>
              <w:left w:val="single" w:color="auto" w:sz="4" w:space="0"/>
              <w:bottom w:val="single" w:color="auto" w:sz="4" w:space="0"/>
              <w:right w:val="single" w:color="auto" w:sz="4" w:space="0"/>
            </w:tcBorders>
            <w:vAlign w:val="center"/>
          </w:tcPr>
          <w:p>
            <w:pPr>
              <w:widowControl/>
              <w:jc w:val="left"/>
              <w:rPr>
                <w:rFonts w:hint="default" w:ascii="Times New Roman" w:hAnsi="Times New Roman" w:cs="Times New Roman"/>
                <w:color w:val="000000"/>
                <w:kern w:val="0"/>
                <w:sz w:val="21"/>
                <w:szCs w:val="21"/>
              </w:rPr>
            </w:pPr>
          </w:p>
        </w:tc>
        <w:tc>
          <w:tcPr>
            <w:tcW w:w="1020" w:type="dxa"/>
            <w:vMerge w:val="restart"/>
            <w:tcBorders>
              <w:top w:val="single" w:color="auto" w:sz="4" w:space="0"/>
              <w:left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有组织排放</w:t>
            </w:r>
          </w:p>
        </w:tc>
        <w:tc>
          <w:tcPr>
            <w:tcW w:w="103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color w:val="000000"/>
                <w:kern w:val="0"/>
                <w:sz w:val="21"/>
                <w:szCs w:val="21"/>
                <w:lang w:eastAsia="zh-CN"/>
              </w:rPr>
            </w:pPr>
            <w:r>
              <w:rPr>
                <w:rFonts w:hint="default" w:ascii="Times New Roman" w:hAnsi="Times New Roman" w:cs="Times New Roman"/>
                <w:color w:val="000000"/>
                <w:kern w:val="0"/>
                <w:sz w:val="21"/>
                <w:szCs w:val="21"/>
                <w:lang w:eastAsia="zh-CN"/>
              </w:rPr>
              <w:t>非甲烷总烃</w:t>
            </w:r>
          </w:p>
        </w:tc>
        <w:tc>
          <w:tcPr>
            <w:tcW w:w="90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t/a</w:t>
            </w:r>
          </w:p>
        </w:tc>
        <w:tc>
          <w:tcPr>
            <w:tcW w:w="217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0.461</w:t>
            </w:r>
          </w:p>
        </w:tc>
        <w:tc>
          <w:tcPr>
            <w:tcW w:w="15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0.362</w:t>
            </w:r>
          </w:p>
        </w:tc>
        <w:tc>
          <w:tcPr>
            <w:tcW w:w="10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sz w:val="21"/>
                <w:szCs w:val="21"/>
              </w:rPr>
            </w:pPr>
            <w:r>
              <w:rPr>
                <w:rFonts w:hint="default" w:ascii="Times New Roman" w:hAnsi="Times New Roman" w:cs="Times New Roman"/>
                <w:color w:val="auto"/>
                <w:kern w:val="0"/>
                <w:sz w:val="21"/>
                <w:szCs w:val="21"/>
                <w:lang w:val="en-US" w:eastAsia="zh-CN"/>
              </w:rPr>
              <w:t>1.253</w:t>
            </w:r>
          </w:p>
        </w:tc>
        <w:tc>
          <w:tcPr>
            <w:tcW w:w="15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auto"/>
                <w:kern w:val="0"/>
                <w:sz w:val="21"/>
                <w:szCs w:val="21"/>
                <w:lang w:val="en-US" w:eastAsia="zh-CN"/>
              </w:rPr>
            </w:pPr>
          </w:p>
        </w:tc>
        <w:tc>
          <w:tcPr>
            <w:tcW w:w="123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3.338</w:t>
            </w:r>
          </w:p>
        </w:tc>
        <w:tc>
          <w:tcPr>
            <w:tcW w:w="121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eastAsia"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1.253</w:t>
            </w:r>
          </w:p>
        </w:tc>
      </w:tr>
      <w:tr>
        <w:tblPrEx>
          <w:tblCellMar>
            <w:top w:w="0" w:type="dxa"/>
            <w:left w:w="108" w:type="dxa"/>
            <w:bottom w:w="0" w:type="dxa"/>
            <w:right w:w="108" w:type="dxa"/>
          </w:tblCellMar>
        </w:tblPrEx>
        <w:trPr>
          <w:trHeight w:val="270" w:hRule="atLeast"/>
          <w:jc w:val="center"/>
        </w:trPr>
        <w:tc>
          <w:tcPr>
            <w:tcW w:w="888" w:type="dxa"/>
            <w:vMerge w:val="continue"/>
            <w:tcBorders>
              <w:top w:val="nil"/>
              <w:left w:val="single" w:color="auto" w:sz="4" w:space="0"/>
              <w:bottom w:val="single" w:color="auto" w:sz="4" w:space="0"/>
              <w:right w:val="single" w:color="auto" w:sz="4" w:space="0"/>
            </w:tcBorders>
            <w:vAlign w:val="center"/>
          </w:tcPr>
          <w:p>
            <w:pPr>
              <w:widowControl/>
              <w:jc w:val="left"/>
              <w:rPr>
                <w:rFonts w:hint="default" w:ascii="Times New Roman" w:hAnsi="Times New Roman" w:cs="Times New Roman"/>
                <w:color w:val="000000"/>
                <w:kern w:val="0"/>
                <w:sz w:val="21"/>
                <w:szCs w:val="21"/>
              </w:rPr>
            </w:pPr>
          </w:p>
        </w:tc>
        <w:tc>
          <w:tcPr>
            <w:tcW w:w="1020" w:type="dxa"/>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000000"/>
                <w:kern w:val="0"/>
                <w:sz w:val="21"/>
                <w:szCs w:val="21"/>
              </w:rPr>
            </w:pPr>
          </w:p>
        </w:tc>
        <w:tc>
          <w:tcPr>
            <w:tcW w:w="103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color w:val="000000"/>
                <w:kern w:val="0"/>
                <w:sz w:val="21"/>
                <w:szCs w:val="21"/>
                <w:lang w:eastAsia="zh-CN"/>
              </w:rPr>
            </w:pPr>
            <w:r>
              <w:rPr>
                <w:rFonts w:hint="default" w:ascii="Times New Roman" w:hAnsi="Times New Roman" w:cs="Times New Roman"/>
                <w:color w:val="000000"/>
                <w:kern w:val="0"/>
                <w:sz w:val="21"/>
                <w:szCs w:val="21"/>
                <w:lang w:eastAsia="zh-CN"/>
              </w:rPr>
              <w:t>颗粒物</w:t>
            </w:r>
          </w:p>
        </w:tc>
        <w:tc>
          <w:tcPr>
            <w:tcW w:w="90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t/a</w:t>
            </w:r>
          </w:p>
        </w:tc>
        <w:tc>
          <w:tcPr>
            <w:tcW w:w="217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w:t>
            </w:r>
          </w:p>
        </w:tc>
        <w:tc>
          <w:tcPr>
            <w:tcW w:w="15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w:t>
            </w:r>
          </w:p>
        </w:tc>
        <w:tc>
          <w:tcPr>
            <w:tcW w:w="10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sz w:val="21"/>
                <w:szCs w:val="21"/>
              </w:rPr>
            </w:pPr>
            <w:r>
              <w:rPr>
                <w:rFonts w:hint="default" w:ascii="Times New Roman" w:hAnsi="Times New Roman" w:cs="Times New Roman"/>
                <w:color w:val="auto"/>
                <w:kern w:val="0"/>
                <w:sz w:val="21"/>
                <w:szCs w:val="21"/>
                <w:lang w:val="en-US" w:eastAsia="zh-CN"/>
              </w:rPr>
              <w:t>0.350</w:t>
            </w:r>
          </w:p>
        </w:tc>
        <w:tc>
          <w:tcPr>
            <w:tcW w:w="15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auto"/>
                <w:kern w:val="0"/>
                <w:sz w:val="21"/>
                <w:szCs w:val="21"/>
                <w:lang w:val="en-US" w:eastAsia="zh-CN"/>
              </w:rPr>
            </w:pPr>
          </w:p>
        </w:tc>
        <w:tc>
          <w:tcPr>
            <w:tcW w:w="123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0.879</w:t>
            </w:r>
          </w:p>
        </w:tc>
        <w:tc>
          <w:tcPr>
            <w:tcW w:w="121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eastAsia"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0.35</w:t>
            </w:r>
          </w:p>
        </w:tc>
      </w:tr>
      <w:tr>
        <w:tblPrEx>
          <w:tblCellMar>
            <w:top w:w="0" w:type="dxa"/>
            <w:left w:w="108" w:type="dxa"/>
            <w:bottom w:w="0" w:type="dxa"/>
            <w:right w:w="108" w:type="dxa"/>
          </w:tblCellMar>
        </w:tblPrEx>
        <w:trPr>
          <w:trHeight w:val="300" w:hRule="atLeast"/>
          <w:jc w:val="center"/>
        </w:trPr>
        <w:tc>
          <w:tcPr>
            <w:tcW w:w="888" w:type="dxa"/>
            <w:vMerge w:val="continue"/>
            <w:tcBorders>
              <w:top w:val="nil"/>
              <w:left w:val="single" w:color="auto" w:sz="4" w:space="0"/>
              <w:bottom w:val="single" w:color="auto" w:sz="4" w:space="0"/>
              <w:right w:val="single" w:color="auto" w:sz="4" w:space="0"/>
            </w:tcBorders>
            <w:vAlign w:val="center"/>
          </w:tcPr>
          <w:p>
            <w:pPr>
              <w:widowControl/>
              <w:jc w:val="left"/>
              <w:rPr>
                <w:rFonts w:hint="default" w:ascii="Times New Roman" w:hAnsi="Times New Roman" w:cs="Times New Roman"/>
                <w:color w:val="000000"/>
                <w:kern w:val="0"/>
                <w:sz w:val="21"/>
                <w:szCs w:val="21"/>
              </w:rPr>
            </w:pPr>
          </w:p>
        </w:tc>
        <w:tc>
          <w:tcPr>
            <w:tcW w:w="1020" w:type="dxa"/>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000000"/>
                <w:kern w:val="0"/>
                <w:sz w:val="21"/>
                <w:szCs w:val="21"/>
              </w:rPr>
            </w:pPr>
          </w:p>
        </w:tc>
        <w:tc>
          <w:tcPr>
            <w:tcW w:w="103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color w:val="000000"/>
                <w:kern w:val="0"/>
                <w:sz w:val="21"/>
                <w:szCs w:val="21"/>
                <w:lang w:eastAsia="zh-CN"/>
              </w:rPr>
            </w:pPr>
            <w:r>
              <w:rPr>
                <w:rFonts w:hint="default" w:ascii="Times New Roman" w:hAnsi="Times New Roman" w:cs="Times New Roman"/>
                <w:color w:val="000000"/>
                <w:kern w:val="0"/>
                <w:sz w:val="21"/>
                <w:szCs w:val="21"/>
                <w:lang w:eastAsia="zh-CN"/>
              </w:rPr>
              <w:t>氟化物</w:t>
            </w:r>
          </w:p>
        </w:tc>
        <w:tc>
          <w:tcPr>
            <w:tcW w:w="90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t/a</w:t>
            </w:r>
          </w:p>
        </w:tc>
        <w:tc>
          <w:tcPr>
            <w:tcW w:w="217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rPr>
              <w:t>/</w:t>
            </w:r>
          </w:p>
        </w:tc>
        <w:tc>
          <w:tcPr>
            <w:tcW w:w="154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rPr>
              <w:t>/</w:t>
            </w:r>
          </w:p>
        </w:tc>
        <w:tc>
          <w:tcPr>
            <w:tcW w:w="10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kern w:val="0"/>
                <w:sz w:val="21"/>
                <w:szCs w:val="21"/>
              </w:rPr>
            </w:pPr>
            <w:r>
              <w:rPr>
                <w:rFonts w:hint="default" w:ascii="Times New Roman" w:hAnsi="Times New Roman" w:cs="Times New Roman"/>
                <w:color w:val="auto"/>
                <w:kern w:val="0"/>
                <w:sz w:val="21"/>
                <w:szCs w:val="21"/>
                <w:lang w:val="en-US" w:eastAsia="zh-CN"/>
              </w:rPr>
              <w:t>0.33</w:t>
            </w:r>
          </w:p>
        </w:tc>
        <w:tc>
          <w:tcPr>
            <w:tcW w:w="15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color w:val="auto"/>
                <w:kern w:val="0"/>
                <w:sz w:val="21"/>
                <w:szCs w:val="21"/>
                <w:lang w:val="en-US" w:eastAsia="zh-CN"/>
              </w:rPr>
            </w:pPr>
          </w:p>
        </w:tc>
        <w:tc>
          <w:tcPr>
            <w:tcW w:w="123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0.015</w:t>
            </w:r>
          </w:p>
        </w:tc>
        <w:tc>
          <w:tcPr>
            <w:tcW w:w="121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eastAsia"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0.33</w:t>
            </w:r>
          </w:p>
        </w:tc>
      </w:tr>
      <w:tr>
        <w:tblPrEx>
          <w:tblCellMar>
            <w:top w:w="0" w:type="dxa"/>
            <w:left w:w="108" w:type="dxa"/>
            <w:bottom w:w="0" w:type="dxa"/>
            <w:right w:w="108" w:type="dxa"/>
          </w:tblCellMar>
        </w:tblPrEx>
        <w:trPr>
          <w:trHeight w:val="270" w:hRule="atLeast"/>
          <w:jc w:val="center"/>
        </w:trPr>
        <w:tc>
          <w:tcPr>
            <w:tcW w:w="888" w:type="dxa"/>
            <w:vMerge w:val="continue"/>
            <w:tcBorders>
              <w:top w:val="nil"/>
              <w:left w:val="single" w:color="auto" w:sz="4" w:space="0"/>
              <w:bottom w:val="single" w:color="auto" w:sz="4" w:space="0"/>
              <w:right w:val="single" w:color="auto" w:sz="4" w:space="0"/>
            </w:tcBorders>
            <w:vAlign w:val="center"/>
          </w:tcPr>
          <w:p>
            <w:pPr>
              <w:widowControl/>
              <w:jc w:val="left"/>
              <w:rPr>
                <w:rFonts w:hint="default" w:ascii="Times New Roman" w:hAnsi="Times New Roman" w:cs="Times New Roman"/>
                <w:color w:val="000000"/>
                <w:kern w:val="0"/>
                <w:sz w:val="21"/>
                <w:szCs w:val="21"/>
              </w:rPr>
            </w:pPr>
          </w:p>
        </w:tc>
        <w:tc>
          <w:tcPr>
            <w:tcW w:w="1020" w:type="dxa"/>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000000"/>
                <w:kern w:val="0"/>
                <w:sz w:val="21"/>
                <w:szCs w:val="21"/>
              </w:rPr>
            </w:pPr>
          </w:p>
        </w:tc>
        <w:tc>
          <w:tcPr>
            <w:tcW w:w="1035"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color w:val="000000"/>
                <w:kern w:val="0"/>
                <w:sz w:val="21"/>
                <w:szCs w:val="21"/>
                <w:lang w:eastAsia="zh-CN"/>
              </w:rPr>
            </w:pPr>
            <w:r>
              <w:rPr>
                <w:rFonts w:hint="default" w:ascii="Times New Roman" w:hAnsi="Times New Roman" w:cs="Times New Roman"/>
                <w:color w:val="000000"/>
                <w:kern w:val="0"/>
                <w:sz w:val="21"/>
                <w:szCs w:val="21"/>
                <w:lang w:eastAsia="zh-CN"/>
              </w:rPr>
              <w:t>氨</w:t>
            </w:r>
          </w:p>
        </w:tc>
        <w:tc>
          <w:tcPr>
            <w:tcW w:w="90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t/a</w:t>
            </w:r>
          </w:p>
        </w:tc>
        <w:tc>
          <w:tcPr>
            <w:tcW w:w="217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rPr>
              <w:t>/</w:t>
            </w:r>
          </w:p>
        </w:tc>
        <w:tc>
          <w:tcPr>
            <w:tcW w:w="154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rPr>
              <w:t>/</w:t>
            </w:r>
          </w:p>
        </w:tc>
        <w:tc>
          <w:tcPr>
            <w:tcW w:w="10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kern w:val="0"/>
                <w:sz w:val="21"/>
                <w:szCs w:val="21"/>
              </w:rPr>
            </w:pPr>
            <w:r>
              <w:rPr>
                <w:rFonts w:hint="default" w:ascii="Times New Roman" w:hAnsi="Times New Roman" w:cs="Times New Roman"/>
                <w:color w:val="auto"/>
                <w:kern w:val="0"/>
                <w:sz w:val="21"/>
                <w:szCs w:val="21"/>
                <w:lang w:val="en-US" w:eastAsia="zh-CN"/>
              </w:rPr>
              <w:t>0.005</w:t>
            </w:r>
          </w:p>
        </w:tc>
        <w:tc>
          <w:tcPr>
            <w:tcW w:w="15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auto"/>
                <w:kern w:val="0"/>
                <w:sz w:val="21"/>
                <w:szCs w:val="21"/>
                <w:lang w:val="en-US" w:eastAsia="zh-CN"/>
              </w:rPr>
            </w:pPr>
          </w:p>
        </w:tc>
        <w:tc>
          <w:tcPr>
            <w:tcW w:w="123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0.561</w:t>
            </w:r>
          </w:p>
        </w:tc>
        <w:tc>
          <w:tcPr>
            <w:tcW w:w="121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eastAsia"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0.005</w:t>
            </w:r>
          </w:p>
        </w:tc>
      </w:tr>
      <w:tr>
        <w:trPr>
          <w:trHeight w:val="270" w:hRule="atLeast"/>
          <w:jc w:val="center"/>
        </w:trPr>
        <w:tc>
          <w:tcPr>
            <w:tcW w:w="888" w:type="dxa"/>
            <w:vMerge w:val="continue"/>
            <w:tcBorders>
              <w:top w:val="nil"/>
              <w:left w:val="single" w:color="auto" w:sz="4" w:space="0"/>
              <w:bottom w:val="single" w:color="auto" w:sz="4" w:space="0"/>
              <w:right w:val="single" w:color="auto" w:sz="4" w:space="0"/>
            </w:tcBorders>
            <w:vAlign w:val="center"/>
          </w:tcPr>
          <w:p>
            <w:pPr>
              <w:widowControl/>
              <w:jc w:val="left"/>
              <w:rPr>
                <w:rFonts w:hint="default" w:ascii="Times New Roman" w:hAnsi="Times New Roman" w:cs="Times New Roman"/>
                <w:color w:val="000000"/>
                <w:kern w:val="0"/>
                <w:sz w:val="21"/>
                <w:szCs w:val="21"/>
              </w:rPr>
            </w:pPr>
          </w:p>
        </w:tc>
        <w:tc>
          <w:tcPr>
            <w:tcW w:w="1020" w:type="dxa"/>
            <w:vMerge w:val="continue"/>
            <w:tcBorders>
              <w:left w:val="single" w:color="auto" w:sz="4" w:space="0"/>
              <w:bottom w:val="single" w:color="auto" w:sz="4" w:space="0"/>
              <w:right w:val="single" w:color="auto" w:sz="4" w:space="0"/>
            </w:tcBorders>
            <w:vAlign w:val="center"/>
          </w:tcPr>
          <w:p>
            <w:pPr>
              <w:widowControl/>
              <w:jc w:val="left"/>
              <w:rPr>
                <w:rFonts w:hint="default" w:ascii="Times New Roman" w:hAnsi="Times New Roman" w:cs="Times New Roman"/>
                <w:color w:val="000000"/>
                <w:kern w:val="0"/>
                <w:sz w:val="21"/>
                <w:szCs w:val="21"/>
              </w:rPr>
            </w:pPr>
          </w:p>
        </w:tc>
        <w:tc>
          <w:tcPr>
            <w:tcW w:w="1035"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kern w:val="0"/>
                <w:sz w:val="21"/>
                <w:szCs w:val="21"/>
                <w:lang w:eastAsia="zh-CN"/>
              </w:rPr>
            </w:pPr>
            <w:r>
              <w:rPr>
                <w:rFonts w:hint="default" w:ascii="Times New Roman" w:hAnsi="Times New Roman" w:cs="Times New Roman"/>
                <w:color w:val="000000"/>
                <w:kern w:val="0"/>
                <w:sz w:val="21"/>
                <w:szCs w:val="21"/>
                <w:lang w:eastAsia="zh-CN"/>
              </w:rPr>
              <w:t>硫化氢</w:t>
            </w:r>
          </w:p>
        </w:tc>
        <w:tc>
          <w:tcPr>
            <w:tcW w:w="90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t/a</w:t>
            </w:r>
          </w:p>
        </w:tc>
        <w:tc>
          <w:tcPr>
            <w:tcW w:w="217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rPr>
              <w:t>/</w:t>
            </w:r>
          </w:p>
        </w:tc>
        <w:tc>
          <w:tcPr>
            <w:tcW w:w="154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rPr>
              <w:t>/</w:t>
            </w:r>
          </w:p>
        </w:tc>
        <w:tc>
          <w:tcPr>
            <w:tcW w:w="10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kern w:val="0"/>
                <w:sz w:val="21"/>
                <w:szCs w:val="21"/>
              </w:rPr>
            </w:pPr>
            <w:r>
              <w:rPr>
                <w:rFonts w:hint="default" w:ascii="Times New Roman" w:hAnsi="Times New Roman" w:cs="Times New Roman"/>
                <w:color w:val="auto"/>
                <w:kern w:val="0"/>
                <w:sz w:val="21"/>
                <w:szCs w:val="21"/>
                <w:lang w:val="en-US" w:eastAsia="zh-CN"/>
              </w:rPr>
              <w:t>0.193</w:t>
            </w:r>
          </w:p>
        </w:tc>
        <w:tc>
          <w:tcPr>
            <w:tcW w:w="15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auto"/>
                <w:kern w:val="0"/>
                <w:sz w:val="21"/>
                <w:szCs w:val="21"/>
                <w:lang w:val="en-US" w:eastAsia="zh-CN"/>
              </w:rPr>
            </w:pPr>
          </w:p>
        </w:tc>
        <w:tc>
          <w:tcPr>
            <w:tcW w:w="123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0.056</w:t>
            </w:r>
          </w:p>
        </w:tc>
        <w:tc>
          <w:tcPr>
            <w:tcW w:w="121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eastAsia"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0.193</w:t>
            </w:r>
          </w:p>
        </w:tc>
      </w:tr>
      <w:tr>
        <w:tblPrEx>
          <w:tblCellMar>
            <w:top w:w="0" w:type="dxa"/>
            <w:left w:w="108" w:type="dxa"/>
            <w:bottom w:w="0" w:type="dxa"/>
            <w:right w:w="108" w:type="dxa"/>
          </w:tblCellMar>
        </w:tblPrEx>
        <w:trPr>
          <w:trHeight w:val="270" w:hRule="atLeast"/>
          <w:jc w:val="center"/>
        </w:trPr>
        <w:tc>
          <w:tcPr>
            <w:tcW w:w="888" w:type="dxa"/>
            <w:vMerge w:val="continue"/>
            <w:tcBorders>
              <w:top w:val="nil"/>
              <w:left w:val="single" w:color="auto" w:sz="4" w:space="0"/>
              <w:bottom w:val="single" w:color="auto" w:sz="4" w:space="0"/>
              <w:right w:val="single" w:color="auto" w:sz="4" w:space="0"/>
            </w:tcBorders>
            <w:vAlign w:val="center"/>
          </w:tcPr>
          <w:p>
            <w:pPr>
              <w:widowControl/>
              <w:jc w:val="left"/>
              <w:rPr>
                <w:rFonts w:hint="default" w:ascii="Times New Roman" w:hAnsi="Times New Roman" w:cs="Times New Roman"/>
                <w:color w:val="000000"/>
                <w:kern w:val="0"/>
                <w:sz w:val="21"/>
                <w:szCs w:val="21"/>
              </w:rPr>
            </w:pPr>
          </w:p>
        </w:tc>
        <w:tc>
          <w:tcPr>
            <w:tcW w:w="102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无组织排放</w:t>
            </w:r>
          </w:p>
        </w:tc>
        <w:tc>
          <w:tcPr>
            <w:tcW w:w="1035"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VOCs</w:t>
            </w:r>
          </w:p>
        </w:tc>
        <w:tc>
          <w:tcPr>
            <w:tcW w:w="90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t/a</w:t>
            </w:r>
          </w:p>
        </w:tc>
        <w:tc>
          <w:tcPr>
            <w:tcW w:w="217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rPr>
              <w:t>0.23</w:t>
            </w:r>
          </w:p>
        </w:tc>
        <w:tc>
          <w:tcPr>
            <w:tcW w:w="154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rPr>
              <w:t>0.101</w:t>
            </w:r>
          </w:p>
        </w:tc>
        <w:tc>
          <w:tcPr>
            <w:tcW w:w="10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kern w:val="0"/>
                <w:sz w:val="21"/>
                <w:szCs w:val="21"/>
              </w:rPr>
            </w:pPr>
            <w:r>
              <w:rPr>
                <w:rFonts w:hint="default" w:ascii="Times New Roman" w:hAnsi="Times New Roman" w:cs="Times New Roman"/>
                <w:color w:val="auto"/>
                <w:kern w:val="0"/>
                <w:sz w:val="21"/>
                <w:szCs w:val="21"/>
                <w:lang w:val="en-US" w:eastAsia="zh-CN"/>
              </w:rPr>
              <w:t>0.002</w:t>
            </w:r>
          </w:p>
        </w:tc>
        <w:tc>
          <w:tcPr>
            <w:tcW w:w="15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auto"/>
                <w:kern w:val="0"/>
                <w:sz w:val="21"/>
                <w:szCs w:val="21"/>
                <w:lang w:val="en-US" w:eastAsia="zh-CN"/>
              </w:rPr>
            </w:pPr>
          </w:p>
        </w:tc>
        <w:tc>
          <w:tcPr>
            <w:tcW w:w="123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0.929</w:t>
            </w:r>
          </w:p>
        </w:tc>
        <w:tc>
          <w:tcPr>
            <w:tcW w:w="121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eastAsia"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0.002</w:t>
            </w:r>
          </w:p>
        </w:tc>
      </w:tr>
      <w:tr>
        <w:tblPrEx>
          <w:tblCellMar>
            <w:top w:w="0" w:type="dxa"/>
            <w:left w:w="108" w:type="dxa"/>
            <w:bottom w:w="0" w:type="dxa"/>
            <w:right w:w="108" w:type="dxa"/>
          </w:tblCellMar>
        </w:tblPrEx>
        <w:trPr>
          <w:trHeight w:val="270" w:hRule="atLeast"/>
          <w:jc w:val="center"/>
        </w:trPr>
        <w:tc>
          <w:tcPr>
            <w:tcW w:w="88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废水</w:t>
            </w:r>
          </w:p>
        </w:tc>
        <w:tc>
          <w:tcPr>
            <w:tcW w:w="2055"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废水量</w:t>
            </w:r>
          </w:p>
        </w:tc>
        <w:tc>
          <w:tcPr>
            <w:tcW w:w="90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万m³/a</w:t>
            </w:r>
          </w:p>
        </w:tc>
        <w:tc>
          <w:tcPr>
            <w:tcW w:w="217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auto"/>
                <w:sz w:val="21"/>
                <w:szCs w:val="21"/>
                <w:lang w:val="en-US" w:eastAsia="zh-CN"/>
              </w:rPr>
              <w:t>187.5</w:t>
            </w:r>
          </w:p>
        </w:tc>
        <w:tc>
          <w:tcPr>
            <w:tcW w:w="15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auto"/>
                <w:sz w:val="21"/>
                <w:szCs w:val="21"/>
              </w:rPr>
              <w:t>148.32</w:t>
            </w:r>
          </w:p>
        </w:tc>
        <w:tc>
          <w:tcPr>
            <w:tcW w:w="101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color w:val="000000"/>
                <w:kern w:val="0"/>
                <w:sz w:val="21"/>
                <w:szCs w:val="21"/>
              </w:rPr>
            </w:pPr>
            <w:r>
              <w:rPr>
                <w:rFonts w:hint="default" w:ascii="Times New Roman" w:hAnsi="Times New Roman" w:cs="Times New Roman"/>
                <w:color w:val="auto"/>
                <w:sz w:val="21"/>
                <w:szCs w:val="21"/>
                <w:lang w:val="en-US" w:eastAsia="zh-CN"/>
              </w:rPr>
              <w:t>54.11</w:t>
            </w:r>
          </w:p>
        </w:tc>
        <w:tc>
          <w:tcPr>
            <w:tcW w:w="15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178.41</w:t>
            </w:r>
          </w:p>
        </w:tc>
        <w:tc>
          <w:tcPr>
            <w:tcW w:w="123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211.52</w:t>
            </w:r>
          </w:p>
        </w:tc>
        <w:tc>
          <w:tcPr>
            <w:tcW w:w="121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-124.3</w:t>
            </w:r>
          </w:p>
        </w:tc>
      </w:tr>
      <w:tr>
        <w:tblPrEx>
          <w:tblCellMar>
            <w:top w:w="0" w:type="dxa"/>
            <w:left w:w="108" w:type="dxa"/>
            <w:bottom w:w="0" w:type="dxa"/>
            <w:right w:w="108" w:type="dxa"/>
          </w:tblCellMar>
        </w:tblPrEx>
        <w:trPr>
          <w:trHeight w:val="257" w:hRule="atLeast"/>
          <w:jc w:val="center"/>
        </w:trPr>
        <w:tc>
          <w:tcPr>
            <w:tcW w:w="88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default" w:ascii="Times New Roman" w:hAnsi="Times New Roman" w:cs="Times New Roman"/>
                <w:color w:val="000000"/>
                <w:kern w:val="0"/>
                <w:sz w:val="21"/>
                <w:szCs w:val="21"/>
              </w:rPr>
            </w:pPr>
          </w:p>
        </w:tc>
        <w:tc>
          <w:tcPr>
            <w:tcW w:w="2055"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COD</w:t>
            </w:r>
          </w:p>
        </w:tc>
        <w:tc>
          <w:tcPr>
            <w:tcW w:w="90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t/a</w:t>
            </w:r>
          </w:p>
        </w:tc>
        <w:tc>
          <w:tcPr>
            <w:tcW w:w="217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auto"/>
                <w:sz w:val="21"/>
                <w:szCs w:val="21"/>
                <w:lang w:val="en-US" w:eastAsia="zh-CN"/>
              </w:rPr>
              <w:t>220.695</w:t>
            </w:r>
          </w:p>
        </w:tc>
        <w:tc>
          <w:tcPr>
            <w:tcW w:w="15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auto"/>
                <w:sz w:val="21"/>
                <w:szCs w:val="21"/>
              </w:rPr>
              <w:t>157.08</w:t>
            </w:r>
          </w:p>
        </w:tc>
        <w:tc>
          <w:tcPr>
            <w:tcW w:w="101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auto"/>
                <w:sz w:val="21"/>
                <w:szCs w:val="21"/>
                <w:lang w:val="en-US" w:eastAsia="zh-CN"/>
              </w:rPr>
              <w:t>48.04</w:t>
            </w:r>
          </w:p>
        </w:tc>
        <w:tc>
          <w:tcPr>
            <w:tcW w:w="15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280.925</w:t>
            </w:r>
          </w:p>
        </w:tc>
        <w:tc>
          <w:tcPr>
            <w:tcW w:w="123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144.89</w:t>
            </w:r>
          </w:p>
        </w:tc>
        <w:tc>
          <w:tcPr>
            <w:tcW w:w="121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-232.885</w:t>
            </w:r>
          </w:p>
        </w:tc>
      </w:tr>
      <w:tr>
        <w:tblPrEx>
          <w:tblCellMar>
            <w:top w:w="0" w:type="dxa"/>
            <w:left w:w="108" w:type="dxa"/>
            <w:bottom w:w="0" w:type="dxa"/>
            <w:right w:w="108" w:type="dxa"/>
          </w:tblCellMar>
        </w:tblPrEx>
        <w:trPr>
          <w:trHeight w:val="300" w:hRule="atLeast"/>
          <w:jc w:val="center"/>
        </w:trPr>
        <w:tc>
          <w:tcPr>
            <w:tcW w:w="88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default" w:ascii="Times New Roman" w:hAnsi="Times New Roman" w:cs="Times New Roman"/>
                <w:color w:val="000000"/>
                <w:kern w:val="0"/>
                <w:sz w:val="21"/>
                <w:szCs w:val="21"/>
              </w:rPr>
            </w:pPr>
          </w:p>
        </w:tc>
        <w:tc>
          <w:tcPr>
            <w:tcW w:w="2055"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BOD</w:t>
            </w:r>
            <w:r>
              <w:rPr>
                <w:rFonts w:hint="default" w:ascii="Times New Roman" w:hAnsi="Times New Roman" w:cs="Times New Roman"/>
                <w:color w:val="000000"/>
                <w:kern w:val="0"/>
                <w:sz w:val="21"/>
                <w:szCs w:val="21"/>
                <w:vertAlign w:val="subscript"/>
              </w:rPr>
              <w:t>5</w:t>
            </w:r>
          </w:p>
        </w:tc>
        <w:tc>
          <w:tcPr>
            <w:tcW w:w="90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t/a</w:t>
            </w:r>
          </w:p>
        </w:tc>
        <w:tc>
          <w:tcPr>
            <w:tcW w:w="217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auto"/>
                <w:sz w:val="21"/>
                <w:szCs w:val="21"/>
                <w:lang w:val="en-US" w:eastAsia="zh-CN"/>
              </w:rPr>
              <w:t>48.140</w:t>
            </w:r>
          </w:p>
        </w:tc>
        <w:tc>
          <w:tcPr>
            <w:tcW w:w="15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auto"/>
                <w:sz w:val="21"/>
                <w:szCs w:val="21"/>
              </w:rPr>
              <w:t>59.88</w:t>
            </w:r>
          </w:p>
        </w:tc>
        <w:tc>
          <w:tcPr>
            <w:tcW w:w="101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auto"/>
                <w:sz w:val="21"/>
                <w:szCs w:val="21"/>
                <w:lang w:val="en-US" w:eastAsia="zh-CN"/>
              </w:rPr>
              <w:t>19.50</w:t>
            </w:r>
          </w:p>
        </w:tc>
        <w:tc>
          <w:tcPr>
            <w:tcW w:w="15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69.62</w:t>
            </w:r>
          </w:p>
        </w:tc>
        <w:tc>
          <w:tcPr>
            <w:tcW w:w="123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57.9</w:t>
            </w:r>
          </w:p>
        </w:tc>
        <w:tc>
          <w:tcPr>
            <w:tcW w:w="121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-50.12</w:t>
            </w:r>
          </w:p>
        </w:tc>
      </w:tr>
      <w:tr>
        <w:tblPrEx>
          <w:tblCellMar>
            <w:top w:w="0" w:type="dxa"/>
            <w:left w:w="108" w:type="dxa"/>
            <w:bottom w:w="0" w:type="dxa"/>
            <w:right w:w="108" w:type="dxa"/>
          </w:tblCellMar>
        </w:tblPrEx>
        <w:trPr>
          <w:trHeight w:val="270" w:hRule="atLeast"/>
          <w:jc w:val="center"/>
        </w:trPr>
        <w:tc>
          <w:tcPr>
            <w:tcW w:w="88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default" w:ascii="Times New Roman" w:hAnsi="Times New Roman" w:cs="Times New Roman"/>
                <w:color w:val="000000"/>
                <w:kern w:val="0"/>
                <w:sz w:val="21"/>
                <w:szCs w:val="21"/>
              </w:rPr>
            </w:pPr>
          </w:p>
        </w:tc>
        <w:tc>
          <w:tcPr>
            <w:tcW w:w="2055"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SS</w:t>
            </w:r>
          </w:p>
        </w:tc>
        <w:tc>
          <w:tcPr>
            <w:tcW w:w="90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t/a</w:t>
            </w:r>
          </w:p>
        </w:tc>
        <w:tc>
          <w:tcPr>
            <w:tcW w:w="217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auto"/>
                <w:sz w:val="21"/>
                <w:szCs w:val="21"/>
                <w:lang w:val="en-US" w:eastAsia="zh-CN"/>
              </w:rPr>
              <w:t>220.731</w:t>
            </w:r>
          </w:p>
        </w:tc>
        <w:tc>
          <w:tcPr>
            <w:tcW w:w="15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auto"/>
                <w:sz w:val="21"/>
                <w:szCs w:val="21"/>
              </w:rPr>
              <w:t>35.29</w:t>
            </w:r>
          </w:p>
        </w:tc>
        <w:tc>
          <w:tcPr>
            <w:tcW w:w="101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auto"/>
                <w:sz w:val="21"/>
                <w:szCs w:val="21"/>
                <w:lang w:val="en-US" w:eastAsia="zh-CN"/>
              </w:rPr>
              <w:t>14.95</w:t>
            </w:r>
          </w:p>
        </w:tc>
        <w:tc>
          <w:tcPr>
            <w:tcW w:w="15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223.861</w:t>
            </w:r>
          </w:p>
        </w:tc>
        <w:tc>
          <w:tcPr>
            <w:tcW w:w="123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47.11</w:t>
            </w:r>
          </w:p>
        </w:tc>
        <w:tc>
          <w:tcPr>
            <w:tcW w:w="121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-208.911</w:t>
            </w:r>
          </w:p>
        </w:tc>
      </w:tr>
      <w:tr>
        <w:tblPrEx>
          <w:tblCellMar>
            <w:top w:w="0" w:type="dxa"/>
            <w:left w:w="108" w:type="dxa"/>
            <w:bottom w:w="0" w:type="dxa"/>
            <w:right w:w="108" w:type="dxa"/>
          </w:tblCellMar>
        </w:tblPrEx>
        <w:trPr>
          <w:trHeight w:val="270" w:hRule="atLeast"/>
          <w:jc w:val="center"/>
        </w:trPr>
        <w:tc>
          <w:tcPr>
            <w:tcW w:w="88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default" w:ascii="Times New Roman" w:hAnsi="Times New Roman" w:cs="Times New Roman"/>
                <w:color w:val="000000"/>
                <w:kern w:val="0"/>
                <w:sz w:val="21"/>
                <w:szCs w:val="21"/>
              </w:rPr>
            </w:pPr>
          </w:p>
        </w:tc>
        <w:tc>
          <w:tcPr>
            <w:tcW w:w="2055"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color w:val="000000"/>
                <w:kern w:val="0"/>
                <w:sz w:val="21"/>
                <w:szCs w:val="21"/>
                <w:lang w:eastAsia="zh-CN"/>
              </w:rPr>
            </w:pPr>
            <w:r>
              <w:rPr>
                <w:rFonts w:hint="default" w:ascii="Times New Roman" w:hAnsi="Times New Roman" w:cs="Times New Roman"/>
                <w:color w:val="000000"/>
                <w:kern w:val="0"/>
                <w:sz w:val="21"/>
                <w:szCs w:val="21"/>
                <w:lang w:eastAsia="zh-CN"/>
              </w:rPr>
              <w:t>阴离子表面活性剂</w:t>
            </w:r>
          </w:p>
        </w:tc>
        <w:tc>
          <w:tcPr>
            <w:tcW w:w="90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t/a</w:t>
            </w:r>
          </w:p>
        </w:tc>
        <w:tc>
          <w:tcPr>
            <w:tcW w:w="217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auto"/>
                <w:sz w:val="21"/>
                <w:szCs w:val="21"/>
                <w:lang w:val="en-US" w:eastAsia="zh-CN"/>
              </w:rPr>
              <w:t>/</w:t>
            </w:r>
          </w:p>
        </w:tc>
        <w:tc>
          <w:tcPr>
            <w:tcW w:w="15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000000"/>
                <w:sz w:val="21"/>
                <w:szCs w:val="21"/>
                <w:lang w:eastAsia="zh-CN"/>
              </w:rPr>
            </w:pPr>
            <w:r>
              <w:rPr>
                <w:rFonts w:hint="default" w:ascii="Times New Roman" w:hAnsi="Times New Roman" w:cs="Times New Roman"/>
                <w:color w:val="auto"/>
                <w:sz w:val="21"/>
                <w:szCs w:val="21"/>
                <w:lang w:val="en-US" w:eastAsia="zh-CN"/>
              </w:rPr>
              <w:t>/</w:t>
            </w:r>
          </w:p>
        </w:tc>
        <w:tc>
          <w:tcPr>
            <w:tcW w:w="101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auto"/>
                <w:sz w:val="21"/>
                <w:szCs w:val="21"/>
                <w:lang w:val="en-US" w:eastAsia="zh-CN"/>
              </w:rPr>
              <w:t>3.81</w:t>
            </w:r>
          </w:p>
        </w:tc>
        <w:tc>
          <w:tcPr>
            <w:tcW w:w="15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auto"/>
                <w:kern w:val="0"/>
                <w:sz w:val="21"/>
                <w:szCs w:val="21"/>
                <w:lang w:val="en-US" w:eastAsia="zh-CN"/>
              </w:rPr>
            </w:pPr>
          </w:p>
        </w:tc>
        <w:tc>
          <w:tcPr>
            <w:tcW w:w="123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11.42</w:t>
            </w:r>
          </w:p>
        </w:tc>
        <w:tc>
          <w:tcPr>
            <w:tcW w:w="121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eastAsia"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3.81</w:t>
            </w:r>
          </w:p>
        </w:tc>
      </w:tr>
      <w:tr>
        <w:tblPrEx>
          <w:tblCellMar>
            <w:top w:w="0" w:type="dxa"/>
            <w:left w:w="108" w:type="dxa"/>
            <w:bottom w:w="0" w:type="dxa"/>
            <w:right w:w="108" w:type="dxa"/>
          </w:tblCellMar>
        </w:tblPrEx>
        <w:trPr>
          <w:trHeight w:val="270" w:hRule="atLeast"/>
          <w:jc w:val="center"/>
        </w:trPr>
        <w:tc>
          <w:tcPr>
            <w:tcW w:w="88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default" w:ascii="Times New Roman" w:hAnsi="Times New Roman" w:cs="Times New Roman"/>
                <w:color w:val="000000"/>
                <w:kern w:val="0"/>
                <w:sz w:val="21"/>
                <w:szCs w:val="21"/>
              </w:rPr>
            </w:pPr>
          </w:p>
        </w:tc>
        <w:tc>
          <w:tcPr>
            <w:tcW w:w="2055"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color w:val="000000"/>
                <w:kern w:val="0"/>
                <w:sz w:val="21"/>
                <w:szCs w:val="21"/>
                <w:lang w:eastAsia="zh-CN"/>
              </w:rPr>
            </w:pPr>
            <w:r>
              <w:rPr>
                <w:rFonts w:hint="default" w:ascii="Times New Roman" w:hAnsi="Times New Roman" w:cs="Times New Roman"/>
                <w:color w:val="000000"/>
                <w:kern w:val="0"/>
                <w:sz w:val="21"/>
                <w:szCs w:val="21"/>
                <w:lang w:eastAsia="zh-CN"/>
              </w:rPr>
              <w:t>氟化物</w:t>
            </w:r>
          </w:p>
        </w:tc>
        <w:tc>
          <w:tcPr>
            <w:tcW w:w="90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t/a</w:t>
            </w:r>
          </w:p>
        </w:tc>
        <w:tc>
          <w:tcPr>
            <w:tcW w:w="217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auto"/>
                <w:sz w:val="21"/>
                <w:szCs w:val="21"/>
                <w:lang w:val="en-US" w:eastAsia="zh-CN"/>
              </w:rPr>
              <w:t>5.529</w:t>
            </w:r>
          </w:p>
        </w:tc>
        <w:tc>
          <w:tcPr>
            <w:tcW w:w="15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auto"/>
                <w:sz w:val="21"/>
                <w:szCs w:val="21"/>
              </w:rPr>
              <w:t>5.38</w:t>
            </w:r>
          </w:p>
        </w:tc>
        <w:tc>
          <w:tcPr>
            <w:tcW w:w="101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auto"/>
                <w:sz w:val="21"/>
                <w:szCs w:val="21"/>
                <w:lang w:val="en-US" w:eastAsia="zh-CN"/>
              </w:rPr>
              <w:t>0.004</w:t>
            </w:r>
          </w:p>
        </w:tc>
        <w:tc>
          <w:tcPr>
            <w:tcW w:w="15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7.563</w:t>
            </w:r>
          </w:p>
        </w:tc>
        <w:tc>
          <w:tcPr>
            <w:tcW w:w="123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3.35</w:t>
            </w:r>
          </w:p>
        </w:tc>
        <w:tc>
          <w:tcPr>
            <w:tcW w:w="121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-7.559</w:t>
            </w:r>
          </w:p>
        </w:tc>
      </w:tr>
      <w:tr>
        <w:trPr>
          <w:trHeight w:val="270" w:hRule="atLeast"/>
          <w:jc w:val="center"/>
        </w:trPr>
        <w:tc>
          <w:tcPr>
            <w:tcW w:w="888" w:type="dxa"/>
            <w:vMerge w:val="restart"/>
            <w:tcBorders>
              <w:top w:val="single" w:color="auto" w:sz="4" w:space="0"/>
              <w:left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固体废物</w:t>
            </w:r>
          </w:p>
        </w:tc>
        <w:tc>
          <w:tcPr>
            <w:tcW w:w="2055"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一般固废</w:t>
            </w:r>
          </w:p>
        </w:tc>
        <w:tc>
          <w:tcPr>
            <w:tcW w:w="90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t/a</w:t>
            </w:r>
          </w:p>
        </w:tc>
        <w:tc>
          <w:tcPr>
            <w:tcW w:w="217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rPr>
              <w:t>0</w:t>
            </w:r>
          </w:p>
        </w:tc>
        <w:tc>
          <w:tcPr>
            <w:tcW w:w="154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rPr>
              <w:t>0</w:t>
            </w:r>
          </w:p>
        </w:tc>
        <w:tc>
          <w:tcPr>
            <w:tcW w:w="10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rPr>
              <w:t>0</w:t>
            </w:r>
          </w:p>
        </w:tc>
        <w:tc>
          <w:tcPr>
            <w:tcW w:w="15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auto"/>
                <w:kern w:val="0"/>
                <w:sz w:val="21"/>
                <w:szCs w:val="21"/>
                <w:lang w:val="en-US" w:eastAsia="zh-CN"/>
              </w:rPr>
            </w:pPr>
          </w:p>
        </w:tc>
        <w:tc>
          <w:tcPr>
            <w:tcW w:w="123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w:t>
            </w:r>
          </w:p>
        </w:tc>
        <w:tc>
          <w:tcPr>
            <w:tcW w:w="121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w:t>
            </w:r>
          </w:p>
        </w:tc>
      </w:tr>
      <w:tr>
        <w:tblPrEx>
          <w:tblCellMar>
            <w:top w:w="0" w:type="dxa"/>
            <w:left w:w="108" w:type="dxa"/>
            <w:bottom w:w="0" w:type="dxa"/>
            <w:right w:w="108" w:type="dxa"/>
          </w:tblCellMar>
        </w:tblPrEx>
        <w:trPr>
          <w:trHeight w:val="270" w:hRule="atLeast"/>
          <w:jc w:val="center"/>
        </w:trPr>
        <w:tc>
          <w:tcPr>
            <w:tcW w:w="888" w:type="dxa"/>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000000"/>
                <w:kern w:val="0"/>
                <w:sz w:val="21"/>
                <w:szCs w:val="21"/>
              </w:rPr>
            </w:pPr>
          </w:p>
        </w:tc>
        <w:tc>
          <w:tcPr>
            <w:tcW w:w="2055"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危险废物</w:t>
            </w:r>
          </w:p>
        </w:tc>
        <w:tc>
          <w:tcPr>
            <w:tcW w:w="90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t/a</w:t>
            </w:r>
          </w:p>
        </w:tc>
        <w:tc>
          <w:tcPr>
            <w:tcW w:w="217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rPr>
              <w:t>0</w:t>
            </w:r>
          </w:p>
        </w:tc>
        <w:tc>
          <w:tcPr>
            <w:tcW w:w="154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rPr>
              <w:t>0</w:t>
            </w:r>
          </w:p>
        </w:tc>
        <w:tc>
          <w:tcPr>
            <w:tcW w:w="10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rPr>
              <w:t>0</w:t>
            </w:r>
          </w:p>
        </w:tc>
        <w:tc>
          <w:tcPr>
            <w:tcW w:w="15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auto"/>
                <w:kern w:val="0"/>
                <w:sz w:val="21"/>
                <w:szCs w:val="21"/>
                <w:lang w:val="en-US" w:eastAsia="zh-CN"/>
              </w:rPr>
            </w:pPr>
          </w:p>
        </w:tc>
        <w:tc>
          <w:tcPr>
            <w:tcW w:w="123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w:t>
            </w:r>
          </w:p>
        </w:tc>
        <w:tc>
          <w:tcPr>
            <w:tcW w:w="121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w:t>
            </w:r>
          </w:p>
        </w:tc>
      </w:tr>
      <w:tr>
        <w:tblPrEx>
          <w:tblCellMar>
            <w:top w:w="0" w:type="dxa"/>
            <w:left w:w="108" w:type="dxa"/>
            <w:bottom w:w="0" w:type="dxa"/>
            <w:right w:w="108" w:type="dxa"/>
          </w:tblCellMar>
        </w:tblPrEx>
        <w:trPr>
          <w:trHeight w:val="270" w:hRule="atLeast"/>
          <w:jc w:val="center"/>
        </w:trPr>
        <w:tc>
          <w:tcPr>
            <w:tcW w:w="888" w:type="dxa"/>
            <w:vMerge w:val="continue"/>
            <w:tcBorders>
              <w:left w:val="single" w:color="auto" w:sz="4" w:space="0"/>
              <w:bottom w:val="single" w:color="auto" w:sz="4" w:space="0"/>
              <w:right w:val="single" w:color="auto" w:sz="4" w:space="0"/>
            </w:tcBorders>
            <w:vAlign w:val="center"/>
          </w:tcPr>
          <w:p>
            <w:pPr>
              <w:widowControl/>
              <w:jc w:val="left"/>
              <w:rPr>
                <w:rFonts w:hint="default" w:ascii="Times New Roman" w:hAnsi="Times New Roman" w:cs="Times New Roman"/>
                <w:color w:val="000000"/>
                <w:kern w:val="0"/>
                <w:sz w:val="21"/>
                <w:szCs w:val="21"/>
              </w:rPr>
            </w:pPr>
          </w:p>
        </w:tc>
        <w:tc>
          <w:tcPr>
            <w:tcW w:w="2055"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color w:val="000000"/>
                <w:kern w:val="0"/>
                <w:sz w:val="21"/>
                <w:szCs w:val="21"/>
                <w:lang w:eastAsia="zh-CN"/>
              </w:rPr>
            </w:pPr>
            <w:r>
              <w:rPr>
                <w:rFonts w:hint="default" w:ascii="Times New Roman" w:hAnsi="Times New Roman" w:cs="Times New Roman"/>
                <w:color w:val="000000"/>
                <w:kern w:val="0"/>
                <w:sz w:val="21"/>
                <w:szCs w:val="21"/>
                <w:lang w:eastAsia="zh-CN"/>
              </w:rPr>
              <w:t>生活垃圾</w:t>
            </w:r>
          </w:p>
        </w:tc>
        <w:tc>
          <w:tcPr>
            <w:tcW w:w="90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t/a</w:t>
            </w:r>
          </w:p>
        </w:tc>
        <w:tc>
          <w:tcPr>
            <w:tcW w:w="217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rPr>
              <w:t>0</w:t>
            </w:r>
          </w:p>
        </w:tc>
        <w:tc>
          <w:tcPr>
            <w:tcW w:w="154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rPr>
              <w:t>0</w:t>
            </w:r>
          </w:p>
        </w:tc>
        <w:tc>
          <w:tcPr>
            <w:tcW w:w="10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rPr>
              <w:t>0</w:t>
            </w:r>
          </w:p>
        </w:tc>
        <w:tc>
          <w:tcPr>
            <w:tcW w:w="15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auto"/>
                <w:kern w:val="0"/>
                <w:sz w:val="21"/>
                <w:szCs w:val="21"/>
                <w:lang w:val="en-US" w:eastAsia="zh-CN"/>
              </w:rPr>
            </w:pPr>
          </w:p>
        </w:tc>
        <w:tc>
          <w:tcPr>
            <w:tcW w:w="123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w:t>
            </w:r>
          </w:p>
        </w:tc>
        <w:tc>
          <w:tcPr>
            <w:tcW w:w="121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w:t>
            </w:r>
          </w:p>
        </w:tc>
      </w:tr>
    </w:tbl>
    <w:p>
      <w:pPr>
        <w:rPr>
          <w:rFonts w:hint="default" w:ascii="Times New Roman" w:hAnsi="Times New Roman" w:eastAsia="宋体" w:cs="Times New Roman"/>
          <w:color w:val="auto"/>
          <w:lang w:eastAsia="zh-CN"/>
        </w:rPr>
        <w:sectPr>
          <w:pgSz w:w="16838" w:h="11906" w:orient="landscape"/>
          <w:pgMar w:top="1797" w:right="1440" w:bottom="1797" w:left="1440" w:header="851" w:footer="992" w:gutter="0"/>
          <w:pgBorders>
            <w:top w:val="none" w:sz="0" w:space="0"/>
            <w:left w:val="none" w:sz="0" w:space="0"/>
            <w:bottom w:val="none" w:sz="0" w:space="0"/>
            <w:right w:val="none" w:sz="0" w:space="0"/>
          </w:pgBorders>
          <w:cols w:space="0" w:num="1"/>
          <w:rtlGutter w:val="0"/>
          <w:docGrid w:linePitch="312" w:charSpace="0"/>
        </w:sectPr>
      </w:pPr>
      <w:r>
        <w:rPr>
          <w:rFonts w:hint="default" w:ascii="Times New Roman" w:hAnsi="Times New Roman" w:cs="Times New Roman"/>
          <w:color w:val="auto"/>
          <w:lang w:eastAsia="zh-CN"/>
        </w:rPr>
        <w:t>注：废气仅考虑切片生产线的废气总量和污染物排放量，与单晶硅棒生产线无关联。</w:t>
      </w:r>
    </w:p>
    <w:p>
      <w:pPr>
        <w:rPr>
          <w:rFonts w:hint="default" w:ascii="Times New Roman" w:hAnsi="Times New Roman" w:cs="Times New Roman"/>
          <w:color w:val="auto"/>
          <w:lang w:val="en-US" w:eastAsia="zh-CN"/>
        </w:rPr>
      </w:pPr>
      <w:bookmarkStart w:id="304" w:name="_Toc15955"/>
    </w:p>
    <w:p>
      <w:pPr>
        <w:pStyle w:val="3"/>
        <w:spacing w:beforeLines="0" w:afterLines="100"/>
        <w:jc w:val="center"/>
        <w:rPr>
          <w:rFonts w:hint="default" w:ascii="Times New Roman" w:hAnsi="Times New Roman" w:cs="Times New Roman"/>
          <w:color w:val="auto"/>
        </w:rPr>
      </w:pPr>
      <w:r>
        <w:rPr>
          <w:rFonts w:hint="default" w:ascii="Times New Roman" w:hAnsi="Times New Roman" w:cs="Times New Roman"/>
          <w:color w:val="auto"/>
          <w:lang w:val="en-US" w:eastAsia="zh-CN"/>
        </w:rPr>
        <w:t>4</w:t>
      </w:r>
      <w:r>
        <w:rPr>
          <w:rFonts w:hint="default" w:ascii="Times New Roman" w:hAnsi="Times New Roman" w:cs="Times New Roman"/>
          <w:color w:val="auto"/>
        </w:rPr>
        <w:t>环境质量现状调查及评价</w:t>
      </w:r>
      <w:bookmarkEnd w:id="304"/>
    </w:p>
    <w:p>
      <w:pPr>
        <w:pStyle w:val="4"/>
        <w:spacing w:before="0" w:after="0" w:line="360" w:lineRule="auto"/>
        <w:rPr>
          <w:rFonts w:hint="default" w:ascii="Times New Roman" w:hAnsi="Times New Roman" w:eastAsia="宋体" w:cs="Times New Roman"/>
          <w:color w:val="auto"/>
          <w:sz w:val="28"/>
          <w:szCs w:val="28"/>
        </w:rPr>
      </w:pPr>
    </w:p>
    <w:p>
      <w:pPr>
        <w:pStyle w:val="4"/>
        <w:spacing w:before="0" w:after="0" w:line="360" w:lineRule="auto"/>
        <w:rPr>
          <w:rFonts w:hint="default" w:ascii="Times New Roman" w:hAnsi="Times New Roman" w:eastAsia="宋体" w:cs="Times New Roman"/>
          <w:color w:val="auto"/>
          <w:sz w:val="28"/>
          <w:szCs w:val="28"/>
        </w:rPr>
      </w:pPr>
      <w:bookmarkStart w:id="305" w:name="_Toc28225"/>
      <w:r>
        <w:rPr>
          <w:rFonts w:hint="default" w:ascii="Times New Roman" w:hAnsi="Times New Roman" w:eastAsia="宋体" w:cs="Times New Roman"/>
          <w:color w:val="auto"/>
          <w:sz w:val="28"/>
          <w:szCs w:val="28"/>
          <w:lang w:val="en-US" w:eastAsia="zh-CN"/>
        </w:rPr>
        <w:t>4</w:t>
      </w:r>
      <w:r>
        <w:rPr>
          <w:rFonts w:hint="default" w:ascii="Times New Roman" w:hAnsi="Times New Roman" w:eastAsia="宋体" w:cs="Times New Roman"/>
          <w:color w:val="auto"/>
          <w:sz w:val="28"/>
          <w:szCs w:val="28"/>
        </w:rPr>
        <w:t>.1</w:t>
      </w:r>
      <w:bookmarkEnd w:id="249"/>
      <w:bookmarkEnd w:id="250"/>
      <w:bookmarkEnd w:id="251"/>
      <w:bookmarkEnd w:id="252"/>
      <w:r>
        <w:rPr>
          <w:rFonts w:hint="default" w:ascii="Times New Roman" w:hAnsi="Times New Roman" w:eastAsia="宋体" w:cs="Times New Roman"/>
          <w:color w:val="auto"/>
          <w:sz w:val="28"/>
          <w:szCs w:val="28"/>
        </w:rPr>
        <w:t>区域自然环境现状调查</w:t>
      </w:r>
      <w:bookmarkEnd w:id="253"/>
      <w:bookmarkEnd w:id="254"/>
      <w:bookmarkEnd w:id="255"/>
      <w:bookmarkEnd w:id="256"/>
      <w:bookmarkEnd w:id="257"/>
      <w:bookmarkEnd w:id="305"/>
    </w:p>
    <w:p>
      <w:pPr>
        <w:pStyle w:val="6"/>
        <w:spacing w:before="0" w:after="0" w:line="360" w:lineRule="auto"/>
        <w:rPr>
          <w:rFonts w:hint="default" w:ascii="Times New Roman" w:hAnsi="Times New Roman" w:cs="Times New Roman"/>
          <w:color w:val="auto"/>
          <w:szCs w:val="28"/>
        </w:rPr>
      </w:pPr>
      <w:bookmarkStart w:id="306" w:name="_Toc1691"/>
      <w:bookmarkStart w:id="307" w:name="_Toc30198"/>
      <w:bookmarkStart w:id="308" w:name="_Toc6153"/>
      <w:bookmarkStart w:id="309" w:name="_Toc237751345"/>
      <w:bookmarkStart w:id="310" w:name="_Toc222310492"/>
      <w:bookmarkStart w:id="311" w:name="_Toc14250"/>
      <w:bookmarkStart w:id="312" w:name="_Toc27467"/>
      <w:bookmarkStart w:id="313" w:name="_Toc24461"/>
      <w:bookmarkStart w:id="314" w:name="_Toc303426508"/>
      <w:bookmarkStart w:id="315" w:name="_Toc7734"/>
      <w:r>
        <w:rPr>
          <w:rFonts w:hint="default" w:ascii="Times New Roman" w:hAnsi="Times New Roman" w:cs="Times New Roman"/>
          <w:color w:val="auto"/>
          <w:szCs w:val="28"/>
          <w:lang w:val="en-US" w:eastAsia="zh-CN"/>
        </w:rPr>
        <w:t>4</w:t>
      </w:r>
      <w:r>
        <w:rPr>
          <w:rFonts w:hint="default" w:ascii="Times New Roman" w:hAnsi="Times New Roman" w:cs="Times New Roman"/>
          <w:color w:val="auto"/>
          <w:szCs w:val="28"/>
        </w:rPr>
        <w:t>.1.1地理位置</w:t>
      </w:r>
      <w:bookmarkEnd w:id="306"/>
      <w:bookmarkEnd w:id="307"/>
      <w:bookmarkEnd w:id="308"/>
      <w:bookmarkEnd w:id="309"/>
      <w:bookmarkEnd w:id="310"/>
      <w:bookmarkEnd w:id="311"/>
      <w:bookmarkEnd w:id="312"/>
      <w:bookmarkEnd w:id="313"/>
      <w:bookmarkEnd w:id="314"/>
      <w:r>
        <w:rPr>
          <w:rFonts w:hint="default" w:ascii="Times New Roman" w:hAnsi="Times New Roman" w:cs="Times New Roman"/>
          <w:color w:val="auto"/>
          <w:szCs w:val="28"/>
        </w:rPr>
        <w:t>及交通</w:t>
      </w:r>
      <w:bookmarkEnd w:id="315"/>
    </w:p>
    <w:p>
      <w:pPr>
        <w:adjustRightInd w:val="0"/>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楚雄市为楚雄彝族自治州的首府，也是楚雄彝族自治州的政治、经济、文化、交通中心。楚雄市位于楚雄州中西部,地处北纬24°30′～25°15′，东经100°35′～101°48′之间。东邻禄丰县，南连双柏县，西接南华县，北同牟定县毗邻。楚雄州、市人民政府驻地鹿城镇，海拔1773米。楚雄市距离昆明市152千米，距离大理市179千米。与昆明市、曲靖市、玉溪市构成滇中城市群；是省会昆明通往滇西8州市和进入东南亚、南亚国际大通道的重要承接点和物流集散地，素有“省垣门户，迤西咽喉”之称。</w:t>
      </w:r>
    </w:p>
    <w:p>
      <w:pPr>
        <w:adjustRightInd w:val="0"/>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项目位于楚雄</w:t>
      </w:r>
      <w:r>
        <w:rPr>
          <w:rFonts w:hint="default" w:ascii="Times New Roman" w:hAnsi="Times New Roman" w:cs="Times New Roman"/>
          <w:color w:val="auto"/>
          <w:lang w:eastAsia="zh-CN"/>
        </w:rPr>
        <w:t>工业园区</w:t>
      </w:r>
      <w:r>
        <w:rPr>
          <w:rFonts w:hint="default" w:ascii="Times New Roman" w:hAnsi="Times New Roman" w:cs="Times New Roman"/>
          <w:color w:val="auto"/>
        </w:rPr>
        <w:t>富民</w:t>
      </w:r>
      <w:r>
        <w:rPr>
          <w:rFonts w:hint="default" w:ascii="Times New Roman" w:hAnsi="Times New Roman" w:cs="Times New Roman"/>
          <w:color w:val="auto"/>
          <w:lang w:eastAsia="zh-CN"/>
        </w:rPr>
        <w:t>庄甸</w:t>
      </w:r>
      <w:r>
        <w:rPr>
          <w:rFonts w:hint="default" w:ascii="Times New Roman" w:hAnsi="Times New Roman" w:cs="Times New Roman"/>
          <w:color w:val="auto"/>
        </w:rPr>
        <w:t>工业区，距城中心4公里，地理区位优势十分优越，东距昆明160公里，西距大理170公里，320国道</w:t>
      </w:r>
      <w:r>
        <w:rPr>
          <w:rFonts w:hint="default" w:ascii="Times New Roman" w:hAnsi="Times New Roman" w:cs="Times New Roman"/>
          <w:color w:val="auto"/>
          <w:lang w:eastAsia="zh-CN"/>
        </w:rPr>
        <w:t>、</w:t>
      </w:r>
      <w:r>
        <w:rPr>
          <w:rFonts w:hint="default" w:ascii="Times New Roman" w:hAnsi="Times New Roman" w:cs="Times New Roman"/>
          <w:color w:val="auto"/>
        </w:rPr>
        <w:t>广大铁路</w:t>
      </w:r>
      <w:r>
        <w:rPr>
          <w:rFonts w:hint="default" w:ascii="Times New Roman" w:hAnsi="Times New Roman" w:cs="Times New Roman"/>
          <w:color w:val="auto"/>
          <w:lang w:eastAsia="zh-CN"/>
        </w:rPr>
        <w:t>、</w:t>
      </w:r>
      <w:r>
        <w:rPr>
          <w:rFonts w:hint="default" w:ascii="Times New Roman" w:hAnsi="Times New Roman" w:cs="Times New Roman"/>
          <w:color w:val="auto"/>
        </w:rPr>
        <w:t>成昆铁路</w:t>
      </w:r>
      <w:r>
        <w:rPr>
          <w:rFonts w:hint="default" w:ascii="Times New Roman" w:hAnsi="Times New Roman" w:cs="Times New Roman"/>
          <w:color w:val="auto"/>
          <w:lang w:eastAsia="zh-CN"/>
        </w:rPr>
        <w:t>、</w:t>
      </w:r>
      <w:r>
        <w:rPr>
          <w:rFonts w:hint="default" w:ascii="Times New Roman" w:hAnsi="Times New Roman" w:cs="Times New Roman"/>
          <w:color w:val="auto"/>
        </w:rPr>
        <w:t>昆瑞高速路</w:t>
      </w:r>
      <w:r>
        <w:rPr>
          <w:rFonts w:hint="default" w:ascii="Times New Roman" w:hAnsi="Times New Roman" w:cs="Times New Roman"/>
          <w:color w:val="auto"/>
          <w:lang w:eastAsia="zh-CN"/>
        </w:rPr>
        <w:t>、</w:t>
      </w:r>
      <w:r>
        <w:rPr>
          <w:rFonts w:hint="default" w:ascii="Times New Roman" w:hAnsi="Times New Roman" w:cs="Times New Roman"/>
          <w:color w:val="auto"/>
        </w:rPr>
        <w:t>南永路</w:t>
      </w:r>
      <w:r>
        <w:rPr>
          <w:rFonts w:hint="default" w:ascii="Times New Roman" w:hAnsi="Times New Roman" w:cs="Times New Roman"/>
          <w:color w:val="auto"/>
          <w:lang w:eastAsia="zh-CN"/>
        </w:rPr>
        <w:t>、</w:t>
      </w:r>
      <w:r>
        <w:rPr>
          <w:rFonts w:hint="default" w:ascii="Times New Roman" w:hAnsi="Times New Roman" w:cs="Times New Roman"/>
          <w:color w:val="auto"/>
        </w:rPr>
        <w:t>安楚楚大高速路</w:t>
      </w:r>
      <w:r>
        <w:rPr>
          <w:rFonts w:hint="default" w:ascii="Times New Roman" w:hAnsi="Times New Roman" w:cs="Times New Roman"/>
          <w:color w:val="auto"/>
          <w:lang w:eastAsia="zh-CN"/>
        </w:rPr>
        <w:t>、</w:t>
      </w:r>
      <w:r>
        <w:rPr>
          <w:rFonts w:hint="default" w:ascii="Times New Roman" w:hAnsi="Times New Roman" w:cs="Times New Roman"/>
          <w:color w:val="auto"/>
        </w:rPr>
        <w:t>元双高速路等以楚雄市为中心横贯东西，市政道路县乡公路网络发展迅速，交通十分便利，四通八达，既能满足大运量，低成本的要求，又能适应便捷，快速的需要。项目地理位置见附图1。</w:t>
      </w:r>
    </w:p>
    <w:p>
      <w:pPr>
        <w:pStyle w:val="6"/>
        <w:spacing w:before="0" w:after="0" w:line="360" w:lineRule="auto"/>
        <w:rPr>
          <w:rFonts w:hint="default" w:ascii="Times New Roman" w:hAnsi="Times New Roman" w:cs="Times New Roman"/>
          <w:color w:val="auto"/>
          <w:szCs w:val="28"/>
        </w:rPr>
      </w:pPr>
      <w:bookmarkStart w:id="316" w:name="_Toc15053"/>
      <w:bookmarkStart w:id="317" w:name="_Toc5860"/>
      <w:bookmarkStart w:id="318" w:name="_Toc19277"/>
      <w:bookmarkStart w:id="319" w:name="_Toc16228"/>
      <w:bookmarkStart w:id="320" w:name="_Toc32364"/>
      <w:bookmarkStart w:id="321" w:name="_Toc8900"/>
      <w:bookmarkStart w:id="322" w:name="_Toc26531"/>
      <w:r>
        <w:rPr>
          <w:rFonts w:hint="default" w:ascii="Times New Roman" w:hAnsi="Times New Roman" w:cs="Times New Roman"/>
          <w:color w:val="auto"/>
          <w:szCs w:val="28"/>
          <w:lang w:val="en-US" w:eastAsia="zh-CN"/>
        </w:rPr>
        <w:t>4</w:t>
      </w:r>
      <w:r>
        <w:rPr>
          <w:rFonts w:hint="default" w:ascii="Times New Roman" w:hAnsi="Times New Roman" w:cs="Times New Roman"/>
          <w:color w:val="auto"/>
          <w:szCs w:val="28"/>
        </w:rPr>
        <w:t>.1.2地形、地貌</w:t>
      </w:r>
      <w:bookmarkEnd w:id="316"/>
      <w:bookmarkEnd w:id="317"/>
      <w:bookmarkEnd w:id="318"/>
      <w:bookmarkEnd w:id="319"/>
      <w:bookmarkEnd w:id="320"/>
      <w:bookmarkEnd w:id="321"/>
      <w:bookmarkEnd w:id="322"/>
    </w:p>
    <w:p>
      <w:pPr>
        <w:adjustRightInd w:val="0"/>
        <w:snapToGrid w:val="0"/>
        <w:spacing w:line="360" w:lineRule="auto"/>
        <w:ind w:firstLine="482"/>
        <w:rPr>
          <w:rFonts w:hint="default" w:ascii="Times New Roman" w:hAnsi="Times New Roman" w:cs="Times New Roman"/>
          <w:snapToGrid w:val="0"/>
          <w:color w:val="auto"/>
        </w:rPr>
      </w:pPr>
      <w:bookmarkStart w:id="323" w:name="_Toc28032"/>
      <w:r>
        <w:rPr>
          <w:rFonts w:hint="default" w:ascii="Times New Roman" w:hAnsi="Times New Roman" w:cs="Times New Roman"/>
          <w:snapToGrid w:val="0"/>
          <w:color w:val="auto"/>
        </w:rPr>
        <w:t>楚雄市地势西北高，东南低，从西北向东南倾斜，最高山峰为西舍路乡哀牢山脉小越坟山，海拔2916.1米，最低点为礼社江与彝家拉河、石羊江交汇处，海拔691米。市人民政府驻地鹿城镇海拔1773米。市境地貌可分为山间盆地、中山浅切割宽谷、中山浅切割宽谷三大地貌单元。市境西部为山地，习惯称山区或“哨区”东部为丘陵和山间盆地，习惯称“坝区”。境内面积在5平方千米以上的坝子共有6个，即鹿城、子午、东华、腰站、饱满街、吕合。6个坝子中均有龙川江及其支流穿过，龙川江由西北流向东南，至腰站往北蜿蜒于低山丘陵中向东流出境。境内群山皆属哀牢山系东麓支干余脉，其在楚雄的支脉为西舍路与景东县交界的大山心，东麓为楚雄市，西麓为景东县。</w:t>
      </w:r>
    </w:p>
    <w:p>
      <w:pPr>
        <w:adjustRightInd w:val="0"/>
        <w:snapToGrid w:val="0"/>
        <w:spacing w:line="360" w:lineRule="auto"/>
        <w:ind w:firstLine="482"/>
        <w:rPr>
          <w:rFonts w:hint="default" w:ascii="Times New Roman" w:hAnsi="Times New Roman" w:cs="Times New Roman"/>
          <w:snapToGrid w:val="0"/>
          <w:color w:val="auto"/>
        </w:rPr>
      </w:pPr>
      <w:r>
        <w:rPr>
          <w:rFonts w:hint="default" w:ascii="Times New Roman" w:hAnsi="Times New Roman" w:cs="Times New Roman"/>
          <w:snapToGrid w:val="0"/>
          <w:color w:val="auto"/>
        </w:rPr>
        <w:t>拟建场地区域上位于云南“山”字形构造前弧西翼内侧盾地北端，东部跨川滇经向构造与“山”字形脊柱复合部位。楚雄盆地构造区划属于会基关～双柏穹窿褶皱区，呈NW～SE向延伸。根据《云南</w:t>
      </w:r>
      <w:r>
        <w:rPr>
          <w:rFonts w:hint="default" w:ascii="Times New Roman" w:hAnsi="Times New Roman" w:cs="Times New Roman"/>
          <w:color w:val="auto"/>
        </w:rPr>
        <w:t>省山地城镇岩土工程导则》（试行）5.6.1、7.2.6条，以及云南省地震局2010年9月编制的《云南活动断裂分布图》，结合场地位置，拟建场地南西侧1.9km处分布有龙川河断裂（F67）、南西侧6.1k</w:t>
      </w:r>
      <w:r>
        <w:rPr>
          <w:rFonts w:hint="default" w:ascii="Times New Roman" w:hAnsi="Times New Roman" w:cs="Times New Roman"/>
          <w:snapToGrid w:val="0"/>
          <w:color w:val="auto"/>
        </w:rPr>
        <w:t>m处分布有楚雄～化念断裂（F69），南西侧11.3km处分布有云龙断裂（F68）。龙川河断裂（F67）为晚更新世右旋转扭动活动断裂；云龙断裂（F68）为早～中更新世活动断裂，为正断层；楚雄～化念断裂（F69）为早～中更新世右旋转扭动活动断裂。按《岩土工程勘察规范》(GB50021-2001，2009年版）第5.8.2条，以上断裂不属于全新活动断裂，不属于发震断裂，场地四周无发震断裂分布。</w:t>
      </w:r>
    </w:p>
    <w:p>
      <w:pPr>
        <w:pStyle w:val="6"/>
        <w:spacing w:before="0" w:after="0" w:line="360" w:lineRule="auto"/>
        <w:rPr>
          <w:rFonts w:hint="default" w:ascii="Times New Roman" w:hAnsi="Times New Roman" w:cs="Times New Roman"/>
          <w:color w:val="auto"/>
          <w:szCs w:val="28"/>
        </w:rPr>
      </w:pPr>
      <w:bookmarkStart w:id="324" w:name="_Toc22410"/>
      <w:bookmarkStart w:id="325" w:name="_Toc10205"/>
      <w:bookmarkStart w:id="326" w:name="_Toc10356"/>
      <w:bookmarkStart w:id="327" w:name="_Toc29314"/>
      <w:bookmarkStart w:id="328" w:name="_Toc29657"/>
      <w:bookmarkStart w:id="329" w:name="_Toc7365"/>
      <w:r>
        <w:rPr>
          <w:rFonts w:hint="default" w:ascii="Times New Roman" w:hAnsi="Times New Roman" w:cs="Times New Roman"/>
          <w:color w:val="auto"/>
          <w:szCs w:val="28"/>
          <w:lang w:val="en-US" w:eastAsia="zh-CN"/>
        </w:rPr>
        <w:t>4</w:t>
      </w:r>
      <w:r>
        <w:rPr>
          <w:rFonts w:hint="default" w:ascii="Times New Roman" w:hAnsi="Times New Roman" w:cs="Times New Roman"/>
          <w:color w:val="auto"/>
          <w:szCs w:val="28"/>
        </w:rPr>
        <w:t>.1.3气候、气象</w:t>
      </w:r>
      <w:bookmarkEnd w:id="323"/>
      <w:bookmarkEnd w:id="324"/>
      <w:bookmarkEnd w:id="325"/>
      <w:bookmarkEnd w:id="326"/>
      <w:bookmarkEnd w:id="327"/>
      <w:bookmarkEnd w:id="328"/>
      <w:bookmarkStart w:id="330" w:name="_Toc303426509"/>
      <w:bookmarkStart w:id="331" w:name="_Toc16322"/>
      <w:r>
        <w:rPr>
          <w:rFonts w:hint="default" w:ascii="Times New Roman" w:hAnsi="Times New Roman" w:cs="Times New Roman"/>
          <w:color w:val="auto"/>
          <w:szCs w:val="28"/>
        </w:rPr>
        <w:t>特征</w:t>
      </w:r>
      <w:bookmarkEnd w:id="329"/>
    </w:p>
    <w:p>
      <w:pPr>
        <w:adjustRightInd w:val="0"/>
        <w:snapToGrid w:val="0"/>
        <w:spacing w:line="360" w:lineRule="auto"/>
        <w:ind w:firstLine="480" w:firstLineChars="200"/>
        <w:rPr>
          <w:rFonts w:hint="default" w:ascii="Times New Roman" w:hAnsi="Times New Roman" w:cs="Times New Roman"/>
          <w:snapToGrid w:val="0"/>
          <w:color w:val="auto"/>
        </w:rPr>
      </w:pPr>
      <w:bookmarkStart w:id="332" w:name="_Toc15780"/>
      <w:bookmarkStart w:id="333" w:name="_Toc15399"/>
      <w:bookmarkStart w:id="334" w:name="_Toc30126"/>
      <w:bookmarkStart w:id="335" w:name="_Toc24728"/>
      <w:bookmarkStart w:id="336" w:name="_Toc19114"/>
      <w:r>
        <w:rPr>
          <w:rFonts w:hint="default" w:ascii="Times New Roman" w:hAnsi="Times New Roman" w:cs="Times New Roman"/>
          <w:snapToGrid w:val="0"/>
          <w:color w:val="auto"/>
        </w:rPr>
        <w:t>楚雄气象站点位于楚雄市鹿城镇东郊办事处罗家队，项目西北侧约5km，站台编号为56768，观测场拔海高度为1824.1m，站点经纬度为北纬25°02′、东经101°33′。据楚雄气象站2000～2020年累计气象观测资料，本地区多年最大日降水量为174mm(出现时间：2003.6.17)，多年最高气温为34.20℃(出现时间：2014.6.3)，多年最低气温为-1.45℃(出现时间：2002.12.26)，多年最大风速为28.20m/s(出现时间：2005.3.20)，多年平均气压为988.47hPa。</w:t>
      </w:r>
    </w:p>
    <w:p>
      <w:pPr>
        <w:adjustRightInd w:val="0"/>
        <w:snapToGrid w:val="0"/>
        <w:spacing w:line="360" w:lineRule="auto"/>
        <w:ind w:firstLine="480" w:firstLineChars="200"/>
        <w:rPr>
          <w:rFonts w:hint="default" w:ascii="Times New Roman" w:hAnsi="Times New Roman" w:cs="Times New Roman"/>
          <w:snapToGrid w:val="0"/>
          <w:color w:val="auto"/>
        </w:rPr>
      </w:pPr>
      <w:r>
        <w:rPr>
          <w:rFonts w:hint="default" w:ascii="Times New Roman" w:hAnsi="Times New Roman" w:cs="Times New Roman"/>
          <w:snapToGrid w:val="0"/>
          <w:color w:val="auto"/>
        </w:rPr>
        <w:t>据楚雄气象站2001～2020年累计气象观测资料统计，主要气象特征如下：</w:t>
      </w:r>
    </w:p>
    <w:p>
      <w:pPr>
        <w:adjustRightInd w:val="0"/>
        <w:snapToGrid w:val="0"/>
        <w:spacing w:line="360" w:lineRule="auto"/>
        <w:ind w:firstLine="480" w:firstLineChars="200"/>
        <w:rPr>
          <w:rFonts w:hint="default" w:ascii="Times New Roman" w:hAnsi="Times New Roman" w:cs="Times New Roman"/>
          <w:snapToGrid w:val="0"/>
          <w:color w:val="auto"/>
        </w:rPr>
      </w:pPr>
      <w:r>
        <w:rPr>
          <w:rFonts w:hint="default" w:ascii="Times New Roman" w:hAnsi="Times New Roman" w:cs="Times New Roman"/>
          <w:snapToGrid w:val="0"/>
          <w:color w:val="auto"/>
        </w:rPr>
        <w:t>1、气温</w:t>
      </w:r>
    </w:p>
    <w:p>
      <w:pPr>
        <w:adjustRightInd w:val="0"/>
        <w:snapToGrid w:val="0"/>
        <w:spacing w:line="360" w:lineRule="auto"/>
        <w:ind w:firstLine="480" w:firstLineChars="200"/>
        <w:rPr>
          <w:rFonts w:hint="default" w:ascii="Times New Roman" w:hAnsi="Times New Roman" w:cs="Times New Roman"/>
          <w:snapToGrid w:val="0"/>
          <w:color w:val="auto"/>
        </w:rPr>
      </w:pPr>
      <w:r>
        <w:rPr>
          <w:rFonts w:hint="default" w:ascii="Times New Roman" w:hAnsi="Times New Roman" w:cs="Times New Roman"/>
          <w:snapToGrid w:val="0"/>
          <w:color w:val="auto"/>
        </w:rPr>
        <w:t>楚雄市1月份平均气温最低9.84℃，6月份平均气温最高22.12℃，年平均气温16.87℃。楚雄市累年平均气温统计见下表。</w:t>
      </w:r>
    </w:p>
    <w:p>
      <w:pPr>
        <w:pStyle w:val="133"/>
        <w:keepNext w:val="0"/>
        <w:keepLines w:val="0"/>
        <w:pageBreakBefore w:val="0"/>
        <w:widowControl w:val="0"/>
        <w:numPr>
          <w:ilvl w:val="0"/>
          <w:numId w:val="15"/>
        </w:numPr>
        <w:tabs>
          <w:tab w:val="left" w:pos="1020"/>
        </w:tabs>
        <w:kinsoku/>
        <w:wordWrap/>
        <w:overflowPunct/>
        <w:topLinePunct w:val="0"/>
        <w:autoSpaceDE/>
        <w:autoSpaceDN/>
        <w:bidi w:val="0"/>
        <w:adjustRightInd/>
        <w:snapToGrid/>
        <w:spacing w:line="360" w:lineRule="auto"/>
        <w:ind w:left="840" w:leftChars="0" w:hanging="420" w:firstLineChars="0"/>
        <w:jc w:val="center"/>
        <w:textAlignment w:val="auto"/>
        <w:rPr>
          <w:rFonts w:hint="default" w:ascii="Times New Roman" w:hAnsi="Times New Roman" w:cs="Times New Roman"/>
          <w:b/>
          <w:bCs/>
          <w:color w:val="auto"/>
          <w:spacing w:val="1"/>
        </w:rPr>
      </w:pPr>
      <w:r>
        <w:rPr>
          <w:rFonts w:hint="default" w:ascii="Times New Roman" w:hAnsi="Times New Roman" w:cs="Times New Roman"/>
          <w:b/>
          <w:bCs/>
          <w:color w:val="auto"/>
          <w:spacing w:val="1"/>
        </w:rPr>
        <w:t>楚雄市地区2001-2020年平均气温的月变化</w:t>
      </w:r>
    </w:p>
    <w:tbl>
      <w:tblPr>
        <w:tblStyle w:val="4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97"/>
        <w:gridCol w:w="543"/>
        <w:gridCol w:w="626"/>
        <w:gridCol w:w="584"/>
        <w:gridCol w:w="541"/>
        <w:gridCol w:w="584"/>
        <w:gridCol w:w="541"/>
        <w:gridCol w:w="584"/>
        <w:gridCol w:w="584"/>
        <w:gridCol w:w="584"/>
        <w:gridCol w:w="541"/>
        <w:gridCol w:w="536"/>
        <w:gridCol w:w="626"/>
        <w:gridCol w:w="6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79"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月份</w:t>
            </w:r>
          </w:p>
        </w:tc>
        <w:tc>
          <w:tcPr>
            <w:tcW w:w="326"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1月</w:t>
            </w:r>
          </w:p>
        </w:tc>
        <w:tc>
          <w:tcPr>
            <w:tcW w:w="376"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2月</w:t>
            </w:r>
          </w:p>
        </w:tc>
        <w:tc>
          <w:tcPr>
            <w:tcW w:w="351"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3月</w:t>
            </w:r>
          </w:p>
        </w:tc>
        <w:tc>
          <w:tcPr>
            <w:tcW w:w="325"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4月</w:t>
            </w:r>
          </w:p>
        </w:tc>
        <w:tc>
          <w:tcPr>
            <w:tcW w:w="351"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5月</w:t>
            </w:r>
          </w:p>
        </w:tc>
        <w:tc>
          <w:tcPr>
            <w:tcW w:w="325"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6月</w:t>
            </w:r>
          </w:p>
        </w:tc>
        <w:tc>
          <w:tcPr>
            <w:tcW w:w="351"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7月</w:t>
            </w:r>
          </w:p>
        </w:tc>
        <w:tc>
          <w:tcPr>
            <w:tcW w:w="351"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8月</w:t>
            </w:r>
          </w:p>
        </w:tc>
        <w:tc>
          <w:tcPr>
            <w:tcW w:w="351"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9月</w:t>
            </w:r>
          </w:p>
        </w:tc>
        <w:tc>
          <w:tcPr>
            <w:tcW w:w="325"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10月</w:t>
            </w:r>
          </w:p>
        </w:tc>
        <w:tc>
          <w:tcPr>
            <w:tcW w:w="322"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11月</w:t>
            </w:r>
          </w:p>
        </w:tc>
        <w:tc>
          <w:tcPr>
            <w:tcW w:w="376"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12月</w:t>
            </w:r>
          </w:p>
        </w:tc>
        <w:tc>
          <w:tcPr>
            <w:tcW w:w="391"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全年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79"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温度℃</w:t>
            </w:r>
          </w:p>
        </w:tc>
        <w:tc>
          <w:tcPr>
            <w:tcW w:w="326"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 xml:space="preserve">9.99 </w:t>
            </w:r>
          </w:p>
        </w:tc>
        <w:tc>
          <w:tcPr>
            <w:tcW w:w="376"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 xml:space="preserve">12.77 </w:t>
            </w:r>
          </w:p>
        </w:tc>
        <w:tc>
          <w:tcPr>
            <w:tcW w:w="351"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 xml:space="preserve">15.85 </w:t>
            </w:r>
          </w:p>
        </w:tc>
        <w:tc>
          <w:tcPr>
            <w:tcW w:w="325"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 xml:space="preserve">18.52 </w:t>
            </w:r>
          </w:p>
        </w:tc>
        <w:tc>
          <w:tcPr>
            <w:tcW w:w="351"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 xml:space="preserve">20.59 </w:t>
            </w:r>
          </w:p>
        </w:tc>
        <w:tc>
          <w:tcPr>
            <w:tcW w:w="325"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 xml:space="preserve">22.12 </w:t>
            </w:r>
          </w:p>
        </w:tc>
        <w:tc>
          <w:tcPr>
            <w:tcW w:w="351"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 xml:space="preserve">21.49 </w:t>
            </w:r>
          </w:p>
        </w:tc>
        <w:tc>
          <w:tcPr>
            <w:tcW w:w="351"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 xml:space="preserve">20.84 </w:t>
            </w:r>
          </w:p>
        </w:tc>
        <w:tc>
          <w:tcPr>
            <w:tcW w:w="351"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 xml:space="preserve">19.81 </w:t>
            </w:r>
          </w:p>
        </w:tc>
        <w:tc>
          <w:tcPr>
            <w:tcW w:w="325"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 xml:space="preserve">17.33 </w:t>
            </w:r>
          </w:p>
        </w:tc>
        <w:tc>
          <w:tcPr>
            <w:tcW w:w="322"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 xml:space="preserve">13.10 </w:t>
            </w:r>
          </w:p>
        </w:tc>
        <w:tc>
          <w:tcPr>
            <w:tcW w:w="376"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 xml:space="preserve">10.08 </w:t>
            </w:r>
          </w:p>
        </w:tc>
        <w:tc>
          <w:tcPr>
            <w:tcW w:w="391"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 xml:space="preserve">16.87 </w:t>
            </w:r>
          </w:p>
        </w:tc>
      </w:tr>
    </w:tbl>
    <w:p>
      <w:pPr>
        <w:adjustRightInd w:val="0"/>
        <w:snapToGrid w:val="0"/>
        <w:spacing w:beforeLines="50" w:line="360" w:lineRule="auto"/>
        <w:ind w:firstLine="482"/>
        <w:rPr>
          <w:rFonts w:hint="default" w:ascii="Times New Roman" w:hAnsi="Times New Roman" w:cs="Times New Roman"/>
          <w:snapToGrid w:val="0"/>
          <w:color w:val="auto"/>
        </w:rPr>
      </w:pPr>
      <w:r>
        <w:rPr>
          <w:rFonts w:hint="default" w:ascii="Times New Roman" w:hAnsi="Times New Roman" w:cs="Times New Roman"/>
          <w:snapToGrid w:val="0"/>
          <w:color w:val="auto"/>
        </w:rPr>
        <w:t>2、相对湿度</w:t>
      </w:r>
    </w:p>
    <w:p>
      <w:pPr>
        <w:adjustRightInd w:val="0"/>
        <w:snapToGrid w:val="0"/>
        <w:spacing w:line="360" w:lineRule="auto"/>
        <w:ind w:firstLine="482"/>
        <w:rPr>
          <w:rFonts w:hint="default" w:ascii="Times New Roman" w:hAnsi="Times New Roman" w:cs="Times New Roman"/>
          <w:snapToGrid w:val="0"/>
          <w:color w:val="auto"/>
        </w:rPr>
      </w:pPr>
      <w:r>
        <w:rPr>
          <w:rFonts w:hint="default" w:ascii="Times New Roman" w:hAnsi="Times New Roman" w:cs="Times New Roman"/>
          <w:snapToGrid w:val="0"/>
          <w:color w:val="auto"/>
        </w:rPr>
        <w:t>楚雄市年平均相对湿度为66.45%。秋、冬季月相对湿度较高，春季相对湿度偏低。楚雄市累年平均相对湿度统计见下表。</w:t>
      </w:r>
    </w:p>
    <w:p>
      <w:pPr>
        <w:pStyle w:val="133"/>
        <w:keepNext w:val="0"/>
        <w:keepLines w:val="0"/>
        <w:pageBreakBefore w:val="0"/>
        <w:widowControl w:val="0"/>
        <w:numPr>
          <w:ilvl w:val="0"/>
          <w:numId w:val="15"/>
        </w:numPr>
        <w:tabs>
          <w:tab w:val="left" w:pos="1020"/>
        </w:tabs>
        <w:kinsoku/>
        <w:wordWrap/>
        <w:overflowPunct/>
        <w:topLinePunct w:val="0"/>
        <w:autoSpaceDE/>
        <w:autoSpaceDN/>
        <w:bidi w:val="0"/>
        <w:adjustRightInd/>
        <w:snapToGrid/>
        <w:spacing w:line="360" w:lineRule="auto"/>
        <w:ind w:left="840" w:leftChars="0" w:hanging="420" w:firstLineChars="0"/>
        <w:jc w:val="center"/>
        <w:textAlignment w:val="auto"/>
        <w:rPr>
          <w:rFonts w:hint="default" w:ascii="Times New Roman" w:hAnsi="Times New Roman" w:cs="Times New Roman"/>
          <w:b/>
          <w:bCs/>
          <w:color w:val="auto"/>
          <w:spacing w:val="1"/>
        </w:rPr>
      </w:pPr>
      <w:r>
        <w:rPr>
          <w:rFonts w:hint="default" w:ascii="Times New Roman" w:hAnsi="Times New Roman" w:cs="Times New Roman"/>
          <w:b/>
          <w:bCs/>
          <w:color w:val="auto"/>
          <w:spacing w:val="1"/>
        </w:rPr>
        <w:t>楚雄市2001-2020年平均湿度的月变化</w:t>
      </w:r>
    </w:p>
    <w:tbl>
      <w:tblPr>
        <w:tblStyle w:val="4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97"/>
        <w:gridCol w:w="543"/>
        <w:gridCol w:w="626"/>
        <w:gridCol w:w="583"/>
        <w:gridCol w:w="541"/>
        <w:gridCol w:w="583"/>
        <w:gridCol w:w="541"/>
        <w:gridCol w:w="583"/>
        <w:gridCol w:w="583"/>
        <w:gridCol w:w="583"/>
        <w:gridCol w:w="541"/>
        <w:gridCol w:w="541"/>
        <w:gridCol w:w="624"/>
        <w:gridCol w:w="6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79"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月份</w:t>
            </w:r>
          </w:p>
        </w:tc>
        <w:tc>
          <w:tcPr>
            <w:tcW w:w="326"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1月</w:t>
            </w:r>
          </w:p>
        </w:tc>
        <w:tc>
          <w:tcPr>
            <w:tcW w:w="376"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2月</w:t>
            </w:r>
          </w:p>
        </w:tc>
        <w:tc>
          <w:tcPr>
            <w:tcW w:w="350"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3月</w:t>
            </w:r>
          </w:p>
        </w:tc>
        <w:tc>
          <w:tcPr>
            <w:tcW w:w="325"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4月</w:t>
            </w:r>
          </w:p>
        </w:tc>
        <w:tc>
          <w:tcPr>
            <w:tcW w:w="350"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5月</w:t>
            </w:r>
          </w:p>
        </w:tc>
        <w:tc>
          <w:tcPr>
            <w:tcW w:w="325"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6月</w:t>
            </w:r>
          </w:p>
        </w:tc>
        <w:tc>
          <w:tcPr>
            <w:tcW w:w="350"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7月</w:t>
            </w:r>
          </w:p>
        </w:tc>
        <w:tc>
          <w:tcPr>
            <w:tcW w:w="350"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8月</w:t>
            </w:r>
          </w:p>
        </w:tc>
        <w:tc>
          <w:tcPr>
            <w:tcW w:w="350"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9月</w:t>
            </w:r>
          </w:p>
        </w:tc>
        <w:tc>
          <w:tcPr>
            <w:tcW w:w="325"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10月</w:t>
            </w:r>
          </w:p>
        </w:tc>
        <w:tc>
          <w:tcPr>
            <w:tcW w:w="325"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11月</w:t>
            </w:r>
          </w:p>
        </w:tc>
        <w:tc>
          <w:tcPr>
            <w:tcW w:w="375"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12月</w:t>
            </w:r>
          </w:p>
        </w:tc>
        <w:tc>
          <w:tcPr>
            <w:tcW w:w="392"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全年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79"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湿度%</w:t>
            </w:r>
          </w:p>
        </w:tc>
        <w:tc>
          <w:tcPr>
            <w:tcW w:w="326"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 xml:space="preserve">64.14 </w:t>
            </w:r>
          </w:p>
        </w:tc>
        <w:tc>
          <w:tcPr>
            <w:tcW w:w="376"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 xml:space="preserve">51.66 </w:t>
            </w:r>
          </w:p>
        </w:tc>
        <w:tc>
          <w:tcPr>
            <w:tcW w:w="350"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 xml:space="preserve">47.77 </w:t>
            </w:r>
          </w:p>
        </w:tc>
        <w:tc>
          <w:tcPr>
            <w:tcW w:w="325"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 xml:space="preserve">49.09 </w:t>
            </w:r>
          </w:p>
        </w:tc>
        <w:tc>
          <w:tcPr>
            <w:tcW w:w="350"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 xml:space="preserve">61.27 </w:t>
            </w:r>
          </w:p>
        </w:tc>
        <w:tc>
          <w:tcPr>
            <w:tcW w:w="325"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 xml:space="preserve">69.17 </w:t>
            </w:r>
          </w:p>
        </w:tc>
        <w:tc>
          <w:tcPr>
            <w:tcW w:w="350"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 xml:space="preserve">76.16 </w:t>
            </w:r>
          </w:p>
        </w:tc>
        <w:tc>
          <w:tcPr>
            <w:tcW w:w="350"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 xml:space="preserve">79.31 </w:t>
            </w:r>
          </w:p>
        </w:tc>
        <w:tc>
          <w:tcPr>
            <w:tcW w:w="350"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 xml:space="preserve">78.45 </w:t>
            </w:r>
          </w:p>
        </w:tc>
        <w:tc>
          <w:tcPr>
            <w:tcW w:w="325"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 xml:space="preserve">77.54 </w:t>
            </w:r>
          </w:p>
        </w:tc>
        <w:tc>
          <w:tcPr>
            <w:tcW w:w="325"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 xml:space="preserve">71.24 </w:t>
            </w:r>
          </w:p>
        </w:tc>
        <w:tc>
          <w:tcPr>
            <w:tcW w:w="375"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 xml:space="preserve">71.61 </w:t>
            </w:r>
          </w:p>
        </w:tc>
        <w:tc>
          <w:tcPr>
            <w:tcW w:w="392"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 xml:space="preserve">66.45 </w:t>
            </w:r>
          </w:p>
        </w:tc>
      </w:tr>
    </w:tbl>
    <w:p>
      <w:pPr>
        <w:adjustRightInd w:val="0"/>
        <w:snapToGrid w:val="0"/>
        <w:spacing w:beforeLines="50" w:line="360" w:lineRule="auto"/>
        <w:ind w:firstLine="482"/>
        <w:rPr>
          <w:rFonts w:hint="default" w:ascii="Times New Roman" w:hAnsi="Times New Roman" w:cs="Times New Roman"/>
          <w:snapToGrid w:val="0"/>
          <w:color w:val="auto"/>
        </w:rPr>
      </w:pPr>
      <w:r>
        <w:rPr>
          <w:rFonts w:hint="default" w:ascii="Times New Roman" w:hAnsi="Times New Roman" w:cs="Times New Roman"/>
          <w:snapToGrid w:val="0"/>
          <w:color w:val="auto"/>
        </w:rPr>
        <w:t>3、降水</w:t>
      </w:r>
    </w:p>
    <w:p>
      <w:pPr>
        <w:adjustRightInd w:val="0"/>
        <w:snapToGrid w:val="0"/>
        <w:spacing w:line="360" w:lineRule="auto"/>
        <w:ind w:firstLine="482"/>
        <w:rPr>
          <w:rFonts w:hint="default" w:ascii="Times New Roman" w:hAnsi="Times New Roman" w:cs="Times New Roman"/>
          <w:snapToGrid w:val="0"/>
          <w:color w:val="auto"/>
        </w:rPr>
      </w:pPr>
      <w:r>
        <w:rPr>
          <w:rFonts w:hint="default" w:ascii="Times New Roman" w:hAnsi="Times New Roman" w:cs="Times New Roman"/>
          <w:snapToGrid w:val="0"/>
          <w:color w:val="auto"/>
        </w:rPr>
        <w:t>楚雄市降水集中于夏季，2月份降水量最低为6.52mm，8月份降水量最高为198.77mm，全年降水量为872.77mm。楚雄市累年平均降水统计见下表。</w:t>
      </w:r>
    </w:p>
    <w:p>
      <w:pPr>
        <w:pStyle w:val="133"/>
        <w:keepNext w:val="0"/>
        <w:keepLines w:val="0"/>
        <w:pageBreakBefore w:val="0"/>
        <w:widowControl w:val="0"/>
        <w:numPr>
          <w:ilvl w:val="0"/>
          <w:numId w:val="15"/>
        </w:numPr>
        <w:tabs>
          <w:tab w:val="left" w:pos="1020"/>
        </w:tabs>
        <w:kinsoku/>
        <w:wordWrap/>
        <w:overflowPunct/>
        <w:topLinePunct w:val="0"/>
        <w:autoSpaceDE/>
        <w:autoSpaceDN/>
        <w:bidi w:val="0"/>
        <w:adjustRightInd/>
        <w:snapToGrid/>
        <w:spacing w:line="360" w:lineRule="auto"/>
        <w:ind w:left="840" w:leftChars="0" w:hanging="420" w:firstLineChars="0"/>
        <w:jc w:val="center"/>
        <w:textAlignment w:val="auto"/>
        <w:rPr>
          <w:rFonts w:hint="default" w:ascii="Times New Roman" w:hAnsi="Times New Roman" w:cs="Times New Roman"/>
          <w:b/>
          <w:bCs/>
          <w:color w:val="auto"/>
          <w:spacing w:val="1"/>
        </w:rPr>
      </w:pPr>
      <w:r>
        <w:rPr>
          <w:rFonts w:hint="default" w:ascii="Times New Roman" w:hAnsi="Times New Roman" w:cs="Times New Roman"/>
          <w:b/>
          <w:bCs/>
          <w:color w:val="auto"/>
          <w:spacing w:val="1"/>
        </w:rPr>
        <w:t>楚雄市2001-2020年平均降水的月变化</w:t>
      </w:r>
    </w:p>
    <w:tbl>
      <w:tblPr>
        <w:tblStyle w:val="44"/>
        <w:tblW w:w="51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057"/>
        <w:gridCol w:w="536"/>
        <w:gridCol w:w="536"/>
        <w:gridCol w:w="536"/>
        <w:gridCol w:w="536"/>
        <w:gridCol w:w="640"/>
        <w:gridCol w:w="640"/>
        <w:gridCol w:w="640"/>
        <w:gridCol w:w="640"/>
        <w:gridCol w:w="640"/>
        <w:gridCol w:w="536"/>
        <w:gridCol w:w="537"/>
        <w:gridCol w:w="537"/>
        <w:gridCol w:w="6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11"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月份</w:t>
            </w:r>
          </w:p>
        </w:tc>
        <w:tc>
          <w:tcPr>
            <w:tcW w:w="310"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1月</w:t>
            </w:r>
          </w:p>
        </w:tc>
        <w:tc>
          <w:tcPr>
            <w:tcW w:w="310"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2月</w:t>
            </w:r>
          </w:p>
        </w:tc>
        <w:tc>
          <w:tcPr>
            <w:tcW w:w="310"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3月</w:t>
            </w:r>
          </w:p>
        </w:tc>
        <w:tc>
          <w:tcPr>
            <w:tcW w:w="310"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4月</w:t>
            </w:r>
          </w:p>
        </w:tc>
        <w:tc>
          <w:tcPr>
            <w:tcW w:w="370"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5月</w:t>
            </w:r>
          </w:p>
        </w:tc>
        <w:tc>
          <w:tcPr>
            <w:tcW w:w="370"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6月</w:t>
            </w:r>
          </w:p>
        </w:tc>
        <w:tc>
          <w:tcPr>
            <w:tcW w:w="370"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7月</w:t>
            </w:r>
          </w:p>
        </w:tc>
        <w:tc>
          <w:tcPr>
            <w:tcW w:w="370"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8月</w:t>
            </w:r>
          </w:p>
        </w:tc>
        <w:tc>
          <w:tcPr>
            <w:tcW w:w="370"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9月</w:t>
            </w:r>
          </w:p>
        </w:tc>
        <w:tc>
          <w:tcPr>
            <w:tcW w:w="310"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10月</w:t>
            </w:r>
          </w:p>
        </w:tc>
        <w:tc>
          <w:tcPr>
            <w:tcW w:w="310"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11月</w:t>
            </w:r>
          </w:p>
        </w:tc>
        <w:tc>
          <w:tcPr>
            <w:tcW w:w="310"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12月</w:t>
            </w:r>
          </w:p>
        </w:tc>
        <w:tc>
          <w:tcPr>
            <w:tcW w:w="367"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全年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11"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降水量mm</w:t>
            </w:r>
          </w:p>
        </w:tc>
        <w:tc>
          <w:tcPr>
            <w:tcW w:w="310"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14.89</w:t>
            </w:r>
          </w:p>
        </w:tc>
        <w:tc>
          <w:tcPr>
            <w:tcW w:w="310"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6.52</w:t>
            </w:r>
          </w:p>
        </w:tc>
        <w:tc>
          <w:tcPr>
            <w:tcW w:w="310"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12.79</w:t>
            </w:r>
          </w:p>
        </w:tc>
        <w:tc>
          <w:tcPr>
            <w:tcW w:w="310"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25.17</w:t>
            </w:r>
          </w:p>
        </w:tc>
        <w:tc>
          <w:tcPr>
            <w:tcW w:w="370"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88.32</w:t>
            </w:r>
          </w:p>
        </w:tc>
        <w:tc>
          <w:tcPr>
            <w:tcW w:w="370"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139.02</w:t>
            </w:r>
          </w:p>
        </w:tc>
        <w:tc>
          <w:tcPr>
            <w:tcW w:w="370"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179.81</w:t>
            </w:r>
          </w:p>
        </w:tc>
        <w:tc>
          <w:tcPr>
            <w:tcW w:w="370"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198.77</w:t>
            </w:r>
          </w:p>
        </w:tc>
        <w:tc>
          <w:tcPr>
            <w:tcW w:w="370"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106.94</w:t>
            </w:r>
          </w:p>
        </w:tc>
        <w:tc>
          <w:tcPr>
            <w:tcW w:w="310"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68.93</w:t>
            </w:r>
          </w:p>
        </w:tc>
        <w:tc>
          <w:tcPr>
            <w:tcW w:w="310"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22.77</w:t>
            </w:r>
          </w:p>
        </w:tc>
        <w:tc>
          <w:tcPr>
            <w:tcW w:w="310"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8.84</w:t>
            </w:r>
          </w:p>
        </w:tc>
        <w:tc>
          <w:tcPr>
            <w:tcW w:w="367"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872.77</w:t>
            </w:r>
          </w:p>
        </w:tc>
      </w:tr>
    </w:tbl>
    <w:p>
      <w:pPr>
        <w:adjustRightInd w:val="0"/>
        <w:snapToGrid w:val="0"/>
        <w:spacing w:beforeLines="50" w:line="360" w:lineRule="auto"/>
        <w:ind w:firstLine="482"/>
        <w:rPr>
          <w:rFonts w:hint="default" w:ascii="Times New Roman" w:hAnsi="Times New Roman" w:cs="Times New Roman"/>
          <w:snapToGrid w:val="0"/>
          <w:color w:val="auto"/>
        </w:rPr>
      </w:pPr>
      <w:r>
        <w:rPr>
          <w:rFonts w:hint="default" w:ascii="Times New Roman" w:hAnsi="Times New Roman" w:cs="Times New Roman"/>
          <w:snapToGrid w:val="0"/>
          <w:color w:val="auto"/>
        </w:rPr>
        <w:t>4、日照时数</w:t>
      </w:r>
    </w:p>
    <w:p>
      <w:pPr>
        <w:adjustRightInd w:val="0"/>
        <w:snapToGrid w:val="0"/>
        <w:spacing w:line="360" w:lineRule="auto"/>
        <w:ind w:firstLine="482"/>
        <w:rPr>
          <w:rFonts w:hint="default" w:ascii="Times New Roman" w:hAnsi="Times New Roman" w:cs="Times New Roman"/>
          <w:snapToGrid w:val="0"/>
          <w:color w:val="auto"/>
        </w:rPr>
      </w:pPr>
      <w:r>
        <w:rPr>
          <w:rFonts w:hint="default" w:ascii="Times New Roman" w:hAnsi="Times New Roman" w:cs="Times New Roman"/>
          <w:snapToGrid w:val="0"/>
          <w:color w:val="auto"/>
        </w:rPr>
        <w:t>楚雄市全年日照时数为2054.22h，2月份最高为229.24h，8月份最低为107.81h。楚雄市累年平均日照时数统计见下表。</w:t>
      </w:r>
    </w:p>
    <w:p>
      <w:pPr>
        <w:pStyle w:val="133"/>
        <w:keepNext w:val="0"/>
        <w:keepLines w:val="0"/>
        <w:pageBreakBefore w:val="0"/>
        <w:widowControl w:val="0"/>
        <w:numPr>
          <w:ilvl w:val="0"/>
          <w:numId w:val="15"/>
        </w:numPr>
        <w:tabs>
          <w:tab w:val="left" w:pos="1020"/>
        </w:tabs>
        <w:kinsoku/>
        <w:wordWrap/>
        <w:overflowPunct/>
        <w:topLinePunct w:val="0"/>
        <w:autoSpaceDE/>
        <w:autoSpaceDN/>
        <w:bidi w:val="0"/>
        <w:adjustRightInd/>
        <w:snapToGrid/>
        <w:spacing w:line="360" w:lineRule="auto"/>
        <w:ind w:left="840" w:leftChars="0" w:hanging="420" w:firstLineChars="0"/>
        <w:jc w:val="center"/>
        <w:textAlignment w:val="auto"/>
        <w:rPr>
          <w:rFonts w:hint="default" w:ascii="Times New Roman" w:hAnsi="Times New Roman" w:cs="Times New Roman"/>
          <w:b/>
          <w:bCs/>
          <w:color w:val="auto"/>
          <w:spacing w:val="1"/>
        </w:rPr>
      </w:pPr>
      <w:r>
        <w:rPr>
          <w:rFonts w:hint="default" w:ascii="Times New Roman" w:hAnsi="Times New Roman" w:cs="Times New Roman"/>
          <w:b/>
          <w:bCs/>
          <w:color w:val="auto"/>
          <w:spacing w:val="1"/>
        </w:rPr>
        <w:t>楚雄市2001-2020年平均日照时数的月变化</w:t>
      </w:r>
    </w:p>
    <w:tbl>
      <w:tblPr>
        <w:tblStyle w:val="44"/>
        <w:tblW w:w="51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75"/>
        <w:gridCol w:w="500"/>
        <w:gridCol w:w="598"/>
        <w:gridCol w:w="598"/>
        <w:gridCol w:w="598"/>
        <w:gridCol w:w="598"/>
        <w:gridCol w:w="598"/>
        <w:gridCol w:w="598"/>
        <w:gridCol w:w="598"/>
        <w:gridCol w:w="598"/>
        <w:gridCol w:w="598"/>
        <w:gridCol w:w="598"/>
        <w:gridCol w:w="598"/>
        <w:gridCol w:w="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06" w:type="pct"/>
            <w:vAlign w:val="center"/>
          </w:tcPr>
          <w:p>
            <w:pPr>
              <w:pStyle w:val="167"/>
              <w:rPr>
                <w:rFonts w:hint="default" w:ascii="Times New Roman" w:hAnsi="Times New Roman" w:cs="Times New Roman"/>
                <w:color w:val="auto"/>
                <w:w w:val="90"/>
              </w:rPr>
            </w:pPr>
            <w:r>
              <w:rPr>
                <w:rFonts w:hint="default" w:ascii="Times New Roman" w:hAnsi="Times New Roman" w:cs="Times New Roman"/>
                <w:color w:val="auto"/>
                <w:w w:val="90"/>
              </w:rPr>
              <w:t>月份</w:t>
            </w:r>
          </w:p>
        </w:tc>
        <w:tc>
          <w:tcPr>
            <w:tcW w:w="289" w:type="pct"/>
            <w:vAlign w:val="center"/>
          </w:tcPr>
          <w:p>
            <w:pPr>
              <w:pStyle w:val="167"/>
              <w:rPr>
                <w:rFonts w:hint="default" w:ascii="Times New Roman" w:hAnsi="Times New Roman" w:cs="Times New Roman"/>
                <w:color w:val="auto"/>
                <w:w w:val="90"/>
              </w:rPr>
            </w:pPr>
            <w:r>
              <w:rPr>
                <w:rFonts w:hint="default" w:ascii="Times New Roman" w:hAnsi="Times New Roman" w:cs="Times New Roman"/>
                <w:color w:val="auto"/>
                <w:w w:val="90"/>
              </w:rPr>
              <w:t>1月</w:t>
            </w:r>
          </w:p>
        </w:tc>
        <w:tc>
          <w:tcPr>
            <w:tcW w:w="346" w:type="pct"/>
            <w:vAlign w:val="center"/>
          </w:tcPr>
          <w:p>
            <w:pPr>
              <w:pStyle w:val="167"/>
              <w:rPr>
                <w:rFonts w:hint="default" w:ascii="Times New Roman" w:hAnsi="Times New Roman" w:cs="Times New Roman"/>
                <w:color w:val="auto"/>
                <w:w w:val="90"/>
              </w:rPr>
            </w:pPr>
            <w:r>
              <w:rPr>
                <w:rFonts w:hint="default" w:ascii="Times New Roman" w:hAnsi="Times New Roman" w:cs="Times New Roman"/>
                <w:color w:val="auto"/>
                <w:w w:val="90"/>
              </w:rPr>
              <w:t>2月</w:t>
            </w:r>
          </w:p>
        </w:tc>
        <w:tc>
          <w:tcPr>
            <w:tcW w:w="346" w:type="pct"/>
            <w:vAlign w:val="center"/>
          </w:tcPr>
          <w:p>
            <w:pPr>
              <w:pStyle w:val="167"/>
              <w:rPr>
                <w:rFonts w:hint="default" w:ascii="Times New Roman" w:hAnsi="Times New Roman" w:cs="Times New Roman"/>
                <w:color w:val="auto"/>
                <w:w w:val="90"/>
              </w:rPr>
            </w:pPr>
            <w:r>
              <w:rPr>
                <w:rFonts w:hint="default" w:ascii="Times New Roman" w:hAnsi="Times New Roman" w:cs="Times New Roman"/>
                <w:color w:val="auto"/>
                <w:w w:val="90"/>
              </w:rPr>
              <w:t>3月</w:t>
            </w:r>
          </w:p>
        </w:tc>
        <w:tc>
          <w:tcPr>
            <w:tcW w:w="346" w:type="pct"/>
            <w:vAlign w:val="center"/>
          </w:tcPr>
          <w:p>
            <w:pPr>
              <w:pStyle w:val="167"/>
              <w:rPr>
                <w:rFonts w:hint="default" w:ascii="Times New Roman" w:hAnsi="Times New Roman" w:cs="Times New Roman"/>
                <w:color w:val="auto"/>
                <w:w w:val="90"/>
              </w:rPr>
            </w:pPr>
            <w:r>
              <w:rPr>
                <w:rFonts w:hint="default" w:ascii="Times New Roman" w:hAnsi="Times New Roman" w:cs="Times New Roman"/>
                <w:color w:val="auto"/>
                <w:w w:val="90"/>
              </w:rPr>
              <w:t>4月</w:t>
            </w:r>
          </w:p>
        </w:tc>
        <w:tc>
          <w:tcPr>
            <w:tcW w:w="346" w:type="pct"/>
            <w:vAlign w:val="center"/>
          </w:tcPr>
          <w:p>
            <w:pPr>
              <w:pStyle w:val="167"/>
              <w:rPr>
                <w:rFonts w:hint="default" w:ascii="Times New Roman" w:hAnsi="Times New Roman" w:cs="Times New Roman"/>
                <w:color w:val="auto"/>
                <w:w w:val="90"/>
              </w:rPr>
            </w:pPr>
            <w:r>
              <w:rPr>
                <w:rFonts w:hint="default" w:ascii="Times New Roman" w:hAnsi="Times New Roman" w:cs="Times New Roman"/>
                <w:color w:val="auto"/>
                <w:w w:val="90"/>
              </w:rPr>
              <w:t>5月</w:t>
            </w:r>
          </w:p>
        </w:tc>
        <w:tc>
          <w:tcPr>
            <w:tcW w:w="346" w:type="pct"/>
            <w:vAlign w:val="center"/>
          </w:tcPr>
          <w:p>
            <w:pPr>
              <w:pStyle w:val="167"/>
              <w:rPr>
                <w:rFonts w:hint="default" w:ascii="Times New Roman" w:hAnsi="Times New Roman" w:cs="Times New Roman"/>
                <w:color w:val="auto"/>
                <w:w w:val="90"/>
              </w:rPr>
            </w:pPr>
            <w:r>
              <w:rPr>
                <w:rFonts w:hint="default" w:ascii="Times New Roman" w:hAnsi="Times New Roman" w:cs="Times New Roman"/>
                <w:color w:val="auto"/>
                <w:w w:val="90"/>
              </w:rPr>
              <w:t>6月</w:t>
            </w:r>
          </w:p>
        </w:tc>
        <w:tc>
          <w:tcPr>
            <w:tcW w:w="346" w:type="pct"/>
            <w:vAlign w:val="center"/>
          </w:tcPr>
          <w:p>
            <w:pPr>
              <w:pStyle w:val="167"/>
              <w:rPr>
                <w:rFonts w:hint="default" w:ascii="Times New Roman" w:hAnsi="Times New Roman" w:cs="Times New Roman"/>
                <w:color w:val="auto"/>
                <w:w w:val="90"/>
              </w:rPr>
            </w:pPr>
            <w:r>
              <w:rPr>
                <w:rFonts w:hint="default" w:ascii="Times New Roman" w:hAnsi="Times New Roman" w:cs="Times New Roman"/>
                <w:color w:val="auto"/>
                <w:w w:val="90"/>
              </w:rPr>
              <w:t>7月</w:t>
            </w:r>
          </w:p>
        </w:tc>
        <w:tc>
          <w:tcPr>
            <w:tcW w:w="346" w:type="pct"/>
            <w:vAlign w:val="center"/>
          </w:tcPr>
          <w:p>
            <w:pPr>
              <w:pStyle w:val="167"/>
              <w:rPr>
                <w:rFonts w:hint="default" w:ascii="Times New Roman" w:hAnsi="Times New Roman" w:cs="Times New Roman"/>
                <w:color w:val="auto"/>
                <w:w w:val="90"/>
              </w:rPr>
            </w:pPr>
            <w:r>
              <w:rPr>
                <w:rFonts w:hint="default" w:ascii="Times New Roman" w:hAnsi="Times New Roman" w:cs="Times New Roman"/>
                <w:color w:val="auto"/>
                <w:w w:val="90"/>
              </w:rPr>
              <w:t>8月</w:t>
            </w:r>
          </w:p>
        </w:tc>
        <w:tc>
          <w:tcPr>
            <w:tcW w:w="346" w:type="pct"/>
            <w:vAlign w:val="center"/>
          </w:tcPr>
          <w:p>
            <w:pPr>
              <w:pStyle w:val="167"/>
              <w:rPr>
                <w:rFonts w:hint="default" w:ascii="Times New Roman" w:hAnsi="Times New Roman" w:cs="Times New Roman"/>
                <w:color w:val="auto"/>
                <w:w w:val="90"/>
              </w:rPr>
            </w:pPr>
            <w:r>
              <w:rPr>
                <w:rFonts w:hint="default" w:ascii="Times New Roman" w:hAnsi="Times New Roman" w:cs="Times New Roman"/>
                <w:color w:val="auto"/>
                <w:w w:val="90"/>
              </w:rPr>
              <w:t>9月</w:t>
            </w:r>
          </w:p>
        </w:tc>
        <w:tc>
          <w:tcPr>
            <w:tcW w:w="346" w:type="pct"/>
            <w:vAlign w:val="center"/>
          </w:tcPr>
          <w:p>
            <w:pPr>
              <w:pStyle w:val="167"/>
              <w:rPr>
                <w:rFonts w:hint="default" w:ascii="Times New Roman" w:hAnsi="Times New Roman" w:cs="Times New Roman"/>
                <w:color w:val="auto"/>
                <w:w w:val="90"/>
              </w:rPr>
            </w:pPr>
            <w:r>
              <w:rPr>
                <w:rFonts w:hint="default" w:ascii="Times New Roman" w:hAnsi="Times New Roman" w:cs="Times New Roman"/>
                <w:color w:val="auto"/>
                <w:w w:val="90"/>
              </w:rPr>
              <w:t>10月</w:t>
            </w:r>
          </w:p>
        </w:tc>
        <w:tc>
          <w:tcPr>
            <w:tcW w:w="346" w:type="pct"/>
            <w:vAlign w:val="center"/>
          </w:tcPr>
          <w:p>
            <w:pPr>
              <w:pStyle w:val="167"/>
              <w:rPr>
                <w:rFonts w:hint="default" w:ascii="Times New Roman" w:hAnsi="Times New Roman" w:cs="Times New Roman"/>
                <w:color w:val="auto"/>
                <w:w w:val="90"/>
              </w:rPr>
            </w:pPr>
            <w:r>
              <w:rPr>
                <w:rFonts w:hint="default" w:ascii="Times New Roman" w:hAnsi="Times New Roman" w:cs="Times New Roman"/>
                <w:color w:val="auto"/>
                <w:w w:val="90"/>
              </w:rPr>
              <w:t>11月</w:t>
            </w:r>
          </w:p>
        </w:tc>
        <w:tc>
          <w:tcPr>
            <w:tcW w:w="346" w:type="pct"/>
            <w:vAlign w:val="center"/>
          </w:tcPr>
          <w:p>
            <w:pPr>
              <w:pStyle w:val="167"/>
              <w:rPr>
                <w:rFonts w:hint="default" w:ascii="Times New Roman" w:hAnsi="Times New Roman" w:cs="Times New Roman"/>
                <w:color w:val="auto"/>
                <w:w w:val="90"/>
              </w:rPr>
            </w:pPr>
            <w:r>
              <w:rPr>
                <w:rFonts w:hint="default" w:ascii="Times New Roman" w:hAnsi="Times New Roman" w:cs="Times New Roman"/>
                <w:color w:val="auto"/>
                <w:w w:val="90"/>
              </w:rPr>
              <w:t>12月</w:t>
            </w:r>
          </w:p>
        </w:tc>
        <w:tc>
          <w:tcPr>
            <w:tcW w:w="402" w:type="pct"/>
            <w:vAlign w:val="center"/>
          </w:tcPr>
          <w:p>
            <w:pPr>
              <w:pStyle w:val="167"/>
              <w:rPr>
                <w:rFonts w:hint="default" w:ascii="Times New Roman" w:hAnsi="Times New Roman" w:cs="Times New Roman"/>
                <w:color w:val="auto"/>
                <w:w w:val="90"/>
              </w:rPr>
            </w:pPr>
            <w:r>
              <w:rPr>
                <w:rFonts w:hint="default" w:ascii="Times New Roman" w:hAnsi="Times New Roman" w:cs="Times New Roman"/>
                <w:color w:val="auto"/>
                <w:w w:val="90"/>
              </w:rPr>
              <w:t>全年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06" w:type="pct"/>
            <w:vAlign w:val="center"/>
          </w:tcPr>
          <w:p>
            <w:pPr>
              <w:pStyle w:val="167"/>
              <w:rPr>
                <w:rFonts w:hint="default" w:ascii="Times New Roman" w:hAnsi="Times New Roman" w:cs="Times New Roman"/>
                <w:color w:val="auto"/>
                <w:w w:val="90"/>
              </w:rPr>
            </w:pPr>
            <w:r>
              <w:rPr>
                <w:rFonts w:hint="default" w:ascii="Times New Roman" w:hAnsi="Times New Roman" w:cs="Times New Roman"/>
                <w:color w:val="auto"/>
                <w:w w:val="90"/>
              </w:rPr>
              <w:t>日照时数</w:t>
            </w:r>
            <w:r>
              <w:rPr>
                <w:rFonts w:hint="default" w:ascii="Times New Roman" w:hAnsi="Times New Roman" w:cs="Times New Roman"/>
                <w:bCs/>
                <w:iCs/>
                <w:color w:val="auto"/>
                <w:w w:val="90"/>
              </w:rPr>
              <w:t>h</w:t>
            </w:r>
          </w:p>
        </w:tc>
        <w:tc>
          <w:tcPr>
            <w:tcW w:w="289"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218.1</w:t>
            </w:r>
          </w:p>
        </w:tc>
        <w:tc>
          <w:tcPr>
            <w:tcW w:w="346"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229.24</w:t>
            </w:r>
          </w:p>
        </w:tc>
        <w:tc>
          <w:tcPr>
            <w:tcW w:w="346"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228.92</w:t>
            </w:r>
          </w:p>
        </w:tc>
        <w:tc>
          <w:tcPr>
            <w:tcW w:w="346"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213.94</w:t>
            </w:r>
          </w:p>
        </w:tc>
        <w:tc>
          <w:tcPr>
            <w:tcW w:w="346"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187.77</w:t>
            </w:r>
          </w:p>
        </w:tc>
        <w:tc>
          <w:tcPr>
            <w:tcW w:w="346"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139.25</w:t>
            </w:r>
          </w:p>
        </w:tc>
        <w:tc>
          <w:tcPr>
            <w:tcW w:w="346"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110.51</w:t>
            </w:r>
          </w:p>
        </w:tc>
        <w:tc>
          <w:tcPr>
            <w:tcW w:w="346"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107.81</w:t>
            </w:r>
          </w:p>
        </w:tc>
        <w:tc>
          <w:tcPr>
            <w:tcW w:w="346"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108.34</w:t>
            </w:r>
          </w:p>
        </w:tc>
        <w:tc>
          <w:tcPr>
            <w:tcW w:w="346"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133.13</w:t>
            </w:r>
          </w:p>
        </w:tc>
        <w:tc>
          <w:tcPr>
            <w:tcW w:w="346"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190.93</w:t>
            </w:r>
          </w:p>
        </w:tc>
        <w:tc>
          <w:tcPr>
            <w:tcW w:w="346"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186.28</w:t>
            </w:r>
          </w:p>
        </w:tc>
        <w:tc>
          <w:tcPr>
            <w:tcW w:w="402"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2054.22</w:t>
            </w:r>
          </w:p>
        </w:tc>
      </w:tr>
    </w:tbl>
    <w:p>
      <w:pPr>
        <w:adjustRightInd w:val="0"/>
        <w:snapToGrid w:val="0"/>
        <w:spacing w:beforeLines="50" w:line="360" w:lineRule="auto"/>
        <w:ind w:firstLine="482"/>
        <w:rPr>
          <w:rFonts w:hint="default" w:ascii="Times New Roman" w:hAnsi="Times New Roman" w:cs="Times New Roman"/>
          <w:snapToGrid w:val="0"/>
          <w:color w:val="auto"/>
        </w:rPr>
      </w:pPr>
      <w:r>
        <w:rPr>
          <w:rFonts w:hint="default" w:ascii="Times New Roman" w:hAnsi="Times New Roman" w:cs="Times New Roman"/>
          <w:snapToGrid w:val="0"/>
          <w:color w:val="auto"/>
        </w:rPr>
        <w:t>5、风速</w:t>
      </w:r>
    </w:p>
    <w:p>
      <w:pPr>
        <w:adjustRightInd w:val="0"/>
        <w:snapToGrid w:val="0"/>
        <w:spacing w:line="360" w:lineRule="auto"/>
        <w:ind w:firstLine="482"/>
        <w:rPr>
          <w:rFonts w:hint="default" w:ascii="Times New Roman" w:hAnsi="Times New Roman" w:cs="Times New Roman"/>
          <w:snapToGrid w:val="0"/>
          <w:color w:val="auto"/>
        </w:rPr>
      </w:pPr>
      <w:r>
        <w:rPr>
          <w:rFonts w:hint="default" w:ascii="Times New Roman" w:hAnsi="Times New Roman" w:cs="Times New Roman"/>
          <w:snapToGrid w:val="0"/>
          <w:color w:val="auto"/>
        </w:rPr>
        <w:t>楚雄市年平均风速2.03m/s，月平均风速4月份相对较大为2.76m/s，8月份相对较小为1.45m/s。楚雄市累年平均风速统计见下表。</w:t>
      </w:r>
    </w:p>
    <w:p>
      <w:pPr>
        <w:pStyle w:val="133"/>
        <w:keepNext w:val="0"/>
        <w:keepLines w:val="0"/>
        <w:pageBreakBefore w:val="0"/>
        <w:widowControl w:val="0"/>
        <w:numPr>
          <w:ilvl w:val="0"/>
          <w:numId w:val="15"/>
        </w:numPr>
        <w:tabs>
          <w:tab w:val="left" w:pos="1020"/>
        </w:tabs>
        <w:kinsoku/>
        <w:wordWrap/>
        <w:overflowPunct/>
        <w:topLinePunct w:val="0"/>
        <w:autoSpaceDE/>
        <w:autoSpaceDN/>
        <w:bidi w:val="0"/>
        <w:adjustRightInd/>
        <w:snapToGrid/>
        <w:spacing w:line="360" w:lineRule="auto"/>
        <w:ind w:left="840" w:leftChars="0" w:hanging="420" w:firstLineChars="0"/>
        <w:jc w:val="center"/>
        <w:textAlignment w:val="auto"/>
        <w:rPr>
          <w:rFonts w:hint="default" w:ascii="Times New Roman" w:hAnsi="Times New Roman" w:cs="Times New Roman"/>
          <w:b/>
          <w:bCs/>
          <w:color w:val="auto"/>
          <w:spacing w:val="1"/>
        </w:rPr>
      </w:pPr>
      <w:r>
        <w:rPr>
          <w:rFonts w:hint="default" w:ascii="Times New Roman" w:hAnsi="Times New Roman" w:cs="Times New Roman"/>
          <w:b/>
          <w:bCs/>
          <w:color w:val="auto"/>
          <w:spacing w:val="1"/>
        </w:rPr>
        <w:t>楚雄市2001-2020年平均风速的月变化</w:t>
      </w:r>
    </w:p>
    <w:tbl>
      <w:tblPr>
        <w:tblStyle w:val="4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98"/>
        <w:gridCol w:w="542"/>
        <w:gridCol w:w="623"/>
        <w:gridCol w:w="581"/>
        <w:gridCol w:w="543"/>
        <w:gridCol w:w="581"/>
        <w:gridCol w:w="543"/>
        <w:gridCol w:w="583"/>
        <w:gridCol w:w="583"/>
        <w:gridCol w:w="583"/>
        <w:gridCol w:w="543"/>
        <w:gridCol w:w="543"/>
        <w:gridCol w:w="622"/>
        <w:gridCol w:w="6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80"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月份</w:t>
            </w:r>
          </w:p>
        </w:tc>
        <w:tc>
          <w:tcPr>
            <w:tcW w:w="326"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1月</w:t>
            </w:r>
          </w:p>
        </w:tc>
        <w:tc>
          <w:tcPr>
            <w:tcW w:w="375"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2月</w:t>
            </w:r>
          </w:p>
        </w:tc>
        <w:tc>
          <w:tcPr>
            <w:tcW w:w="349"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3月</w:t>
            </w:r>
          </w:p>
        </w:tc>
        <w:tc>
          <w:tcPr>
            <w:tcW w:w="326"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4月</w:t>
            </w:r>
          </w:p>
        </w:tc>
        <w:tc>
          <w:tcPr>
            <w:tcW w:w="349"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5月</w:t>
            </w:r>
          </w:p>
        </w:tc>
        <w:tc>
          <w:tcPr>
            <w:tcW w:w="326"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6月</w:t>
            </w:r>
          </w:p>
        </w:tc>
        <w:tc>
          <w:tcPr>
            <w:tcW w:w="350"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7月</w:t>
            </w:r>
          </w:p>
        </w:tc>
        <w:tc>
          <w:tcPr>
            <w:tcW w:w="350"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8月</w:t>
            </w:r>
          </w:p>
        </w:tc>
        <w:tc>
          <w:tcPr>
            <w:tcW w:w="350"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9月</w:t>
            </w:r>
          </w:p>
        </w:tc>
        <w:tc>
          <w:tcPr>
            <w:tcW w:w="326"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10月</w:t>
            </w:r>
          </w:p>
        </w:tc>
        <w:tc>
          <w:tcPr>
            <w:tcW w:w="326"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11月</w:t>
            </w:r>
          </w:p>
        </w:tc>
        <w:tc>
          <w:tcPr>
            <w:tcW w:w="374"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12月</w:t>
            </w:r>
          </w:p>
        </w:tc>
        <w:tc>
          <w:tcPr>
            <w:tcW w:w="393"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全年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80"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风速m/s</w:t>
            </w:r>
          </w:p>
        </w:tc>
        <w:tc>
          <w:tcPr>
            <w:tcW w:w="326"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2.06</w:t>
            </w:r>
          </w:p>
        </w:tc>
        <w:tc>
          <w:tcPr>
            <w:tcW w:w="375"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2.55</w:t>
            </w:r>
          </w:p>
        </w:tc>
        <w:tc>
          <w:tcPr>
            <w:tcW w:w="349"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2.78</w:t>
            </w:r>
          </w:p>
        </w:tc>
        <w:tc>
          <w:tcPr>
            <w:tcW w:w="326"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2.76</w:t>
            </w:r>
          </w:p>
        </w:tc>
        <w:tc>
          <w:tcPr>
            <w:tcW w:w="349"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2.35</w:t>
            </w:r>
          </w:p>
        </w:tc>
        <w:tc>
          <w:tcPr>
            <w:tcW w:w="326"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2.12</w:t>
            </w:r>
          </w:p>
        </w:tc>
        <w:tc>
          <w:tcPr>
            <w:tcW w:w="350"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1.73</w:t>
            </w:r>
          </w:p>
        </w:tc>
        <w:tc>
          <w:tcPr>
            <w:tcW w:w="350"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1.45</w:t>
            </w:r>
          </w:p>
        </w:tc>
        <w:tc>
          <w:tcPr>
            <w:tcW w:w="350"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1.49</w:t>
            </w:r>
          </w:p>
        </w:tc>
        <w:tc>
          <w:tcPr>
            <w:tcW w:w="326"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1.6</w:t>
            </w:r>
          </w:p>
        </w:tc>
        <w:tc>
          <w:tcPr>
            <w:tcW w:w="326"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1.68</w:t>
            </w:r>
          </w:p>
        </w:tc>
        <w:tc>
          <w:tcPr>
            <w:tcW w:w="374"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1.75</w:t>
            </w:r>
          </w:p>
        </w:tc>
        <w:tc>
          <w:tcPr>
            <w:tcW w:w="393" w:type="pc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2.03</w:t>
            </w:r>
          </w:p>
        </w:tc>
      </w:tr>
    </w:tbl>
    <w:p>
      <w:pPr>
        <w:adjustRightInd w:val="0"/>
        <w:snapToGrid w:val="0"/>
        <w:spacing w:line="480" w:lineRule="exact"/>
        <w:ind w:firstLine="480"/>
        <w:rPr>
          <w:rFonts w:hint="default" w:ascii="Times New Roman" w:hAnsi="Times New Roman" w:cs="Times New Roman"/>
          <w:snapToGrid w:val="0"/>
          <w:color w:val="auto"/>
        </w:rPr>
      </w:pPr>
      <w:r>
        <w:rPr>
          <w:rFonts w:hint="default" w:ascii="Times New Roman" w:hAnsi="Times New Roman" w:cs="Times New Roman"/>
          <w:snapToGrid w:val="0"/>
          <w:color w:val="auto"/>
        </w:rPr>
        <w:t>(6)风频</w:t>
      </w:r>
    </w:p>
    <w:p>
      <w:pPr>
        <w:adjustRightInd w:val="0"/>
        <w:snapToGrid w:val="0"/>
        <w:spacing w:line="480" w:lineRule="exact"/>
        <w:ind w:firstLine="480"/>
        <w:rPr>
          <w:rFonts w:hint="default" w:ascii="Times New Roman" w:hAnsi="Times New Roman" w:cs="Times New Roman"/>
          <w:snapToGrid w:val="0"/>
          <w:color w:val="auto"/>
        </w:rPr>
      </w:pPr>
      <w:r>
        <w:rPr>
          <w:rFonts w:hint="default" w:ascii="Times New Roman" w:hAnsi="Times New Roman" w:cs="Times New Roman"/>
          <w:snapToGrid w:val="0"/>
          <w:color w:val="auto"/>
        </w:rPr>
        <w:t>楚雄市累年风频最多的是SW，频率为11.19%；其次是SSW，频率为11.17%，NNW最少，频率为1.67%；多年平均静风频率为14.21%。楚雄市累年风频统计见下表。</w:t>
      </w:r>
    </w:p>
    <w:p>
      <w:pPr>
        <w:pStyle w:val="133"/>
        <w:keepNext w:val="0"/>
        <w:keepLines w:val="0"/>
        <w:pageBreakBefore w:val="0"/>
        <w:widowControl w:val="0"/>
        <w:numPr>
          <w:ilvl w:val="0"/>
          <w:numId w:val="15"/>
        </w:numPr>
        <w:tabs>
          <w:tab w:val="left" w:pos="1020"/>
        </w:tabs>
        <w:kinsoku/>
        <w:wordWrap/>
        <w:overflowPunct/>
        <w:topLinePunct w:val="0"/>
        <w:autoSpaceDE/>
        <w:autoSpaceDN/>
        <w:bidi w:val="0"/>
        <w:adjustRightInd/>
        <w:snapToGrid/>
        <w:spacing w:line="360" w:lineRule="auto"/>
        <w:ind w:left="840" w:leftChars="0" w:hanging="420" w:firstLineChars="0"/>
        <w:jc w:val="center"/>
        <w:textAlignment w:val="auto"/>
        <w:rPr>
          <w:rFonts w:hint="default" w:ascii="Times New Roman" w:hAnsi="Times New Roman" w:cs="Times New Roman"/>
          <w:b/>
          <w:bCs/>
          <w:color w:val="auto"/>
          <w:spacing w:val="1"/>
        </w:rPr>
      </w:pPr>
      <w:r>
        <w:rPr>
          <w:rFonts w:hint="default" w:ascii="Times New Roman" w:hAnsi="Times New Roman" w:cs="Times New Roman"/>
          <w:b/>
          <w:bCs/>
          <w:color w:val="auto"/>
          <w:spacing w:val="1"/>
        </w:rPr>
        <w:t>楚雄市2001-2020年平均风频的月变化(%)</w:t>
      </w:r>
    </w:p>
    <w:tbl>
      <w:tblPr>
        <w:tblStyle w:val="44"/>
        <w:tblW w:w="522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5"/>
        <w:gridCol w:w="689"/>
        <w:gridCol w:w="689"/>
        <w:gridCol w:w="689"/>
        <w:gridCol w:w="689"/>
        <w:gridCol w:w="689"/>
        <w:gridCol w:w="689"/>
        <w:gridCol w:w="689"/>
        <w:gridCol w:w="689"/>
        <w:gridCol w:w="689"/>
        <w:gridCol w:w="689"/>
        <w:gridCol w:w="689"/>
        <w:gridCol w:w="689"/>
        <w:gridCol w:w="6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blHeader/>
          <w:jc w:val="center"/>
        </w:trPr>
        <w:tc>
          <w:tcPr>
            <w:tcW w:w="312" w:type="pct"/>
            <w:noWrap/>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风向</w:t>
            </w:r>
          </w:p>
        </w:tc>
        <w:tc>
          <w:tcPr>
            <w:tcW w:w="360" w:type="pct"/>
            <w:noWrap/>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1月</w:t>
            </w:r>
          </w:p>
        </w:tc>
        <w:tc>
          <w:tcPr>
            <w:tcW w:w="360" w:type="pct"/>
            <w:noWrap/>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2月</w:t>
            </w:r>
          </w:p>
        </w:tc>
        <w:tc>
          <w:tcPr>
            <w:tcW w:w="360" w:type="pct"/>
            <w:noWrap/>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3月</w:t>
            </w:r>
          </w:p>
        </w:tc>
        <w:tc>
          <w:tcPr>
            <w:tcW w:w="361" w:type="pct"/>
            <w:noWrap/>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4月</w:t>
            </w:r>
          </w:p>
        </w:tc>
        <w:tc>
          <w:tcPr>
            <w:tcW w:w="361" w:type="pct"/>
            <w:noWrap/>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5月</w:t>
            </w:r>
          </w:p>
        </w:tc>
        <w:tc>
          <w:tcPr>
            <w:tcW w:w="361" w:type="pct"/>
            <w:noWrap/>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6月</w:t>
            </w:r>
          </w:p>
        </w:tc>
        <w:tc>
          <w:tcPr>
            <w:tcW w:w="361" w:type="pct"/>
            <w:noWrap/>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7月</w:t>
            </w:r>
          </w:p>
        </w:tc>
        <w:tc>
          <w:tcPr>
            <w:tcW w:w="361" w:type="pct"/>
            <w:noWrap/>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8月</w:t>
            </w:r>
          </w:p>
        </w:tc>
        <w:tc>
          <w:tcPr>
            <w:tcW w:w="361" w:type="pct"/>
            <w:noWrap/>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9月</w:t>
            </w:r>
          </w:p>
        </w:tc>
        <w:tc>
          <w:tcPr>
            <w:tcW w:w="361" w:type="pct"/>
            <w:noWrap/>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10月</w:t>
            </w:r>
          </w:p>
        </w:tc>
        <w:tc>
          <w:tcPr>
            <w:tcW w:w="361" w:type="pct"/>
            <w:noWrap/>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11月</w:t>
            </w:r>
          </w:p>
        </w:tc>
        <w:tc>
          <w:tcPr>
            <w:tcW w:w="361" w:type="pct"/>
            <w:noWrap/>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12月</w:t>
            </w:r>
          </w:p>
        </w:tc>
        <w:tc>
          <w:tcPr>
            <w:tcW w:w="360" w:type="pct"/>
            <w:noWrap/>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全年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312" w:type="pct"/>
            <w:noWrap/>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NNE</w:t>
            </w:r>
          </w:p>
        </w:tc>
        <w:tc>
          <w:tcPr>
            <w:tcW w:w="360"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1.55</w:t>
            </w:r>
          </w:p>
        </w:tc>
        <w:tc>
          <w:tcPr>
            <w:tcW w:w="360"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1.72</w:t>
            </w:r>
          </w:p>
        </w:tc>
        <w:tc>
          <w:tcPr>
            <w:tcW w:w="360"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1.35</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1.66</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1.52</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1.78</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1.83</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2.52</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1.75</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1.23</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1.67</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1.45</w:t>
            </w:r>
          </w:p>
        </w:tc>
        <w:tc>
          <w:tcPr>
            <w:tcW w:w="360"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312" w:type="pct"/>
            <w:noWrap/>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NE</w:t>
            </w:r>
          </w:p>
        </w:tc>
        <w:tc>
          <w:tcPr>
            <w:tcW w:w="360"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1.31</w:t>
            </w:r>
          </w:p>
        </w:tc>
        <w:tc>
          <w:tcPr>
            <w:tcW w:w="360"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1.5</w:t>
            </w:r>
          </w:p>
        </w:tc>
        <w:tc>
          <w:tcPr>
            <w:tcW w:w="360"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1.36</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1.9</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1.79</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2.3</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2.06</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2.75</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2.34</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2.01</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1.43</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1.59</w:t>
            </w:r>
          </w:p>
        </w:tc>
        <w:tc>
          <w:tcPr>
            <w:tcW w:w="360"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1.86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312" w:type="pct"/>
            <w:noWrap/>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ENE</w:t>
            </w:r>
          </w:p>
        </w:tc>
        <w:tc>
          <w:tcPr>
            <w:tcW w:w="360"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1.54</w:t>
            </w:r>
          </w:p>
        </w:tc>
        <w:tc>
          <w:tcPr>
            <w:tcW w:w="360"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1.21</w:t>
            </w:r>
          </w:p>
        </w:tc>
        <w:tc>
          <w:tcPr>
            <w:tcW w:w="360"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1.42</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2.25</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2.08</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2.61</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2.68</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4.02</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2.87</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2.42</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1.91</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1.63</w:t>
            </w:r>
          </w:p>
        </w:tc>
        <w:tc>
          <w:tcPr>
            <w:tcW w:w="360"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312" w:type="pct"/>
            <w:noWrap/>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E</w:t>
            </w:r>
          </w:p>
        </w:tc>
        <w:tc>
          <w:tcPr>
            <w:tcW w:w="360"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3.1</w:t>
            </w:r>
          </w:p>
        </w:tc>
        <w:tc>
          <w:tcPr>
            <w:tcW w:w="360"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2.6</w:t>
            </w:r>
          </w:p>
        </w:tc>
        <w:tc>
          <w:tcPr>
            <w:tcW w:w="360"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2.23</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2.98</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4.29</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4.52</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5.31</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5.22</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5.59</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4.88</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3.47</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3.11</w:t>
            </w:r>
          </w:p>
        </w:tc>
        <w:tc>
          <w:tcPr>
            <w:tcW w:w="360"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3.94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312" w:type="pct"/>
            <w:noWrap/>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ESE</w:t>
            </w:r>
          </w:p>
        </w:tc>
        <w:tc>
          <w:tcPr>
            <w:tcW w:w="360"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4.32</w:t>
            </w:r>
          </w:p>
        </w:tc>
        <w:tc>
          <w:tcPr>
            <w:tcW w:w="360"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3.18</w:t>
            </w:r>
          </w:p>
        </w:tc>
        <w:tc>
          <w:tcPr>
            <w:tcW w:w="360"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3.27</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3.77</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3.94</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4.87</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4.79</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7.13</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8.06</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7.54</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4.49</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6.11</w:t>
            </w:r>
          </w:p>
        </w:tc>
        <w:tc>
          <w:tcPr>
            <w:tcW w:w="360"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312" w:type="pct"/>
            <w:noWrap/>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SE</w:t>
            </w:r>
          </w:p>
        </w:tc>
        <w:tc>
          <w:tcPr>
            <w:tcW w:w="360"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5.73</w:t>
            </w:r>
          </w:p>
        </w:tc>
        <w:tc>
          <w:tcPr>
            <w:tcW w:w="360"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3.57</w:t>
            </w:r>
          </w:p>
        </w:tc>
        <w:tc>
          <w:tcPr>
            <w:tcW w:w="360"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2.88</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4.2</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6.89</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7.12</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9.26</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10.22</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9.8</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9.67</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6.97</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7.42</w:t>
            </w:r>
          </w:p>
        </w:tc>
        <w:tc>
          <w:tcPr>
            <w:tcW w:w="360"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6.98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312" w:type="pct"/>
            <w:noWrap/>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SSE</w:t>
            </w:r>
          </w:p>
        </w:tc>
        <w:tc>
          <w:tcPr>
            <w:tcW w:w="360"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5.41</w:t>
            </w:r>
          </w:p>
        </w:tc>
        <w:tc>
          <w:tcPr>
            <w:tcW w:w="360"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4.33</w:t>
            </w:r>
          </w:p>
        </w:tc>
        <w:tc>
          <w:tcPr>
            <w:tcW w:w="360"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3.88</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3.78</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5.99</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8.57</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9.15</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9.52</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11.14</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10.09</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7.65</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6.37</w:t>
            </w:r>
          </w:p>
        </w:tc>
        <w:tc>
          <w:tcPr>
            <w:tcW w:w="360"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7.16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312" w:type="pct"/>
            <w:noWrap/>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S</w:t>
            </w:r>
          </w:p>
        </w:tc>
        <w:tc>
          <w:tcPr>
            <w:tcW w:w="360"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7.58</w:t>
            </w:r>
          </w:p>
        </w:tc>
        <w:tc>
          <w:tcPr>
            <w:tcW w:w="360"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5.63</w:t>
            </w:r>
          </w:p>
        </w:tc>
        <w:tc>
          <w:tcPr>
            <w:tcW w:w="360"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5.18</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5.03</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9.09</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11.67</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10</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8.44</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9.75</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10.77</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7.91</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9.21</w:t>
            </w:r>
          </w:p>
        </w:tc>
        <w:tc>
          <w:tcPr>
            <w:tcW w:w="360"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8.36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312" w:type="pct"/>
            <w:noWrap/>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SSW</w:t>
            </w:r>
          </w:p>
        </w:tc>
        <w:tc>
          <w:tcPr>
            <w:tcW w:w="360"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11.93</w:t>
            </w:r>
          </w:p>
        </w:tc>
        <w:tc>
          <w:tcPr>
            <w:tcW w:w="360"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9.63</w:t>
            </w:r>
          </w:p>
        </w:tc>
        <w:tc>
          <w:tcPr>
            <w:tcW w:w="360"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7.98</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8.53</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11.79</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17.12</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12.05</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8.75</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10.88</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12.14</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11.02</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12.26</w:t>
            </w:r>
          </w:p>
        </w:tc>
        <w:tc>
          <w:tcPr>
            <w:tcW w:w="360"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11.17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312" w:type="pct"/>
            <w:noWrap/>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SW</w:t>
            </w:r>
          </w:p>
        </w:tc>
        <w:tc>
          <w:tcPr>
            <w:tcW w:w="360"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12.83</w:t>
            </w:r>
          </w:p>
        </w:tc>
        <w:tc>
          <w:tcPr>
            <w:tcW w:w="360"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13.58</w:t>
            </w:r>
          </w:p>
        </w:tc>
        <w:tc>
          <w:tcPr>
            <w:tcW w:w="360"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15.03</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13.28</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13.59</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15.62</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9.47</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6.44</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6.22</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7.72</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10.23</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10.26</w:t>
            </w:r>
          </w:p>
        </w:tc>
        <w:tc>
          <w:tcPr>
            <w:tcW w:w="360"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11.19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312" w:type="pct"/>
            <w:noWrap/>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WSW</w:t>
            </w:r>
          </w:p>
        </w:tc>
        <w:tc>
          <w:tcPr>
            <w:tcW w:w="360"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7.38</w:t>
            </w:r>
          </w:p>
        </w:tc>
        <w:tc>
          <w:tcPr>
            <w:tcW w:w="360"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12.28</w:t>
            </w:r>
          </w:p>
        </w:tc>
        <w:tc>
          <w:tcPr>
            <w:tcW w:w="360"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16.46</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14.43</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11</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6.11</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4.9</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2.73</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2.2</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3.07</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4.14</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5.24</w:t>
            </w:r>
          </w:p>
        </w:tc>
        <w:tc>
          <w:tcPr>
            <w:tcW w:w="360"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312" w:type="pct"/>
            <w:noWrap/>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W</w:t>
            </w:r>
          </w:p>
        </w:tc>
        <w:tc>
          <w:tcPr>
            <w:tcW w:w="360"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6.46</w:t>
            </w:r>
          </w:p>
        </w:tc>
        <w:tc>
          <w:tcPr>
            <w:tcW w:w="360"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10.73</w:t>
            </w:r>
          </w:p>
        </w:tc>
        <w:tc>
          <w:tcPr>
            <w:tcW w:w="360"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11.28</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11.83</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6.9</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3.39</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2.84</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1.91</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1.76</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2.03</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5.03</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4.17</w:t>
            </w:r>
          </w:p>
        </w:tc>
        <w:tc>
          <w:tcPr>
            <w:tcW w:w="360"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5.69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312" w:type="pct"/>
            <w:noWrap/>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WNW</w:t>
            </w:r>
          </w:p>
        </w:tc>
        <w:tc>
          <w:tcPr>
            <w:tcW w:w="360"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4.62</w:t>
            </w:r>
          </w:p>
        </w:tc>
        <w:tc>
          <w:tcPr>
            <w:tcW w:w="360"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5.98</w:t>
            </w:r>
          </w:p>
        </w:tc>
        <w:tc>
          <w:tcPr>
            <w:tcW w:w="360"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6.49</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6.23</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4.44</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2.22</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2.89</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2.56</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1.95</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2.56</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4.58</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4.21</w:t>
            </w:r>
          </w:p>
        </w:tc>
        <w:tc>
          <w:tcPr>
            <w:tcW w:w="360"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4.06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312" w:type="pct"/>
            <w:noWrap/>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NW</w:t>
            </w:r>
          </w:p>
        </w:tc>
        <w:tc>
          <w:tcPr>
            <w:tcW w:w="360"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5.28</w:t>
            </w:r>
          </w:p>
        </w:tc>
        <w:tc>
          <w:tcPr>
            <w:tcW w:w="360"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5.83</w:t>
            </w:r>
          </w:p>
        </w:tc>
        <w:tc>
          <w:tcPr>
            <w:tcW w:w="360"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5.08</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4.88</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3.49</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2.38</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4</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4.7</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3.08</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2.83</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4.7</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4.51</w:t>
            </w:r>
          </w:p>
        </w:tc>
        <w:tc>
          <w:tcPr>
            <w:tcW w:w="360"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4.23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312" w:type="pct"/>
            <w:noWrap/>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NNW</w:t>
            </w:r>
          </w:p>
        </w:tc>
        <w:tc>
          <w:tcPr>
            <w:tcW w:w="360"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2.99</w:t>
            </w:r>
          </w:p>
        </w:tc>
        <w:tc>
          <w:tcPr>
            <w:tcW w:w="360"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3.07</w:t>
            </w:r>
          </w:p>
        </w:tc>
        <w:tc>
          <w:tcPr>
            <w:tcW w:w="360"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3</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2.63</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2.62</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1.36</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2.22</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2.91</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1.89</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2.32</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3.38</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3.44</w:t>
            </w:r>
          </w:p>
        </w:tc>
        <w:tc>
          <w:tcPr>
            <w:tcW w:w="360"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2.65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312" w:type="pct"/>
            <w:noWrap/>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N</w:t>
            </w:r>
          </w:p>
        </w:tc>
        <w:tc>
          <w:tcPr>
            <w:tcW w:w="360"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1.6</w:t>
            </w:r>
          </w:p>
        </w:tc>
        <w:tc>
          <w:tcPr>
            <w:tcW w:w="360"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1.78</w:t>
            </w:r>
          </w:p>
        </w:tc>
        <w:tc>
          <w:tcPr>
            <w:tcW w:w="360"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1.87</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2.18</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2</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2.16</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2.72</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2.44</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2.16</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1.49</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1.81</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1.63</w:t>
            </w:r>
          </w:p>
        </w:tc>
        <w:tc>
          <w:tcPr>
            <w:tcW w:w="360"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1.99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312" w:type="pct"/>
            <w:noWrap/>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C</w:t>
            </w:r>
          </w:p>
        </w:tc>
        <w:tc>
          <w:tcPr>
            <w:tcW w:w="360"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16.35</w:t>
            </w:r>
          </w:p>
        </w:tc>
        <w:tc>
          <w:tcPr>
            <w:tcW w:w="360"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13.39</w:t>
            </w:r>
          </w:p>
        </w:tc>
        <w:tc>
          <w:tcPr>
            <w:tcW w:w="360"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11.25</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10.45</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8.54</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6.16</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13.81</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17.75</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18.55</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17.25</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19.6</w:t>
            </w:r>
          </w:p>
        </w:tc>
        <w:tc>
          <w:tcPr>
            <w:tcW w:w="361"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17.38</w:t>
            </w:r>
          </w:p>
        </w:tc>
        <w:tc>
          <w:tcPr>
            <w:tcW w:w="360" w:type="pct"/>
            <w:noWrap/>
            <w:vAlign w:val="bottom"/>
          </w:tcPr>
          <w:p>
            <w:pPr>
              <w:pStyle w:val="167"/>
              <w:rPr>
                <w:rFonts w:hint="default" w:ascii="Times New Roman" w:hAnsi="Times New Roman" w:cs="Times New Roman"/>
                <w:color w:val="auto"/>
              </w:rPr>
            </w:pPr>
            <w:r>
              <w:rPr>
                <w:rFonts w:hint="default" w:ascii="Times New Roman" w:hAnsi="Times New Roman" w:cs="Times New Roman"/>
                <w:color w:val="auto"/>
              </w:rPr>
              <w:t>14.21</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color w:val="auto"/>
          <w:sz w:val="28"/>
          <w:szCs w:val="28"/>
        </w:rPr>
      </w:pPr>
      <w:r>
        <w:rPr>
          <w:rFonts w:hint="default" w:ascii="Times New Roman" w:hAnsi="Times New Roman" w:cs="Times New Roman"/>
          <w:b/>
          <w:bCs/>
          <w:color w:val="auto"/>
          <w:sz w:val="28"/>
          <w:szCs w:val="28"/>
          <w:lang w:val="en-US" w:eastAsia="zh-CN"/>
        </w:rPr>
        <w:t>4</w:t>
      </w:r>
      <w:r>
        <w:rPr>
          <w:rFonts w:hint="default" w:ascii="Times New Roman" w:hAnsi="Times New Roman" w:cs="Times New Roman"/>
          <w:b/>
          <w:bCs/>
          <w:color w:val="auto"/>
          <w:sz w:val="28"/>
          <w:szCs w:val="28"/>
        </w:rPr>
        <w:t>.1.4水文</w:t>
      </w:r>
      <w:bookmarkEnd w:id="330"/>
      <w:bookmarkEnd w:id="331"/>
      <w:bookmarkEnd w:id="332"/>
      <w:bookmarkEnd w:id="333"/>
      <w:bookmarkEnd w:id="334"/>
      <w:bookmarkEnd w:id="335"/>
      <w:bookmarkEnd w:id="336"/>
      <w:r>
        <w:rPr>
          <w:rFonts w:hint="default" w:ascii="Times New Roman" w:hAnsi="Times New Roman" w:cs="Times New Roman"/>
          <w:b/>
          <w:bCs/>
          <w:color w:val="auto"/>
          <w:sz w:val="28"/>
          <w:szCs w:val="28"/>
        </w:rPr>
        <w:t>地质</w:t>
      </w:r>
    </w:p>
    <w:p>
      <w:pPr>
        <w:spacing w:line="360" w:lineRule="auto"/>
        <w:ind w:firstLine="480" w:firstLineChars="200"/>
        <w:rPr>
          <w:rFonts w:hint="default" w:ascii="Times New Roman" w:hAnsi="Times New Roman" w:cs="Times New Roman"/>
          <w:color w:val="auto"/>
        </w:rPr>
      </w:pPr>
      <w:bookmarkStart w:id="337" w:name="_Toc9492"/>
      <w:bookmarkStart w:id="338" w:name="_Toc13999"/>
      <w:bookmarkStart w:id="339" w:name="_Toc28127"/>
      <w:bookmarkStart w:id="340" w:name="_Toc2913"/>
      <w:bookmarkStart w:id="341" w:name="_Toc30031"/>
      <w:bookmarkStart w:id="342" w:name="_Toc7924"/>
      <w:r>
        <w:rPr>
          <w:rFonts w:hint="default" w:ascii="Times New Roman" w:hAnsi="Times New Roman" w:cs="Times New Roman"/>
          <w:color w:val="auto"/>
        </w:rPr>
        <w:t>1、地表水系</w:t>
      </w:r>
    </w:p>
    <w:p>
      <w:pPr>
        <w:adjustRightInd w:val="0"/>
        <w:snapToGrid w:val="0"/>
        <w:spacing w:line="360" w:lineRule="auto"/>
        <w:ind w:firstLine="482"/>
        <w:rPr>
          <w:rFonts w:hint="default" w:ascii="Times New Roman" w:hAnsi="Times New Roman" w:cs="Times New Roman"/>
          <w:snapToGrid w:val="0"/>
          <w:color w:val="auto"/>
        </w:rPr>
      </w:pPr>
      <w:r>
        <w:rPr>
          <w:rFonts w:hint="default" w:ascii="Times New Roman" w:hAnsi="Times New Roman" w:cs="Times New Roman"/>
          <w:snapToGrid w:val="0"/>
          <w:color w:val="auto"/>
        </w:rPr>
        <w:t>楚雄市境河流分属元江、金沙江2大水系。元江上游的礼社江，发源于大理州巍山县，经南华县入境，西岸为西舍路，东岸为八角、中山、新村和中邑舍。穿越市境西南部，支流有马龙河、三街河、白衣河、五街河、邑舍河、碧鸡河、自雄河。金沙江水系穿越市境东北部的龙川江，发源于南华县苴力铺，自南华牛凤龙村入境，向东流经吕合、东瓜、鹿城，再由南转北过智明石涧出境。主要支流有紫甸河、西静河、河前河、寨子小河、青龙河、苍岭小河。</w:t>
      </w:r>
    </w:p>
    <w:p>
      <w:pPr>
        <w:adjustRightInd w:val="0"/>
        <w:snapToGrid w:val="0"/>
        <w:spacing w:line="360" w:lineRule="auto"/>
        <w:ind w:firstLine="482"/>
        <w:rPr>
          <w:rFonts w:hint="default" w:ascii="Times New Roman" w:hAnsi="Times New Roman" w:cs="Times New Roman"/>
          <w:snapToGrid w:val="0"/>
          <w:color w:val="auto"/>
        </w:rPr>
      </w:pPr>
      <w:r>
        <w:rPr>
          <w:rFonts w:hint="default" w:ascii="Times New Roman" w:hAnsi="Times New Roman" w:cs="Times New Roman"/>
          <w:snapToGrid w:val="0"/>
          <w:color w:val="auto"/>
        </w:rPr>
        <w:t>项目涉及的主要受纳水体为的青龙河和龙川江。青龙河位于项目区西侧3.35km，为龙川江流域右岸的一级支流，发源于楚雄市子午镇打苴，海拔高程约2160m，河流由南向北流经楚双水库、中石坝水库、富民等地后于楚雄市鹿城镇小河口村汇入龙川江干流，河流全长42.2m，落差391m，平均坡降3.6‰，集水面积261km</w:t>
      </w:r>
      <w:r>
        <w:rPr>
          <w:rFonts w:hint="default" w:ascii="Times New Roman" w:hAnsi="Times New Roman" w:cs="Times New Roman"/>
          <w:snapToGrid w:val="0"/>
          <w:color w:val="auto"/>
          <w:vertAlign w:val="superscript"/>
        </w:rPr>
        <w:t>2</w:t>
      </w:r>
      <w:r>
        <w:rPr>
          <w:rFonts w:hint="default" w:ascii="Times New Roman" w:hAnsi="Times New Roman" w:cs="Times New Roman"/>
          <w:snapToGrid w:val="0"/>
          <w:color w:val="auto"/>
        </w:rPr>
        <w:t>。1953年在干流上段设立楚雄小河口水文站，控制径流面积1788km</w:t>
      </w:r>
      <w:r>
        <w:rPr>
          <w:rFonts w:hint="default" w:ascii="Times New Roman" w:hAnsi="Times New Roman" w:cs="Times New Roman"/>
          <w:snapToGrid w:val="0"/>
          <w:color w:val="auto"/>
          <w:vertAlign w:val="superscript"/>
        </w:rPr>
        <w:t>2</w:t>
      </w:r>
      <w:r>
        <w:rPr>
          <w:rFonts w:hint="default" w:ascii="Times New Roman" w:hAnsi="Times New Roman" w:cs="Times New Roman"/>
          <w:snapToGrid w:val="0"/>
          <w:color w:val="auto"/>
        </w:rPr>
        <w:t>，实测多年平均降水量为855.4mm，年平均产水量为3.096亿m</w:t>
      </w:r>
      <w:r>
        <w:rPr>
          <w:rFonts w:hint="default" w:ascii="Times New Roman" w:hAnsi="Times New Roman" w:cs="Times New Roman"/>
          <w:snapToGrid w:val="0"/>
          <w:color w:val="auto"/>
          <w:vertAlign w:val="superscript"/>
        </w:rPr>
        <w:t>3</w:t>
      </w:r>
      <w:r>
        <w:rPr>
          <w:rFonts w:hint="default" w:ascii="Times New Roman" w:hAnsi="Times New Roman" w:cs="Times New Roman"/>
          <w:snapToGrid w:val="0"/>
          <w:color w:val="auto"/>
        </w:rPr>
        <w:t>，1955年3月10日河水断流。1957年8月6日洪峰流量为630m</w:t>
      </w:r>
      <w:r>
        <w:rPr>
          <w:rFonts w:hint="default" w:ascii="Times New Roman" w:hAnsi="Times New Roman" w:cs="Times New Roman"/>
          <w:snapToGrid w:val="0"/>
          <w:color w:val="auto"/>
          <w:vertAlign w:val="superscript"/>
        </w:rPr>
        <w:t>3</w:t>
      </w:r>
      <w:r>
        <w:rPr>
          <w:rFonts w:hint="default" w:ascii="Times New Roman" w:hAnsi="Times New Roman" w:cs="Times New Roman"/>
          <w:snapToGrid w:val="0"/>
          <w:color w:val="auto"/>
        </w:rPr>
        <w:t>/s。据云南省水文站小河口分站提供的数据资料：龙川江多年平均流量8.80m</w:t>
      </w:r>
      <w:r>
        <w:rPr>
          <w:rFonts w:hint="default" w:ascii="Times New Roman" w:hAnsi="Times New Roman" w:cs="Times New Roman"/>
          <w:snapToGrid w:val="0"/>
          <w:color w:val="auto"/>
          <w:vertAlign w:val="superscript"/>
        </w:rPr>
        <w:t>3</w:t>
      </w:r>
      <w:r>
        <w:rPr>
          <w:rFonts w:hint="default" w:ascii="Times New Roman" w:hAnsi="Times New Roman" w:cs="Times New Roman"/>
          <w:snapToGrid w:val="0"/>
          <w:color w:val="auto"/>
        </w:rPr>
        <w:t>/s；多年最枯月平均流量为4.53m</w:t>
      </w:r>
      <w:r>
        <w:rPr>
          <w:rFonts w:hint="default" w:ascii="Times New Roman" w:hAnsi="Times New Roman" w:cs="Times New Roman"/>
          <w:snapToGrid w:val="0"/>
          <w:color w:val="auto"/>
          <w:vertAlign w:val="superscript"/>
        </w:rPr>
        <w:t>3</w:t>
      </w:r>
      <w:r>
        <w:rPr>
          <w:rFonts w:hint="default" w:ascii="Times New Roman" w:hAnsi="Times New Roman" w:cs="Times New Roman"/>
          <w:snapToGrid w:val="0"/>
          <w:color w:val="auto"/>
        </w:rPr>
        <w:t>/s，流量年际年内变化较大，基本上属季节性河流。</w:t>
      </w:r>
    </w:p>
    <w:p>
      <w:pPr>
        <w:spacing w:line="360" w:lineRule="auto"/>
        <w:ind w:firstLine="482"/>
        <w:rPr>
          <w:rFonts w:hint="default" w:ascii="Times New Roman" w:hAnsi="Times New Roman" w:cs="Times New Roman"/>
          <w:color w:val="auto"/>
          <w:kern w:val="0"/>
        </w:rPr>
      </w:pPr>
      <w:r>
        <w:rPr>
          <w:rFonts w:hint="default" w:ascii="Times New Roman" w:hAnsi="Times New Roman" w:cs="Times New Roman"/>
          <w:color w:val="auto"/>
        </w:rPr>
        <w:t>青龙河是龙川江的一级支流，地表水环境质量功能区划</w:t>
      </w:r>
      <w:r>
        <w:rPr>
          <w:rFonts w:hint="default" w:ascii="Times New Roman" w:hAnsi="Times New Roman" w:cs="Times New Roman"/>
          <w:color w:val="auto"/>
          <w:lang w:eastAsia="zh-CN"/>
        </w:rPr>
        <w:t>Ⅲ</w:t>
      </w:r>
      <w:r>
        <w:rPr>
          <w:rFonts w:hint="default" w:ascii="Times New Roman" w:hAnsi="Times New Roman" w:cs="Times New Roman"/>
          <w:color w:val="auto"/>
        </w:rPr>
        <w:t>类水体，主要功能为工业用水、农业用水，自南向北从项目西侧流过。青龙河发源于中石坝水库，海拔高程2325m～2029m，由南向北流经大桥头、黑邑仓、田心、富民下村、杨旗屯、黑泥坝、下白庙村、范家、马家园、下王村、中所、黄家村、上黄泥坝、下黄泥坝、鲍家村、坛罐窑、平山村、郑家凹、麦家凹等地后汇入龙川江。青龙河与龙川江汇入口以上径流面积266.3km</w:t>
      </w:r>
      <w:r>
        <w:rPr>
          <w:rFonts w:hint="default" w:ascii="Times New Roman" w:hAnsi="Times New Roman" w:cs="Times New Roman"/>
          <w:color w:val="auto"/>
          <w:vertAlign w:val="superscript"/>
        </w:rPr>
        <w:t>2</w:t>
      </w:r>
      <w:r>
        <w:rPr>
          <w:rFonts w:hint="default" w:ascii="Times New Roman" w:hAnsi="Times New Roman" w:cs="Times New Roman"/>
          <w:color w:val="auto"/>
        </w:rPr>
        <w:t>，主河道长50.25km，河道平均比降为3.4‰，三十年一遇洪峰流量为218m</w:t>
      </w:r>
      <w:r>
        <w:rPr>
          <w:rFonts w:hint="default" w:ascii="Times New Roman" w:hAnsi="Times New Roman" w:cs="Times New Roman"/>
          <w:color w:val="auto"/>
          <w:vertAlign w:val="superscript"/>
        </w:rPr>
        <w:t>3</w:t>
      </w:r>
      <w:r>
        <w:rPr>
          <w:rFonts w:hint="default" w:ascii="Times New Roman" w:hAnsi="Times New Roman" w:cs="Times New Roman"/>
          <w:color w:val="auto"/>
        </w:rPr>
        <w:t>/s，五十年一遇洪峰流量为262m</w:t>
      </w:r>
      <w:r>
        <w:rPr>
          <w:rFonts w:hint="default" w:ascii="Times New Roman" w:hAnsi="Times New Roman" w:cs="Times New Roman"/>
          <w:color w:val="auto"/>
          <w:vertAlign w:val="superscript"/>
        </w:rPr>
        <w:t>3</w:t>
      </w:r>
      <w:r>
        <w:rPr>
          <w:rFonts w:hint="default" w:ascii="Times New Roman" w:hAnsi="Times New Roman" w:cs="Times New Roman"/>
          <w:color w:val="auto"/>
        </w:rPr>
        <w:t>/s，主汛期为每年的五～十月。</w:t>
      </w:r>
    </w:p>
    <w:p>
      <w:pPr>
        <w:spacing w:afterLines="50"/>
        <w:rPr>
          <w:rFonts w:hint="default" w:ascii="Times New Roman" w:hAnsi="Times New Roman" w:cs="Times New Roman"/>
          <w:b/>
          <w:bCs/>
          <w:color w:val="auto"/>
          <w:sz w:val="28"/>
          <w:szCs w:val="28"/>
        </w:rPr>
      </w:pPr>
      <w:bookmarkStart w:id="343" w:name="_Toc466388991"/>
      <w:r>
        <w:rPr>
          <w:rFonts w:hint="default" w:ascii="Times New Roman" w:hAnsi="Times New Roman" w:cs="Times New Roman"/>
          <w:b/>
          <w:bCs/>
          <w:color w:val="auto"/>
          <w:sz w:val="28"/>
          <w:szCs w:val="28"/>
          <w:lang w:val="en-US" w:eastAsia="zh-CN"/>
        </w:rPr>
        <w:t>4</w:t>
      </w:r>
      <w:r>
        <w:rPr>
          <w:rFonts w:hint="default" w:ascii="Times New Roman" w:hAnsi="Times New Roman" w:cs="Times New Roman"/>
          <w:b/>
          <w:bCs/>
          <w:color w:val="auto"/>
          <w:sz w:val="28"/>
          <w:szCs w:val="28"/>
        </w:rPr>
        <w:t>.1.5</w:t>
      </w:r>
      <w:bookmarkEnd w:id="343"/>
      <w:r>
        <w:rPr>
          <w:rFonts w:hint="default" w:ascii="Times New Roman" w:hAnsi="Times New Roman" w:cs="Times New Roman"/>
          <w:b/>
          <w:bCs/>
          <w:color w:val="auto"/>
          <w:sz w:val="28"/>
          <w:szCs w:val="28"/>
        </w:rPr>
        <w:t>生物资源</w:t>
      </w:r>
    </w:p>
    <w:p>
      <w:pPr>
        <w:adjustRightInd w:val="0"/>
        <w:snapToGrid w:val="0"/>
        <w:spacing w:line="360" w:lineRule="auto"/>
        <w:ind w:firstLine="482"/>
        <w:rPr>
          <w:rFonts w:hint="default" w:ascii="Times New Roman" w:hAnsi="Times New Roman" w:cs="Times New Roman"/>
          <w:snapToGrid w:val="0"/>
          <w:color w:val="auto"/>
        </w:rPr>
      </w:pPr>
      <w:r>
        <w:rPr>
          <w:rFonts w:hint="default" w:ascii="Times New Roman" w:hAnsi="Times New Roman" w:cs="Times New Roman"/>
          <w:snapToGrid w:val="0"/>
          <w:color w:val="auto"/>
        </w:rPr>
        <w:t>楚雄市有丰富的茶花资源，是云南山茶花的重要原生地之一，也是山茶科植物物种基因库。楚雄市山茶属植物有云南山茶、粗柄连蕊茶、猴子木、毛果山茶、怒江山茶、厚皮香6种；百年以上云南传统名贵茶花园艺品种古树主要有童子面、松子壳、狮子头、大叶银红、大理茶5种。楚雄茶花精品种植园培育的“紫禾”、“楚焰”2个新品种，通过中国科学院昆明植物研究所茶花专家鉴定正式命名。楚雄本地鉴定、命名的特有品种36个，主要分布在紫溪山、黑牛山和三尖山地区。紫溪山云南山茶物种园、黑牛山野生山茶保护区、楚雄茶花精品园、彝海国际茶花文化园等均为观赏和考察楚雄山茶花的理想之地。常见的木本植物有40余种，草本植物20余种，食用菌30余种。分布有野生中草药640余种，名贵药材有三七、天麻、茯苓等56种。</w:t>
      </w:r>
    </w:p>
    <w:p>
      <w:pPr>
        <w:adjustRightInd w:val="0"/>
        <w:snapToGrid w:val="0"/>
        <w:spacing w:line="360" w:lineRule="auto"/>
        <w:ind w:firstLine="482"/>
        <w:rPr>
          <w:rFonts w:hint="default" w:ascii="Times New Roman" w:hAnsi="Times New Roman" w:cs="Times New Roman"/>
          <w:snapToGrid w:val="0"/>
          <w:color w:val="auto"/>
        </w:rPr>
      </w:pPr>
      <w:r>
        <w:rPr>
          <w:rFonts w:hint="default" w:ascii="Times New Roman" w:hAnsi="Times New Roman" w:cs="Times New Roman"/>
          <w:snapToGrid w:val="0"/>
          <w:color w:val="auto"/>
        </w:rPr>
        <w:t>境内有野生动物519种，其中：两栖类29种，爬行类56种，鸟类329种，兽类105种；属国家保护的野生动物有蜂猴、白鹇等64种。位于市境西南部的哀牢山国家级自然保护区，森林茂密，有名贵植物1480多种，鸟兽460种，两栖爬行动物46种，国家重点保护珍稀动物26种，已被列为联合国“人与生物圈”森林生态系统的定位观测站。</w:t>
      </w:r>
    </w:p>
    <w:p>
      <w:pPr>
        <w:adjustRightInd w:val="0"/>
        <w:snapToGrid w:val="0"/>
        <w:spacing w:line="360" w:lineRule="auto"/>
        <w:ind w:firstLine="482"/>
        <w:rPr>
          <w:rFonts w:hint="default" w:ascii="Times New Roman" w:hAnsi="Times New Roman" w:cs="Times New Roman"/>
          <w:snapToGrid w:val="0"/>
          <w:color w:val="auto"/>
        </w:rPr>
      </w:pPr>
      <w:r>
        <w:rPr>
          <w:rFonts w:hint="default" w:ascii="Times New Roman" w:hAnsi="Times New Roman" w:cs="Times New Roman"/>
          <w:snapToGrid w:val="0"/>
          <w:color w:val="auto"/>
        </w:rPr>
        <w:t>根据工业园区域资料及现场踏勘，项目评价范围内不涉及古树名木及国家、地方保护的野生动植物分布。</w:t>
      </w:r>
    </w:p>
    <w:p>
      <w:pPr>
        <w:spacing w:afterLines="50"/>
        <w:rPr>
          <w:rFonts w:hint="default" w:ascii="Times New Roman" w:hAnsi="Times New Roman" w:cs="Times New Roman"/>
          <w:b/>
          <w:bCs/>
          <w:color w:val="auto"/>
          <w:sz w:val="28"/>
          <w:szCs w:val="28"/>
        </w:rPr>
      </w:pPr>
      <w:r>
        <w:rPr>
          <w:rFonts w:hint="default" w:ascii="Times New Roman" w:hAnsi="Times New Roman" w:cs="Times New Roman"/>
          <w:b/>
          <w:bCs/>
          <w:color w:val="auto"/>
          <w:sz w:val="28"/>
          <w:szCs w:val="28"/>
          <w:lang w:val="en-US" w:eastAsia="zh-CN"/>
        </w:rPr>
        <w:t>4</w:t>
      </w:r>
      <w:r>
        <w:rPr>
          <w:rFonts w:hint="default" w:ascii="Times New Roman" w:hAnsi="Times New Roman" w:cs="Times New Roman"/>
          <w:b/>
          <w:bCs/>
          <w:color w:val="auto"/>
          <w:sz w:val="28"/>
          <w:szCs w:val="28"/>
        </w:rPr>
        <w:t>.1.6土壤</w:t>
      </w:r>
    </w:p>
    <w:p>
      <w:pPr>
        <w:adjustRightInd w:val="0"/>
        <w:snapToGrid w:val="0"/>
        <w:spacing w:line="360" w:lineRule="auto"/>
        <w:ind w:firstLine="482"/>
        <w:rPr>
          <w:rFonts w:hint="default" w:ascii="Times New Roman" w:hAnsi="Times New Roman" w:cs="Times New Roman"/>
          <w:snapToGrid w:val="0"/>
          <w:color w:val="auto"/>
        </w:rPr>
      </w:pPr>
      <w:r>
        <w:rPr>
          <w:rFonts w:hint="default" w:ascii="Times New Roman" w:hAnsi="Times New Roman" w:cs="Times New Roman"/>
          <w:snapToGrid w:val="0"/>
          <w:color w:val="auto"/>
        </w:rPr>
        <w:t>楚雄地区的成土母质主要有徒母岩片岩、砂岩、页岩、花岗岩等。土壤类型因地形、地貌、地质结构及气候条件等的影响，地带性土壤与非地带性土壤交错分布，土类较多，同一土类间土壤差异也较大，土壤亚类、土属、土种也较复杂。根据楚雄市土地普查资料，全市共6个土类，11个亚类，16个土属，33个土种。</w:t>
      </w:r>
    </w:p>
    <w:p>
      <w:pPr>
        <w:spacing w:line="360" w:lineRule="auto"/>
        <w:ind w:firstLine="482"/>
        <w:rPr>
          <w:rFonts w:hint="default" w:ascii="Times New Roman" w:hAnsi="Times New Roman" w:cs="Times New Roman"/>
          <w:color w:val="auto"/>
          <w:kern w:val="0"/>
        </w:rPr>
      </w:pPr>
      <w:r>
        <w:rPr>
          <w:rFonts w:hint="default" w:ascii="Times New Roman" w:hAnsi="Times New Roman" w:cs="Times New Roman"/>
          <w:snapToGrid w:val="0"/>
          <w:color w:val="auto"/>
        </w:rPr>
        <w:t>根据现场调查，项目区主要以黄壤为主。</w:t>
      </w:r>
    </w:p>
    <w:bookmarkEnd w:id="337"/>
    <w:bookmarkEnd w:id="338"/>
    <w:bookmarkEnd w:id="339"/>
    <w:bookmarkEnd w:id="340"/>
    <w:bookmarkEnd w:id="341"/>
    <w:bookmarkEnd w:id="342"/>
    <w:p>
      <w:pPr>
        <w:pStyle w:val="4"/>
        <w:spacing w:before="0" w:after="0" w:line="360" w:lineRule="auto"/>
        <w:rPr>
          <w:rFonts w:hint="default" w:ascii="Times New Roman" w:hAnsi="Times New Roman" w:eastAsia="宋体" w:cs="Times New Roman"/>
          <w:color w:val="auto"/>
          <w:szCs w:val="28"/>
        </w:rPr>
      </w:pPr>
      <w:bookmarkStart w:id="344" w:name="_Toc2291"/>
      <w:bookmarkStart w:id="345" w:name="_Toc17291"/>
      <w:bookmarkStart w:id="346" w:name="_Toc358294714"/>
      <w:bookmarkStart w:id="347" w:name="_Toc30728"/>
      <w:bookmarkStart w:id="348" w:name="_Toc9429"/>
      <w:bookmarkStart w:id="349" w:name="_Toc18974"/>
      <w:bookmarkStart w:id="350" w:name="_Toc30664"/>
      <w:r>
        <w:rPr>
          <w:rFonts w:hint="default" w:ascii="Times New Roman" w:hAnsi="Times New Roman" w:eastAsia="宋体" w:cs="Times New Roman"/>
          <w:color w:val="auto"/>
          <w:sz w:val="28"/>
          <w:szCs w:val="28"/>
          <w:lang w:val="en-US" w:eastAsia="zh-CN"/>
        </w:rPr>
        <w:t>4</w:t>
      </w:r>
      <w:r>
        <w:rPr>
          <w:rFonts w:hint="default" w:ascii="Times New Roman" w:hAnsi="Times New Roman" w:eastAsia="宋体" w:cs="Times New Roman"/>
          <w:color w:val="auto"/>
          <w:sz w:val="28"/>
          <w:szCs w:val="28"/>
        </w:rPr>
        <w:t>.2楚雄工业园区</w:t>
      </w:r>
      <w:bookmarkEnd w:id="344"/>
    </w:p>
    <w:p>
      <w:pPr>
        <w:pStyle w:val="6"/>
        <w:spacing w:before="0" w:after="0" w:line="360" w:lineRule="auto"/>
        <w:rPr>
          <w:rFonts w:hint="default" w:ascii="Times New Roman" w:hAnsi="Times New Roman" w:cs="Times New Roman"/>
          <w:color w:val="auto"/>
          <w:szCs w:val="28"/>
        </w:rPr>
      </w:pPr>
      <w:bookmarkStart w:id="351" w:name="_Toc8775"/>
      <w:r>
        <w:rPr>
          <w:rFonts w:hint="default" w:ascii="Times New Roman" w:hAnsi="Times New Roman" w:cs="Times New Roman"/>
          <w:color w:val="auto"/>
          <w:szCs w:val="28"/>
          <w:lang w:val="en-US" w:eastAsia="zh-CN"/>
        </w:rPr>
        <w:t>4</w:t>
      </w:r>
      <w:r>
        <w:rPr>
          <w:rFonts w:hint="default" w:ascii="Times New Roman" w:hAnsi="Times New Roman" w:cs="Times New Roman"/>
          <w:color w:val="auto"/>
          <w:szCs w:val="28"/>
        </w:rPr>
        <w:t>.2.1楚雄工业园区规划概述</w:t>
      </w:r>
      <w:bookmarkEnd w:id="351"/>
    </w:p>
    <w:p>
      <w:pPr>
        <w:spacing w:line="360" w:lineRule="auto"/>
        <w:ind w:firstLine="480" w:firstLineChars="200"/>
        <w:rPr>
          <w:rFonts w:hint="default" w:ascii="Times New Roman" w:hAnsi="Times New Roman" w:cs="Times New Roman"/>
          <w:color w:val="auto"/>
          <w:kern w:val="0"/>
        </w:rPr>
      </w:pPr>
      <w:r>
        <w:rPr>
          <w:rFonts w:hint="default" w:ascii="Times New Roman" w:hAnsi="Times New Roman" w:cs="Times New Roman"/>
          <w:color w:val="auto"/>
          <w:kern w:val="0"/>
        </w:rPr>
        <w:t>楚雄工业园区分3个工业区，赵家湾桃园工业区、富民庄甸工业区、苍岭工业区，赵家湾桃园工业区位于楚雄经济开发区内，富民庄甸工业区位于楚雄市东南片区富民镇，苍岭工业区位于区域的东北部，楚雄工业园区在空间上形成“分片区、分地块、分组团”的发展模式。未来楚雄工业园区将会形成“一园三区六地块”的空间结构。</w:t>
      </w:r>
    </w:p>
    <w:p>
      <w:pPr>
        <w:spacing w:line="360" w:lineRule="auto"/>
        <w:ind w:firstLine="480" w:firstLineChars="200"/>
        <w:rPr>
          <w:rFonts w:hint="default" w:ascii="Times New Roman" w:hAnsi="Times New Roman" w:cs="Times New Roman"/>
          <w:color w:val="auto"/>
          <w:kern w:val="0"/>
        </w:rPr>
      </w:pPr>
    </w:p>
    <w:p>
      <w:pPr>
        <w:spacing w:line="360" w:lineRule="auto"/>
        <w:rPr>
          <w:rFonts w:hint="default" w:ascii="Times New Roman" w:hAnsi="Times New Roman" w:cs="Times New Roman"/>
          <w:b/>
          <w:bCs/>
          <w:color w:val="auto"/>
        </w:rPr>
      </w:pPr>
      <w:r>
        <w:rPr>
          <w:rFonts w:hint="default" w:ascii="Times New Roman" w:hAnsi="Times New Roman" w:cs="Times New Roman"/>
          <w:color w:val="auto"/>
        </w:rPr>
        <w:drawing>
          <wp:inline distT="0" distB="0" distL="0" distR="0">
            <wp:extent cx="5336540" cy="1200785"/>
            <wp:effectExtent l="19050" t="0" r="0" b="0"/>
            <wp:docPr id="12" name="image2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4182"/>
                    <pic:cNvPicPr>
                      <a:picLocks noChangeAspect="1" noChangeArrowheads="1"/>
                    </pic:cNvPicPr>
                  </pic:nvPicPr>
                  <pic:blipFill>
                    <a:blip r:embed="rId25" cstate="print"/>
                    <a:srcRect/>
                    <a:stretch>
                      <a:fillRect/>
                    </a:stretch>
                  </pic:blipFill>
                  <pic:spPr>
                    <a:xfrm>
                      <a:off x="0" y="0"/>
                      <a:ext cx="5336540" cy="1200785"/>
                    </a:xfrm>
                    <a:prstGeom prst="rect">
                      <a:avLst/>
                    </a:prstGeom>
                    <a:noFill/>
                    <a:ln w="9525">
                      <a:noFill/>
                      <a:miter lim="800000"/>
                      <a:headEnd/>
                      <a:tailEnd/>
                    </a:ln>
                  </pic:spPr>
                </pic:pic>
              </a:graphicData>
            </a:graphic>
          </wp:inline>
        </w:drawing>
      </w:r>
      <w:r>
        <w:rPr>
          <w:rFonts w:hint="default" w:ascii="Times New Roman" w:hAnsi="Times New Roman" w:cs="Times New Roman"/>
          <w:color w:val="auto"/>
        </w:rPr>
        <w:drawing>
          <wp:inline distT="0" distB="0" distL="0" distR="0">
            <wp:extent cx="5336540" cy="1200785"/>
            <wp:effectExtent l="19050" t="0" r="0" b="0"/>
            <wp:docPr id="13" name="image2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24183"/>
                    <pic:cNvPicPr>
                      <a:picLocks noChangeAspect="1" noChangeArrowheads="1"/>
                    </pic:cNvPicPr>
                  </pic:nvPicPr>
                  <pic:blipFill>
                    <a:blip r:embed="rId26" cstate="print"/>
                    <a:srcRect/>
                    <a:stretch>
                      <a:fillRect/>
                    </a:stretch>
                  </pic:blipFill>
                  <pic:spPr>
                    <a:xfrm>
                      <a:off x="0" y="0"/>
                      <a:ext cx="5336540" cy="1200785"/>
                    </a:xfrm>
                    <a:prstGeom prst="rect">
                      <a:avLst/>
                    </a:prstGeom>
                    <a:noFill/>
                    <a:ln w="9525">
                      <a:noFill/>
                      <a:miter lim="800000"/>
                      <a:headEnd/>
                      <a:tailEnd/>
                    </a:ln>
                  </pic:spPr>
                </pic:pic>
              </a:graphicData>
            </a:graphic>
          </wp:inline>
        </w:drawing>
      </w:r>
    </w:p>
    <w:p>
      <w:pPr>
        <w:pStyle w:val="133"/>
        <w:widowControl/>
        <w:spacing w:line="360" w:lineRule="auto"/>
        <w:ind w:firstLine="0" w:firstLineChars="0"/>
        <w:jc w:val="center"/>
        <w:rPr>
          <w:rFonts w:hint="default" w:ascii="Times New Roman" w:hAnsi="Times New Roman" w:cs="Times New Roman"/>
          <w:b/>
          <w:bCs/>
          <w:color w:val="auto"/>
        </w:rPr>
      </w:pPr>
      <w:r>
        <w:rPr>
          <w:rFonts w:hint="default" w:ascii="Times New Roman" w:hAnsi="Times New Roman" w:cs="Times New Roman"/>
          <w:b/>
          <w:bCs/>
          <w:color w:val="auto"/>
        </w:rPr>
        <w:t>图</w:t>
      </w:r>
      <w:r>
        <w:rPr>
          <w:rFonts w:hint="default" w:ascii="Times New Roman" w:hAnsi="Times New Roman" w:cs="Times New Roman"/>
          <w:b/>
          <w:bCs/>
          <w:color w:val="auto"/>
          <w:lang w:val="en-US" w:eastAsia="zh-CN"/>
        </w:rPr>
        <w:t>4</w:t>
      </w:r>
      <w:r>
        <w:rPr>
          <w:rFonts w:hint="default" w:ascii="Times New Roman" w:hAnsi="Times New Roman" w:cs="Times New Roman"/>
          <w:b/>
          <w:bCs/>
          <w:color w:val="auto"/>
        </w:rPr>
        <w:t>-2楚雄工业园区空间结构图</w:t>
      </w:r>
    </w:p>
    <w:p>
      <w:pPr>
        <w:autoSpaceDE w:val="0"/>
        <w:autoSpaceDN w:val="0"/>
        <w:spacing w:line="360" w:lineRule="auto"/>
        <w:ind w:firstLine="480" w:firstLineChars="200"/>
        <w:rPr>
          <w:rFonts w:hint="default" w:ascii="Times New Roman" w:hAnsi="Times New Roman" w:cs="Times New Roman"/>
          <w:color w:val="auto"/>
          <w:kern w:val="0"/>
        </w:rPr>
      </w:pPr>
      <w:r>
        <w:rPr>
          <w:rFonts w:hint="default" w:ascii="Times New Roman" w:hAnsi="Times New Roman" w:cs="Times New Roman"/>
          <w:color w:val="auto"/>
          <w:kern w:val="0"/>
        </w:rPr>
        <w:t>赵家湾：生物产业；</w:t>
      </w:r>
    </w:p>
    <w:p>
      <w:pPr>
        <w:autoSpaceDE w:val="0"/>
        <w:autoSpaceDN w:val="0"/>
        <w:spacing w:line="360" w:lineRule="auto"/>
        <w:ind w:firstLine="480" w:firstLineChars="200"/>
        <w:rPr>
          <w:rFonts w:hint="default" w:ascii="Times New Roman" w:hAnsi="Times New Roman" w:cs="Times New Roman"/>
          <w:color w:val="auto"/>
          <w:kern w:val="0"/>
        </w:rPr>
      </w:pPr>
      <w:r>
        <w:rPr>
          <w:rFonts w:hint="default" w:ascii="Times New Roman" w:hAnsi="Times New Roman" w:cs="Times New Roman"/>
          <w:color w:val="auto"/>
          <w:kern w:val="0"/>
        </w:rPr>
        <w:t>桃园：冶金化工产业、先进装备制造产业等；</w:t>
      </w:r>
    </w:p>
    <w:p>
      <w:pPr>
        <w:spacing w:line="360" w:lineRule="auto"/>
        <w:ind w:firstLine="480" w:firstLineChars="200"/>
        <w:rPr>
          <w:rFonts w:hint="default" w:ascii="Times New Roman" w:hAnsi="Times New Roman" w:cs="Times New Roman"/>
          <w:b/>
          <w:bCs/>
          <w:color w:val="auto"/>
          <w:kern w:val="0"/>
        </w:rPr>
      </w:pPr>
      <w:r>
        <w:rPr>
          <w:rFonts w:hint="default" w:ascii="Times New Roman" w:hAnsi="Times New Roman" w:cs="Times New Roman"/>
          <w:color w:val="auto"/>
          <w:kern w:val="0"/>
        </w:rPr>
        <w:t>富民：烟草及配套、生物产业、先进装备制造、新材料新型建材等；</w:t>
      </w:r>
    </w:p>
    <w:p>
      <w:pPr>
        <w:autoSpaceDE w:val="0"/>
        <w:autoSpaceDN w:val="0"/>
        <w:spacing w:line="360" w:lineRule="auto"/>
        <w:ind w:firstLine="480" w:firstLineChars="200"/>
        <w:rPr>
          <w:rFonts w:hint="default" w:ascii="Times New Roman" w:hAnsi="Times New Roman" w:cs="Times New Roman"/>
          <w:color w:val="auto"/>
          <w:kern w:val="0"/>
        </w:rPr>
      </w:pPr>
      <w:r>
        <w:rPr>
          <w:rFonts w:hint="default" w:ascii="Times New Roman" w:hAnsi="Times New Roman" w:cs="Times New Roman"/>
          <w:color w:val="auto"/>
          <w:kern w:val="0"/>
        </w:rPr>
        <w:t>庄甸：生物产业；</w:t>
      </w:r>
    </w:p>
    <w:p>
      <w:pPr>
        <w:autoSpaceDE w:val="0"/>
        <w:autoSpaceDN w:val="0"/>
        <w:spacing w:line="360" w:lineRule="auto"/>
        <w:ind w:firstLine="480" w:firstLineChars="200"/>
        <w:rPr>
          <w:rFonts w:hint="default" w:ascii="Times New Roman" w:hAnsi="Times New Roman" w:cs="Times New Roman"/>
          <w:color w:val="auto"/>
          <w:kern w:val="0"/>
        </w:rPr>
      </w:pPr>
      <w:r>
        <w:rPr>
          <w:rFonts w:hint="default" w:ascii="Times New Roman" w:hAnsi="Times New Roman" w:cs="Times New Roman"/>
          <w:color w:val="auto"/>
          <w:kern w:val="0"/>
        </w:rPr>
        <w:t>智明：先进装备制造、生物产业等；</w:t>
      </w:r>
    </w:p>
    <w:p>
      <w:pPr>
        <w:autoSpaceDE w:val="0"/>
        <w:autoSpaceDN w:val="0"/>
        <w:spacing w:line="360" w:lineRule="auto"/>
        <w:ind w:firstLine="480" w:firstLineChars="200"/>
        <w:rPr>
          <w:rFonts w:hint="default" w:ascii="Times New Roman" w:hAnsi="Times New Roman" w:cs="Times New Roman"/>
          <w:color w:val="auto"/>
          <w:kern w:val="0"/>
        </w:rPr>
      </w:pPr>
      <w:r>
        <w:rPr>
          <w:rFonts w:hint="default" w:ascii="Times New Roman" w:hAnsi="Times New Roman" w:cs="Times New Roman"/>
          <w:color w:val="auto"/>
          <w:kern w:val="0"/>
        </w:rPr>
        <w:t>黄草：再生资源加工利用；</w:t>
      </w:r>
    </w:p>
    <w:p>
      <w:pPr>
        <w:autoSpaceDE w:val="0"/>
        <w:autoSpaceDN w:val="0"/>
        <w:spacing w:line="360" w:lineRule="auto"/>
        <w:ind w:firstLine="480" w:firstLineChars="200"/>
        <w:rPr>
          <w:rFonts w:hint="default" w:ascii="Times New Roman" w:hAnsi="Times New Roman" w:cs="Times New Roman"/>
          <w:color w:val="auto"/>
          <w:kern w:val="0"/>
        </w:rPr>
      </w:pPr>
      <w:r>
        <w:rPr>
          <w:rFonts w:hint="default" w:ascii="Times New Roman" w:hAnsi="Times New Roman" w:cs="Times New Roman"/>
          <w:color w:val="auto"/>
          <w:kern w:val="0"/>
        </w:rPr>
        <w:t>云甸：冶金化工、新材料新型建材产业和创业小镇。</w:t>
      </w:r>
    </w:p>
    <w:p>
      <w:pPr>
        <w:autoSpaceDE w:val="0"/>
        <w:autoSpaceDN w:val="0"/>
        <w:spacing w:line="360" w:lineRule="auto"/>
        <w:ind w:firstLine="480" w:firstLineChars="200"/>
        <w:rPr>
          <w:rFonts w:hint="default" w:ascii="Times New Roman" w:hAnsi="Times New Roman" w:cs="Times New Roman"/>
          <w:color w:val="auto"/>
          <w:kern w:val="0"/>
        </w:rPr>
      </w:pPr>
      <w:r>
        <w:rPr>
          <w:rFonts w:hint="default" w:ascii="Times New Roman" w:hAnsi="Times New Roman" w:cs="Times New Roman"/>
          <w:color w:val="auto"/>
          <w:kern w:val="0"/>
        </w:rPr>
        <w:t>各产业详述如下：</w:t>
      </w:r>
    </w:p>
    <w:p>
      <w:pPr>
        <w:autoSpaceDE w:val="0"/>
        <w:autoSpaceDN w:val="0"/>
        <w:spacing w:line="360" w:lineRule="auto"/>
        <w:ind w:firstLine="480" w:firstLineChars="200"/>
        <w:rPr>
          <w:rFonts w:hint="default" w:ascii="Times New Roman" w:hAnsi="Times New Roman" w:cs="Times New Roman"/>
          <w:color w:val="auto"/>
          <w:kern w:val="0"/>
        </w:rPr>
      </w:pPr>
      <w:r>
        <w:rPr>
          <w:rFonts w:hint="default" w:ascii="Times New Roman" w:hAnsi="Times New Roman" w:cs="Times New Roman"/>
          <w:color w:val="auto"/>
          <w:kern w:val="0"/>
        </w:rPr>
        <w:t>（一）重点产业</w:t>
      </w:r>
    </w:p>
    <w:p>
      <w:pPr>
        <w:autoSpaceDE w:val="0"/>
        <w:autoSpaceDN w:val="0"/>
        <w:spacing w:line="360" w:lineRule="auto"/>
        <w:ind w:firstLine="480" w:firstLineChars="200"/>
        <w:rPr>
          <w:rFonts w:hint="default" w:ascii="Times New Roman" w:hAnsi="Times New Roman" w:cs="Times New Roman"/>
          <w:color w:val="auto"/>
          <w:kern w:val="0"/>
        </w:rPr>
      </w:pPr>
      <w:r>
        <w:rPr>
          <w:rFonts w:hint="default" w:ascii="Times New Roman" w:hAnsi="Times New Roman" w:cs="Times New Roman"/>
          <w:color w:val="auto"/>
          <w:kern w:val="0"/>
        </w:rPr>
        <w:t>2 个主导产业即卷烟及其配套产业、生物产业；</w:t>
      </w:r>
    </w:p>
    <w:p>
      <w:pPr>
        <w:autoSpaceDE w:val="0"/>
        <w:autoSpaceDN w:val="0"/>
        <w:spacing w:line="360" w:lineRule="auto"/>
        <w:ind w:firstLine="480" w:firstLineChars="200"/>
        <w:rPr>
          <w:rFonts w:hint="default" w:ascii="Times New Roman" w:hAnsi="Times New Roman" w:cs="Times New Roman"/>
          <w:color w:val="auto"/>
          <w:kern w:val="0"/>
        </w:rPr>
      </w:pPr>
      <w:r>
        <w:rPr>
          <w:rFonts w:hint="default" w:ascii="Times New Roman" w:hAnsi="Times New Roman" w:cs="Times New Roman"/>
          <w:color w:val="auto"/>
          <w:kern w:val="0"/>
        </w:rPr>
        <w:t>3 个辅助产业即先进装备制造产业、冶金化工产业、新材料新型建材产业。</w:t>
      </w:r>
    </w:p>
    <w:p>
      <w:pPr>
        <w:autoSpaceDE w:val="0"/>
        <w:autoSpaceDN w:val="0"/>
        <w:spacing w:line="360" w:lineRule="auto"/>
        <w:ind w:firstLine="480" w:firstLineChars="200"/>
        <w:rPr>
          <w:rFonts w:hint="default" w:ascii="Times New Roman" w:hAnsi="Times New Roman" w:cs="Times New Roman"/>
          <w:color w:val="auto"/>
          <w:kern w:val="0"/>
        </w:rPr>
      </w:pPr>
      <w:r>
        <w:rPr>
          <w:rFonts w:hint="default" w:ascii="Times New Roman" w:hAnsi="Times New Roman" w:cs="Times New Roman"/>
          <w:color w:val="auto"/>
          <w:kern w:val="0"/>
        </w:rPr>
        <w:t>（二）空间布局</w:t>
      </w:r>
    </w:p>
    <w:p>
      <w:pPr>
        <w:autoSpaceDE w:val="0"/>
        <w:autoSpaceDN w:val="0"/>
        <w:spacing w:line="360" w:lineRule="auto"/>
        <w:ind w:firstLine="480" w:firstLineChars="200"/>
        <w:rPr>
          <w:rFonts w:hint="default" w:ascii="Times New Roman" w:hAnsi="Times New Roman" w:cs="Times New Roman"/>
          <w:color w:val="auto"/>
          <w:kern w:val="0"/>
        </w:rPr>
      </w:pPr>
      <w:r>
        <w:rPr>
          <w:rFonts w:hint="default" w:ascii="Times New Roman" w:hAnsi="Times New Roman" w:cs="Times New Roman"/>
          <w:color w:val="auto"/>
          <w:kern w:val="0"/>
        </w:rPr>
        <w:t>1、赵家湾桃园工业区</w:t>
      </w:r>
    </w:p>
    <w:p>
      <w:pPr>
        <w:autoSpaceDE w:val="0"/>
        <w:autoSpaceDN w:val="0"/>
        <w:spacing w:line="360" w:lineRule="auto"/>
        <w:ind w:firstLine="480" w:firstLineChars="200"/>
        <w:rPr>
          <w:rFonts w:hint="default" w:ascii="Times New Roman" w:hAnsi="Times New Roman" w:cs="Times New Roman"/>
          <w:color w:val="auto"/>
          <w:kern w:val="0"/>
        </w:rPr>
      </w:pPr>
      <w:r>
        <w:rPr>
          <w:rFonts w:hint="default" w:ascii="Times New Roman" w:hAnsi="Times New Roman" w:cs="Times New Roman"/>
          <w:color w:val="auto"/>
          <w:kern w:val="0"/>
        </w:rPr>
        <w:t>在赵家湾工业地块，以巩固提升现有生物医药和绿色食品企业规模、推进宜业宜居城市一体化建设为重点，大力推动已有招商落地项目加快建设进度，鼓励企业兼并重组、资源优化整合，不断做大产业规模，将该地块建设成为生物医药、绿色食品、高原特色农产品加工的示范产业基地。同时，进一步建设完善基础配套设施功能，实现生产空间集约高效，促进生物医药和绿色食品加工与城市建设的高度融合发展。</w:t>
      </w:r>
    </w:p>
    <w:p>
      <w:pPr>
        <w:autoSpaceDE w:val="0"/>
        <w:autoSpaceDN w:val="0"/>
        <w:spacing w:line="360" w:lineRule="auto"/>
        <w:ind w:firstLine="480" w:firstLineChars="200"/>
        <w:rPr>
          <w:rFonts w:hint="default" w:ascii="Times New Roman" w:hAnsi="Times New Roman" w:cs="Times New Roman"/>
          <w:color w:val="auto"/>
          <w:kern w:val="0"/>
        </w:rPr>
      </w:pPr>
      <w:r>
        <w:rPr>
          <w:rFonts w:hint="default" w:ascii="Times New Roman" w:hAnsi="Times New Roman" w:cs="Times New Roman"/>
          <w:color w:val="auto"/>
          <w:kern w:val="0"/>
        </w:rPr>
        <w:t>在桃园地块，以产业转型升级为重点，对现有企业进行技术改造，提高企业质量效益，完善企业环保措施。将该地块规划为冶金化工产业、先进装备制造产业组团，积极引进发展新能源汽车及配套、电力设备、电子电器等先进装备制造产业，完善科研配套服务，帮助企业转型升级，打造“政企联动”、“商企互动”的互联平台。</w:t>
      </w:r>
    </w:p>
    <w:p>
      <w:pPr>
        <w:autoSpaceDE w:val="0"/>
        <w:autoSpaceDN w:val="0"/>
        <w:spacing w:line="360" w:lineRule="auto"/>
        <w:ind w:firstLine="480" w:firstLineChars="200"/>
        <w:rPr>
          <w:rFonts w:hint="default" w:ascii="Times New Roman" w:hAnsi="Times New Roman" w:cs="Times New Roman"/>
          <w:color w:val="auto"/>
          <w:kern w:val="0"/>
        </w:rPr>
      </w:pPr>
      <w:r>
        <w:rPr>
          <w:rFonts w:hint="default" w:ascii="Times New Roman" w:hAnsi="Times New Roman" w:cs="Times New Roman"/>
          <w:color w:val="auto"/>
          <w:kern w:val="0"/>
        </w:rPr>
        <w:t>2、富民庄甸工业区</w:t>
      </w:r>
    </w:p>
    <w:p>
      <w:pPr>
        <w:autoSpaceDE w:val="0"/>
        <w:autoSpaceDN w:val="0"/>
        <w:spacing w:line="360" w:lineRule="auto"/>
        <w:ind w:firstLine="480" w:firstLineChars="200"/>
        <w:rPr>
          <w:rFonts w:hint="default" w:ascii="Times New Roman" w:hAnsi="Times New Roman" w:cs="Times New Roman"/>
          <w:color w:val="auto"/>
          <w:kern w:val="0"/>
        </w:rPr>
      </w:pPr>
      <w:r>
        <w:rPr>
          <w:rFonts w:hint="default" w:ascii="Times New Roman" w:hAnsi="Times New Roman" w:cs="Times New Roman"/>
          <w:color w:val="auto"/>
          <w:kern w:val="0"/>
        </w:rPr>
        <w:t>在富民工业组团，以强工、兴商、拓城为重点，坚持产、城发展并重，二、三产业发展并举，把发展卷烟及其配套、生物产业、先进装备制造、新材料新型建材产业作为该工业组团的主体功能，优化空间规划，提升基础设施建设水平，强化产业发展支撑；在庄甸工业组团，集中发展生物产业，配套完善关联产业，以科技创新示范为重点，用足用活云南省创新创业示范基地、国家中医药产业化基地各项优惠扶持政策，继续加大院士工作站、重点实验室、企业技术中心建设力度，加大高新技术企业培育力度，不断推动企业在产品升级换代、新品研发、专利申报、创业创新方面取得新进展，通过盘活停产、停建企业，优化整合存量，促进企业在提质增效、做大做强、增强核心竞争力上取得新进展，把庄甸医药组团建设成为楚雄州乃至云南省影响力较大的、重要的生物医药产业聚集基地。</w:t>
      </w:r>
    </w:p>
    <w:p>
      <w:pPr>
        <w:autoSpaceDE w:val="0"/>
        <w:autoSpaceDN w:val="0"/>
        <w:spacing w:line="360" w:lineRule="auto"/>
        <w:ind w:firstLine="480" w:firstLineChars="200"/>
        <w:rPr>
          <w:rFonts w:hint="default" w:ascii="Times New Roman" w:hAnsi="Times New Roman" w:cs="Times New Roman"/>
          <w:color w:val="auto"/>
          <w:kern w:val="0"/>
        </w:rPr>
      </w:pPr>
      <w:r>
        <w:rPr>
          <w:rFonts w:hint="default" w:ascii="Times New Roman" w:hAnsi="Times New Roman" w:cs="Times New Roman"/>
          <w:color w:val="auto"/>
          <w:kern w:val="0"/>
        </w:rPr>
        <w:t>3、苍岭工业区</w:t>
      </w:r>
    </w:p>
    <w:p>
      <w:pPr>
        <w:spacing w:line="360" w:lineRule="auto"/>
        <w:ind w:firstLine="480" w:firstLineChars="200"/>
        <w:rPr>
          <w:rFonts w:hint="default" w:ascii="Times New Roman" w:hAnsi="Times New Roman" w:cs="Times New Roman"/>
          <w:color w:val="auto"/>
          <w:kern w:val="0"/>
        </w:rPr>
      </w:pPr>
      <w:r>
        <w:rPr>
          <w:rFonts w:hint="default" w:ascii="Times New Roman" w:hAnsi="Times New Roman" w:cs="Times New Roman"/>
          <w:color w:val="auto"/>
          <w:kern w:val="0"/>
        </w:rPr>
        <w:t>苍岭工业区是楚雄市工业经济发展的主要承载区，要创新工业区建设管理模式，突破行政区划界限制约，积极探索苍岭云甸、智明广通物流园区联动融合发展，着力构建“空间优化、分工有序、产业相联、产销一体、相互依存、相互促进”的产业发展新格局。根据全省、全州工业发展空间布局总体规划，在苍岭云甸重点发展冶金化工、新材料新型建材产业；智明联动禄丰广通，重点发展生物产业、先进装备制造两大优势产业，并依托公路、铁路优势，配套保税物流功能；在黄草重点进行再生资源加工利用。在推动传统支柱产业升级换代的同时，更加重视与战略性新兴产业、新兴业态的融合发展、交叉发展，推进产业组织结构创新，采取招大引强、延伸产业链、打造产业联盟、引进新业态等措施，构建优势产业集群。坚持产城融合、绿色发展的原则，全面提升工业区生活配套、服务配套、生产配套能力，力争到规划期末，将苍岭工业区初步建成有工有商、有街有景、有山有水的工业新城。</w:t>
      </w:r>
    </w:p>
    <w:p>
      <w:pPr>
        <w:pStyle w:val="6"/>
        <w:spacing w:before="0" w:after="0" w:line="360" w:lineRule="auto"/>
        <w:rPr>
          <w:rFonts w:hint="default" w:ascii="Times New Roman" w:hAnsi="Times New Roman" w:cs="Times New Roman"/>
          <w:color w:val="auto"/>
          <w:szCs w:val="28"/>
        </w:rPr>
      </w:pPr>
      <w:bookmarkStart w:id="352" w:name="_Toc14174"/>
      <w:bookmarkStart w:id="353" w:name="_Toc521313076"/>
      <w:bookmarkStart w:id="354" w:name="_Toc23429167"/>
      <w:bookmarkStart w:id="355" w:name="_Toc526871735"/>
      <w:r>
        <w:rPr>
          <w:rFonts w:hint="default" w:ascii="Times New Roman" w:hAnsi="Times New Roman" w:cs="Times New Roman"/>
          <w:color w:val="auto"/>
          <w:szCs w:val="28"/>
          <w:lang w:val="en-US" w:eastAsia="zh-CN"/>
        </w:rPr>
        <w:t>4</w:t>
      </w:r>
      <w:r>
        <w:rPr>
          <w:rFonts w:hint="default" w:ascii="Times New Roman" w:hAnsi="Times New Roman" w:cs="Times New Roman"/>
          <w:color w:val="auto"/>
          <w:szCs w:val="28"/>
        </w:rPr>
        <w:t>.2.2</w:t>
      </w:r>
      <w:r>
        <w:rPr>
          <w:rFonts w:hint="default" w:ascii="Times New Roman" w:hAnsi="Times New Roman" w:cs="Times New Roman"/>
          <w:color w:val="auto"/>
          <w:szCs w:val="28"/>
          <w:lang w:eastAsia="zh-CN"/>
        </w:rPr>
        <w:t>企业周边</w:t>
      </w:r>
      <w:r>
        <w:rPr>
          <w:rFonts w:hint="default" w:ascii="Times New Roman" w:hAnsi="Times New Roman" w:cs="Times New Roman"/>
          <w:color w:val="auto"/>
          <w:szCs w:val="28"/>
        </w:rPr>
        <w:t>污染源调查</w:t>
      </w:r>
      <w:bookmarkEnd w:id="352"/>
    </w:p>
    <w:bookmarkEnd w:id="353"/>
    <w:bookmarkEnd w:id="354"/>
    <w:bookmarkEnd w:id="355"/>
    <w:p>
      <w:pPr>
        <w:spacing w:line="360" w:lineRule="auto"/>
        <w:ind w:firstLine="480" w:firstLineChars="200"/>
        <w:rPr>
          <w:rFonts w:hint="default" w:ascii="Times New Roman" w:hAnsi="Times New Roman" w:cs="Times New Roman"/>
          <w:color w:val="auto"/>
          <w:szCs w:val="32"/>
        </w:rPr>
      </w:pPr>
      <w:r>
        <w:rPr>
          <w:rFonts w:hint="default" w:ascii="Times New Roman" w:hAnsi="Times New Roman" w:cs="Times New Roman"/>
          <w:color w:val="auto"/>
          <w:szCs w:val="32"/>
          <w:lang w:eastAsia="zh-CN"/>
        </w:rPr>
        <w:t>本次环评对项目周边已建、在建、拟建的项目和企业进行了调查，调查情况如下所示</w:t>
      </w:r>
      <w:r>
        <w:rPr>
          <w:rFonts w:hint="default" w:ascii="Times New Roman" w:hAnsi="Times New Roman" w:cs="Times New Roman"/>
          <w:color w:val="auto"/>
          <w:szCs w:val="32"/>
        </w:rPr>
        <w:t>：</w:t>
      </w:r>
    </w:p>
    <w:p>
      <w:pPr>
        <w:pStyle w:val="133"/>
        <w:keepNext w:val="0"/>
        <w:keepLines w:val="0"/>
        <w:pageBreakBefore w:val="0"/>
        <w:widowControl w:val="0"/>
        <w:numPr>
          <w:ilvl w:val="0"/>
          <w:numId w:val="16"/>
        </w:numPr>
        <w:tabs>
          <w:tab w:val="left" w:pos="1020"/>
        </w:tabs>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cs="Times New Roman"/>
          <w:b/>
          <w:bCs/>
          <w:color w:val="FF0000"/>
          <w:spacing w:val="1"/>
        </w:rPr>
        <w:sectPr>
          <w:pgSz w:w="11906" w:h="16838"/>
          <w:pgMar w:top="1440" w:right="1797" w:bottom="1440" w:left="1797" w:header="851" w:footer="992" w:gutter="0"/>
          <w:pgBorders>
            <w:top w:val="none" w:sz="0" w:space="0"/>
            <w:left w:val="none" w:sz="0" w:space="0"/>
            <w:bottom w:val="none" w:sz="0" w:space="0"/>
            <w:right w:val="none" w:sz="0" w:space="0"/>
          </w:pgBorders>
          <w:cols w:space="720" w:num="1"/>
          <w:docGrid w:linePitch="312" w:charSpace="0"/>
        </w:sectPr>
      </w:pPr>
    </w:p>
    <w:p>
      <w:pPr>
        <w:pStyle w:val="133"/>
        <w:keepNext w:val="0"/>
        <w:keepLines w:val="0"/>
        <w:pageBreakBefore w:val="0"/>
        <w:widowControl w:val="0"/>
        <w:numPr>
          <w:ilvl w:val="0"/>
          <w:numId w:val="15"/>
        </w:numPr>
        <w:tabs>
          <w:tab w:val="left" w:pos="1020"/>
        </w:tabs>
        <w:kinsoku/>
        <w:wordWrap/>
        <w:overflowPunct/>
        <w:topLinePunct w:val="0"/>
        <w:autoSpaceDE/>
        <w:autoSpaceDN/>
        <w:bidi w:val="0"/>
        <w:adjustRightInd/>
        <w:snapToGrid/>
        <w:spacing w:line="360" w:lineRule="auto"/>
        <w:ind w:left="840" w:leftChars="0" w:hanging="420" w:firstLineChars="0"/>
        <w:jc w:val="center"/>
        <w:textAlignment w:val="auto"/>
        <w:rPr>
          <w:rFonts w:hint="default" w:ascii="Times New Roman" w:hAnsi="Times New Roman" w:cs="Times New Roman"/>
          <w:b/>
          <w:bCs/>
          <w:color w:val="auto"/>
          <w:spacing w:val="1"/>
        </w:rPr>
      </w:pPr>
      <w:r>
        <w:rPr>
          <w:rFonts w:hint="default" w:ascii="Times New Roman" w:hAnsi="Times New Roman" w:cs="Times New Roman"/>
          <w:b/>
          <w:bCs/>
          <w:color w:val="auto"/>
          <w:spacing w:val="1"/>
          <w:lang w:eastAsia="zh-CN"/>
        </w:rPr>
        <w:t>项目周边企业废气排放情况</w:t>
      </w:r>
    </w:p>
    <w:tbl>
      <w:tblPr>
        <w:tblStyle w:val="44"/>
        <w:tblW w:w="4924" w:type="pct"/>
        <w:jc w:val="center"/>
        <w:tblLayout w:type="fixed"/>
        <w:tblCellMar>
          <w:top w:w="0" w:type="dxa"/>
          <w:left w:w="108" w:type="dxa"/>
          <w:bottom w:w="0" w:type="dxa"/>
          <w:right w:w="108" w:type="dxa"/>
        </w:tblCellMar>
      </w:tblPr>
      <w:tblGrid>
        <w:gridCol w:w="1710"/>
        <w:gridCol w:w="5017"/>
        <w:gridCol w:w="1557"/>
        <w:gridCol w:w="1370"/>
        <w:gridCol w:w="3204"/>
        <w:gridCol w:w="1101"/>
      </w:tblGrid>
      <w:tr>
        <w:tblPrEx>
          <w:tblCellMar>
            <w:top w:w="0" w:type="dxa"/>
            <w:left w:w="108" w:type="dxa"/>
            <w:bottom w:w="0" w:type="dxa"/>
            <w:right w:w="108" w:type="dxa"/>
          </w:tblCellMar>
        </w:tblPrEx>
        <w:trPr>
          <w:trHeight w:val="90" w:hRule="atLeast"/>
          <w:jc w:val="center"/>
        </w:trPr>
        <w:tc>
          <w:tcPr>
            <w:tcW w:w="612" w:type="pct"/>
            <w:tcBorders>
              <w:top w:val="single" w:color="auto" w:sz="4" w:space="0"/>
              <w:left w:val="single" w:color="auto" w:sz="4" w:space="0"/>
              <w:right w:val="single" w:color="auto" w:sz="4" w:space="0"/>
            </w:tcBorders>
            <w:vAlign w:val="center"/>
          </w:tcPr>
          <w:p>
            <w:pPr>
              <w:pStyle w:val="167"/>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企业名称</w:t>
            </w:r>
          </w:p>
        </w:tc>
        <w:tc>
          <w:tcPr>
            <w:tcW w:w="1797" w:type="pct"/>
            <w:tcBorders>
              <w:top w:val="single" w:color="auto" w:sz="4" w:space="0"/>
              <w:left w:val="single" w:color="auto" w:sz="4" w:space="0"/>
              <w:right w:val="single" w:color="auto" w:sz="4" w:space="0"/>
            </w:tcBorders>
            <w:shd w:val="clear" w:color="auto" w:fill="auto"/>
            <w:vAlign w:val="center"/>
          </w:tcPr>
          <w:p>
            <w:pPr>
              <w:pStyle w:val="167"/>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项目</w:t>
            </w:r>
            <w:r>
              <w:rPr>
                <w:rFonts w:hint="default" w:ascii="Times New Roman" w:hAnsi="Times New Roman" w:cs="Times New Roman"/>
                <w:color w:val="auto"/>
                <w:sz w:val="21"/>
                <w:szCs w:val="21"/>
                <w:lang w:eastAsia="zh-CN"/>
              </w:rPr>
              <w:t>名称</w:t>
            </w:r>
          </w:p>
        </w:tc>
        <w:tc>
          <w:tcPr>
            <w:tcW w:w="557" w:type="pct"/>
            <w:tcBorders>
              <w:top w:val="single" w:color="auto" w:sz="4" w:space="0"/>
              <w:left w:val="single" w:color="auto" w:sz="4" w:space="0"/>
              <w:right w:val="single" w:color="auto" w:sz="4" w:space="0"/>
            </w:tcBorders>
            <w:vAlign w:val="center"/>
          </w:tcPr>
          <w:p>
            <w:pPr>
              <w:pStyle w:val="167"/>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状态</w:t>
            </w:r>
          </w:p>
        </w:tc>
        <w:tc>
          <w:tcPr>
            <w:tcW w:w="490" w:type="pct"/>
            <w:tcBorders>
              <w:top w:val="single" w:color="auto" w:sz="4" w:space="0"/>
              <w:left w:val="single" w:color="auto" w:sz="4" w:space="0"/>
              <w:right w:val="single" w:color="auto" w:sz="4" w:space="0"/>
            </w:tcBorders>
            <w:shd w:val="clear" w:color="auto" w:fill="auto"/>
            <w:noWrap/>
            <w:vAlign w:val="center"/>
          </w:tcPr>
          <w:p>
            <w:pPr>
              <w:pStyle w:val="167"/>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废气量</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eastAsia="zh-CN"/>
              </w:rPr>
              <w:t>万</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a</w:t>
            </w:r>
            <w:r>
              <w:rPr>
                <w:rFonts w:hint="default" w:ascii="Times New Roman" w:hAnsi="Times New Roman" w:cs="Times New Roman"/>
                <w:color w:val="auto"/>
                <w:sz w:val="21"/>
                <w:szCs w:val="21"/>
              </w:rPr>
              <w:t>）</w:t>
            </w:r>
          </w:p>
        </w:tc>
        <w:tc>
          <w:tcPr>
            <w:tcW w:w="1147"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67"/>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排放主要污染物（</w:t>
            </w:r>
            <w:r>
              <w:rPr>
                <w:rFonts w:hint="default" w:ascii="Times New Roman" w:hAnsi="Times New Roman" w:cs="Times New Roman"/>
                <w:color w:val="auto"/>
                <w:sz w:val="21"/>
                <w:szCs w:val="21"/>
                <w:lang w:val="en-US" w:eastAsia="zh-CN"/>
              </w:rPr>
              <w:t>t/a</w:t>
            </w:r>
            <w:r>
              <w:rPr>
                <w:rFonts w:hint="default" w:ascii="Times New Roman" w:hAnsi="Times New Roman" w:cs="Times New Roman"/>
                <w:color w:val="auto"/>
                <w:sz w:val="21"/>
                <w:szCs w:val="21"/>
                <w:lang w:eastAsia="zh-CN"/>
              </w:rPr>
              <w:t>）</w:t>
            </w:r>
          </w:p>
        </w:tc>
        <w:tc>
          <w:tcPr>
            <w:tcW w:w="394" w:type="pct"/>
            <w:tcBorders>
              <w:top w:val="single" w:color="auto" w:sz="4" w:space="0"/>
              <w:left w:val="single" w:color="auto" w:sz="4" w:space="0"/>
              <w:right w:val="single" w:color="auto" w:sz="4" w:space="0"/>
            </w:tcBorders>
            <w:shd w:val="clear" w:color="auto" w:fill="auto"/>
            <w:noWrap/>
            <w:vAlign w:val="center"/>
          </w:tcPr>
          <w:p>
            <w:pPr>
              <w:pStyle w:val="167"/>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数据来源</w:t>
            </w:r>
          </w:p>
        </w:tc>
      </w:tr>
      <w:tr>
        <w:tblPrEx>
          <w:tblCellMar>
            <w:top w:w="0" w:type="dxa"/>
            <w:left w:w="108" w:type="dxa"/>
            <w:bottom w:w="0" w:type="dxa"/>
            <w:right w:w="108" w:type="dxa"/>
          </w:tblCellMar>
        </w:tblPrEx>
        <w:trPr>
          <w:trHeight w:val="340" w:hRule="atLeast"/>
          <w:jc w:val="center"/>
        </w:trPr>
        <w:tc>
          <w:tcPr>
            <w:tcW w:w="612" w:type="pct"/>
            <w:vMerge w:val="restart"/>
            <w:tcBorders>
              <w:top w:val="single" w:color="auto" w:sz="4" w:space="0"/>
              <w:left w:val="single" w:color="auto" w:sz="4" w:space="0"/>
              <w:bottom w:val="single" w:color="auto" w:sz="4" w:space="0"/>
              <w:right w:val="single" w:color="auto" w:sz="4" w:space="0"/>
            </w:tcBorders>
            <w:vAlign w:val="center"/>
          </w:tcPr>
          <w:p>
            <w:pPr>
              <w:pStyle w:val="167"/>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云南宇泽半导体有限公司</w:t>
            </w:r>
          </w:p>
        </w:tc>
        <w:tc>
          <w:tcPr>
            <w:tcW w:w="179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67"/>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宇泽半导体（云南）有限公司年产5GW单晶硅拉棒及3GW切片生产线项目</w:t>
            </w:r>
            <w:r>
              <w:rPr>
                <w:rFonts w:hint="default" w:ascii="Times New Roman" w:hAnsi="Times New Roman" w:cs="Times New Roman"/>
                <w:color w:val="auto"/>
                <w:sz w:val="21"/>
                <w:szCs w:val="21"/>
                <w:lang w:eastAsia="zh-CN"/>
              </w:rPr>
              <w:t>（一期）（</w:t>
            </w:r>
            <w:r>
              <w:rPr>
                <w:rFonts w:hint="default" w:ascii="Times New Roman" w:hAnsi="Times New Roman" w:cs="Times New Roman"/>
                <w:color w:val="auto"/>
                <w:sz w:val="21"/>
                <w:szCs w:val="21"/>
                <w:lang w:val="en-US" w:eastAsia="zh-CN"/>
              </w:rPr>
              <w:t>3GW拉棒</w:t>
            </w:r>
            <w:r>
              <w:rPr>
                <w:rFonts w:hint="default" w:ascii="Times New Roman" w:hAnsi="Times New Roman" w:cs="Times New Roman"/>
                <w:color w:val="auto"/>
                <w:sz w:val="21"/>
                <w:szCs w:val="21"/>
                <w:lang w:eastAsia="zh-CN"/>
              </w:rPr>
              <w:t>）</w:t>
            </w:r>
          </w:p>
        </w:tc>
        <w:tc>
          <w:tcPr>
            <w:tcW w:w="557" w:type="pct"/>
            <w:tcBorders>
              <w:top w:val="single" w:color="auto" w:sz="4" w:space="0"/>
              <w:left w:val="single" w:color="auto" w:sz="4" w:space="0"/>
              <w:bottom w:val="single" w:color="auto" w:sz="4" w:space="0"/>
              <w:right w:val="single" w:color="auto" w:sz="4" w:space="0"/>
            </w:tcBorders>
            <w:vAlign w:val="center"/>
          </w:tcPr>
          <w:p>
            <w:pPr>
              <w:pStyle w:val="167"/>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已建成投产已验收</w:t>
            </w:r>
          </w:p>
        </w:tc>
        <w:tc>
          <w:tcPr>
            <w:tcW w:w="490" w:type="pct"/>
            <w:vMerge w:val="restart"/>
            <w:tcBorders>
              <w:top w:val="single" w:color="auto" w:sz="4" w:space="0"/>
              <w:left w:val="single" w:color="auto" w:sz="4" w:space="0"/>
              <w:right w:val="single" w:color="auto" w:sz="4" w:space="0"/>
            </w:tcBorders>
            <w:shd w:val="clear" w:color="auto" w:fill="auto"/>
            <w:vAlign w:val="center"/>
          </w:tcPr>
          <w:p>
            <w:pPr>
              <w:pStyle w:val="167"/>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74153.4</w:t>
            </w:r>
          </w:p>
        </w:tc>
        <w:tc>
          <w:tcPr>
            <w:tcW w:w="1147" w:type="pct"/>
            <w:vMerge w:val="restart"/>
            <w:tcBorders>
              <w:top w:val="single" w:color="auto" w:sz="4" w:space="0"/>
              <w:left w:val="single" w:color="auto" w:sz="4" w:space="0"/>
              <w:right w:val="single" w:color="auto" w:sz="4" w:space="0"/>
            </w:tcBorders>
            <w:shd w:val="clear" w:color="auto" w:fill="auto"/>
            <w:vAlign w:val="center"/>
          </w:tcPr>
          <w:p>
            <w:pPr>
              <w:pStyle w:val="167"/>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NOx：6.53、氟化物：0.105、颗粒物：3.01</w:t>
            </w:r>
          </w:p>
        </w:tc>
        <w:tc>
          <w:tcPr>
            <w:tcW w:w="394" w:type="pct"/>
            <w:vMerge w:val="restart"/>
            <w:tcBorders>
              <w:top w:val="single" w:color="auto" w:sz="4" w:space="0"/>
              <w:left w:val="single" w:color="auto" w:sz="4" w:space="0"/>
              <w:right w:val="single" w:color="auto" w:sz="4" w:space="0"/>
            </w:tcBorders>
            <w:shd w:val="clear" w:color="auto" w:fill="auto"/>
            <w:vAlign w:val="center"/>
          </w:tcPr>
          <w:p>
            <w:pPr>
              <w:pStyle w:val="167"/>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验收报告</w:t>
            </w:r>
          </w:p>
        </w:tc>
      </w:tr>
      <w:tr>
        <w:tblPrEx>
          <w:tblCellMar>
            <w:top w:w="0" w:type="dxa"/>
            <w:left w:w="108" w:type="dxa"/>
            <w:bottom w:w="0" w:type="dxa"/>
            <w:right w:w="108" w:type="dxa"/>
          </w:tblCellMar>
        </w:tblPrEx>
        <w:trPr>
          <w:trHeight w:val="340" w:hRule="atLeast"/>
          <w:jc w:val="center"/>
        </w:trPr>
        <w:tc>
          <w:tcPr>
            <w:tcW w:w="612" w:type="pct"/>
            <w:vMerge w:val="continue"/>
            <w:tcBorders>
              <w:top w:val="single" w:color="auto" w:sz="4" w:space="0"/>
              <w:left w:val="single" w:color="auto" w:sz="4" w:space="0"/>
              <w:right w:val="single" w:color="auto" w:sz="4" w:space="0"/>
            </w:tcBorders>
            <w:vAlign w:val="center"/>
          </w:tcPr>
          <w:p>
            <w:pPr>
              <w:pStyle w:val="167"/>
              <w:rPr>
                <w:rFonts w:hint="default" w:ascii="Times New Roman" w:hAnsi="Times New Roman" w:cs="Times New Roman"/>
                <w:color w:val="auto"/>
                <w:sz w:val="21"/>
                <w:szCs w:val="21"/>
              </w:rPr>
            </w:pPr>
          </w:p>
        </w:tc>
        <w:tc>
          <w:tcPr>
            <w:tcW w:w="179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67"/>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宇泽半导体（云南）有限公司年产5GW单晶硅拉棒及3GW切片生产线项目</w:t>
            </w:r>
            <w:r>
              <w:rPr>
                <w:rFonts w:hint="default" w:ascii="Times New Roman" w:hAnsi="Times New Roman" w:cs="Times New Roman"/>
                <w:color w:val="auto"/>
                <w:sz w:val="21"/>
                <w:szCs w:val="21"/>
                <w:lang w:eastAsia="zh-CN"/>
              </w:rPr>
              <w:t>（二期</w:t>
            </w:r>
            <w:r>
              <w:rPr>
                <w:rFonts w:hint="default" w:ascii="Times New Roman" w:hAnsi="Times New Roman" w:cs="Times New Roman"/>
                <w:color w:val="auto"/>
                <w:sz w:val="21"/>
                <w:szCs w:val="21"/>
                <w:lang w:val="en-US" w:eastAsia="zh-CN"/>
              </w:rPr>
              <w:t>2GW拉棒</w:t>
            </w:r>
            <w:r>
              <w:rPr>
                <w:rFonts w:hint="default" w:ascii="Times New Roman" w:hAnsi="Times New Roman" w:cs="Times New Roman"/>
                <w:color w:val="auto"/>
                <w:sz w:val="21"/>
                <w:szCs w:val="21"/>
                <w:lang w:eastAsia="zh-CN"/>
              </w:rPr>
              <w:t>）</w:t>
            </w:r>
          </w:p>
        </w:tc>
        <w:tc>
          <w:tcPr>
            <w:tcW w:w="557" w:type="pct"/>
            <w:tcBorders>
              <w:top w:val="single" w:color="auto" w:sz="4" w:space="0"/>
              <w:left w:val="nil"/>
              <w:bottom w:val="single" w:color="auto" w:sz="4" w:space="0"/>
              <w:right w:val="single" w:color="auto" w:sz="4" w:space="0"/>
            </w:tcBorders>
            <w:vAlign w:val="center"/>
          </w:tcPr>
          <w:p>
            <w:pPr>
              <w:pStyle w:val="167"/>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已建成投产已验收</w:t>
            </w:r>
          </w:p>
        </w:tc>
        <w:tc>
          <w:tcPr>
            <w:tcW w:w="490" w:type="pct"/>
            <w:vMerge w:val="continue"/>
            <w:tcBorders>
              <w:left w:val="single" w:color="auto" w:sz="4" w:space="0"/>
              <w:right w:val="single" w:color="auto" w:sz="4" w:space="0"/>
            </w:tcBorders>
            <w:shd w:val="clear" w:color="auto" w:fill="auto"/>
            <w:vAlign w:val="center"/>
          </w:tcPr>
          <w:p>
            <w:pPr>
              <w:pStyle w:val="167"/>
              <w:rPr>
                <w:rFonts w:hint="default" w:ascii="Times New Roman" w:hAnsi="Times New Roman" w:cs="Times New Roman"/>
                <w:color w:val="auto"/>
                <w:sz w:val="21"/>
                <w:szCs w:val="21"/>
                <w:lang w:val="en-US" w:eastAsia="zh-CN"/>
              </w:rPr>
            </w:pPr>
          </w:p>
        </w:tc>
        <w:tc>
          <w:tcPr>
            <w:tcW w:w="1147" w:type="pct"/>
            <w:vMerge w:val="continue"/>
            <w:tcBorders>
              <w:left w:val="single" w:color="auto" w:sz="4" w:space="0"/>
              <w:right w:val="single" w:color="auto" w:sz="4" w:space="0"/>
            </w:tcBorders>
            <w:shd w:val="clear" w:color="auto" w:fill="auto"/>
            <w:vAlign w:val="center"/>
          </w:tcPr>
          <w:p>
            <w:pPr>
              <w:pStyle w:val="167"/>
              <w:rPr>
                <w:rFonts w:hint="default" w:ascii="Times New Roman" w:hAnsi="Times New Roman" w:cs="Times New Roman"/>
                <w:color w:val="auto"/>
                <w:sz w:val="21"/>
                <w:szCs w:val="21"/>
                <w:lang w:val="en-US" w:eastAsia="zh-CN"/>
              </w:rPr>
            </w:pPr>
          </w:p>
        </w:tc>
        <w:tc>
          <w:tcPr>
            <w:tcW w:w="394" w:type="pct"/>
            <w:vMerge w:val="continue"/>
            <w:tcBorders>
              <w:left w:val="single" w:color="auto" w:sz="4" w:space="0"/>
              <w:right w:val="single" w:color="auto" w:sz="4" w:space="0"/>
            </w:tcBorders>
            <w:shd w:val="clear" w:color="auto" w:fill="auto"/>
            <w:vAlign w:val="center"/>
          </w:tcPr>
          <w:p>
            <w:pPr>
              <w:pStyle w:val="167"/>
              <w:rPr>
                <w:rFonts w:hint="default" w:ascii="Times New Roman" w:hAnsi="Times New Roman" w:eastAsia="宋体" w:cs="Times New Roman"/>
                <w:color w:val="auto"/>
                <w:sz w:val="21"/>
                <w:szCs w:val="21"/>
                <w:lang w:eastAsia="zh-CN"/>
              </w:rPr>
            </w:pPr>
          </w:p>
        </w:tc>
      </w:tr>
      <w:tr>
        <w:tblPrEx>
          <w:tblCellMar>
            <w:top w:w="0" w:type="dxa"/>
            <w:left w:w="108" w:type="dxa"/>
            <w:bottom w:w="0" w:type="dxa"/>
            <w:right w:w="108" w:type="dxa"/>
          </w:tblCellMar>
        </w:tblPrEx>
        <w:trPr>
          <w:trHeight w:val="340" w:hRule="atLeast"/>
          <w:jc w:val="center"/>
        </w:trPr>
        <w:tc>
          <w:tcPr>
            <w:tcW w:w="612" w:type="pct"/>
            <w:vMerge w:val="continue"/>
            <w:tcBorders>
              <w:top w:val="single" w:color="auto" w:sz="4" w:space="0"/>
              <w:left w:val="single" w:color="auto" w:sz="4" w:space="0"/>
              <w:right w:val="single" w:color="auto" w:sz="4" w:space="0"/>
            </w:tcBorders>
            <w:vAlign w:val="center"/>
          </w:tcPr>
          <w:p>
            <w:pPr>
              <w:pStyle w:val="167"/>
              <w:rPr>
                <w:rFonts w:hint="default" w:ascii="Times New Roman" w:hAnsi="Times New Roman" w:cs="Times New Roman"/>
                <w:color w:val="auto"/>
                <w:sz w:val="21"/>
                <w:szCs w:val="21"/>
              </w:rPr>
            </w:pPr>
          </w:p>
        </w:tc>
        <w:tc>
          <w:tcPr>
            <w:tcW w:w="179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67"/>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rPr>
              <w:t>年产5GW单晶硅拉棒及2GW切片项目</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5GW拉棒</w:t>
            </w:r>
            <w:r>
              <w:rPr>
                <w:rFonts w:hint="default" w:ascii="Times New Roman" w:hAnsi="Times New Roman" w:cs="Times New Roman"/>
                <w:color w:val="auto"/>
                <w:sz w:val="21"/>
                <w:szCs w:val="21"/>
                <w:lang w:eastAsia="zh-CN"/>
              </w:rPr>
              <w:t>）</w:t>
            </w:r>
          </w:p>
        </w:tc>
        <w:tc>
          <w:tcPr>
            <w:tcW w:w="557" w:type="pct"/>
            <w:tcBorders>
              <w:top w:val="single" w:color="auto" w:sz="4" w:space="0"/>
              <w:left w:val="nil"/>
              <w:bottom w:val="single" w:color="auto" w:sz="4" w:space="0"/>
              <w:right w:val="single" w:color="auto" w:sz="4" w:space="0"/>
            </w:tcBorders>
            <w:vAlign w:val="center"/>
          </w:tcPr>
          <w:p>
            <w:pPr>
              <w:pStyle w:val="167"/>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lang w:eastAsia="zh-CN"/>
              </w:rPr>
              <w:t>已建成投产正在验收</w:t>
            </w:r>
          </w:p>
        </w:tc>
        <w:tc>
          <w:tcPr>
            <w:tcW w:w="490" w:type="pct"/>
            <w:vMerge w:val="continue"/>
            <w:tcBorders>
              <w:left w:val="single" w:color="auto" w:sz="4" w:space="0"/>
              <w:bottom w:val="single" w:color="auto" w:sz="4" w:space="0"/>
              <w:right w:val="single" w:color="auto" w:sz="4" w:space="0"/>
            </w:tcBorders>
            <w:shd w:val="clear" w:color="auto" w:fill="auto"/>
            <w:vAlign w:val="center"/>
          </w:tcPr>
          <w:p>
            <w:pPr>
              <w:pStyle w:val="167"/>
              <w:rPr>
                <w:rFonts w:hint="default" w:ascii="Times New Roman" w:hAnsi="Times New Roman" w:eastAsia="宋体" w:cs="Times New Roman"/>
                <w:color w:val="auto"/>
                <w:kern w:val="0"/>
                <w:sz w:val="21"/>
                <w:szCs w:val="21"/>
                <w:lang w:val="en-US" w:eastAsia="zh-CN" w:bidi="ar-SA"/>
              </w:rPr>
            </w:pPr>
          </w:p>
        </w:tc>
        <w:tc>
          <w:tcPr>
            <w:tcW w:w="1147" w:type="pct"/>
            <w:vMerge w:val="continue"/>
            <w:tcBorders>
              <w:left w:val="single" w:color="auto" w:sz="4" w:space="0"/>
              <w:bottom w:val="single" w:color="auto" w:sz="4" w:space="0"/>
              <w:right w:val="single" w:color="auto" w:sz="4" w:space="0"/>
            </w:tcBorders>
            <w:shd w:val="clear" w:color="auto" w:fill="auto"/>
            <w:vAlign w:val="center"/>
          </w:tcPr>
          <w:p>
            <w:pPr>
              <w:pStyle w:val="167"/>
              <w:rPr>
                <w:rFonts w:hint="default" w:ascii="Times New Roman" w:hAnsi="Times New Roman" w:eastAsia="宋体" w:cs="Times New Roman"/>
                <w:color w:val="auto"/>
                <w:kern w:val="0"/>
                <w:sz w:val="21"/>
                <w:szCs w:val="21"/>
                <w:lang w:val="en-US" w:eastAsia="zh-CN" w:bidi="ar-SA"/>
              </w:rPr>
            </w:pPr>
          </w:p>
        </w:tc>
        <w:tc>
          <w:tcPr>
            <w:tcW w:w="394" w:type="pct"/>
            <w:vMerge w:val="continue"/>
            <w:tcBorders>
              <w:left w:val="single" w:color="auto" w:sz="4" w:space="0"/>
              <w:bottom w:val="single" w:color="auto" w:sz="4" w:space="0"/>
              <w:right w:val="single" w:color="auto" w:sz="4" w:space="0"/>
            </w:tcBorders>
            <w:shd w:val="clear" w:color="auto" w:fill="auto"/>
            <w:vAlign w:val="center"/>
          </w:tcPr>
          <w:p>
            <w:pPr>
              <w:pStyle w:val="167"/>
              <w:rPr>
                <w:rFonts w:hint="default" w:ascii="Times New Roman" w:hAnsi="Times New Roman" w:eastAsia="宋体" w:cs="Times New Roman"/>
                <w:color w:val="auto"/>
                <w:kern w:val="0"/>
                <w:sz w:val="21"/>
                <w:szCs w:val="21"/>
                <w:lang w:val="en-US" w:eastAsia="zh-CN" w:bidi="ar-SA"/>
              </w:rPr>
            </w:pPr>
          </w:p>
        </w:tc>
      </w:tr>
      <w:tr>
        <w:tblPrEx>
          <w:tblCellMar>
            <w:top w:w="0" w:type="dxa"/>
            <w:left w:w="108" w:type="dxa"/>
            <w:bottom w:w="0" w:type="dxa"/>
            <w:right w:w="108" w:type="dxa"/>
          </w:tblCellMar>
        </w:tblPrEx>
        <w:trPr>
          <w:trHeight w:val="340" w:hRule="atLeast"/>
          <w:jc w:val="center"/>
        </w:trPr>
        <w:tc>
          <w:tcPr>
            <w:tcW w:w="612" w:type="pct"/>
            <w:vMerge w:val="continue"/>
            <w:tcBorders>
              <w:left w:val="single" w:color="auto" w:sz="4" w:space="0"/>
              <w:right w:val="single" w:color="auto" w:sz="4" w:space="0"/>
            </w:tcBorders>
            <w:vAlign w:val="center"/>
          </w:tcPr>
          <w:p>
            <w:pPr>
              <w:pStyle w:val="167"/>
              <w:rPr>
                <w:rFonts w:hint="default" w:ascii="Times New Roman" w:hAnsi="Times New Roman" w:cs="Times New Roman"/>
                <w:color w:val="auto"/>
                <w:sz w:val="21"/>
                <w:szCs w:val="21"/>
              </w:rPr>
            </w:pPr>
          </w:p>
        </w:tc>
        <w:tc>
          <w:tcPr>
            <w:tcW w:w="1797" w:type="pct"/>
            <w:tcBorders>
              <w:top w:val="nil"/>
              <w:left w:val="single" w:color="auto" w:sz="4" w:space="0"/>
              <w:bottom w:val="single" w:color="auto" w:sz="4" w:space="0"/>
              <w:right w:val="single" w:color="auto" w:sz="4" w:space="0"/>
            </w:tcBorders>
            <w:shd w:val="clear" w:color="auto" w:fill="auto"/>
            <w:vAlign w:val="center"/>
          </w:tcPr>
          <w:p>
            <w:pPr>
              <w:pStyle w:val="167"/>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rPr>
              <w:t>宇泽半导体（云南）有限公司年产5GW单晶硅拉棒及3GW切片生产线项目</w:t>
            </w:r>
            <w:r>
              <w:rPr>
                <w:rFonts w:hint="default" w:ascii="Times New Roman" w:hAnsi="Times New Roman" w:cs="Times New Roman"/>
                <w:color w:val="auto"/>
                <w:sz w:val="21"/>
                <w:szCs w:val="21"/>
                <w:lang w:eastAsia="zh-CN"/>
              </w:rPr>
              <w:t>（二期</w:t>
            </w:r>
            <w:r>
              <w:rPr>
                <w:rFonts w:hint="default" w:ascii="Times New Roman" w:hAnsi="Times New Roman" w:cs="Times New Roman"/>
                <w:color w:val="auto"/>
                <w:sz w:val="21"/>
                <w:szCs w:val="21"/>
                <w:lang w:val="en-US" w:eastAsia="zh-CN"/>
              </w:rPr>
              <w:t>3GW切片</w:t>
            </w:r>
            <w:r>
              <w:rPr>
                <w:rFonts w:hint="default" w:ascii="Times New Roman" w:hAnsi="Times New Roman" w:cs="Times New Roman"/>
                <w:color w:val="auto"/>
                <w:sz w:val="21"/>
                <w:szCs w:val="21"/>
                <w:lang w:eastAsia="zh-CN"/>
              </w:rPr>
              <w:t>）</w:t>
            </w:r>
          </w:p>
        </w:tc>
        <w:tc>
          <w:tcPr>
            <w:tcW w:w="557" w:type="pct"/>
            <w:tcBorders>
              <w:top w:val="single" w:color="auto" w:sz="4" w:space="0"/>
              <w:left w:val="nil"/>
              <w:bottom w:val="single" w:color="auto" w:sz="4" w:space="0"/>
              <w:right w:val="single" w:color="auto" w:sz="4" w:space="0"/>
            </w:tcBorders>
            <w:vAlign w:val="center"/>
          </w:tcPr>
          <w:p>
            <w:pPr>
              <w:pStyle w:val="167"/>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lang w:eastAsia="zh-CN"/>
              </w:rPr>
              <w:t>正在建设过程中</w:t>
            </w:r>
          </w:p>
        </w:tc>
        <w:tc>
          <w:tcPr>
            <w:tcW w:w="490" w:type="pct"/>
            <w:vMerge w:val="restart"/>
            <w:tcBorders>
              <w:top w:val="nil"/>
              <w:left w:val="nil"/>
              <w:right w:val="single" w:color="auto" w:sz="4" w:space="0"/>
            </w:tcBorders>
            <w:shd w:val="clear" w:color="auto" w:fill="auto"/>
            <w:vAlign w:val="center"/>
          </w:tcPr>
          <w:p>
            <w:pPr>
              <w:pStyle w:val="167"/>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118260</w:t>
            </w:r>
          </w:p>
        </w:tc>
        <w:tc>
          <w:tcPr>
            <w:tcW w:w="1147" w:type="pct"/>
            <w:vMerge w:val="restart"/>
            <w:tcBorders>
              <w:top w:val="nil"/>
              <w:left w:val="nil"/>
              <w:right w:val="single" w:color="auto" w:sz="4" w:space="0"/>
            </w:tcBorders>
            <w:shd w:val="clear" w:color="auto" w:fill="auto"/>
            <w:vAlign w:val="center"/>
          </w:tcPr>
          <w:p>
            <w:pPr>
              <w:pStyle w:val="167"/>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挥发性有机物：2.664、颗粒物：0.549、氟化物：0.01、氨：1.332、硫化氢：0.009</w:t>
            </w:r>
          </w:p>
        </w:tc>
        <w:tc>
          <w:tcPr>
            <w:tcW w:w="394" w:type="pct"/>
            <w:vMerge w:val="restart"/>
            <w:tcBorders>
              <w:top w:val="nil"/>
              <w:left w:val="nil"/>
              <w:right w:val="single" w:color="auto" w:sz="4" w:space="0"/>
            </w:tcBorders>
            <w:shd w:val="clear" w:color="auto" w:fill="auto"/>
            <w:vAlign w:val="center"/>
          </w:tcPr>
          <w:p>
            <w:pPr>
              <w:pStyle w:val="167"/>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lang w:eastAsia="zh-CN"/>
              </w:rPr>
              <w:t>本次环评核算</w:t>
            </w:r>
          </w:p>
        </w:tc>
      </w:tr>
      <w:tr>
        <w:tblPrEx>
          <w:tblCellMar>
            <w:top w:w="0" w:type="dxa"/>
            <w:left w:w="108" w:type="dxa"/>
            <w:bottom w:w="0" w:type="dxa"/>
            <w:right w:w="108" w:type="dxa"/>
          </w:tblCellMar>
        </w:tblPrEx>
        <w:trPr>
          <w:trHeight w:val="340" w:hRule="atLeast"/>
          <w:jc w:val="center"/>
        </w:trPr>
        <w:tc>
          <w:tcPr>
            <w:tcW w:w="612" w:type="pct"/>
            <w:vMerge w:val="continue"/>
            <w:tcBorders>
              <w:left w:val="single" w:color="auto" w:sz="4" w:space="0"/>
              <w:bottom w:val="single" w:color="auto" w:sz="4" w:space="0"/>
              <w:right w:val="single" w:color="auto" w:sz="4" w:space="0"/>
            </w:tcBorders>
            <w:vAlign w:val="center"/>
          </w:tcPr>
          <w:p>
            <w:pPr>
              <w:pStyle w:val="167"/>
              <w:rPr>
                <w:rFonts w:hint="default" w:ascii="Times New Roman" w:hAnsi="Times New Roman" w:cs="Times New Roman"/>
                <w:color w:val="auto"/>
                <w:sz w:val="21"/>
                <w:szCs w:val="21"/>
              </w:rPr>
            </w:pPr>
          </w:p>
        </w:tc>
        <w:tc>
          <w:tcPr>
            <w:tcW w:w="1797" w:type="pct"/>
            <w:tcBorders>
              <w:top w:val="nil"/>
              <w:left w:val="single" w:color="auto" w:sz="4" w:space="0"/>
              <w:bottom w:val="single" w:color="auto" w:sz="4" w:space="0"/>
              <w:right w:val="single" w:color="auto" w:sz="4" w:space="0"/>
            </w:tcBorders>
            <w:shd w:val="clear" w:color="auto" w:fill="auto"/>
            <w:vAlign w:val="center"/>
          </w:tcPr>
          <w:p>
            <w:pPr>
              <w:pStyle w:val="167"/>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年产5GW单晶硅拉棒及2GW切片项目</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2GW切片</w:t>
            </w:r>
            <w:r>
              <w:rPr>
                <w:rFonts w:hint="default" w:ascii="Times New Roman" w:hAnsi="Times New Roman" w:cs="Times New Roman"/>
                <w:color w:val="auto"/>
                <w:sz w:val="21"/>
                <w:szCs w:val="21"/>
                <w:lang w:eastAsia="zh-CN"/>
              </w:rPr>
              <w:t>）</w:t>
            </w:r>
          </w:p>
        </w:tc>
        <w:tc>
          <w:tcPr>
            <w:tcW w:w="557" w:type="pct"/>
            <w:tcBorders>
              <w:top w:val="single" w:color="auto" w:sz="4" w:space="0"/>
              <w:left w:val="nil"/>
              <w:bottom w:val="single" w:color="auto" w:sz="4" w:space="0"/>
              <w:right w:val="single" w:color="auto" w:sz="4" w:space="0"/>
            </w:tcBorders>
            <w:vAlign w:val="center"/>
          </w:tcPr>
          <w:p>
            <w:pPr>
              <w:pStyle w:val="167"/>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正在建设过程中</w:t>
            </w:r>
          </w:p>
        </w:tc>
        <w:tc>
          <w:tcPr>
            <w:tcW w:w="490" w:type="pct"/>
            <w:vMerge w:val="continue"/>
            <w:tcBorders>
              <w:left w:val="nil"/>
              <w:bottom w:val="single" w:color="auto" w:sz="4" w:space="0"/>
              <w:right w:val="single" w:color="auto" w:sz="4" w:space="0"/>
            </w:tcBorders>
            <w:shd w:val="clear" w:color="auto" w:fill="auto"/>
            <w:vAlign w:val="center"/>
          </w:tcPr>
          <w:p>
            <w:pPr>
              <w:pStyle w:val="167"/>
              <w:rPr>
                <w:rFonts w:hint="default" w:ascii="Times New Roman" w:hAnsi="Times New Roman" w:eastAsia="宋体" w:cs="Times New Roman"/>
                <w:color w:val="FF0000"/>
                <w:sz w:val="21"/>
                <w:szCs w:val="21"/>
                <w:lang w:val="en-US" w:eastAsia="zh-CN"/>
              </w:rPr>
            </w:pPr>
          </w:p>
        </w:tc>
        <w:tc>
          <w:tcPr>
            <w:tcW w:w="1147" w:type="pct"/>
            <w:vMerge w:val="continue"/>
            <w:tcBorders>
              <w:left w:val="nil"/>
              <w:bottom w:val="single" w:color="auto" w:sz="4" w:space="0"/>
              <w:right w:val="single" w:color="auto" w:sz="4" w:space="0"/>
            </w:tcBorders>
            <w:shd w:val="clear" w:color="auto" w:fill="auto"/>
            <w:vAlign w:val="center"/>
          </w:tcPr>
          <w:p>
            <w:pPr>
              <w:pStyle w:val="167"/>
              <w:rPr>
                <w:rFonts w:hint="default" w:ascii="Times New Roman" w:hAnsi="Times New Roman" w:cs="Times New Roman"/>
                <w:color w:val="FF0000"/>
                <w:sz w:val="21"/>
                <w:szCs w:val="21"/>
                <w:lang w:val="en-US" w:eastAsia="zh-CN"/>
              </w:rPr>
            </w:pPr>
          </w:p>
        </w:tc>
        <w:tc>
          <w:tcPr>
            <w:tcW w:w="394" w:type="pct"/>
            <w:vMerge w:val="continue"/>
            <w:tcBorders>
              <w:left w:val="nil"/>
              <w:bottom w:val="single" w:color="auto" w:sz="4" w:space="0"/>
              <w:right w:val="single" w:color="auto" w:sz="4" w:space="0"/>
            </w:tcBorders>
            <w:shd w:val="clear" w:color="auto" w:fill="auto"/>
            <w:vAlign w:val="center"/>
          </w:tcPr>
          <w:p>
            <w:pPr>
              <w:pStyle w:val="167"/>
              <w:rPr>
                <w:rFonts w:hint="default" w:ascii="Times New Roman" w:hAnsi="Times New Roman" w:cs="Times New Roman"/>
                <w:color w:val="FF0000"/>
                <w:sz w:val="21"/>
                <w:szCs w:val="21"/>
                <w:lang w:eastAsia="zh-CN"/>
              </w:rPr>
            </w:pPr>
          </w:p>
        </w:tc>
      </w:tr>
      <w:tr>
        <w:tblPrEx>
          <w:tblCellMar>
            <w:top w:w="0" w:type="dxa"/>
            <w:left w:w="108" w:type="dxa"/>
            <w:bottom w:w="0" w:type="dxa"/>
            <w:right w:w="108" w:type="dxa"/>
          </w:tblCellMar>
        </w:tblPrEx>
        <w:trPr>
          <w:trHeight w:val="340" w:hRule="atLeast"/>
          <w:jc w:val="center"/>
        </w:trPr>
        <w:tc>
          <w:tcPr>
            <w:tcW w:w="612" w:type="pct"/>
            <w:vMerge w:val="continue"/>
            <w:tcBorders>
              <w:left w:val="single" w:color="auto" w:sz="4" w:space="0"/>
              <w:bottom w:val="single" w:color="auto" w:sz="4" w:space="0"/>
              <w:right w:val="single" w:color="auto" w:sz="4" w:space="0"/>
            </w:tcBorders>
            <w:vAlign w:val="center"/>
          </w:tcPr>
          <w:p>
            <w:pPr>
              <w:pStyle w:val="167"/>
              <w:rPr>
                <w:rFonts w:hint="default" w:ascii="Times New Roman" w:hAnsi="Times New Roman" w:cs="Times New Roman"/>
                <w:color w:val="auto"/>
                <w:sz w:val="21"/>
                <w:szCs w:val="21"/>
              </w:rPr>
            </w:pPr>
          </w:p>
        </w:tc>
        <w:tc>
          <w:tcPr>
            <w:tcW w:w="1797" w:type="pct"/>
            <w:tcBorders>
              <w:top w:val="nil"/>
              <w:left w:val="single" w:color="auto" w:sz="4" w:space="0"/>
              <w:bottom w:val="single" w:color="auto" w:sz="4" w:space="0"/>
              <w:right w:val="single" w:color="auto" w:sz="4" w:space="0"/>
            </w:tcBorders>
            <w:shd w:val="clear" w:color="auto" w:fill="auto"/>
            <w:vAlign w:val="center"/>
          </w:tcPr>
          <w:p>
            <w:pPr>
              <w:pStyle w:val="167"/>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年产20GW单晶硅拉棒生产线项目</w:t>
            </w:r>
          </w:p>
        </w:tc>
        <w:tc>
          <w:tcPr>
            <w:tcW w:w="557" w:type="pct"/>
            <w:tcBorders>
              <w:top w:val="single" w:color="auto" w:sz="4" w:space="0"/>
              <w:left w:val="nil"/>
              <w:bottom w:val="single" w:color="auto" w:sz="4" w:space="0"/>
              <w:right w:val="single" w:color="auto" w:sz="4" w:space="0"/>
            </w:tcBorders>
            <w:vAlign w:val="center"/>
          </w:tcPr>
          <w:p>
            <w:pPr>
              <w:pStyle w:val="167"/>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正在建设过程中</w:t>
            </w:r>
          </w:p>
        </w:tc>
        <w:tc>
          <w:tcPr>
            <w:tcW w:w="490" w:type="pct"/>
            <w:tcBorders>
              <w:top w:val="nil"/>
              <w:left w:val="nil"/>
              <w:bottom w:val="single" w:color="auto" w:sz="4" w:space="0"/>
              <w:right w:val="single" w:color="auto" w:sz="4" w:space="0"/>
            </w:tcBorders>
            <w:shd w:val="clear" w:color="auto" w:fill="auto"/>
            <w:vAlign w:val="center"/>
          </w:tcPr>
          <w:p>
            <w:pPr>
              <w:pStyle w:val="167"/>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91980</w:t>
            </w:r>
          </w:p>
        </w:tc>
        <w:tc>
          <w:tcPr>
            <w:tcW w:w="1147" w:type="pct"/>
            <w:tcBorders>
              <w:top w:val="nil"/>
              <w:left w:val="nil"/>
              <w:bottom w:val="single" w:color="auto" w:sz="4" w:space="0"/>
              <w:right w:val="single" w:color="auto" w:sz="4" w:space="0"/>
            </w:tcBorders>
            <w:shd w:val="clear" w:color="auto" w:fill="auto"/>
            <w:vAlign w:val="center"/>
          </w:tcPr>
          <w:p>
            <w:pPr>
              <w:pStyle w:val="167"/>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NOx：11.83、氟化物：0.048、颗粒物：8.84</w:t>
            </w:r>
          </w:p>
        </w:tc>
        <w:tc>
          <w:tcPr>
            <w:tcW w:w="394" w:type="pct"/>
            <w:tcBorders>
              <w:top w:val="nil"/>
              <w:left w:val="nil"/>
              <w:bottom w:val="single" w:color="auto" w:sz="4" w:space="0"/>
              <w:right w:val="single" w:color="auto" w:sz="4" w:space="0"/>
            </w:tcBorders>
            <w:shd w:val="clear" w:color="auto" w:fill="auto"/>
            <w:vAlign w:val="center"/>
          </w:tcPr>
          <w:p>
            <w:pPr>
              <w:pStyle w:val="167"/>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环评批复文件</w:t>
            </w:r>
          </w:p>
        </w:tc>
      </w:tr>
      <w:tr>
        <w:tblPrEx>
          <w:tblCellMar>
            <w:top w:w="0" w:type="dxa"/>
            <w:left w:w="108" w:type="dxa"/>
            <w:bottom w:w="0" w:type="dxa"/>
            <w:right w:w="108" w:type="dxa"/>
          </w:tblCellMar>
        </w:tblPrEx>
        <w:trPr>
          <w:trHeight w:val="340" w:hRule="atLeast"/>
          <w:jc w:val="center"/>
        </w:trPr>
        <w:tc>
          <w:tcPr>
            <w:tcW w:w="612" w:type="pct"/>
            <w:tcBorders>
              <w:top w:val="nil"/>
              <w:left w:val="single" w:color="auto" w:sz="4" w:space="0"/>
              <w:bottom w:val="single" w:color="auto" w:sz="4" w:space="0"/>
              <w:right w:val="single" w:color="auto" w:sz="4" w:space="0"/>
            </w:tcBorders>
            <w:vAlign w:val="center"/>
          </w:tcPr>
          <w:p>
            <w:pPr>
              <w:pStyle w:val="167"/>
              <w:rPr>
                <w:rFonts w:hint="default" w:ascii="Times New Roman" w:hAnsi="Times New Roman" w:eastAsia="宋体" w:cs="Times New Roman"/>
                <w:i w:val="0"/>
                <w:iCs w:val="0"/>
                <w:caps w:val="0"/>
                <w:color w:val="auto"/>
                <w:spacing w:val="0"/>
                <w:sz w:val="21"/>
                <w:szCs w:val="21"/>
                <w:shd w:val="clear" w:fill="FFFFFF"/>
              </w:rPr>
            </w:pPr>
            <w:r>
              <w:rPr>
                <w:rFonts w:hint="default" w:ascii="Times New Roman" w:hAnsi="Times New Roman" w:eastAsia="宋体" w:cs="Times New Roman"/>
                <w:i w:val="0"/>
                <w:iCs w:val="0"/>
                <w:caps w:val="0"/>
                <w:color w:val="auto"/>
                <w:spacing w:val="0"/>
                <w:sz w:val="21"/>
                <w:szCs w:val="21"/>
                <w:shd w:val="clear" w:fill="FFFFFF"/>
              </w:rPr>
              <w:t>晶科能源（楚雄）有限公司</w:t>
            </w:r>
          </w:p>
        </w:tc>
        <w:tc>
          <w:tcPr>
            <w:tcW w:w="1797" w:type="pct"/>
            <w:tcBorders>
              <w:top w:val="nil"/>
              <w:left w:val="single" w:color="auto" w:sz="4" w:space="0"/>
              <w:bottom w:val="single" w:color="auto" w:sz="4" w:space="0"/>
              <w:right w:val="single" w:color="auto" w:sz="4" w:space="0"/>
            </w:tcBorders>
            <w:shd w:val="clear" w:color="auto" w:fill="auto"/>
            <w:vAlign w:val="center"/>
          </w:tcPr>
          <w:p>
            <w:pPr>
              <w:pStyle w:val="167"/>
              <w:rPr>
                <w:rFonts w:hint="default" w:ascii="Times New Roman" w:hAnsi="Times New Roman" w:eastAsia="宋体" w:cs="Times New Roman"/>
                <w:i w:val="0"/>
                <w:iCs w:val="0"/>
                <w:caps w:val="0"/>
                <w:color w:val="auto"/>
                <w:spacing w:val="0"/>
                <w:sz w:val="21"/>
                <w:szCs w:val="21"/>
                <w:shd w:val="clear" w:fill="FFFFFF"/>
              </w:rPr>
            </w:pPr>
            <w:r>
              <w:rPr>
                <w:rFonts w:hint="default" w:ascii="Times New Roman" w:hAnsi="Times New Roman" w:eastAsia="宋体" w:cs="Times New Roman"/>
                <w:i w:val="0"/>
                <w:iCs w:val="0"/>
                <w:caps w:val="0"/>
                <w:color w:val="auto"/>
                <w:spacing w:val="0"/>
                <w:sz w:val="21"/>
                <w:szCs w:val="21"/>
                <w:shd w:val="clear" w:fill="FFFFFF"/>
              </w:rPr>
              <w:t>晶科能源（楚雄）有限公司年产20吉瓦高效太阳能电池片生产线建设一期项目</w:t>
            </w:r>
          </w:p>
        </w:tc>
        <w:tc>
          <w:tcPr>
            <w:tcW w:w="557" w:type="pct"/>
            <w:tcBorders>
              <w:top w:val="single" w:color="auto" w:sz="4" w:space="0"/>
              <w:left w:val="nil"/>
              <w:bottom w:val="single" w:color="auto" w:sz="4" w:space="0"/>
              <w:right w:val="single" w:color="auto" w:sz="4" w:space="0"/>
            </w:tcBorders>
            <w:vAlign w:val="center"/>
          </w:tcPr>
          <w:p>
            <w:pPr>
              <w:pStyle w:val="167"/>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正在建设过程中</w:t>
            </w:r>
          </w:p>
        </w:tc>
        <w:tc>
          <w:tcPr>
            <w:tcW w:w="490" w:type="pct"/>
            <w:tcBorders>
              <w:top w:val="nil"/>
              <w:left w:val="nil"/>
              <w:bottom w:val="single" w:color="auto" w:sz="4" w:space="0"/>
              <w:right w:val="single" w:color="auto" w:sz="4" w:space="0"/>
            </w:tcBorders>
            <w:shd w:val="clear" w:color="auto" w:fill="auto"/>
            <w:vAlign w:val="center"/>
          </w:tcPr>
          <w:p>
            <w:pPr>
              <w:pStyle w:val="167"/>
              <w:rPr>
                <w:rFonts w:hint="default" w:ascii="Times New Roman" w:hAnsi="Times New Roman" w:cs="Times New Roman"/>
                <w:color w:val="auto"/>
                <w:sz w:val="21"/>
                <w:szCs w:val="21"/>
              </w:rPr>
            </w:pPr>
            <w:r>
              <w:rPr>
                <w:rFonts w:hint="default" w:ascii="Times New Roman" w:hAnsi="Times New Roman" w:cs="Times New Roman"/>
                <w:color w:val="auto"/>
              </w:rPr>
              <w:t>1156065.2</w:t>
            </w:r>
          </w:p>
        </w:tc>
        <w:tc>
          <w:tcPr>
            <w:tcW w:w="1147" w:type="pct"/>
            <w:tcBorders>
              <w:top w:val="nil"/>
              <w:left w:val="nil"/>
              <w:bottom w:val="single" w:color="auto" w:sz="4" w:space="0"/>
              <w:right w:val="single" w:color="auto" w:sz="4" w:space="0"/>
            </w:tcBorders>
            <w:shd w:val="clear" w:color="auto" w:fill="auto"/>
            <w:vAlign w:val="center"/>
          </w:tcPr>
          <w:p>
            <w:pPr>
              <w:pStyle w:val="167"/>
              <w:rPr>
                <w:rFonts w:hint="default" w:ascii="Times New Roman" w:hAnsi="Times New Roman" w:cs="Times New Roman"/>
                <w:color w:val="auto"/>
                <w:sz w:val="21"/>
                <w:szCs w:val="21"/>
                <w:lang w:val="en-US" w:eastAsia="zh-CN"/>
              </w:rPr>
            </w:pPr>
            <w:r>
              <w:rPr>
                <w:rFonts w:hint="default" w:ascii="Times New Roman" w:hAnsi="Times New Roman" w:cs="Times New Roman"/>
                <w:color w:val="auto"/>
              </w:rPr>
              <w:t>HCl</w:t>
            </w:r>
            <w:r>
              <w:rPr>
                <w:rFonts w:hint="default" w:ascii="Times New Roman" w:hAnsi="Times New Roman" w:cs="Times New Roman"/>
                <w:color w:val="auto"/>
                <w:lang w:eastAsia="zh-CN"/>
              </w:rPr>
              <w:t>：</w:t>
            </w:r>
            <w:r>
              <w:rPr>
                <w:rFonts w:hint="default" w:ascii="Times New Roman" w:hAnsi="Times New Roman" w:cs="Times New Roman"/>
                <w:color w:val="auto"/>
              </w:rPr>
              <w:t>1.016、HF</w:t>
            </w:r>
            <w:r>
              <w:rPr>
                <w:rFonts w:hint="default" w:ascii="Times New Roman" w:hAnsi="Times New Roman" w:cs="Times New Roman"/>
                <w:color w:val="auto"/>
                <w:lang w:eastAsia="zh-CN"/>
              </w:rPr>
              <w:t>：</w:t>
            </w:r>
            <w:r>
              <w:rPr>
                <w:rFonts w:hint="default" w:ascii="Times New Roman" w:hAnsi="Times New Roman" w:cs="Times New Roman"/>
                <w:color w:val="auto"/>
              </w:rPr>
              <w:t>1.33、</w:t>
            </w:r>
            <w:r>
              <w:rPr>
                <w:rFonts w:hint="default" w:ascii="Times New Roman" w:hAnsi="Times New Roman" w:cs="Times New Roman"/>
                <w:color w:val="auto"/>
                <w:sz w:val="21"/>
                <w:szCs w:val="21"/>
              </w:rPr>
              <w:t>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SO</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lang w:eastAsia="zh-CN"/>
              </w:rPr>
              <w:t>：</w:t>
            </w:r>
            <w:r>
              <w:rPr>
                <w:rFonts w:hint="default" w:ascii="Times New Roman" w:hAnsi="Times New Roman" w:cs="Times New Roman"/>
                <w:color w:val="auto"/>
              </w:rPr>
              <w:t>1.036、Cl</w:t>
            </w:r>
            <w:r>
              <w:rPr>
                <w:rFonts w:hint="default" w:ascii="Times New Roman" w:hAnsi="Times New Roman" w:cs="Times New Roman"/>
                <w:color w:val="auto"/>
                <w:vertAlign w:val="subscript"/>
              </w:rPr>
              <w:t>2</w:t>
            </w:r>
            <w:r>
              <w:rPr>
                <w:rFonts w:hint="default" w:ascii="Times New Roman" w:hAnsi="Times New Roman" w:cs="Times New Roman"/>
                <w:color w:val="auto"/>
                <w:lang w:eastAsia="zh-CN"/>
              </w:rPr>
              <w:t>：</w:t>
            </w:r>
            <w:r>
              <w:rPr>
                <w:rFonts w:hint="default" w:ascii="Times New Roman" w:hAnsi="Times New Roman" w:cs="Times New Roman"/>
                <w:color w:val="auto"/>
              </w:rPr>
              <w:t>0.798、P</w:t>
            </w:r>
            <w:r>
              <w:rPr>
                <w:rFonts w:hint="default" w:ascii="Times New Roman" w:hAnsi="Times New Roman" w:cs="Times New Roman"/>
                <w:color w:val="auto"/>
                <w:vertAlign w:val="subscript"/>
              </w:rPr>
              <w:t>2</w:t>
            </w:r>
            <w:r>
              <w:rPr>
                <w:rFonts w:hint="default" w:ascii="Times New Roman" w:hAnsi="Times New Roman" w:cs="Times New Roman"/>
                <w:color w:val="auto"/>
              </w:rPr>
              <w:t>O</w:t>
            </w:r>
            <w:r>
              <w:rPr>
                <w:rFonts w:hint="default" w:ascii="Times New Roman" w:hAnsi="Times New Roman" w:cs="Times New Roman"/>
                <w:color w:val="auto"/>
                <w:vertAlign w:val="subscript"/>
              </w:rPr>
              <w:t>5</w:t>
            </w:r>
            <w:r>
              <w:rPr>
                <w:rFonts w:hint="default" w:ascii="Times New Roman" w:hAnsi="Times New Roman" w:cs="Times New Roman"/>
                <w:color w:val="auto"/>
                <w:lang w:eastAsia="zh-CN"/>
              </w:rPr>
              <w:t>：</w:t>
            </w:r>
            <w:r>
              <w:rPr>
                <w:rFonts w:hint="default" w:ascii="Times New Roman" w:hAnsi="Times New Roman" w:cs="Times New Roman"/>
                <w:color w:val="auto"/>
              </w:rPr>
              <w:t>0.086、氨</w:t>
            </w:r>
            <w:r>
              <w:rPr>
                <w:rFonts w:hint="default" w:ascii="Times New Roman" w:hAnsi="Times New Roman" w:cs="Times New Roman"/>
                <w:color w:val="auto"/>
                <w:lang w:eastAsia="zh-CN"/>
              </w:rPr>
              <w:t>：</w:t>
            </w:r>
            <w:r>
              <w:rPr>
                <w:rFonts w:hint="default" w:ascii="Times New Roman" w:hAnsi="Times New Roman" w:cs="Times New Roman"/>
                <w:color w:val="auto"/>
              </w:rPr>
              <w:t>7.67、</w:t>
            </w:r>
            <w:r>
              <w:rPr>
                <w:rFonts w:hint="default" w:ascii="Times New Roman" w:hAnsi="Times New Roman" w:cs="Times New Roman"/>
                <w:color w:val="auto"/>
                <w:lang w:eastAsia="zh-CN"/>
              </w:rPr>
              <w:t>挥发性有机物：</w:t>
            </w:r>
            <w:r>
              <w:rPr>
                <w:rFonts w:hint="default" w:ascii="Times New Roman" w:hAnsi="Times New Roman" w:cs="Times New Roman"/>
                <w:color w:val="auto"/>
              </w:rPr>
              <w:t>40.54、颗粒物</w:t>
            </w:r>
            <w:r>
              <w:rPr>
                <w:rFonts w:hint="default" w:ascii="Times New Roman" w:hAnsi="Times New Roman" w:cs="Times New Roman"/>
                <w:color w:val="auto"/>
                <w:lang w:eastAsia="zh-CN"/>
              </w:rPr>
              <w:t>：</w:t>
            </w:r>
            <w:r>
              <w:rPr>
                <w:rFonts w:hint="default" w:ascii="Times New Roman" w:hAnsi="Times New Roman" w:cs="Times New Roman"/>
                <w:color w:val="auto"/>
              </w:rPr>
              <w:t>28.176、SO</w:t>
            </w:r>
            <w:r>
              <w:rPr>
                <w:rFonts w:hint="default" w:ascii="Times New Roman" w:hAnsi="Times New Roman" w:cs="Times New Roman"/>
                <w:color w:val="auto"/>
                <w:vertAlign w:val="subscript"/>
              </w:rPr>
              <w:t>2</w:t>
            </w:r>
            <w:r>
              <w:rPr>
                <w:rFonts w:hint="default" w:ascii="Times New Roman" w:hAnsi="Times New Roman" w:cs="Times New Roman"/>
                <w:color w:val="auto"/>
                <w:lang w:eastAsia="zh-CN"/>
              </w:rPr>
              <w:t>：</w:t>
            </w:r>
            <w:r>
              <w:rPr>
                <w:rFonts w:hint="default" w:ascii="Times New Roman" w:hAnsi="Times New Roman" w:cs="Times New Roman"/>
                <w:color w:val="auto"/>
              </w:rPr>
              <w:t>3.648、NO</w:t>
            </w:r>
            <w:r>
              <w:rPr>
                <w:rFonts w:hint="default" w:ascii="Times New Roman" w:hAnsi="Times New Roman" w:cs="Times New Roman"/>
                <w:color w:val="auto"/>
                <w:vertAlign w:val="subscript"/>
              </w:rPr>
              <w:t>X</w:t>
            </w:r>
            <w:r>
              <w:rPr>
                <w:rFonts w:hint="default" w:ascii="Times New Roman" w:hAnsi="Times New Roman" w:cs="Times New Roman"/>
                <w:color w:val="auto"/>
                <w:lang w:eastAsia="zh-CN"/>
              </w:rPr>
              <w:t>：</w:t>
            </w:r>
            <w:r>
              <w:rPr>
                <w:rFonts w:hint="default" w:ascii="Times New Roman" w:hAnsi="Times New Roman" w:cs="Times New Roman"/>
                <w:color w:val="auto"/>
              </w:rPr>
              <w:t>17.259</w:t>
            </w:r>
          </w:p>
        </w:tc>
        <w:tc>
          <w:tcPr>
            <w:tcW w:w="394" w:type="pct"/>
            <w:tcBorders>
              <w:top w:val="nil"/>
              <w:left w:val="nil"/>
              <w:bottom w:val="single" w:color="auto" w:sz="4" w:space="0"/>
              <w:right w:val="single" w:color="auto" w:sz="4" w:space="0"/>
            </w:tcBorders>
            <w:shd w:val="clear" w:color="auto" w:fill="auto"/>
            <w:vAlign w:val="center"/>
          </w:tcPr>
          <w:p>
            <w:pPr>
              <w:pStyle w:val="167"/>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环评批复文件</w:t>
            </w:r>
          </w:p>
        </w:tc>
      </w:tr>
      <w:tr>
        <w:tblPrEx>
          <w:tblCellMar>
            <w:top w:w="0" w:type="dxa"/>
            <w:left w:w="108" w:type="dxa"/>
            <w:bottom w:w="0" w:type="dxa"/>
            <w:right w:w="108" w:type="dxa"/>
          </w:tblCellMar>
        </w:tblPrEx>
        <w:trPr>
          <w:trHeight w:val="340" w:hRule="atLeast"/>
          <w:jc w:val="center"/>
        </w:trPr>
        <w:tc>
          <w:tcPr>
            <w:tcW w:w="612" w:type="pct"/>
            <w:tcBorders>
              <w:top w:val="nil"/>
              <w:left w:val="single" w:color="auto" w:sz="4" w:space="0"/>
              <w:bottom w:val="single" w:color="auto" w:sz="4" w:space="0"/>
              <w:right w:val="single" w:color="auto" w:sz="4" w:space="0"/>
            </w:tcBorders>
            <w:vAlign w:val="center"/>
          </w:tcPr>
          <w:p>
            <w:pPr>
              <w:pStyle w:val="167"/>
              <w:rPr>
                <w:rFonts w:hint="default" w:ascii="Times New Roman" w:hAnsi="Times New Roman" w:eastAsia="宋体" w:cs="Times New Roman"/>
                <w:i w:val="0"/>
                <w:iCs w:val="0"/>
                <w:caps w:val="0"/>
                <w:color w:val="auto"/>
                <w:spacing w:val="0"/>
                <w:sz w:val="21"/>
                <w:szCs w:val="21"/>
                <w:shd w:val="clear" w:fill="FFFFFF"/>
              </w:rPr>
            </w:pPr>
            <w:r>
              <w:rPr>
                <w:rFonts w:hint="default" w:ascii="Times New Roman" w:hAnsi="Times New Roman" w:eastAsia="宋体" w:cs="Times New Roman"/>
                <w:i w:val="0"/>
                <w:iCs w:val="0"/>
                <w:caps w:val="0"/>
                <w:color w:val="auto"/>
                <w:spacing w:val="0"/>
                <w:sz w:val="21"/>
                <w:szCs w:val="21"/>
                <w:shd w:val="clear" w:fill="FFFFFF"/>
                <w:lang w:val="en-US" w:eastAsia="zh-CN"/>
              </w:rPr>
              <w:t>湖南方盛制药股份有限公司</w:t>
            </w:r>
          </w:p>
        </w:tc>
        <w:tc>
          <w:tcPr>
            <w:tcW w:w="1797" w:type="pct"/>
            <w:tcBorders>
              <w:top w:val="nil"/>
              <w:left w:val="single" w:color="auto" w:sz="4" w:space="0"/>
              <w:bottom w:val="single" w:color="auto" w:sz="4" w:space="0"/>
              <w:right w:val="single" w:color="auto" w:sz="4" w:space="0"/>
            </w:tcBorders>
            <w:shd w:val="clear" w:color="auto" w:fill="auto"/>
            <w:vAlign w:val="center"/>
          </w:tcPr>
          <w:p>
            <w:pPr>
              <w:pStyle w:val="167"/>
              <w:rPr>
                <w:rFonts w:hint="default" w:ascii="Times New Roman" w:hAnsi="Times New Roman" w:eastAsia="宋体" w:cs="Times New Roman"/>
                <w:i w:val="0"/>
                <w:iCs w:val="0"/>
                <w:caps w:val="0"/>
                <w:color w:val="auto"/>
                <w:spacing w:val="0"/>
                <w:sz w:val="21"/>
                <w:szCs w:val="21"/>
                <w:shd w:val="clear" w:fill="FFFFFF"/>
              </w:rPr>
            </w:pPr>
            <w:r>
              <w:rPr>
                <w:rFonts w:hint="default" w:ascii="Times New Roman" w:hAnsi="Times New Roman" w:eastAsia="宋体" w:cs="Times New Roman"/>
                <w:i w:val="0"/>
                <w:iCs w:val="0"/>
                <w:caps w:val="0"/>
                <w:color w:val="auto"/>
                <w:spacing w:val="0"/>
                <w:sz w:val="21"/>
                <w:szCs w:val="21"/>
                <w:shd w:val="clear" w:fill="FFFFFF"/>
                <w:lang w:val="en-US" w:eastAsia="zh-CN"/>
              </w:rPr>
              <w:t>湖南方盛制药股份有限公司工业大麻加工基地建设项目</w:t>
            </w:r>
          </w:p>
        </w:tc>
        <w:tc>
          <w:tcPr>
            <w:tcW w:w="557" w:type="pct"/>
            <w:tcBorders>
              <w:top w:val="single" w:color="auto" w:sz="4" w:space="0"/>
              <w:left w:val="nil"/>
              <w:bottom w:val="single" w:color="auto" w:sz="4" w:space="0"/>
              <w:right w:val="single" w:color="auto" w:sz="4" w:space="0"/>
            </w:tcBorders>
            <w:vAlign w:val="center"/>
          </w:tcPr>
          <w:p>
            <w:pPr>
              <w:pStyle w:val="167"/>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已建成投产已验收</w:t>
            </w:r>
          </w:p>
        </w:tc>
        <w:tc>
          <w:tcPr>
            <w:tcW w:w="490" w:type="pct"/>
            <w:tcBorders>
              <w:top w:val="nil"/>
              <w:left w:val="nil"/>
              <w:bottom w:val="single" w:color="auto" w:sz="4" w:space="0"/>
              <w:right w:val="single" w:color="auto" w:sz="4" w:space="0"/>
            </w:tcBorders>
            <w:shd w:val="clear" w:color="auto" w:fill="auto"/>
            <w:vAlign w:val="center"/>
          </w:tcPr>
          <w:p>
            <w:pPr>
              <w:pStyle w:val="167"/>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1343.304</w:t>
            </w:r>
          </w:p>
        </w:tc>
        <w:tc>
          <w:tcPr>
            <w:tcW w:w="1147" w:type="pct"/>
            <w:tcBorders>
              <w:top w:val="nil"/>
              <w:left w:val="nil"/>
              <w:bottom w:val="single" w:color="auto" w:sz="4" w:space="0"/>
              <w:right w:val="single" w:color="auto" w:sz="4" w:space="0"/>
            </w:tcBorders>
            <w:shd w:val="clear" w:color="auto" w:fill="auto"/>
            <w:vAlign w:val="center"/>
          </w:tcPr>
          <w:p>
            <w:pPr>
              <w:pStyle w:val="167"/>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SO</w:t>
            </w:r>
            <w:r>
              <w:rPr>
                <w:rFonts w:hint="default" w:ascii="Times New Roman" w:hAnsi="Times New Roman" w:cs="Times New Roman"/>
                <w:color w:val="auto"/>
                <w:sz w:val="21"/>
                <w:szCs w:val="21"/>
                <w:vertAlign w:val="subscript"/>
                <w:lang w:val="en-US" w:eastAsia="zh-CN"/>
              </w:rPr>
              <w:t>2</w:t>
            </w:r>
            <w:r>
              <w:rPr>
                <w:rFonts w:hint="default" w:ascii="Times New Roman" w:hAnsi="Times New Roman" w:cs="Times New Roman"/>
                <w:color w:val="auto"/>
                <w:sz w:val="21"/>
                <w:szCs w:val="21"/>
                <w:lang w:val="en-US" w:eastAsia="zh-CN"/>
              </w:rPr>
              <w:t>：0.045、NOx：0.337、挥发性有机物：0.052</w:t>
            </w:r>
          </w:p>
        </w:tc>
        <w:tc>
          <w:tcPr>
            <w:tcW w:w="394" w:type="pct"/>
            <w:tcBorders>
              <w:top w:val="nil"/>
              <w:left w:val="nil"/>
              <w:bottom w:val="single" w:color="auto" w:sz="4" w:space="0"/>
              <w:right w:val="single" w:color="auto" w:sz="4" w:space="0"/>
            </w:tcBorders>
            <w:shd w:val="clear" w:color="auto" w:fill="auto"/>
            <w:vAlign w:val="center"/>
          </w:tcPr>
          <w:p>
            <w:pPr>
              <w:pStyle w:val="167"/>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验收报告</w:t>
            </w:r>
          </w:p>
        </w:tc>
      </w:tr>
      <w:tr>
        <w:tblPrEx>
          <w:tblCellMar>
            <w:top w:w="0" w:type="dxa"/>
            <w:left w:w="108" w:type="dxa"/>
            <w:bottom w:w="0" w:type="dxa"/>
            <w:right w:w="108" w:type="dxa"/>
          </w:tblCellMar>
        </w:tblPrEx>
        <w:trPr>
          <w:trHeight w:val="340" w:hRule="atLeast"/>
          <w:jc w:val="center"/>
        </w:trPr>
        <w:tc>
          <w:tcPr>
            <w:tcW w:w="612" w:type="pct"/>
            <w:tcBorders>
              <w:top w:val="nil"/>
              <w:left w:val="single" w:color="auto" w:sz="4" w:space="0"/>
              <w:bottom w:val="single" w:color="auto" w:sz="4" w:space="0"/>
              <w:right w:val="single" w:color="auto" w:sz="4" w:space="0"/>
            </w:tcBorders>
            <w:vAlign w:val="center"/>
          </w:tcPr>
          <w:p>
            <w:pPr>
              <w:pStyle w:val="167"/>
              <w:rPr>
                <w:rFonts w:hint="default" w:ascii="Times New Roman" w:hAnsi="Times New Roman" w:eastAsia="宋体" w:cs="Times New Roman"/>
                <w:i w:val="0"/>
                <w:iCs w:val="0"/>
                <w:caps w:val="0"/>
                <w:color w:val="auto"/>
                <w:spacing w:val="0"/>
                <w:sz w:val="21"/>
                <w:szCs w:val="21"/>
                <w:shd w:val="clear" w:fill="FFFFFF"/>
              </w:rPr>
            </w:pPr>
            <w:r>
              <w:rPr>
                <w:rFonts w:hint="default" w:ascii="Times New Roman" w:hAnsi="Times New Roman" w:eastAsia="宋体" w:cs="Times New Roman"/>
                <w:i w:val="0"/>
                <w:iCs w:val="0"/>
                <w:caps w:val="0"/>
                <w:color w:val="auto"/>
                <w:spacing w:val="0"/>
                <w:sz w:val="21"/>
                <w:szCs w:val="21"/>
                <w:shd w:val="clear" w:fill="FFFFFF"/>
                <w:lang w:val="en-US" w:eastAsia="zh-CN"/>
              </w:rPr>
              <w:fldChar w:fldCharType="begin"/>
            </w:r>
            <w:r>
              <w:rPr>
                <w:rFonts w:hint="default" w:ascii="Times New Roman" w:hAnsi="Times New Roman" w:eastAsia="宋体" w:cs="Times New Roman"/>
                <w:i w:val="0"/>
                <w:iCs w:val="0"/>
                <w:caps w:val="0"/>
                <w:color w:val="auto"/>
                <w:spacing w:val="0"/>
                <w:sz w:val="21"/>
                <w:szCs w:val="21"/>
                <w:shd w:val="clear" w:fill="FFFFFF"/>
                <w:lang w:val="en-US" w:eastAsia="zh-CN"/>
              </w:rPr>
              <w:instrText xml:space="preserve"> HYPERLINK "https://www.so.com/link?m=bJ+82hqSEXCnhUK88ehDzCBf+qUH2pCFNFcsnc3fDTI1i2isszS7DH7oXx3Luoqb0DmjhS0j9jqW64xCjGy7j7Et7kHOjxq/crOesEq2g5Qtsu8wuAn0jvuHXSzgUSsAsE5/sjTQMnOAEruDed/EM5QQnmarPjKG9Z2PBaRgo/8C6DN29i5TClSYTj6+sXenk" \t "https://www.so.com/_blank" </w:instrText>
            </w:r>
            <w:r>
              <w:rPr>
                <w:rFonts w:hint="default" w:ascii="Times New Roman" w:hAnsi="Times New Roman" w:eastAsia="宋体" w:cs="Times New Roman"/>
                <w:i w:val="0"/>
                <w:iCs w:val="0"/>
                <w:caps w:val="0"/>
                <w:color w:val="auto"/>
                <w:spacing w:val="0"/>
                <w:sz w:val="21"/>
                <w:szCs w:val="21"/>
                <w:shd w:val="clear" w:fill="FFFFFF"/>
                <w:lang w:val="en-US" w:eastAsia="zh-CN"/>
              </w:rPr>
              <w:fldChar w:fldCharType="separate"/>
            </w:r>
            <w:r>
              <w:rPr>
                <w:rFonts w:hint="default" w:ascii="Times New Roman" w:hAnsi="Times New Roman" w:eastAsia="宋体" w:cs="Times New Roman"/>
                <w:i w:val="0"/>
                <w:iCs w:val="0"/>
                <w:caps w:val="0"/>
                <w:color w:val="auto"/>
                <w:spacing w:val="0"/>
                <w:sz w:val="21"/>
                <w:szCs w:val="21"/>
                <w:shd w:val="clear" w:fill="FFFFFF"/>
                <w:lang w:val="en-US" w:eastAsia="zh-CN"/>
              </w:rPr>
              <w:t>云南赛维汉普科技有限公司</w:t>
            </w:r>
            <w:r>
              <w:rPr>
                <w:rFonts w:hint="default" w:ascii="Times New Roman" w:hAnsi="Times New Roman" w:eastAsia="宋体" w:cs="Times New Roman"/>
                <w:i w:val="0"/>
                <w:iCs w:val="0"/>
                <w:caps w:val="0"/>
                <w:color w:val="auto"/>
                <w:spacing w:val="0"/>
                <w:sz w:val="21"/>
                <w:szCs w:val="21"/>
                <w:shd w:val="clear" w:fill="FFFFFF"/>
                <w:lang w:val="en-US" w:eastAsia="zh-CN"/>
              </w:rPr>
              <w:fldChar w:fldCharType="end"/>
            </w:r>
          </w:p>
        </w:tc>
        <w:tc>
          <w:tcPr>
            <w:tcW w:w="1797" w:type="pct"/>
            <w:tcBorders>
              <w:top w:val="nil"/>
              <w:left w:val="single" w:color="auto" w:sz="4" w:space="0"/>
              <w:bottom w:val="single" w:color="auto" w:sz="4" w:space="0"/>
              <w:right w:val="single" w:color="auto" w:sz="4" w:space="0"/>
            </w:tcBorders>
            <w:shd w:val="clear" w:color="auto" w:fill="auto"/>
            <w:vAlign w:val="center"/>
          </w:tcPr>
          <w:p>
            <w:pPr>
              <w:pStyle w:val="167"/>
              <w:rPr>
                <w:rFonts w:hint="default" w:ascii="Times New Roman" w:hAnsi="Times New Roman" w:eastAsia="宋体" w:cs="Times New Roman"/>
                <w:i w:val="0"/>
                <w:iCs w:val="0"/>
                <w:caps w:val="0"/>
                <w:color w:val="auto"/>
                <w:spacing w:val="0"/>
                <w:sz w:val="21"/>
                <w:szCs w:val="21"/>
                <w:shd w:val="clear" w:fill="FFFFFF"/>
              </w:rPr>
            </w:pPr>
            <w:r>
              <w:rPr>
                <w:rFonts w:hint="default" w:ascii="Times New Roman" w:hAnsi="Times New Roman" w:eastAsia="宋体" w:cs="Times New Roman"/>
                <w:i w:val="0"/>
                <w:iCs w:val="0"/>
                <w:caps w:val="0"/>
                <w:color w:val="auto"/>
                <w:spacing w:val="0"/>
                <w:sz w:val="21"/>
                <w:szCs w:val="21"/>
                <w:shd w:val="clear" w:fill="FFFFFF"/>
                <w:lang w:val="en-US" w:eastAsia="zh-CN"/>
              </w:rPr>
              <w:t>云南赛维汉普 500 吨花叶加工提取大麻二酚项目</w:t>
            </w:r>
          </w:p>
        </w:tc>
        <w:tc>
          <w:tcPr>
            <w:tcW w:w="557" w:type="pct"/>
            <w:tcBorders>
              <w:top w:val="single" w:color="auto" w:sz="4" w:space="0"/>
              <w:left w:val="nil"/>
              <w:bottom w:val="single" w:color="auto" w:sz="4" w:space="0"/>
              <w:right w:val="single" w:color="auto" w:sz="4" w:space="0"/>
            </w:tcBorders>
            <w:vAlign w:val="center"/>
          </w:tcPr>
          <w:p>
            <w:pPr>
              <w:pStyle w:val="167"/>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正在建设过程中</w:t>
            </w:r>
          </w:p>
        </w:tc>
        <w:tc>
          <w:tcPr>
            <w:tcW w:w="490" w:type="pct"/>
            <w:tcBorders>
              <w:top w:val="nil"/>
              <w:left w:val="nil"/>
              <w:bottom w:val="single" w:color="auto" w:sz="4" w:space="0"/>
              <w:right w:val="single" w:color="auto" w:sz="4" w:space="0"/>
            </w:tcBorders>
            <w:shd w:val="clear" w:color="auto" w:fill="auto"/>
            <w:vAlign w:val="center"/>
          </w:tcPr>
          <w:p>
            <w:pPr>
              <w:pStyle w:val="167"/>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1532.92</w:t>
            </w:r>
          </w:p>
        </w:tc>
        <w:tc>
          <w:tcPr>
            <w:tcW w:w="1147" w:type="pct"/>
            <w:tcBorders>
              <w:top w:val="nil"/>
              <w:left w:val="nil"/>
              <w:bottom w:val="single" w:color="auto" w:sz="4" w:space="0"/>
              <w:right w:val="single" w:color="auto" w:sz="4" w:space="0"/>
            </w:tcBorders>
            <w:shd w:val="clear" w:color="auto" w:fill="auto"/>
            <w:vAlign w:val="center"/>
          </w:tcPr>
          <w:p>
            <w:pPr>
              <w:pStyle w:val="167"/>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颗粒物：0.27、SO</w:t>
            </w:r>
            <w:r>
              <w:rPr>
                <w:rFonts w:hint="default" w:ascii="Times New Roman" w:hAnsi="Times New Roman" w:cs="Times New Roman"/>
                <w:color w:val="auto"/>
                <w:sz w:val="21"/>
                <w:szCs w:val="21"/>
                <w:vertAlign w:val="subscript"/>
                <w:lang w:val="en-US" w:eastAsia="zh-CN"/>
              </w:rPr>
              <w:t>2</w:t>
            </w:r>
            <w:r>
              <w:rPr>
                <w:rFonts w:hint="default" w:ascii="Times New Roman" w:hAnsi="Times New Roman" w:cs="Times New Roman"/>
                <w:color w:val="auto"/>
                <w:sz w:val="21"/>
                <w:szCs w:val="21"/>
                <w:lang w:val="en-US" w:eastAsia="zh-CN"/>
              </w:rPr>
              <w:t>：0.45、NOx：2.105、挥发性有机物：0.4646</w:t>
            </w:r>
          </w:p>
        </w:tc>
        <w:tc>
          <w:tcPr>
            <w:tcW w:w="394" w:type="pct"/>
            <w:tcBorders>
              <w:top w:val="nil"/>
              <w:left w:val="nil"/>
              <w:bottom w:val="single" w:color="auto" w:sz="4" w:space="0"/>
              <w:right w:val="single" w:color="auto" w:sz="4" w:space="0"/>
            </w:tcBorders>
            <w:shd w:val="clear" w:color="auto" w:fill="auto"/>
            <w:vAlign w:val="center"/>
          </w:tcPr>
          <w:p>
            <w:pPr>
              <w:pStyle w:val="167"/>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环评批复文件</w:t>
            </w:r>
          </w:p>
        </w:tc>
      </w:tr>
      <w:tr>
        <w:tblPrEx>
          <w:tblCellMar>
            <w:top w:w="0" w:type="dxa"/>
            <w:left w:w="108" w:type="dxa"/>
            <w:bottom w:w="0" w:type="dxa"/>
            <w:right w:w="108" w:type="dxa"/>
          </w:tblCellMar>
        </w:tblPrEx>
        <w:trPr>
          <w:trHeight w:val="340" w:hRule="atLeast"/>
          <w:jc w:val="center"/>
        </w:trPr>
        <w:tc>
          <w:tcPr>
            <w:tcW w:w="612" w:type="pct"/>
            <w:tcBorders>
              <w:top w:val="nil"/>
              <w:left w:val="single" w:color="auto" w:sz="4" w:space="0"/>
              <w:bottom w:val="single" w:color="auto" w:sz="4" w:space="0"/>
              <w:right w:val="single" w:color="auto" w:sz="4" w:space="0"/>
            </w:tcBorders>
            <w:vAlign w:val="center"/>
          </w:tcPr>
          <w:p>
            <w:pPr>
              <w:pStyle w:val="167"/>
              <w:rPr>
                <w:rFonts w:hint="default" w:ascii="Times New Roman" w:hAnsi="Times New Roman" w:eastAsia="宋体" w:cs="Times New Roman"/>
                <w:i w:val="0"/>
                <w:iCs w:val="0"/>
                <w:caps w:val="0"/>
                <w:color w:val="auto"/>
                <w:spacing w:val="0"/>
                <w:sz w:val="21"/>
                <w:szCs w:val="21"/>
                <w:shd w:val="clear" w:fill="FFFFFF"/>
              </w:rPr>
            </w:pPr>
            <w:r>
              <w:rPr>
                <w:rFonts w:hint="default" w:ascii="Times New Roman" w:hAnsi="Times New Roman" w:eastAsia="宋体" w:cs="Times New Roman"/>
                <w:i w:val="0"/>
                <w:iCs w:val="0"/>
                <w:caps w:val="0"/>
                <w:color w:val="auto"/>
                <w:spacing w:val="0"/>
                <w:sz w:val="21"/>
                <w:szCs w:val="21"/>
                <w:shd w:val="clear" w:fill="FFFFFF"/>
                <w:lang w:val="en-US" w:eastAsia="zh-CN"/>
              </w:rPr>
              <w:t>云南麻叶生物科技有限公司</w:t>
            </w:r>
          </w:p>
        </w:tc>
        <w:tc>
          <w:tcPr>
            <w:tcW w:w="1797" w:type="pct"/>
            <w:tcBorders>
              <w:top w:val="nil"/>
              <w:left w:val="single" w:color="auto" w:sz="4" w:space="0"/>
              <w:bottom w:val="single" w:color="auto" w:sz="4" w:space="0"/>
              <w:right w:val="single" w:color="auto" w:sz="4" w:space="0"/>
            </w:tcBorders>
            <w:shd w:val="clear" w:color="auto" w:fill="auto"/>
            <w:vAlign w:val="center"/>
          </w:tcPr>
          <w:p>
            <w:pPr>
              <w:pStyle w:val="167"/>
              <w:rPr>
                <w:rFonts w:hint="default" w:ascii="Times New Roman" w:hAnsi="Times New Roman" w:eastAsia="宋体" w:cs="Times New Roman"/>
                <w:i w:val="0"/>
                <w:iCs w:val="0"/>
                <w:caps w:val="0"/>
                <w:color w:val="auto"/>
                <w:spacing w:val="0"/>
                <w:sz w:val="21"/>
                <w:szCs w:val="21"/>
                <w:shd w:val="clear" w:fill="FFFFFF"/>
              </w:rPr>
            </w:pPr>
            <w:r>
              <w:rPr>
                <w:rFonts w:hint="default" w:ascii="Times New Roman" w:hAnsi="Times New Roman" w:eastAsia="宋体" w:cs="Times New Roman"/>
                <w:i w:val="0"/>
                <w:iCs w:val="0"/>
                <w:caps w:val="0"/>
                <w:color w:val="auto"/>
                <w:spacing w:val="0"/>
                <w:sz w:val="21"/>
                <w:szCs w:val="21"/>
                <w:shd w:val="clear" w:fill="FFFFFF"/>
                <w:lang w:val="en-US" w:eastAsia="zh-CN"/>
              </w:rPr>
              <w:t>云南麻叶生物科技有限公司工业大麻加工建设项目</w:t>
            </w:r>
          </w:p>
        </w:tc>
        <w:tc>
          <w:tcPr>
            <w:tcW w:w="557" w:type="pct"/>
            <w:tcBorders>
              <w:top w:val="single" w:color="auto" w:sz="4" w:space="0"/>
              <w:left w:val="nil"/>
              <w:bottom w:val="single" w:color="auto" w:sz="4" w:space="0"/>
              <w:right w:val="single" w:color="auto" w:sz="4" w:space="0"/>
            </w:tcBorders>
            <w:vAlign w:val="center"/>
          </w:tcPr>
          <w:p>
            <w:pPr>
              <w:pStyle w:val="167"/>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已建成投产已验收</w:t>
            </w:r>
          </w:p>
        </w:tc>
        <w:tc>
          <w:tcPr>
            <w:tcW w:w="490" w:type="pct"/>
            <w:tcBorders>
              <w:top w:val="nil"/>
              <w:left w:val="nil"/>
              <w:bottom w:val="single" w:color="auto" w:sz="4" w:space="0"/>
              <w:right w:val="single" w:color="auto" w:sz="4" w:space="0"/>
            </w:tcBorders>
            <w:shd w:val="clear" w:color="auto" w:fill="auto"/>
            <w:vAlign w:val="center"/>
          </w:tcPr>
          <w:p>
            <w:pPr>
              <w:pStyle w:val="167"/>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34383.24</w:t>
            </w:r>
          </w:p>
        </w:tc>
        <w:tc>
          <w:tcPr>
            <w:tcW w:w="1147" w:type="pct"/>
            <w:tcBorders>
              <w:top w:val="nil"/>
              <w:left w:val="nil"/>
              <w:bottom w:val="single" w:color="auto" w:sz="4" w:space="0"/>
              <w:right w:val="single" w:color="auto" w:sz="4" w:space="0"/>
            </w:tcBorders>
            <w:shd w:val="clear" w:color="auto" w:fill="auto"/>
            <w:vAlign w:val="center"/>
          </w:tcPr>
          <w:p>
            <w:pPr>
              <w:pStyle w:val="167"/>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颗粒物：0.299、SO</w:t>
            </w:r>
            <w:r>
              <w:rPr>
                <w:rFonts w:hint="default" w:ascii="Times New Roman" w:hAnsi="Times New Roman" w:cs="Times New Roman"/>
                <w:color w:val="auto"/>
                <w:sz w:val="21"/>
                <w:szCs w:val="21"/>
                <w:vertAlign w:val="subscript"/>
                <w:lang w:val="en-US" w:eastAsia="zh-CN"/>
              </w:rPr>
              <w:t>2</w:t>
            </w:r>
            <w:r>
              <w:rPr>
                <w:rFonts w:hint="default" w:ascii="Times New Roman" w:hAnsi="Times New Roman" w:cs="Times New Roman"/>
                <w:color w:val="auto"/>
                <w:sz w:val="21"/>
                <w:szCs w:val="21"/>
                <w:lang w:val="en-US" w:eastAsia="zh-CN"/>
              </w:rPr>
              <w:t>：0.284、NOx：2.477、挥发性有机物：0.14</w:t>
            </w:r>
          </w:p>
        </w:tc>
        <w:tc>
          <w:tcPr>
            <w:tcW w:w="394" w:type="pct"/>
            <w:tcBorders>
              <w:top w:val="nil"/>
              <w:left w:val="nil"/>
              <w:bottom w:val="single" w:color="auto" w:sz="4" w:space="0"/>
              <w:right w:val="single" w:color="auto" w:sz="4" w:space="0"/>
            </w:tcBorders>
            <w:shd w:val="clear" w:color="auto" w:fill="auto"/>
            <w:vAlign w:val="center"/>
          </w:tcPr>
          <w:p>
            <w:pPr>
              <w:pStyle w:val="167"/>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验收报告</w:t>
            </w:r>
          </w:p>
        </w:tc>
      </w:tr>
    </w:tbl>
    <w:p>
      <w:pPr>
        <w:pStyle w:val="27"/>
        <w:rPr>
          <w:rFonts w:hint="default" w:ascii="Times New Roman" w:hAnsi="Times New Roman" w:cs="Times New Roman"/>
          <w:color w:val="FF0000"/>
          <w:szCs w:val="32"/>
        </w:rPr>
        <w:sectPr>
          <w:pgSz w:w="16838" w:h="11906" w:orient="landscape"/>
          <w:pgMar w:top="1797" w:right="1440" w:bottom="1797" w:left="1440" w:header="851" w:footer="992" w:gutter="0"/>
          <w:pgBorders>
            <w:top w:val="none" w:sz="0" w:space="0"/>
            <w:left w:val="none" w:sz="0" w:space="0"/>
            <w:bottom w:val="none" w:sz="0" w:space="0"/>
            <w:right w:val="none" w:sz="0" w:space="0"/>
          </w:pgBorders>
          <w:cols w:space="0" w:num="1"/>
          <w:rtlGutter w:val="0"/>
          <w:docGrid w:linePitch="312" w:charSpace="0"/>
        </w:sectPr>
      </w:pPr>
    </w:p>
    <w:p>
      <w:pPr>
        <w:pStyle w:val="133"/>
        <w:keepNext w:val="0"/>
        <w:keepLines w:val="0"/>
        <w:pageBreakBefore w:val="0"/>
        <w:widowControl w:val="0"/>
        <w:numPr>
          <w:ilvl w:val="0"/>
          <w:numId w:val="15"/>
        </w:numPr>
        <w:tabs>
          <w:tab w:val="left" w:pos="1020"/>
        </w:tabs>
        <w:kinsoku/>
        <w:wordWrap/>
        <w:overflowPunct/>
        <w:topLinePunct w:val="0"/>
        <w:autoSpaceDE/>
        <w:autoSpaceDN/>
        <w:bidi w:val="0"/>
        <w:adjustRightInd/>
        <w:snapToGrid/>
        <w:spacing w:line="360" w:lineRule="auto"/>
        <w:ind w:left="840" w:leftChars="0" w:hanging="420" w:firstLineChars="0"/>
        <w:jc w:val="center"/>
        <w:textAlignment w:val="auto"/>
        <w:rPr>
          <w:rFonts w:hint="default" w:ascii="Times New Roman" w:hAnsi="Times New Roman" w:cs="Times New Roman"/>
          <w:b/>
          <w:bCs/>
          <w:color w:val="auto"/>
          <w:spacing w:val="1"/>
        </w:rPr>
      </w:pPr>
      <w:r>
        <w:rPr>
          <w:rFonts w:hint="default" w:ascii="Times New Roman" w:hAnsi="Times New Roman" w:cs="Times New Roman"/>
          <w:b/>
          <w:bCs/>
          <w:color w:val="auto"/>
          <w:spacing w:val="1"/>
          <w:lang w:eastAsia="zh-CN"/>
        </w:rPr>
        <w:t>项目周边主要企业废水排放情况</w:t>
      </w:r>
    </w:p>
    <w:tbl>
      <w:tblPr>
        <w:tblStyle w:val="44"/>
        <w:tblW w:w="5044" w:type="pct"/>
        <w:jc w:val="center"/>
        <w:tblLayout w:type="fixed"/>
        <w:tblCellMar>
          <w:top w:w="0" w:type="dxa"/>
          <w:left w:w="108" w:type="dxa"/>
          <w:bottom w:w="0" w:type="dxa"/>
          <w:right w:w="108" w:type="dxa"/>
        </w:tblCellMar>
      </w:tblPr>
      <w:tblGrid>
        <w:gridCol w:w="1880"/>
        <w:gridCol w:w="5108"/>
        <w:gridCol w:w="1800"/>
        <w:gridCol w:w="1370"/>
        <w:gridCol w:w="2878"/>
        <w:gridCol w:w="1263"/>
      </w:tblGrid>
      <w:tr>
        <w:tblPrEx>
          <w:tblCellMar>
            <w:top w:w="0" w:type="dxa"/>
            <w:left w:w="108" w:type="dxa"/>
            <w:bottom w:w="0" w:type="dxa"/>
            <w:right w:w="108" w:type="dxa"/>
          </w:tblCellMar>
        </w:tblPrEx>
        <w:trPr>
          <w:trHeight w:val="90" w:hRule="atLeast"/>
          <w:jc w:val="center"/>
        </w:trPr>
        <w:tc>
          <w:tcPr>
            <w:tcW w:w="657" w:type="pct"/>
            <w:tcBorders>
              <w:top w:val="single" w:color="auto" w:sz="4" w:space="0"/>
              <w:left w:val="single" w:color="auto" w:sz="4" w:space="0"/>
              <w:right w:val="single" w:color="auto" w:sz="4" w:space="0"/>
            </w:tcBorders>
            <w:vAlign w:val="center"/>
          </w:tcPr>
          <w:p>
            <w:pPr>
              <w:pStyle w:val="167"/>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企业名称</w:t>
            </w:r>
          </w:p>
        </w:tc>
        <w:tc>
          <w:tcPr>
            <w:tcW w:w="1786" w:type="pct"/>
            <w:tcBorders>
              <w:top w:val="single" w:color="auto" w:sz="4" w:space="0"/>
              <w:left w:val="single" w:color="auto" w:sz="4" w:space="0"/>
              <w:right w:val="single" w:color="auto" w:sz="4" w:space="0"/>
            </w:tcBorders>
            <w:shd w:val="clear" w:color="auto" w:fill="auto"/>
            <w:vAlign w:val="center"/>
          </w:tcPr>
          <w:p>
            <w:pPr>
              <w:pStyle w:val="167"/>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项目</w:t>
            </w:r>
            <w:r>
              <w:rPr>
                <w:rFonts w:hint="default" w:ascii="Times New Roman" w:hAnsi="Times New Roman" w:cs="Times New Roman"/>
                <w:color w:val="auto"/>
                <w:sz w:val="21"/>
                <w:szCs w:val="21"/>
                <w:lang w:eastAsia="zh-CN"/>
              </w:rPr>
              <w:t>名称</w:t>
            </w:r>
          </w:p>
        </w:tc>
        <w:tc>
          <w:tcPr>
            <w:tcW w:w="629" w:type="pct"/>
            <w:tcBorders>
              <w:top w:val="single" w:color="auto" w:sz="4" w:space="0"/>
              <w:left w:val="single" w:color="auto" w:sz="4" w:space="0"/>
              <w:right w:val="single" w:color="auto" w:sz="4" w:space="0"/>
            </w:tcBorders>
            <w:vAlign w:val="center"/>
          </w:tcPr>
          <w:p>
            <w:pPr>
              <w:pStyle w:val="167"/>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状态</w:t>
            </w:r>
          </w:p>
        </w:tc>
        <w:tc>
          <w:tcPr>
            <w:tcW w:w="479" w:type="pct"/>
            <w:tcBorders>
              <w:top w:val="single" w:color="auto" w:sz="4" w:space="0"/>
              <w:left w:val="single" w:color="auto" w:sz="4" w:space="0"/>
              <w:right w:val="single" w:color="auto" w:sz="4" w:space="0"/>
            </w:tcBorders>
            <w:shd w:val="clear" w:color="auto" w:fill="auto"/>
            <w:noWrap/>
            <w:vAlign w:val="center"/>
          </w:tcPr>
          <w:p>
            <w:pPr>
              <w:pStyle w:val="167"/>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废水量</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d</w:t>
            </w:r>
            <w:r>
              <w:rPr>
                <w:rFonts w:hint="default" w:ascii="Times New Roman" w:hAnsi="Times New Roman" w:cs="Times New Roman"/>
                <w:color w:val="auto"/>
                <w:sz w:val="21"/>
                <w:szCs w:val="21"/>
              </w:rPr>
              <w:t>）</w:t>
            </w:r>
          </w:p>
        </w:tc>
        <w:tc>
          <w:tcPr>
            <w:tcW w:w="1006"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67"/>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排放主要污染物（</w:t>
            </w:r>
            <w:r>
              <w:rPr>
                <w:rFonts w:hint="default" w:ascii="Times New Roman" w:hAnsi="Times New Roman" w:cs="Times New Roman"/>
                <w:color w:val="auto"/>
                <w:sz w:val="21"/>
                <w:szCs w:val="21"/>
                <w:lang w:val="en-US" w:eastAsia="zh-CN"/>
              </w:rPr>
              <w:t>t/a</w:t>
            </w:r>
            <w:r>
              <w:rPr>
                <w:rFonts w:hint="default" w:ascii="Times New Roman" w:hAnsi="Times New Roman" w:cs="Times New Roman"/>
                <w:color w:val="auto"/>
                <w:sz w:val="21"/>
                <w:szCs w:val="21"/>
                <w:lang w:eastAsia="zh-CN"/>
              </w:rPr>
              <w:t>）</w:t>
            </w:r>
          </w:p>
        </w:tc>
        <w:tc>
          <w:tcPr>
            <w:tcW w:w="441" w:type="pct"/>
            <w:tcBorders>
              <w:top w:val="single" w:color="auto" w:sz="4" w:space="0"/>
              <w:left w:val="single" w:color="auto" w:sz="4" w:space="0"/>
              <w:right w:val="single" w:color="auto" w:sz="4" w:space="0"/>
            </w:tcBorders>
            <w:shd w:val="clear" w:color="auto" w:fill="auto"/>
            <w:noWrap/>
            <w:vAlign w:val="center"/>
          </w:tcPr>
          <w:p>
            <w:pPr>
              <w:pStyle w:val="167"/>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数据来源</w:t>
            </w:r>
          </w:p>
        </w:tc>
      </w:tr>
      <w:tr>
        <w:tblPrEx>
          <w:tblCellMar>
            <w:top w:w="0" w:type="dxa"/>
            <w:left w:w="108" w:type="dxa"/>
            <w:bottom w:w="0" w:type="dxa"/>
            <w:right w:w="108" w:type="dxa"/>
          </w:tblCellMar>
        </w:tblPrEx>
        <w:trPr>
          <w:trHeight w:val="340" w:hRule="atLeast"/>
          <w:jc w:val="center"/>
        </w:trPr>
        <w:tc>
          <w:tcPr>
            <w:tcW w:w="657" w:type="pct"/>
            <w:vMerge w:val="restart"/>
            <w:tcBorders>
              <w:top w:val="single" w:color="auto" w:sz="4" w:space="0"/>
              <w:left w:val="single" w:color="auto" w:sz="4" w:space="0"/>
              <w:bottom w:val="single" w:color="auto" w:sz="4" w:space="0"/>
              <w:right w:val="single" w:color="auto" w:sz="4" w:space="0"/>
            </w:tcBorders>
            <w:vAlign w:val="center"/>
          </w:tcPr>
          <w:p>
            <w:pPr>
              <w:pStyle w:val="167"/>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云南宇泽半导体有限公司</w:t>
            </w:r>
          </w:p>
        </w:tc>
        <w:tc>
          <w:tcPr>
            <w:tcW w:w="178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67"/>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宇泽半导体（云南）有限公司年产5GW单晶硅拉棒及3GW切片生产线项目</w:t>
            </w:r>
            <w:r>
              <w:rPr>
                <w:rFonts w:hint="default" w:ascii="Times New Roman" w:hAnsi="Times New Roman" w:cs="Times New Roman"/>
                <w:color w:val="auto"/>
                <w:sz w:val="21"/>
                <w:szCs w:val="21"/>
                <w:lang w:eastAsia="zh-CN"/>
              </w:rPr>
              <w:t>（一期）（</w:t>
            </w:r>
            <w:r>
              <w:rPr>
                <w:rFonts w:hint="default" w:ascii="Times New Roman" w:hAnsi="Times New Roman" w:cs="Times New Roman"/>
                <w:color w:val="auto"/>
                <w:sz w:val="21"/>
                <w:szCs w:val="21"/>
                <w:lang w:val="en-US" w:eastAsia="zh-CN"/>
              </w:rPr>
              <w:t>3GW拉棒</w:t>
            </w:r>
            <w:r>
              <w:rPr>
                <w:rFonts w:hint="default" w:ascii="Times New Roman" w:hAnsi="Times New Roman" w:cs="Times New Roman"/>
                <w:color w:val="auto"/>
                <w:sz w:val="21"/>
                <w:szCs w:val="21"/>
                <w:lang w:eastAsia="zh-CN"/>
              </w:rPr>
              <w:t>）</w:t>
            </w:r>
          </w:p>
        </w:tc>
        <w:tc>
          <w:tcPr>
            <w:tcW w:w="629" w:type="pct"/>
            <w:tcBorders>
              <w:top w:val="single" w:color="auto" w:sz="4" w:space="0"/>
              <w:left w:val="single" w:color="auto" w:sz="4" w:space="0"/>
              <w:bottom w:val="single" w:color="auto" w:sz="4" w:space="0"/>
              <w:right w:val="single" w:color="auto" w:sz="4" w:space="0"/>
            </w:tcBorders>
            <w:vAlign w:val="center"/>
          </w:tcPr>
          <w:p>
            <w:pPr>
              <w:pStyle w:val="167"/>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lang w:eastAsia="zh-CN"/>
              </w:rPr>
              <w:t>已建成投产已验收</w:t>
            </w:r>
          </w:p>
        </w:tc>
        <w:tc>
          <w:tcPr>
            <w:tcW w:w="479" w:type="pct"/>
            <w:vMerge w:val="restart"/>
            <w:tcBorders>
              <w:top w:val="single" w:color="auto" w:sz="4" w:space="0"/>
              <w:left w:val="single" w:color="auto" w:sz="4" w:space="0"/>
              <w:right w:val="single" w:color="auto" w:sz="4" w:space="0"/>
            </w:tcBorders>
            <w:shd w:val="clear" w:color="auto" w:fill="auto"/>
            <w:vAlign w:val="center"/>
          </w:tcPr>
          <w:p>
            <w:pPr>
              <w:pStyle w:val="167"/>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lang w:val="en-US" w:eastAsia="zh-CN"/>
              </w:rPr>
              <w:t>1527.8</w:t>
            </w:r>
          </w:p>
        </w:tc>
        <w:tc>
          <w:tcPr>
            <w:tcW w:w="1006" w:type="pct"/>
            <w:vMerge w:val="restart"/>
            <w:tcBorders>
              <w:top w:val="single" w:color="auto" w:sz="4" w:space="0"/>
              <w:left w:val="single" w:color="auto" w:sz="4" w:space="0"/>
              <w:right w:val="single" w:color="auto" w:sz="4" w:space="0"/>
            </w:tcBorders>
            <w:shd w:val="clear" w:color="auto" w:fill="auto"/>
            <w:vAlign w:val="center"/>
          </w:tcPr>
          <w:p>
            <w:pPr>
              <w:pStyle w:val="167"/>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COD：8.74、BOD</w:t>
            </w:r>
            <w:r>
              <w:rPr>
                <w:rFonts w:hint="default" w:ascii="Times New Roman" w:hAnsi="Times New Roman" w:cs="Times New Roman"/>
                <w:color w:val="FF0000"/>
                <w:sz w:val="21"/>
                <w:szCs w:val="21"/>
                <w:vertAlign w:val="subscript"/>
              </w:rPr>
              <w:t>5</w:t>
            </w:r>
            <w:r>
              <w:rPr>
                <w:rFonts w:hint="default" w:ascii="Times New Roman" w:hAnsi="Times New Roman" w:cs="Times New Roman"/>
                <w:color w:val="auto"/>
                <w:sz w:val="21"/>
                <w:szCs w:val="21"/>
                <w:lang w:val="en-US" w:eastAsia="zh-CN"/>
              </w:rPr>
              <w:t>：3.05、氨氮：7.47、总磷：0.13、氟化物：2.84</w:t>
            </w:r>
          </w:p>
        </w:tc>
        <w:tc>
          <w:tcPr>
            <w:tcW w:w="441" w:type="pct"/>
            <w:vMerge w:val="restart"/>
            <w:tcBorders>
              <w:top w:val="single" w:color="auto" w:sz="4" w:space="0"/>
              <w:left w:val="single" w:color="auto" w:sz="4" w:space="0"/>
              <w:right w:val="single" w:color="auto" w:sz="4" w:space="0"/>
            </w:tcBorders>
            <w:shd w:val="clear" w:color="auto" w:fill="auto"/>
            <w:vAlign w:val="center"/>
          </w:tcPr>
          <w:p>
            <w:pPr>
              <w:pStyle w:val="167"/>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验收报告</w:t>
            </w:r>
          </w:p>
        </w:tc>
      </w:tr>
      <w:tr>
        <w:tblPrEx>
          <w:tblCellMar>
            <w:top w:w="0" w:type="dxa"/>
            <w:left w:w="108" w:type="dxa"/>
            <w:bottom w:w="0" w:type="dxa"/>
            <w:right w:w="108" w:type="dxa"/>
          </w:tblCellMar>
        </w:tblPrEx>
        <w:trPr>
          <w:trHeight w:val="340" w:hRule="atLeast"/>
          <w:jc w:val="center"/>
        </w:trPr>
        <w:tc>
          <w:tcPr>
            <w:tcW w:w="657" w:type="pct"/>
            <w:vMerge w:val="continue"/>
            <w:tcBorders>
              <w:top w:val="single" w:color="auto" w:sz="4" w:space="0"/>
              <w:left w:val="single" w:color="auto" w:sz="4" w:space="0"/>
              <w:right w:val="single" w:color="auto" w:sz="4" w:space="0"/>
            </w:tcBorders>
            <w:vAlign w:val="center"/>
          </w:tcPr>
          <w:p>
            <w:pPr>
              <w:pStyle w:val="167"/>
              <w:rPr>
                <w:rFonts w:hint="default" w:ascii="Times New Roman" w:hAnsi="Times New Roman" w:cs="Times New Roman"/>
                <w:color w:val="auto"/>
                <w:sz w:val="21"/>
                <w:szCs w:val="21"/>
              </w:rPr>
            </w:pPr>
          </w:p>
        </w:tc>
        <w:tc>
          <w:tcPr>
            <w:tcW w:w="178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67"/>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宇泽半导体（云南）有限公司年产5GW单晶硅拉棒及3GW切片生产线项目</w:t>
            </w:r>
            <w:r>
              <w:rPr>
                <w:rFonts w:hint="default" w:ascii="Times New Roman" w:hAnsi="Times New Roman" w:cs="Times New Roman"/>
                <w:color w:val="auto"/>
                <w:sz w:val="21"/>
                <w:szCs w:val="21"/>
                <w:lang w:eastAsia="zh-CN"/>
              </w:rPr>
              <w:t>（二期</w:t>
            </w:r>
            <w:r>
              <w:rPr>
                <w:rFonts w:hint="default" w:ascii="Times New Roman" w:hAnsi="Times New Roman" w:cs="Times New Roman"/>
                <w:color w:val="auto"/>
                <w:sz w:val="21"/>
                <w:szCs w:val="21"/>
                <w:lang w:val="en-US" w:eastAsia="zh-CN"/>
              </w:rPr>
              <w:t>2GW拉棒</w:t>
            </w:r>
            <w:r>
              <w:rPr>
                <w:rFonts w:hint="default" w:ascii="Times New Roman" w:hAnsi="Times New Roman" w:cs="Times New Roman"/>
                <w:color w:val="auto"/>
                <w:sz w:val="21"/>
                <w:szCs w:val="21"/>
                <w:lang w:eastAsia="zh-CN"/>
              </w:rPr>
              <w:t>）</w:t>
            </w:r>
          </w:p>
        </w:tc>
        <w:tc>
          <w:tcPr>
            <w:tcW w:w="629" w:type="pct"/>
            <w:tcBorders>
              <w:top w:val="single" w:color="auto" w:sz="4" w:space="0"/>
              <w:left w:val="nil"/>
              <w:bottom w:val="single" w:color="auto" w:sz="4" w:space="0"/>
              <w:right w:val="single" w:color="auto" w:sz="4" w:space="0"/>
            </w:tcBorders>
            <w:vAlign w:val="center"/>
          </w:tcPr>
          <w:p>
            <w:pPr>
              <w:pStyle w:val="167"/>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lang w:eastAsia="zh-CN"/>
              </w:rPr>
              <w:t>已建成投产已验收</w:t>
            </w:r>
          </w:p>
        </w:tc>
        <w:tc>
          <w:tcPr>
            <w:tcW w:w="479" w:type="pct"/>
            <w:vMerge w:val="continue"/>
            <w:tcBorders>
              <w:left w:val="single" w:color="auto" w:sz="4" w:space="0"/>
              <w:right w:val="single" w:color="auto" w:sz="4" w:space="0"/>
            </w:tcBorders>
            <w:shd w:val="clear" w:color="auto" w:fill="auto"/>
            <w:vAlign w:val="center"/>
          </w:tcPr>
          <w:p>
            <w:pPr>
              <w:pStyle w:val="167"/>
              <w:rPr>
                <w:rFonts w:hint="default" w:ascii="Times New Roman" w:hAnsi="Times New Roman" w:cs="Times New Roman"/>
                <w:color w:val="auto"/>
                <w:sz w:val="21"/>
                <w:szCs w:val="21"/>
                <w:lang w:val="en-US" w:eastAsia="zh-CN"/>
              </w:rPr>
            </w:pPr>
          </w:p>
        </w:tc>
        <w:tc>
          <w:tcPr>
            <w:tcW w:w="1006" w:type="pct"/>
            <w:vMerge w:val="continue"/>
            <w:tcBorders>
              <w:left w:val="single" w:color="auto" w:sz="4" w:space="0"/>
              <w:right w:val="single" w:color="auto" w:sz="4" w:space="0"/>
            </w:tcBorders>
            <w:shd w:val="clear" w:color="auto" w:fill="auto"/>
            <w:vAlign w:val="center"/>
          </w:tcPr>
          <w:p>
            <w:pPr>
              <w:pStyle w:val="167"/>
              <w:rPr>
                <w:rFonts w:hint="default" w:ascii="Times New Roman" w:hAnsi="Times New Roman" w:cs="Times New Roman"/>
                <w:color w:val="auto"/>
                <w:sz w:val="21"/>
                <w:szCs w:val="21"/>
                <w:lang w:val="en-US" w:eastAsia="zh-CN"/>
              </w:rPr>
            </w:pPr>
          </w:p>
        </w:tc>
        <w:tc>
          <w:tcPr>
            <w:tcW w:w="441" w:type="pct"/>
            <w:vMerge w:val="continue"/>
            <w:tcBorders>
              <w:left w:val="single" w:color="auto" w:sz="4" w:space="0"/>
              <w:right w:val="single" w:color="auto" w:sz="4" w:space="0"/>
            </w:tcBorders>
            <w:shd w:val="clear" w:color="auto" w:fill="auto"/>
            <w:vAlign w:val="center"/>
          </w:tcPr>
          <w:p>
            <w:pPr>
              <w:pStyle w:val="167"/>
              <w:rPr>
                <w:rFonts w:hint="default" w:ascii="Times New Roman" w:hAnsi="Times New Roman" w:eastAsia="宋体" w:cs="Times New Roman"/>
                <w:color w:val="auto"/>
                <w:sz w:val="21"/>
                <w:szCs w:val="21"/>
                <w:lang w:eastAsia="zh-CN"/>
              </w:rPr>
            </w:pPr>
          </w:p>
        </w:tc>
      </w:tr>
      <w:tr>
        <w:tblPrEx>
          <w:tblCellMar>
            <w:top w:w="0" w:type="dxa"/>
            <w:left w:w="108" w:type="dxa"/>
            <w:bottom w:w="0" w:type="dxa"/>
            <w:right w:w="108" w:type="dxa"/>
          </w:tblCellMar>
        </w:tblPrEx>
        <w:trPr>
          <w:trHeight w:val="340" w:hRule="atLeast"/>
          <w:jc w:val="center"/>
        </w:trPr>
        <w:tc>
          <w:tcPr>
            <w:tcW w:w="657" w:type="pct"/>
            <w:vMerge w:val="continue"/>
            <w:tcBorders>
              <w:left w:val="single" w:color="auto" w:sz="4" w:space="0"/>
              <w:right w:val="single" w:color="auto" w:sz="4" w:space="0"/>
            </w:tcBorders>
            <w:vAlign w:val="center"/>
          </w:tcPr>
          <w:p>
            <w:pPr>
              <w:pStyle w:val="167"/>
              <w:rPr>
                <w:rFonts w:hint="default" w:ascii="Times New Roman" w:hAnsi="Times New Roman" w:cs="Times New Roman"/>
                <w:color w:val="auto"/>
                <w:sz w:val="21"/>
                <w:szCs w:val="21"/>
              </w:rPr>
            </w:pPr>
          </w:p>
        </w:tc>
        <w:tc>
          <w:tcPr>
            <w:tcW w:w="1786" w:type="pct"/>
            <w:tcBorders>
              <w:top w:val="nil"/>
              <w:left w:val="single" w:color="auto" w:sz="4" w:space="0"/>
              <w:bottom w:val="single" w:color="auto" w:sz="4" w:space="0"/>
              <w:right w:val="single" w:color="auto" w:sz="4" w:space="0"/>
            </w:tcBorders>
            <w:shd w:val="clear" w:color="auto" w:fill="auto"/>
            <w:vAlign w:val="center"/>
          </w:tcPr>
          <w:p>
            <w:pPr>
              <w:pStyle w:val="167"/>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年产5GW单晶硅拉棒及2GW切片项目</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5GW拉棒</w:t>
            </w:r>
            <w:r>
              <w:rPr>
                <w:rFonts w:hint="default" w:ascii="Times New Roman" w:hAnsi="Times New Roman" w:cs="Times New Roman"/>
                <w:color w:val="auto"/>
                <w:sz w:val="21"/>
                <w:szCs w:val="21"/>
                <w:lang w:eastAsia="zh-CN"/>
              </w:rPr>
              <w:t>）</w:t>
            </w:r>
          </w:p>
        </w:tc>
        <w:tc>
          <w:tcPr>
            <w:tcW w:w="629" w:type="pct"/>
            <w:tcBorders>
              <w:top w:val="single" w:color="auto" w:sz="4" w:space="0"/>
              <w:left w:val="nil"/>
              <w:bottom w:val="single" w:color="auto" w:sz="4" w:space="0"/>
              <w:right w:val="single" w:color="auto" w:sz="4" w:space="0"/>
            </w:tcBorders>
            <w:vAlign w:val="center"/>
          </w:tcPr>
          <w:p>
            <w:pPr>
              <w:pStyle w:val="167"/>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lang w:eastAsia="zh-CN"/>
              </w:rPr>
              <w:t>已建成投产正在验收</w:t>
            </w:r>
          </w:p>
        </w:tc>
        <w:tc>
          <w:tcPr>
            <w:tcW w:w="479" w:type="pct"/>
            <w:vMerge w:val="continue"/>
            <w:tcBorders>
              <w:left w:val="single" w:color="auto" w:sz="4" w:space="0"/>
              <w:bottom w:val="single" w:color="auto" w:sz="4" w:space="0"/>
              <w:right w:val="single" w:color="auto" w:sz="4" w:space="0"/>
            </w:tcBorders>
            <w:shd w:val="clear" w:color="auto" w:fill="auto"/>
            <w:vAlign w:val="center"/>
          </w:tcPr>
          <w:p>
            <w:pPr>
              <w:pStyle w:val="167"/>
              <w:rPr>
                <w:rFonts w:hint="default" w:ascii="Times New Roman" w:hAnsi="Times New Roman" w:cs="Times New Roman"/>
                <w:color w:val="auto"/>
                <w:sz w:val="21"/>
                <w:szCs w:val="21"/>
                <w:lang w:val="en-US" w:eastAsia="zh-CN"/>
              </w:rPr>
            </w:pPr>
          </w:p>
        </w:tc>
        <w:tc>
          <w:tcPr>
            <w:tcW w:w="1006" w:type="pct"/>
            <w:vMerge w:val="continue"/>
            <w:tcBorders>
              <w:left w:val="single" w:color="auto" w:sz="4" w:space="0"/>
              <w:bottom w:val="single" w:color="auto" w:sz="4" w:space="0"/>
              <w:right w:val="single" w:color="auto" w:sz="4" w:space="0"/>
            </w:tcBorders>
            <w:shd w:val="clear" w:color="auto" w:fill="auto"/>
            <w:vAlign w:val="center"/>
          </w:tcPr>
          <w:p>
            <w:pPr>
              <w:pStyle w:val="167"/>
              <w:rPr>
                <w:rFonts w:hint="default" w:ascii="Times New Roman" w:hAnsi="Times New Roman" w:cs="Times New Roman"/>
                <w:color w:val="auto"/>
                <w:sz w:val="21"/>
                <w:szCs w:val="21"/>
                <w:lang w:val="en-US" w:eastAsia="zh-CN"/>
              </w:rPr>
            </w:pPr>
          </w:p>
        </w:tc>
        <w:tc>
          <w:tcPr>
            <w:tcW w:w="441" w:type="pct"/>
            <w:vMerge w:val="continue"/>
            <w:tcBorders>
              <w:left w:val="single" w:color="auto" w:sz="4" w:space="0"/>
              <w:bottom w:val="single" w:color="auto" w:sz="4" w:space="0"/>
              <w:right w:val="single" w:color="auto" w:sz="4" w:space="0"/>
            </w:tcBorders>
            <w:shd w:val="clear" w:color="auto" w:fill="auto"/>
            <w:vAlign w:val="center"/>
          </w:tcPr>
          <w:p>
            <w:pPr>
              <w:pStyle w:val="167"/>
              <w:rPr>
                <w:rFonts w:hint="default" w:ascii="Times New Roman" w:hAnsi="Times New Roman" w:cs="Times New Roman"/>
                <w:color w:val="auto"/>
                <w:sz w:val="21"/>
                <w:szCs w:val="21"/>
              </w:rPr>
            </w:pPr>
          </w:p>
        </w:tc>
      </w:tr>
      <w:tr>
        <w:tblPrEx>
          <w:tblCellMar>
            <w:top w:w="0" w:type="dxa"/>
            <w:left w:w="108" w:type="dxa"/>
            <w:bottom w:w="0" w:type="dxa"/>
            <w:right w:w="108" w:type="dxa"/>
          </w:tblCellMar>
        </w:tblPrEx>
        <w:trPr>
          <w:trHeight w:val="340" w:hRule="atLeast"/>
          <w:jc w:val="center"/>
        </w:trPr>
        <w:tc>
          <w:tcPr>
            <w:tcW w:w="657" w:type="pct"/>
            <w:vMerge w:val="continue"/>
            <w:tcBorders>
              <w:left w:val="single" w:color="auto" w:sz="4" w:space="0"/>
              <w:right w:val="single" w:color="auto" w:sz="4" w:space="0"/>
            </w:tcBorders>
            <w:vAlign w:val="center"/>
          </w:tcPr>
          <w:p>
            <w:pPr>
              <w:pStyle w:val="167"/>
              <w:rPr>
                <w:rFonts w:hint="default" w:ascii="Times New Roman" w:hAnsi="Times New Roman" w:cs="Times New Roman"/>
                <w:color w:val="auto"/>
                <w:sz w:val="21"/>
                <w:szCs w:val="21"/>
              </w:rPr>
            </w:pPr>
          </w:p>
        </w:tc>
        <w:tc>
          <w:tcPr>
            <w:tcW w:w="1786" w:type="pct"/>
            <w:tcBorders>
              <w:top w:val="nil"/>
              <w:left w:val="single" w:color="auto" w:sz="4" w:space="0"/>
              <w:bottom w:val="single" w:color="auto" w:sz="4" w:space="0"/>
              <w:right w:val="single" w:color="auto" w:sz="4" w:space="0"/>
            </w:tcBorders>
            <w:shd w:val="clear" w:color="auto" w:fill="auto"/>
            <w:vAlign w:val="center"/>
          </w:tcPr>
          <w:p>
            <w:pPr>
              <w:pStyle w:val="167"/>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宇泽半导体（云南）有限公司年产5GW单晶硅拉棒及3GW切片生产线项目</w:t>
            </w:r>
            <w:r>
              <w:rPr>
                <w:rFonts w:hint="default" w:ascii="Times New Roman" w:hAnsi="Times New Roman" w:cs="Times New Roman"/>
                <w:color w:val="auto"/>
                <w:sz w:val="21"/>
                <w:szCs w:val="21"/>
                <w:lang w:eastAsia="zh-CN"/>
              </w:rPr>
              <w:t>（二期</w:t>
            </w:r>
            <w:r>
              <w:rPr>
                <w:rFonts w:hint="default" w:ascii="Times New Roman" w:hAnsi="Times New Roman" w:cs="Times New Roman"/>
                <w:color w:val="auto"/>
                <w:sz w:val="21"/>
                <w:szCs w:val="21"/>
                <w:lang w:val="en-US" w:eastAsia="zh-CN"/>
              </w:rPr>
              <w:t>3GW切片</w:t>
            </w:r>
            <w:r>
              <w:rPr>
                <w:rFonts w:hint="default" w:ascii="Times New Roman" w:hAnsi="Times New Roman" w:cs="Times New Roman"/>
                <w:color w:val="auto"/>
                <w:sz w:val="21"/>
                <w:szCs w:val="21"/>
                <w:lang w:eastAsia="zh-CN"/>
              </w:rPr>
              <w:t>）</w:t>
            </w:r>
          </w:p>
        </w:tc>
        <w:tc>
          <w:tcPr>
            <w:tcW w:w="629" w:type="pct"/>
            <w:tcBorders>
              <w:top w:val="single" w:color="auto" w:sz="4" w:space="0"/>
              <w:left w:val="nil"/>
              <w:bottom w:val="single" w:color="auto" w:sz="4" w:space="0"/>
              <w:right w:val="single" w:color="auto" w:sz="4" w:space="0"/>
            </w:tcBorders>
            <w:vAlign w:val="center"/>
          </w:tcPr>
          <w:p>
            <w:pPr>
              <w:pStyle w:val="167"/>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正在建设过程中</w:t>
            </w:r>
          </w:p>
        </w:tc>
        <w:tc>
          <w:tcPr>
            <w:tcW w:w="479" w:type="pct"/>
            <w:vMerge w:val="restart"/>
            <w:tcBorders>
              <w:top w:val="nil"/>
              <w:left w:val="nil"/>
              <w:right w:val="single" w:color="auto" w:sz="4" w:space="0"/>
            </w:tcBorders>
            <w:shd w:val="clear" w:color="auto" w:fill="auto"/>
            <w:vAlign w:val="center"/>
          </w:tcPr>
          <w:p>
            <w:pPr>
              <w:pStyle w:val="167"/>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2784.37</w:t>
            </w:r>
          </w:p>
        </w:tc>
        <w:tc>
          <w:tcPr>
            <w:tcW w:w="1006" w:type="pct"/>
            <w:vMerge w:val="restart"/>
            <w:tcBorders>
              <w:top w:val="nil"/>
              <w:left w:val="nil"/>
              <w:right w:val="single" w:color="auto" w:sz="4" w:space="0"/>
            </w:tcBorders>
            <w:shd w:val="clear" w:color="auto" w:fill="auto"/>
            <w:vAlign w:val="center"/>
          </w:tcPr>
          <w:p>
            <w:pPr>
              <w:pStyle w:val="167"/>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COD：136.59、BOD</w:t>
            </w:r>
            <w:r>
              <w:rPr>
                <w:rFonts w:hint="default" w:ascii="Times New Roman" w:hAnsi="Times New Roman" w:cs="Times New Roman"/>
                <w:color w:val="FF0000"/>
                <w:sz w:val="21"/>
                <w:szCs w:val="21"/>
                <w:vertAlign w:val="subscript"/>
              </w:rPr>
              <w:t>5</w:t>
            </w:r>
            <w:r>
              <w:rPr>
                <w:rFonts w:hint="default" w:ascii="Times New Roman" w:hAnsi="Times New Roman" w:cs="Times New Roman"/>
                <w:color w:val="auto"/>
                <w:sz w:val="21"/>
                <w:szCs w:val="21"/>
                <w:lang w:val="en-US" w:eastAsia="zh-CN"/>
              </w:rPr>
              <w:t>：73.35、SS：24.96、阴离子表面活性剂：7.60</w:t>
            </w:r>
          </w:p>
        </w:tc>
        <w:tc>
          <w:tcPr>
            <w:tcW w:w="441" w:type="pct"/>
            <w:vMerge w:val="restart"/>
            <w:tcBorders>
              <w:top w:val="nil"/>
              <w:left w:val="nil"/>
              <w:right w:val="single" w:color="auto" w:sz="4" w:space="0"/>
            </w:tcBorders>
            <w:shd w:val="clear" w:color="auto" w:fill="auto"/>
            <w:vAlign w:val="center"/>
          </w:tcPr>
          <w:p>
            <w:pPr>
              <w:pStyle w:val="167"/>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本次环评核算</w:t>
            </w:r>
          </w:p>
        </w:tc>
      </w:tr>
      <w:tr>
        <w:trPr>
          <w:trHeight w:val="340" w:hRule="atLeast"/>
          <w:jc w:val="center"/>
        </w:trPr>
        <w:tc>
          <w:tcPr>
            <w:tcW w:w="657" w:type="pct"/>
            <w:vMerge w:val="continue"/>
            <w:tcBorders>
              <w:left w:val="single" w:color="auto" w:sz="4" w:space="0"/>
              <w:right w:val="single" w:color="auto" w:sz="4" w:space="0"/>
            </w:tcBorders>
            <w:vAlign w:val="center"/>
          </w:tcPr>
          <w:p>
            <w:pPr>
              <w:pStyle w:val="167"/>
              <w:rPr>
                <w:rFonts w:hint="default" w:ascii="Times New Roman" w:hAnsi="Times New Roman" w:cs="Times New Roman"/>
                <w:color w:val="auto"/>
                <w:sz w:val="21"/>
                <w:szCs w:val="21"/>
              </w:rPr>
            </w:pPr>
          </w:p>
        </w:tc>
        <w:tc>
          <w:tcPr>
            <w:tcW w:w="1786" w:type="pct"/>
            <w:tcBorders>
              <w:top w:val="nil"/>
              <w:left w:val="single" w:color="auto" w:sz="4" w:space="0"/>
              <w:bottom w:val="single" w:color="auto" w:sz="4" w:space="0"/>
              <w:right w:val="single" w:color="auto" w:sz="4" w:space="0"/>
            </w:tcBorders>
            <w:shd w:val="clear" w:color="auto" w:fill="auto"/>
            <w:vAlign w:val="center"/>
          </w:tcPr>
          <w:p>
            <w:pPr>
              <w:pStyle w:val="167"/>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年产5GW单晶硅拉棒及2GW切片项目</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2GW切片</w:t>
            </w:r>
            <w:r>
              <w:rPr>
                <w:rFonts w:hint="default" w:ascii="Times New Roman" w:hAnsi="Times New Roman" w:cs="Times New Roman"/>
                <w:color w:val="auto"/>
                <w:sz w:val="21"/>
                <w:szCs w:val="21"/>
                <w:lang w:eastAsia="zh-CN"/>
              </w:rPr>
              <w:t>）</w:t>
            </w:r>
          </w:p>
        </w:tc>
        <w:tc>
          <w:tcPr>
            <w:tcW w:w="629" w:type="pct"/>
            <w:tcBorders>
              <w:top w:val="single" w:color="auto" w:sz="4" w:space="0"/>
              <w:left w:val="nil"/>
              <w:bottom w:val="single" w:color="auto" w:sz="4" w:space="0"/>
              <w:right w:val="single" w:color="auto" w:sz="4" w:space="0"/>
            </w:tcBorders>
            <w:vAlign w:val="center"/>
          </w:tcPr>
          <w:p>
            <w:pPr>
              <w:pStyle w:val="167"/>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正在建设过程中</w:t>
            </w:r>
          </w:p>
        </w:tc>
        <w:tc>
          <w:tcPr>
            <w:tcW w:w="479" w:type="pct"/>
            <w:vMerge w:val="continue"/>
            <w:tcBorders>
              <w:left w:val="nil"/>
              <w:bottom w:val="single" w:color="auto" w:sz="4" w:space="0"/>
              <w:right w:val="single" w:color="auto" w:sz="4" w:space="0"/>
            </w:tcBorders>
            <w:shd w:val="clear" w:color="auto" w:fill="auto"/>
            <w:vAlign w:val="center"/>
          </w:tcPr>
          <w:p>
            <w:pPr>
              <w:pStyle w:val="167"/>
              <w:rPr>
                <w:rFonts w:hint="default" w:ascii="Times New Roman" w:hAnsi="Times New Roman" w:cs="Times New Roman"/>
                <w:color w:val="auto"/>
                <w:sz w:val="21"/>
                <w:szCs w:val="21"/>
                <w:lang w:val="en-US" w:eastAsia="zh-CN"/>
              </w:rPr>
            </w:pPr>
          </w:p>
        </w:tc>
        <w:tc>
          <w:tcPr>
            <w:tcW w:w="1006" w:type="pct"/>
            <w:vMerge w:val="continue"/>
            <w:tcBorders>
              <w:left w:val="nil"/>
              <w:bottom w:val="single" w:color="auto" w:sz="4" w:space="0"/>
              <w:right w:val="single" w:color="auto" w:sz="4" w:space="0"/>
            </w:tcBorders>
            <w:shd w:val="clear" w:color="auto" w:fill="auto"/>
            <w:vAlign w:val="center"/>
          </w:tcPr>
          <w:p>
            <w:pPr>
              <w:pStyle w:val="167"/>
              <w:rPr>
                <w:rFonts w:hint="default" w:ascii="Times New Roman" w:hAnsi="Times New Roman" w:cs="Times New Roman"/>
                <w:color w:val="auto"/>
                <w:sz w:val="21"/>
                <w:szCs w:val="21"/>
                <w:lang w:val="en-US" w:eastAsia="zh-CN"/>
              </w:rPr>
            </w:pPr>
          </w:p>
        </w:tc>
        <w:tc>
          <w:tcPr>
            <w:tcW w:w="441" w:type="pct"/>
            <w:vMerge w:val="continue"/>
            <w:tcBorders>
              <w:left w:val="nil"/>
              <w:bottom w:val="single" w:color="auto" w:sz="4" w:space="0"/>
              <w:right w:val="single" w:color="auto" w:sz="4" w:space="0"/>
            </w:tcBorders>
            <w:shd w:val="clear" w:color="auto" w:fill="auto"/>
            <w:vAlign w:val="center"/>
          </w:tcPr>
          <w:p>
            <w:pPr>
              <w:pStyle w:val="167"/>
              <w:rPr>
                <w:rFonts w:hint="default" w:ascii="Times New Roman" w:hAnsi="Times New Roman" w:cs="Times New Roman"/>
                <w:color w:val="auto"/>
                <w:sz w:val="21"/>
                <w:szCs w:val="21"/>
                <w:lang w:eastAsia="zh-CN"/>
              </w:rPr>
            </w:pPr>
          </w:p>
        </w:tc>
      </w:tr>
      <w:tr>
        <w:tblPrEx>
          <w:tblCellMar>
            <w:top w:w="0" w:type="dxa"/>
            <w:left w:w="108" w:type="dxa"/>
            <w:bottom w:w="0" w:type="dxa"/>
            <w:right w:w="108" w:type="dxa"/>
          </w:tblCellMar>
        </w:tblPrEx>
        <w:trPr>
          <w:trHeight w:val="340" w:hRule="atLeast"/>
          <w:jc w:val="center"/>
        </w:trPr>
        <w:tc>
          <w:tcPr>
            <w:tcW w:w="657" w:type="pct"/>
            <w:vMerge w:val="continue"/>
            <w:tcBorders>
              <w:left w:val="single" w:color="auto" w:sz="4" w:space="0"/>
              <w:bottom w:val="single" w:color="auto" w:sz="4" w:space="0"/>
              <w:right w:val="single" w:color="auto" w:sz="4" w:space="0"/>
            </w:tcBorders>
            <w:vAlign w:val="center"/>
          </w:tcPr>
          <w:p>
            <w:pPr>
              <w:pStyle w:val="167"/>
              <w:rPr>
                <w:rFonts w:hint="default" w:ascii="Times New Roman" w:hAnsi="Times New Roman" w:cs="Times New Roman"/>
                <w:color w:val="auto"/>
                <w:sz w:val="21"/>
                <w:szCs w:val="21"/>
              </w:rPr>
            </w:pPr>
          </w:p>
        </w:tc>
        <w:tc>
          <w:tcPr>
            <w:tcW w:w="1786" w:type="pct"/>
            <w:tcBorders>
              <w:top w:val="nil"/>
              <w:left w:val="single" w:color="auto" w:sz="4" w:space="0"/>
              <w:bottom w:val="single" w:color="auto" w:sz="4" w:space="0"/>
              <w:right w:val="single" w:color="auto" w:sz="4" w:space="0"/>
            </w:tcBorders>
            <w:shd w:val="clear" w:color="auto" w:fill="auto"/>
            <w:vAlign w:val="center"/>
          </w:tcPr>
          <w:p>
            <w:pPr>
              <w:pStyle w:val="167"/>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年产20GW单晶硅拉棒生产线项目</w:t>
            </w:r>
          </w:p>
        </w:tc>
        <w:tc>
          <w:tcPr>
            <w:tcW w:w="629" w:type="pct"/>
            <w:tcBorders>
              <w:top w:val="single" w:color="auto" w:sz="4" w:space="0"/>
              <w:left w:val="nil"/>
              <w:bottom w:val="single" w:color="auto" w:sz="4" w:space="0"/>
              <w:right w:val="single" w:color="auto" w:sz="4" w:space="0"/>
            </w:tcBorders>
            <w:vAlign w:val="center"/>
          </w:tcPr>
          <w:p>
            <w:pPr>
              <w:pStyle w:val="167"/>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正在建设过程中</w:t>
            </w:r>
          </w:p>
        </w:tc>
        <w:tc>
          <w:tcPr>
            <w:tcW w:w="479" w:type="pct"/>
            <w:tcBorders>
              <w:top w:val="nil"/>
              <w:left w:val="nil"/>
              <w:bottom w:val="single" w:color="auto" w:sz="4" w:space="0"/>
              <w:right w:val="single" w:color="auto" w:sz="4" w:space="0"/>
            </w:tcBorders>
            <w:shd w:val="clear" w:color="auto" w:fill="auto"/>
            <w:vAlign w:val="center"/>
          </w:tcPr>
          <w:p>
            <w:pPr>
              <w:pStyle w:val="167"/>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6584.32</w:t>
            </w:r>
          </w:p>
        </w:tc>
        <w:tc>
          <w:tcPr>
            <w:tcW w:w="1006" w:type="pct"/>
            <w:tcBorders>
              <w:top w:val="nil"/>
              <w:left w:val="nil"/>
              <w:bottom w:val="single" w:color="auto" w:sz="4" w:space="0"/>
              <w:right w:val="single" w:color="auto" w:sz="4" w:space="0"/>
            </w:tcBorders>
            <w:shd w:val="clear" w:color="auto" w:fill="auto"/>
            <w:vAlign w:val="center"/>
          </w:tcPr>
          <w:p>
            <w:pPr>
              <w:pStyle w:val="167"/>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COD：81.55、氨氮：3.77、氟化物：8.49</w:t>
            </w:r>
          </w:p>
        </w:tc>
        <w:tc>
          <w:tcPr>
            <w:tcW w:w="441" w:type="pct"/>
            <w:tcBorders>
              <w:top w:val="nil"/>
              <w:left w:val="nil"/>
              <w:bottom w:val="single" w:color="auto" w:sz="4" w:space="0"/>
              <w:right w:val="single" w:color="auto" w:sz="4" w:space="0"/>
            </w:tcBorders>
            <w:shd w:val="clear" w:color="auto" w:fill="auto"/>
            <w:vAlign w:val="center"/>
          </w:tcPr>
          <w:p>
            <w:pPr>
              <w:pStyle w:val="167"/>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环评批复文件</w:t>
            </w:r>
          </w:p>
        </w:tc>
      </w:tr>
      <w:tr>
        <w:tblPrEx>
          <w:tblCellMar>
            <w:top w:w="0" w:type="dxa"/>
            <w:left w:w="108" w:type="dxa"/>
            <w:bottom w:w="0" w:type="dxa"/>
            <w:right w:w="108" w:type="dxa"/>
          </w:tblCellMar>
        </w:tblPrEx>
        <w:trPr>
          <w:trHeight w:val="340" w:hRule="atLeast"/>
          <w:jc w:val="center"/>
        </w:trPr>
        <w:tc>
          <w:tcPr>
            <w:tcW w:w="657" w:type="pct"/>
            <w:tcBorders>
              <w:top w:val="nil"/>
              <w:left w:val="single" w:color="auto" w:sz="4" w:space="0"/>
              <w:bottom w:val="single" w:color="auto" w:sz="4" w:space="0"/>
              <w:right w:val="single" w:color="auto" w:sz="4" w:space="0"/>
            </w:tcBorders>
            <w:vAlign w:val="center"/>
          </w:tcPr>
          <w:p>
            <w:pPr>
              <w:pStyle w:val="167"/>
              <w:rPr>
                <w:rFonts w:hint="default" w:ascii="Times New Roman" w:hAnsi="Times New Roman" w:eastAsia="宋体" w:cs="Times New Roman"/>
                <w:i w:val="0"/>
                <w:iCs w:val="0"/>
                <w:caps w:val="0"/>
                <w:color w:val="auto"/>
                <w:spacing w:val="0"/>
                <w:sz w:val="21"/>
                <w:szCs w:val="21"/>
                <w:shd w:val="clear" w:fill="FFFFFF"/>
              </w:rPr>
            </w:pPr>
            <w:r>
              <w:rPr>
                <w:rFonts w:hint="default" w:ascii="Times New Roman" w:hAnsi="Times New Roman" w:eastAsia="宋体" w:cs="Times New Roman"/>
                <w:i w:val="0"/>
                <w:iCs w:val="0"/>
                <w:caps w:val="0"/>
                <w:color w:val="auto"/>
                <w:spacing w:val="0"/>
                <w:sz w:val="21"/>
                <w:szCs w:val="21"/>
                <w:shd w:val="clear" w:fill="FFFFFF"/>
              </w:rPr>
              <w:t>晶科能源（楚雄）有限公司</w:t>
            </w:r>
          </w:p>
        </w:tc>
        <w:tc>
          <w:tcPr>
            <w:tcW w:w="1786" w:type="pct"/>
            <w:tcBorders>
              <w:top w:val="nil"/>
              <w:left w:val="single" w:color="auto" w:sz="4" w:space="0"/>
              <w:bottom w:val="single" w:color="auto" w:sz="4" w:space="0"/>
              <w:right w:val="single" w:color="auto" w:sz="4" w:space="0"/>
            </w:tcBorders>
            <w:shd w:val="clear" w:color="auto" w:fill="auto"/>
            <w:vAlign w:val="center"/>
          </w:tcPr>
          <w:p>
            <w:pPr>
              <w:pStyle w:val="167"/>
              <w:rPr>
                <w:rFonts w:hint="default" w:ascii="Times New Roman" w:hAnsi="Times New Roman" w:eastAsia="宋体" w:cs="Times New Roman"/>
                <w:i w:val="0"/>
                <w:iCs w:val="0"/>
                <w:caps w:val="0"/>
                <w:color w:val="auto"/>
                <w:spacing w:val="0"/>
                <w:sz w:val="21"/>
                <w:szCs w:val="21"/>
                <w:shd w:val="clear" w:fill="FFFFFF"/>
              </w:rPr>
            </w:pPr>
            <w:r>
              <w:rPr>
                <w:rFonts w:hint="default" w:ascii="Times New Roman" w:hAnsi="Times New Roman" w:eastAsia="宋体" w:cs="Times New Roman"/>
                <w:i w:val="0"/>
                <w:iCs w:val="0"/>
                <w:caps w:val="0"/>
                <w:color w:val="auto"/>
                <w:spacing w:val="0"/>
                <w:sz w:val="21"/>
                <w:szCs w:val="21"/>
                <w:shd w:val="clear" w:fill="FFFFFF"/>
              </w:rPr>
              <w:t>晶科能源（楚雄）有限公司年产20吉瓦高效太阳能电池片生产线建设一期项目</w:t>
            </w:r>
          </w:p>
        </w:tc>
        <w:tc>
          <w:tcPr>
            <w:tcW w:w="629" w:type="pct"/>
            <w:tcBorders>
              <w:top w:val="single" w:color="auto" w:sz="4" w:space="0"/>
              <w:left w:val="nil"/>
              <w:bottom w:val="single" w:color="auto" w:sz="4" w:space="0"/>
              <w:right w:val="single" w:color="auto" w:sz="4" w:space="0"/>
            </w:tcBorders>
            <w:vAlign w:val="center"/>
          </w:tcPr>
          <w:p>
            <w:pPr>
              <w:pStyle w:val="167"/>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正在建设过程中</w:t>
            </w:r>
          </w:p>
        </w:tc>
        <w:tc>
          <w:tcPr>
            <w:tcW w:w="479" w:type="pct"/>
            <w:tcBorders>
              <w:top w:val="nil"/>
              <w:left w:val="nil"/>
              <w:bottom w:val="single" w:color="auto" w:sz="4" w:space="0"/>
              <w:right w:val="single" w:color="auto" w:sz="4" w:space="0"/>
            </w:tcBorders>
            <w:shd w:val="clear" w:color="auto" w:fill="auto"/>
            <w:vAlign w:val="center"/>
          </w:tcPr>
          <w:p>
            <w:pPr>
              <w:pStyle w:val="167"/>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r>
              <w:rPr>
                <w:rFonts w:hint="default" w:ascii="Times New Roman" w:hAnsi="Times New Roman" w:cs="Times New Roman"/>
                <w:color w:val="auto"/>
                <w:sz w:val="21"/>
                <w:szCs w:val="21"/>
                <w:lang w:val="en-US" w:eastAsia="zh-CN"/>
              </w:rPr>
              <w:t>0772.86（其中5000m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vertAlign w:val="baseline"/>
                <w:lang w:val="en-US" w:eastAsia="zh-CN"/>
              </w:rPr>
              <w:t>回用</w:t>
            </w:r>
            <w:r>
              <w:rPr>
                <w:rFonts w:hint="default" w:ascii="Times New Roman" w:hAnsi="Times New Roman" w:cs="Times New Roman"/>
                <w:color w:val="auto"/>
                <w:sz w:val="21"/>
                <w:szCs w:val="21"/>
                <w:lang w:val="en-US" w:eastAsia="zh-CN"/>
              </w:rPr>
              <w:t>）</w:t>
            </w:r>
          </w:p>
        </w:tc>
        <w:tc>
          <w:tcPr>
            <w:tcW w:w="1006" w:type="pct"/>
            <w:tcBorders>
              <w:top w:val="nil"/>
              <w:left w:val="nil"/>
              <w:bottom w:val="single" w:color="auto" w:sz="4" w:space="0"/>
              <w:right w:val="single" w:color="auto" w:sz="4" w:space="0"/>
            </w:tcBorders>
            <w:shd w:val="clear" w:color="auto" w:fill="auto"/>
            <w:vAlign w:val="center"/>
          </w:tcPr>
          <w:p>
            <w:pPr>
              <w:pStyle w:val="167"/>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COD：391.900</w:t>
            </w:r>
          </w:p>
          <w:p>
            <w:pPr>
              <w:pStyle w:val="167"/>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氨氮：4.347</w:t>
            </w:r>
          </w:p>
          <w:p>
            <w:pPr>
              <w:pStyle w:val="167"/>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氟化物：16.952</w:t>
            </w:r>
          </w:p>
        </w:tc>
        <w:tc>
          <w:tcPr>
            <w:tcW w:w="441" w:type="pct"/>
            <w:tcBorders>
              <w:top w:val="nil"/>
              <w:left w:val="nil"/>
              <w:bottom w:val="single" w:color="auto" w:sz="4" w:space="0"/>
              <w:right w:val="single" w:color="auto" w:sz="4" w:space="0"/>
            </w:tcBorders>
            <w:shd w:val="clear" w:color="auto" w:fill="auto"/>
            <w:vAlign w:val="center"/>
          </w:tcPr>
          <w:p>
            <w:pPr>
              <w:pStyle w:val="167"/>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环评批复文件</w:t>
            </w:r>
          </w:p>
        </w:tc>
      </w:tr>
      <w:tr>
        <w:tblPrEx>
          <w:tblCellMar>
            <w:top w:w="0" w:type="dxa"/>
            <w:left w:w="108" w:type="dxa"/>
            <w:bottom w:w="0" w:type="dxa"/>
            <w:right w:w="108" w:type="dxa"/>
          </w:tblCellMar>
        </w:tblPrEx>
        <w:trPr>
          <w:trHeight w:val="340" w:hRule="atLeast"/>
          <w:jc w:val="center"/>
        </w:trPr>
        <w:tc>
          <w:tcPr>
            <w:tcW w:w="657" w:type="pct"/>
            <w:tcBorders>
              <w:top w:val="nil"/>
              <w:left w:val="single" w:color="auto" w:sz="4" w:space="0"/>
              <w:bottom w:val="single" w:color="auto" w:sz="4" w:space="0"/>
              <w:right w:val="single" w:color="auto" w:sz="4" w:space="0"/>
            </w:tcBorders>
            <w:vAlign w:val="center"/>
          </w:tcPr>
          <w:p>
            <w:pPr>
              <w:pStyle w:val="167"/>
              <w:rPr>
                <w:rFonts w:hint="default" w:ascii="Times New Roman" w:hAnsi="Times New Roman" w:eastAsia="宋体" w:cs="Times New Roman"/>
                <w:i w:val="0"/>
                <w:iCs w:val="0"/>
                <w:caps w:val="0"/>
                <w:color w:val="auto"/>
                <w:spacing w:val="0"/>
                <w:sz w:val="21"/>
                <w:szCs w:val="21"/>
                <w:shd w:val="clear" w:fill="FFFFFF"/>
              </w:rPr>
            </w:pPr>
            <w:r>
              <w:rPr>
                <w:rFonts w:hint="default" w:ascii="Times New Roman" w:hAnsi="Times New Roman" w:eastAsia="宋体" w:cs="Times New Roman"/>
                <w:i w:val="0"/>
                <w:iCs w:val="0"/>
                <w:caps w:val="0"/>
                <w:color w:val="auto"/>
                <w:spacing w:val="0"/>
                <w:sz w:val="21"/>
                <w:szCs w:val="21"/>
                <w:shd w:val="clear" w:fill="FFFFFF"/>
                <w:lang w:val="en-US" w:eastAsia="zh-CN"/>
              </w:rPr>
              <w:t>湖南方盛制药股份有限公司</w:t>
            </w:r>
          </w:p>
        </w:tc>
        <w:tc>
          <w:tcPr>
            <w:tcW w:w="1786" w:type="pct"/>
            <w:tcBorders>
              <w:top w:val="nil"/>
              <w:left w:val="single" w:color="auto" w:sz="4" w:space="0"/>
              <w:bottom w:val="single" w:color="auto" w:sz="4" w:space="0"/>
              <w:right w:val="single" w:color="auto" w:sz="4" w:space="0"/>
            </w:tcBorders>
            <w:shd w:val="clear" w:color="auto" w:fill="auto"/>
            <w:vAlign w:val="center"/>
          </w:tcPr>
          <w:p>
            <w:pPr>
              <w:pStyle w:val="167"/>
              <w:rPr>
                <w:rFonts w:hint="default" w:ascii="Times New Roman" w:hAnsi="Times New Roman" w:eastAsia="宋体" w:cs="Times New Roman"/>
                <w:i w:val="0"/>
                <w:iCs w:val="0"/>
                <w:caps w:val="0"/>
                <w:color w:val="auto"/>
                <w:spacing w:val="0"/>
                <w:sz w:val="21"/>
                <w:szCs w:val="21"/>
                <w:shd w:val="clear" w:fill="FFFFFF"/>
              </w:rPr>
            </w:pPr>
            <w:r>
              <w:rPr>
                <w:rFonts w:hint="default" w:ascii="Times New Roman" w:hAnsi="Times New Roman" w:eastAsia="宋体" w:cs="Times New Roman"/>
                <w:i w:val="0"/>
                <w:iCs w:val="0"/>
                <w:caps w:val="0"/>
                <w:color w:val="auto"/>
                <w:spacing w:val="0"/>
                <w:sz w:val="21"/>
                <w:szCs w:val="21"/>
                <w:shd w:val="clear" w:fill="FFFFFF"/>
                <w:lang w:val="en-US" w:eastAsia="zh-CN"/>
              </w:rPr>
              <w:t>湖南方盛制药股份有限公司工业大麻加工基地建设项目</w:t>
            </w:r>
          </w:p>
        </w:tc>
        <w:tc>
          <w:tcPr>
            <w:tcW w:w="629" w:type="pct"/>
            <w:tcBorders>
              <w:top w:val="single" w:color="auto" w:sz="4" w:space="0"/>
              <w:left w:val="nil"/>
              <w:bottom w:val="single" w:color="auto" w:sz="4" w:space="0"/>
              <w:right w:val="single" w:color="auto" w:sz="4" w:space="0"/>
            </w:tcBorders>
            <w:vAlign w:val="center"/>
          </w:tcPr>
          <w:p>
            <w:pPr>
              <w:pStyle w:val="167"/>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已建成投产已验收</w:t>
            </w:r>
          </w:p>
        </w:tc>
        <w:tc>
          <w:tcPr>
            <w:tcW w:w="479" w:type="pct"/>
            <w:tcBorders>
              <w:top w:val="nil"/>
              <w:left w:val="nil"/>
              <w:bottom w:val="single" w:color="auto" w:sz="4" w:space="0"/>
              <w:right w:val="single" w:color="auto" w:sz="4" w:space="0"/>
            </w:tcBorders>
            <w:shd w:val="clear" w:color="auto" w:fill="auto"/>
            <w:vAlign w:val="center"/>
          </w:tcPr>
          <w:p>
            <w:pPr>
              <w:pStyle w:val="167"/>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55.99</w:t>
            </w:r>
          </w:p>
        </w:tc>
        <w:tc>
          <w:tcPr>
            <w:tcW w:w="1006" w:type="pct"/>
            <w:tcBorders>
              <w:top w:val="nil"/>
              <w:left w:val="nil"/>
              <w:bottom w:val="single" w:color="auto" w:sz="4" w:space="0"/>
              <w:right w:val="single" w:color="auto" w:sz="4" w:space="0"/>
            </w:tcBorders>
            <w:shd w:val="clear" w:color="auto" w:fill="auto"/>
            <w:vAlign w:val="center"/>
          </w:tcPr>
          <w:p>
            <w:pPr>
              <w:pStyle w:val="167"/>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COD：1.49</w:t>
            </w:r>
          </w:p>
          <w:p>
            <w:pPr>
              <w:pStyle w:val="167"/>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氨氮：0.109</w:t>
            </w:r>
          </w:p>
        </w:tc>
        <w:tc>
          <w:tcPr>
            <w:tcW w:w="441" w:type="pct"/>
            <w:tcBorders>
              <w:top w:val="nil"/>
              <w:left w:val="nil"/>
              <w:bottom w:val="single" w:color="auto" w:sz="4" w:space="0"/>
              <w:right w:val="single" w:color="auto" w:sz="4" w:space="0"/>
            </w:tcBorders>
            <w:shd w:val="clear" w:color="auto" w:fill="auto"/>
            <w:vAlign w:val="center"/>
          </w:tcPr>
          <w:p>
            <w:pPr>
              <w:pStyle w:val="167"/>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验收报告</w:t>
            </w:r>
          </w:p>
        </w:tc>
      </w:tr>
      <w:tr>
        <w:tblPrEx>
          <w:tblCellMar>
            <w:top w:w="0" w:type="dxa"/>
            <w:left w:w="108" w:type="dxa"/>
            <w:bottom w:w="0" w:type="dxa"/>
            <w:right w:w="108" w:type="dxa"/>
          </w:tblCellMar>
        </w:tblPrEx>
        <w:trPr>
          <w:trHeight w:val="340" w:hRule="atLeast"/>
          <w:jc w:val="center"/>
        </w:trPr>
        <w:tc>
          <w:tcPr>
            <w:tcW w:w="657" w:type="pct"/>
            <w:tcBorders>
              <w:top w:val="nil"/>
              <w:left w:val="single" w:color="auto" w:sz="4" w:space="0"/>
              <w:bottom w:val="single" w:color="auto" w:sz="4" w:space="0"/>
              <w:right w:val="single" w:color="auto" w:sz="4" w:space="0"/>
            </w:tcBorders>
            <w:vAlign w:val="center"/>
          </w:tcPr>
          <w:p>
            <w:pPr>
              <w:pStyle w:val="167"/>
              <w:rPr>
                <w:rFonts w:hint="default" w:ascii="Times New Roman" w:hAnsi="Times New Roman" w:eastAsia="宋体" w:cs="Times New Roman"/>
                <w:i w:val="0"/>
                <w:iCs w:val="0"/>
                <w:caps w:val="0"/>
                <w:color w:val="auto"/>
                <w:spacing w:val="0"/>
                <w:sz w:val="21"/>
                <w:szCs w:val="21"/>
                <w:shd w:val="clear" w:fill="FFFFFF"/>
              </w:rPr>
            </w:pPr>
            <w:r>
              <w:rPr>
                <w:rFonts w:hint="default" w:ascii="Times New Roman" w:hAnsi="Times New Roman" w:eastAsia="宋体" w:cs="Times New Roman"/>
                <w:i w:val="0"/>
                <w:iCs w:val="0"/>
                <w:caps w:val="0"/>
                <w:color w:val="auto"/>
                <w:spacing w:val="0"/>
                <w:sz w:val="21"/>
                <w:szCs w:val="21"/>
                <w:shd w:val="clear" w:fill="FFFFFF"/>
                <w:lang w:val="en-US" w:eastAsia="zh-CN"/>
              </w:rPr>
              <w:fldChar w:fldCharType="begin"/>
            </w:r>
            <w:r>
              <w:rPr>
                <w:rFonts w:hint="default" w:ascii="Times New Roman" w:hAnsi="Times New Roman" w:eastAsia="宋体" w:cs="Times New Roman"/>
                <w:i w:val="0"/>
                <w:iCs w:val="0"/>
                <w:caps w:val="0"/>
                <w:color w:val="auto"/>
                <w:spacing w:val="0"/>
                <w:sz w:val="21"/>
                <w:szCs w:val="21"/>
                <w:shd w:val="clear" w:fill="FFFFFF"/>
                <w:lang w:val="en-US" w:eastAsia="zh-CN"/>
              </w:rPr>
              <w:instrText xml:space="preserve"> HYPERLINK "https://www.so.com/link?m=bJ+82hqSEXCnhUK88ehDzCBf+qUH2pCFNFcsnc3fDTI1i2isszS7DH7oXx3Luoqb0DmjhS0j9jqW64xCjGy7j7Et7kHOjxq/crOesEq2g5Qtsu8wuAn0jvuHXSzgUSsAsE5/sjTQMnOAEruDed/EM5QQnmarPjKG9Z2PBaRgo/8C6DN29i5TClSYTj6+sXenk" \t "https://www.so.com/_blank" </w:instrText>
            </w:r>
            <w:r>
              <w:rPr>
                <w:rFonts w:hint="default" w:ascii="Times New Roman" w:hAnsi="Times New Roman" w:eastAsia="宋体" w:cs="Times New Roman"/>
                <w:i w:val="0"/>
                <w:iCs w:val="0"/>
                <w:caps w:val="0"/>
                <w:color w:val="auto"/>
                <w:spacing w:val="0"/>
                <w:sz w:val="21"/>
                <w:szCs w:val="21"/>
                <w:shd w:val="clear" w:fill="FFFFFF"/>
                <w:lang w:val="en-US" w:eastAsia="zh-CN"/>
              </w:rPr>
              <w:fldChar w:fldCharType="separate"/>
            </w:r>
            <w:r>
              <w:rPr>
                <w:rFonts w:hint="default" w:ascii="Times New Roman" w:hAnsi="Times New Roman" w:eastAsia="宋体" w:cs="Times New Roman"/>
                <w:i w:val="0"/>
                <w:iCs w:val="0"/>
                <w:caps w:val="0"/>
                <w:color w:val="auto"/>
                <w:spacing w:val="0"/>
                <w:sz w:val="21"/>
                <w:szCs w:val="21"/>
                <w:shd w:val="clear" w:fill="FFFFFF"/>
                <w:lang w:val="en-US" w:eastAsia="zh-CN"/>
              </w:rPr>
              <w:t>云南赛维汉普科技有限公司</w:t>
            </w:r>
            <w:r>
              <w:rPr>
                <w:rFonts w:hint="default" w:ascii="Times New Roman" w:hAnsi="Times New Roman" w:eastAsia="宋体" w:cs="Times New Roman"/>
                <w:i w:val="0"/>
                <w:iCs w:val="0"/>
                <w:caps w:val="0"/>
                <w:color w:val="auto"/>
                <w:spacing w:val="0"/>
                <w:sz w:val="21"/>
                <w:szCs w:val="21"/>
                <w:shd w:val="clear" w:fill="FFFFFF"/>
                <w:lang w:val="en-US" w:eastAsia="zh-CN"/>
              </w:rPr>
              <w:fldChar w:fldCharType="end"/>
            </w:r>
          </w:p>
        </w:tc>
        <w:tc>
          <w:tcPr>
            <w:tcW w:w="1786" w:type="pct"/>
            <w:tcBorders>
              <w:top w:val="nil"/>
              <w:left w:val="single" w:color="auto" w:sz="4" w:space="0"/>
              <w:bottom w:val="single" w:color="auto" w:sz="4" w:space="0"/>
              <w:right w:val="single" w:color="auto" w:sz="4" w:space="0"/>
            </w:tcBorders>
            <w:shd w:val="clear" w:color="auto" w:fill="auto"/>
            <w:vAlign w:val="center"/>
          </w:tcPr>
          <w:p>
            <w:pPr>
              <w:pStyle w:val="167"/>
              <w:rPr>
                <w:rFonts w:hint="default" w:ascii="Times New Roman" w:hAnsi="Times New Roman" w:eastAsia="宋体" w:cs="Times New Roman"/>
                <w:i w:val="0"/>
                <w:iCs w:val="0"/>
                <w:caps w:val="0"/>
                <w:color w:val="auto"/>
                <w:spacing w:val="0"/>
                <w:sz w:val="21"/>
                <w:szCs w:val="21"/>
                <w:shd w:val="clear" w:fill="FFFFFF"/>
              </w:rPr>
            </w:pPr>
            <w:r>
              <w:rPr>
                <w:rFonts w:hint="default" w:ascii="Times New Roman" w:hAnsi="Times New Roman" w:eastAsia="宋体" w:cs="Times New Roman"/>
                <w:i w:val="0"/>
                <w:iCs w:val="0"/>
                <w:caps w:val="0"/>
                <w:color w:val="auto"/>
                <w:spacing w:val="0"/>
                <w:sz w:val="21"/>
                <w:szCs w:val="21"/>
                <w:shd w:val="clear" w:fill="FFFFFF"/>
                <w:lang w:val="en-US" w:eastAsia="zh-CN"/>
              </w:rPr>
              <w:t>云南赛维汉普 500 吨花叶加工提取大麻二酚项目</w:t>
            </w:r>
          </w:p>
        </w:tc>
        <w:tc>
          <w:tcPr>
            <w:tcW w:w="629" w:type="pct"/>
            <w:tcBorders>
              <w:top w:val="single" w:color="auto" w:sz="4" w:space="0"/>
              <w:left w:val="nil"/>
              <w:bottom w:val="single" w:color="auto" w:sz="4" w:space="0"/>
              <w:right w:val="single" w:color="auto" w:sz="4" w:space="0"/>
            </w:tcBorders>
            <w:vAlign w:val="center"/>
          </w:tcPr>
          <w:p>
            <w:pPr>
              <w:pStyle w:val="167"/>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正在建设过程中</w:t>
            </w:r>
          </w:p>
        </w:tc>
        <w:tc>
          <w:tcPr>
            <w:tcW w:w="479" w:type="pct"/>
            <w:tcBorders>
              <w:top w:val="nil"/>
              <w:left w:val="nil"/>
              <w:bottom w:val="single" w:color="auto" w:sz="4" w:space="0"/>
              <w:right w:val="single" w:color="auto" w:sz="4" w:space="0"/>
            </w:tcBorders>
            <w:shd w:val="clear" w:color="auto" w:fill="auto"/>
            <w:vAlign w:val="center"/>
          </w:tcPr>
          <w:p>
            <w:pPr>
              <w:pStyle w:val="167"/>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7.77</w:t>
            </w:r>
          </w:p>
        </w:tc>
        <w:tc>
          <w:tcPr>
            <w:tcW w:w="1006" w:type="pct"/>
            <w:tcBorders>
              <w:top w:val="nil"/>
              <w:left w:val="nil"/>
              <w:bottom w:val="single" w:color="auto" w:sz="4" w:space="0"/>
              <w:right w:val="single" w:color="auto" w:sz="4" w:space="0"/>
            </w:tcBorders>
            <w:shd w:val="clear" w:color="auto" w:fill="auto"/>
            <w:vAlign w:val="center"/>
          </w:tcPr>
          <w:p>
            <w:pPr>
              <w:pStyle w:val="167"/>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COD：0.97</w:t>
            </w:r>
          </w:p>
          <w:p>
            <w:pPr>
              <w:pStyle w:val="167"/>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氨氮：0.07</w:t>
            </w:r>
          </w:p>
        </w:tc>
        <w:tc>
          <w:tcPr>
            <w:tcW w:w="441" w:type="pct"/>
            <w:tcBorders>
              <w:top w:val="nil"/>
              <w:left w:val="nil"/>
              <w:bottom w:val="single" w:color="auto" w:sz="4" w:space="0"/>
              <w:right w:val="single" w:color="auto" w:sz="4" w:space="0"/>
            </w:tcBorders>
            <w:shd w:val="clear" w:color="auto" w:fill="auto"/>
            <w:vAlign w:val="center"/>
          </w:tcPr>
          <w:p>
            <w:pPr>
              <w:pStyle w:val="167"/>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环评批复文件</w:t>
            </w:r>
          </w:p>
        </w:tc>
      </w:tr>
      <w:tr>
        <w:trPr>
          <w:trHeight w:val="340" w:hRule="atLeast"/>
          <w:jc w:val="center"/>
        </w:trPr>
        <w:tc>
          <w:tcPr>
            <w:tcW w:w="657" w:type="pct"/>
            <w:tcBorders>
              <w:top w:val="nil"/>
              <w:left w:val="single" w:color="auto" w:sz="4" w:space="0"/>
              <w:bottom w:val="single" w:color="auto" w:sz="4" w:space="0"/>
              <w:right w:val="single" w:color="auto" w:sz="4" w:space="0"/>
            </w:tcBorders>
            <w:vAlign w:val="center"/>
          </w:tcPr>
          <w:p>
            <w:pPr>
              <w:pStyle w:val="167"/>
              <w:rPr>
                <w:rFonts w:hint="default" w:ascii="Times New Roman" w:hAnsi="Times New Roman" w:eastAsia="宋体" w:cs="Times New Roman"/>
                <w:i w:val="0"/>
                <w:iCs w:val="0"/>
                <w:caps w:val="0"/>
                <w:color w:val="auto"/>
                <w:spacing w:val="0"/>
                <w:sz w:val="21"/>
                <w:szCs w:val="21"/>
                <w:shd w:val="clear" w:fill="FFFFFF"/>
              </w:rPr>
            </w:pPr>
            <w:r>
              <w:rPr>
                <w:rFonts w:hint="default" w:ascii="Times New Roman" w:hAnsi="Times New Roman" w:eastAsia="宋体" w:cs="Times New Roman"/>
                <w:i w:val="0"/>
                <w:iCs w:val="0"/>
                <w:caps w:val="0"/>
                <w:color w:val="auto"/>
                <w:spacing w:val="0"/>
                <w:sz w:val="21"/>
                <w:szCs w:val="21"/>
                <w:shd w:val="clear" w:fill="FFFFFF"/>
                <w:lang w:val="en-US" w:eastAsia="zh-CN"/>
              </w:rPr>
              <w:t>云南麻叶生物科技有限公司</w:t>
            </w:r>
          </w:p>
        </w:tc>
        <w:tc>
          <w:tcPr>
            <w:tcW w:w="1786" w:type="pct"/>
            <w:tcBorders>
              <w:top w:val="nil"/>
              <w:left w:val="single" w:color="auto" w:sz="4" w:space="0"/>
              <w:bottom w:val="single" w:color="auto" w:sz="4" w:space="0"/>
              <w:right w:val="single" w:color="auto" w:sz="4" w:space="0"/>
            </w:tcBorders>
            <w:shd w:val="clear" w:color="auto" w:fill="auto"/>
            <w:vAlign w:val="center"/>
          </w:tcPr>
          <w:p>
            <w:pPr>
              <w:pStyle w:val="167"/>
              <w:rPr>
                <w:rFonts w:hint="default" w:ascii="Times New Roman" w:hAnsi="Times New Roman" w:eastAsia="宋体" w:cs="Times New Roman"/>
                <w:i w:val="0"/>
                <w:iCs w:val="0"/>
                <w:caps w:val="0"/>
                <w:color w:val="auto"/>
                <w:spacing w:val="0"/>
                <w:sz w:val="21"/>
                <w:szCs w:val="21"/>
                <w:shd w:val="clear" w:fill="FFFFFF"/>
              </w:rPr>
            </w:pPr>
            <w:r>
              <w:rPr>
                <w:rFonts w:hint="default" w:ascii="Times New Roman" w:hAnsi="Times New Roman" w:eastAsia="宋体" w:cs="Times New Roman"/>
                <w:i w:val="0"/>
                <w:iCs w:val="0"/>
                <w:caps w:val="0"/>
                <w:color w:val="auto"/>
                <w:spacing w:val="0"/>
                <w:sz w:val="21"/>
                <w:szCs w:val="21"/>
                <w:shd w:val="clear" w:fill="FFFFFF"/>
                <w:lang w:val="en-US" w:eastAsia="zh-CN"/>
              </w:rPr>
              <w:t>云南麻叶生物科技有限公司工业大麻加工建设项目</w:t>
            </w:r>
          </w:p>
        </w:tc>
        <w:tc>
          <w:tcPr>
            <w:tcW w:w="629" w:type="pct"/>
            <w:tcBorders>
              <w:top w:val="single" w:color="auto" w:sz="4" w:space="0"/>
              <w:left w:val="nil"/>
              <w:bottom w:val="single" w:color="auto" w:sz="4" w:space="0"/>
              <w:right w:val="single" w:color="auto" w:sz="4" w:space="0"/>
            </w:tcBorders>
            <w:vAlign w:val="center"/>
          </w:tcPr>
          <w:p>
            <w:pPr>
              <w:pStyle w:val="167"/>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已建成投产已验收</w:t>
            </w:r>
          </w:p>
        </w:tc>
        <w:tc>
          <w:tcPr>
            <w:tcW w:w="479" w:type="pct"/>
            <w:tcBorders>
              <w:top w:val="nil"/>
              <w:left w:val="nil"/>
              <w:bottom w:val="single" w:color="auto" w:sz="4" w:space="0"/>
              <w:right w:val="single" w:color="auto" w:sz="4" w:space="0"/>
            </w:tcBorders>
            <w:shd w:val="clear" w:color="auto" w:fill="auto"/>
            <w:vAlign w:val="center"/>
          </w:tcPr>
          <w:p>
            <w:pPr>
              <w:pStyle w:val="167"/>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34.42</w:t>
            </w:r>
          </w:p>
        </w:tc>
        <w:tc>
          <w:tcPr>
            <w:tcW w:w="1006" w:type="pct"/>
            <w:tcBorders>
              <w:top w:val="nil"/>
              <w:left w:val="nil"/>
              <w:bottom w:val="single" w:color="auto" w:sz="4" w:space="0"/>
              <w:right w:val="single" w:color="auto" w:sz="4" w:space="0"/>
            </w:tcBorders>
            <w:shd w:val="clear" w:color="auto" w:fill="auto"/>
            <w:vAlign w:val="center"/>
          </w:tcPr>
          <w:p>
            <w:pPr>
              <w:pStyle w:val="167"/>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COD：0.348</w:t>
            </w:r>
          </w:p>
          <w:p>
            <w:pPr>
              <w:pStyle w:val="167"/>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氨氮：0.001</w:t>
            </w:r>
          </w:p>
        </w:tc>
        <w:tc>
          <w:tcPr>
            <w:tcW w:w="441" w:type="pct"/>
            <w:tcBorders>
              <w:top w:val="nil"/>
              <w:left w:val="nil"/>
              <w:bottom w:val="single" w:color="auto" w:sz="4" w:space="0"/>
              <w:right w:val="single" w:color="auto" w:sz="4" w:space="0"/>
            </w:tcBorders>
            <w:shd w:val="clear" w:color="auto" w:fill="auto"/>
            <w:vAlign w:val="center"/>
          </w:tcPr>
          <w:p>
            <w:pPr>
              <w:pStyle w:val="167"/>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验收报告</w:t>
            </w:r>
          </w:p>
        </w:tc>
      </w:tr>
      <w:tr>
        <w:tblPrEx>
          <w:tblCellMar>
            <w:top w:w="0" w:type="dxa"/>
            <w:left w:w="108" w:type="dxa"/>
            <w:bottom w:w="0" w:type="dxa"/>
            <w:right w:w="108" w:type="dxa"/>
          </w:tblCellMar>
        </w:tblPrEx>
        <w:trPr>
          <w:trHeight w:val="340" w:hRule="atLeast"/>
          <w:jc w:val="center"/>
        </w:trPr>
        <w:tc>
          <w:tcPr>
            <w:tcW w:w="2443" w:type="pct"/>
            <w:gridSpan w:val="2"/>
            <w:tcBorders>
              <w:top w:val="single" w:color="auto" w:sz="4" w:space="0"/>
              <w:left w:val="single" w:color="auto" w:sz="4" w:space="0"/>
              <w:bottom w:val="single" w:color="auto" w:sz="4" w:space="0"/>
              <w:right w:val="single" w:color="auto" w:sz="4" w:space="0"/>
            </w:tcBorders>
            <w:vAlign w:val="center"/>
          </w:tcPr>
          <w:p>
            <w:pPr>
              <w:pStyle w:val="167"/>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合计</w:t>
            </w:r>
          </w:p>
        </w:tc>
        <w:tc>
          <w:tcPr>
            <w:tcW w:w="629" w:type="pct"/>
            <w:tcBorders>
              <w:top w:val="single" w:color="auto" w:sz="4" w:space="0"/>
              <w:left w:val="nil"/>
              <w:bottom w:val="single" w:color="auto" w:sz="4" w:space="0"/>
              <w:right w:val="single" w:color="auto" w:sz="4" w:space="0"/>
            </w:tcBorders>
            <w:vAlign w:val="center"/>
          </w:tcPr>
          <w:p>
            <w:pPr>
              <w:pStyle w:val="167"/>
              <w:rPr>
                <w:rFonts w:hint="default" w:ascii="Times New Roman" w:hAnsi="Times New Roman" w:cs="Times New Roman"/>
                <w:color w:val="auto"/>
                <w:sz w:val="21"/>
                <w:szCs w:val="21"/>
                <w:lang w:eastAsia="zh-CN"/>
              </w:rPr>
            </w:pPr>
          </w:p>
        </w:tc>
        <w:tc>
          <w:tcPr>
            <w:tcW w:w="479" w:type="pct"/>
            <w:tcBorders>
              <w:top w:val="single" w:color="auto" w:sz="4" w:space="0"/>
              <w:left w:val="nil"/>
              <w:bottom w:val="single" w:color="auto" w:sz="4" w:space="0"/>
              <w:right w:val="single" w:color="auto" w:sz="4" w:space="0"/>
            </w:tcBorders>
            <w:shd w:val="clear" w:color="auto" w:fill="auto"/>
            <w:vAlign w:val="center"/>
          </w:tcPr>
          <w:p>
            <w:pPr>
              <w:pStyle w:val="167"/>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16767.53</w:t>
            </w:r>
          </w:p>
        </w:tc>
        <w:tc>
          <w:tcPr>
            <w:tcW w:w="1006" w:type="pct"/>
            <w:tcBorders>
              <w:top w:val="single" w:color="auto" w:sz="4" w:space="0"/>
              <w:left w:val="nil"/>
              <w:bottom w:val="single" w:color="auto" w:sz="4" w:space="0"/>
              <w:right w:val="single" w:color="auto" w:sz="4" w:space="0"/>
            </w:tcBorders>
            <w:shd w:val="clear" w:color="auto" w:fill="auto"/>
            <w:vAlign w:val="center"/>
          </w:tcPr>
          <w:p>
            <w:pPr>
              <w:pStyle w:val="167"/>
              <w:rPr>
                <w:rFonts w:hint="default" w:ascii="Times New Roman" w:hAnsi="Times New Roman" w:cs="Times New Roman"/>
                <w:color w:val="auto"/>
                <w:sz w:val="21"/>
                <w:szCs w:val="21"/>
                <w:lang w:eastAsia="zh-CN"/>
              </w:rPr>
            </w:pPr>
          </w:p>
        </w:tc>
        <w:tc>
          <w:tcPr>
            <w:tcW w:w="441" w:type="pct"/>
            <w:tcBorders>
              <w:top w:val="single" w:color="auto" w:sz="4" w:space="0"/>
              <w:left w:val="nil"/>
              <w:bottom w:val="single" w:color="auto" w:sz="4" w:space="0"/>
              <w:right w:val="single" w:color="auto" w:sz="4" w:space="0"/>
            </w:tcBorders>
            <w:shd w:val="clear" w:color="auto" w:fill="auto"/>
            <w:vAlign w:val="center"/>
          </w:tcPr>
          <w:p>
            <w:pPr>
              <w:pStyle w:val="167"/>
              <w:rPr>
                <w:rFonts w:hint="default" w:ascii="Times New Roman" w:hAnsi="Times New Roman" w:cs="Times New Roman"/>
                <w:color w:val="auto"/>
                <w:sz w:val="21"/>
                <w:szCs w:val="21"/>
                <w:lang w:eastAsia="zh-CN"/>
              </w:rPr>
            </w:pPr>
          </w:p>
        </w:tc>
      </w:tr>
    </w:tbl>
    <w:p>
      <w:pPr>
        <w:pStyle w:val="27"/>
        <w:rPr>
          <w:rFonts w:hint="default" w:ascii="Times New Roman" w:hAnsi="Times New Roman" w:cs="Times New Roman"/>
          <w:color w:val="FF0000"/>
          <w:szCs w:val="32"/>
        </w:rPr>
        <w:sectPr>
          <w:pgSz w:w="16838" w:h="11906" w:orient="landscape"/>
          <w:pgMar w:top="1797" w:right="1440" w:bottom="1797" w:left="1440" w:header="851" w:footer="992" w:gutter="0"/>
          <w:pgBorders>
            <w:top w:val="none" w:sz="0" w:space="0"/>
            <w:left w:val="none" w:sz="0" w:space="0"/>
            <w:bottom w:val="none" w:sz="0" w:space="0"/>
            <w:right w:val="none" w:sz="0" w:space="0"/>
          </w:pgBorders>
          <w:cols w:space="0" w:num="1"/>
          <w:rtlGutter w:val="0"/>
          <w:docGrid w:linePitch="312" w:charSpace="0"/>
        </w:sectPr>
      </w:pPr>
    </w:p>
    <w:bookmarkEnd w:id="345"/>
    <w:bookmarkEnd w:id="346"/>
    <w:bookmarkEnd w:id="347"/>
    <w:bookmarkEnd w:id="348"/>
    <w:bookmarkEnd w:id="349"/>
    <w:bookmarkEnd w:id="350"/>
    <w:p>
      <w:pPr>
        <w:pStyle w:val="4"/>
        <w:spacing w:before="0" w:after="0" w:line="360" w:lineRule="auto"/>
        <w:rPr>
          <w:rFonts w:hint="default" w:ascii="Times New Roman" w:hAnsi="Times New Roman" w:eastAsia="宋体" w:cs="Times New Roman"/>
          <w:color w:val="auto"/>
          <w:sz w:val="28"/>
          <w:szCs w:val="28"/>
        </w:rPr>
      </w:pPr>
      <w:bookmarkStart w:id="356" w:name="_Toc26989"/>
      <w:bookmarkStart w:id="357" w:name="_Toc27143"/>
      <w:bookmarkStart w:id="358" w:name="_Toc3469"/>
      <w:bookmarkStart w:id="359" w:name="_Toc9628"/>
      <w:bookmarkStart w:id="360" w:name="_Toc7756"/>
      <w:bookmarkStart w:id="361" w:name="_Toc9425"/>
      <w:r>
        <w:rPr>
          <w:rFonts w:hint="default" w:ascii="Times New Roman" w:hAnsi="Times New Roman" w:eastAsia="宋体" w:cs="Times New Roman"/>
          <w:color w:val="auto"/>
          <w:sz w:val="28"/>
          <w:szCs w:val="28"/>
          <w:lang w:val="en-US" w:eastAsia="zh-CN"/>
        </w:rPr>
        <w:t>4</w:t>
      </w:r>
      <w:r>
        <w:rPr>
          <w:rFonts w:hint="default" w:ascii="Times New Roman" w:hAnsi="Times New Roman" w:eastAsia="宋体" w:cs="Times New Roman"/>
          <w:color w:val="auto"/>
          <w:sz w:val="28"/>
          <w:szCs w:val="28"/>
        </w:rPr>
        <w:t>.3环境质量现状调查与评价</w:t>
      </w:r>
      <w:bookmarkEnd w:id="356"/>
      <w:bookmarkEnd w:id="357"/>
      <w:bookmarkEnd w:id="358"/>
      <w:bookmarkEnd w:id="359"/>
      <w:bookmarkEnd w:id="360"/>
      <w:bookmarkEnd w:id="361"/>
    </w:p>
    <w:p>
      <w:pPr>
        <w:pStyle w:val="6"/>
        <w:spacing w:before="0" w:after="0" w:line="360" w:lineRule="auto"/>
        <w:rPr>
          <w:rFonts w:hint="default" w:ascii="Times New Roman" w:hAnsi="Times New Roman" w:cs="Times New Roman"/>
          <w:color w:val="auto"/>
          <w:szCs w:val="28"/>
        </w:rPr>
      </w:pPr>
      <w:bookmarkStart w:id="362" w:name="_Toc1102"/>
      <w:bookmarkStart w:id="363" w:name="_Toc306967105"/>
      <w:bookmarkStart w:id="364" w:name="_Toc453"/>
      <w:bookmarkStart w:id="365" w:name="_Toc16368"/>
      <w:bookmarkStart w:id="366" w:name="_Toc30090"/>
      <w:bookmarkStart w:id="367" w:name="_Toc22078"/>
      <w:bookmarkStart w:id="368" w:name="_Toc32316"/>
      <w:bookmarkStart w:id="369" w:name="_Toc24768"/>
      <w:bookmarkStart w:id="370" w:name="_Toc9610"/>
      <w:bookmarkStart w:id="371" w:name="_Toc3791"/>
      <w:bookmarkStart w:id="372" w:name="_Toc9860"/>
      <w:bookmarkStart w:id="373" w:name="_Toc303426514"/>
      <w:r>
        <w:rPr>
          <w:rFonts w:hint="default" w:ascii="Times New Roman" w:hAnsi="Times New Roman" w:cs="Times New Roman"/>
          <w:color w:val="auto"/>
          <w:szCs w:val="28"/>
          <w:lang w:val="en-US" w:eastAsia="zh-CN"/>
        </w:rPr>
        <w:t>4</w:t>
      </w:r>
      <w:r>
        <w:rPr>
          <w:rFonts w:hint="default" w:ascii="Times New Roman" w:hAnsi="Times New Roman" w:cs="Times New Roman"/>
          <w:color w:val="auto"/>
          <w:szCs w:val="28"/>
        </w:rPr>
        <w:t>.3.1大气环境质量现状调查与评价</w:t>
      </w:r>
      <w:bookmarkEnd w:id="362"/>
      <w:bookmarkEnd w:id="363"/>
      <w:bookmarkEnd w:id="364"/>
      <w:bookmarkEnd w:id="365"/>
      <w:bookmarkEnd w:id="366"/>
      <w:bookmarkEnd w:id="367"/>
      <w:bookmarkEnd w:id="368"/>
      <w:bookmarkEnd w:id="369"/>
      <w:bookmarkEnd w:id="370"/>
      <w:bookmarkEnd w:id="371"/>
      <w:bookmarkEnd w:id="372"/>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1、达标区判定</w:t>
      </w:r>
    </w:p>
    <w:p>
      <w:pPr>
        <w:adjustRightInd w:val="0"/>
        <w:snapToGrid w:val="0"/>
        <w:spacing w:line="360" w:lineRule="auto"/>
        <w:ind w:firstLine="482"/>
        <w:rPr>
          <w:rFonts w:hint="default" w:ascii="Times New Roman" w:hAnsi="Times New Roman" w:cs="Times New Roman"/>
          <w:color w:val="auto"/>
        </w:rPr>
      </w:pPr>
      <w:r>
        <w:rPr>
          <w:rFonts w:hint="default" w:ascii="Times New Roman" w:hAnsi="Times New Roman" w:cs="Times New Roman"/>
          <w:color w:val="auto"/>
        </w:rPr>
        <w:t>根据2020年楚雄州环境监测站（E:101°32'58.62"、N25°02'27.65"）自动监测数据，六项基本污染物年均浓度均达标及在相应24小时百分位数平均浓度均达到了《环境空气质量标准》中二级标准限值的要求，判定本项目位于环境空气质量达标区标。</w:t>
      </w:r>
    </w:p>
    <w:p>
      <w:pPr>
        <w:pStyle w:val="133"/>
        <w:keepNext w:val="0"/>
        <w:keepLines w:val="0"/>
        <w:pageBreakBefore w:val="0"/>
        <w:widowControl w:val="0"/>
        <w:numPr>
          <w:ilvl w:val="0"/>
          <w:numId w:val="15"/>
        </w:numPr>
        <w:tabs>
          <w:tab w:val="left" w:pos="1020"/>
        </w:tabs>
        <w:kinsoku/>
        <w:wordWrap/>
        <w:overflowPunct/>
        <w:topLinePunct w:val="0"/>
        <w:autoSpaceDE/>
        <w:autoSpaceDN/>
        <w:bidi w:val="0"/>
        <w:adjustRightInd/>
        <w:snapToGrid/>
        <w:spacing w:line="360" w:lineRule="auto"/>
        <w:ind w:left="840" w:leftChars="0" w:hanging="420" w:firstLineChars="0"/>
        <w:jc w:val="center"/>
        <w:textAlignment w:val="auto"/>
        <w:rPr>
          <w:rFonts w:hint="default" w:ascii="Times New Roman" w:hAnsi="Times New Roman" w:cs="Times New Roman"/>
          <w:b/>
          <w:color w:val="auto"/>
          <w:kern w:val="21"/>
          <w:szCs w:val="20"/>
        </w:rPr>
      </w:pPr>
      <w:r>
        <w:rPr>
          <w:rFonts w:hint="default" w:ascii="Times New Roman" w:hAnsi="Times New Roman" w:cs="Times New Roman"/>
          <w:b/>
          <w:color w:val="auto"/>
          <w:kern w:val="21"/>
          <w:szCs w:val="20"/>
        </w:rPr>
        <w:t xml:space="preserve"> 2020年</w:t>
      </w:r>
      <w:r>
        <w:rPr>
          <w:rFonts w:hint="default" w:ascii="Times New Roman" w:hAnsi="Times New Roman" w:eastAsia="宋体" w:cs="Times New Roman"/>
          <w:b/>
          <w:bCs/>
          <w:color w:val="auto"/>
          <w:spacing w:val="1"/>
          <w:lang w:eastAsia="zh-CN"/>
        </w:rPr>
        <w:t>楚雄市</w:t>
      </w:r>
      <w:r>
        <w:rPr>
          <w:rFonts w:hint="default" w:ascii="Times New Roman" w:hAnsi="Times New Roman" w:cs="Times New Roman"/>
          <w:b/>
          <w:color w:val="auto"/>
          <w:kern w:val="21"/>
          <w:szCs w:val="20"/>
        </w:rPr>
        <w:t>基本污染物环境质量现状</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4"/>
        <w:gridCol w:w="2363"/>
        <w:gridCol w:w="1558"/>
        <w:gridCol w:w="1301"/>
        <w:gridCol w:w="1352"/>
        <w:gridCol w:w="10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污染物</w:t>
            </w:r>
          </w:p>
        </w:tc>
        <w:tc>
          <w:tcPr>
            <w:tcW w:w="236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年评价指标</w:t>
            </w:r>
          </w:p>
        </w:tc>
        <w:tc>
          <w:tcPr>
            <w:tcW w:w="1558"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现状浓度/(</w:t>
            </w:r>
            <w:r>
              <w:rPr>
                <w:rFonts w:hint="default" w:ascii="Times New Roman" w:hAnsi="Times New Roman" w:cs="Times New Roman"/>
                <w:b/>
                <w:bCs/>
                <w:color w:val="auto"/>
                <w:sz w:val="21"/>
                <w:szCs w:val="21"/>
                <w:shd w:val="clear" w:color="auto" w:fill="FFFFFF"/>
              </w:rPr>
              <w:t>μg/m</w:t>
            </w:r>
            <w:r>
              <w:rPr>
                <w:rFonts w:hint="default" w:ascii="Times New Roman" w:hAnsi="Times New Roman" w:cs="Times New Roman"/>
                <w:b/>
                <w:bCs/>
                <w:color w:val="auto"/>
                <w:sz w:val="21"/>
                <w:szCs w:val="21"/>
                <w:shd w:val="clear" w:color="auto" w:fill="FFFFFF"/>
                <w:vertAlign w:val="superscript"/>
              </w:rPr>
              <w:t>3</w:t>
            </w:r>
            <w:r>
              <w:rPr>
                <w:rFonts w:hint="default" w:ascii="Times New Roman" w:hAnsi="Times New Roman" w:cs="Times New Roman"/>
                <w:b/>
                <w:bCs/>
                <w:color w:val="auto"/>
                <w:sz w:val="21"/>
                <w:szCs w:val="21"/>
              </w:rPr>
              <w:t>)</w:t>
            </w:r>
          </w:p>
        </w:tc>
        <w:tc>
          <w:tcPr>
            <w:tcW w:w="130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标准值/（</w:t>
            </w:r>
            <w:r>
              <w:rPr>
                <w:rFonts w:hint="default" w:ascii="Times New Roman" w:hAnsi="Times New Roman" w:cs="Times New Roman"/>
                <w:b/>
                <w:bCs/>
                <w:color w:val="auto"/>
                <w:sz w:val="21"/>
                <w:szCs w:val="21"/>
                <w:shd w:val="clear" w:color="auto" w:fill="FFFFFF"/>
              </w:rPr>
              <w:t>μg/m</w:t>
            </w:r>
            <w:r>
              <w:rPr>
                <w:rFonts w:hint="default" w:ascii="Times New Roman" w:hAnsi="Times New Roman" w:cs="Times New Roman"/>
                <w:b/>
                <w:bCs/>
                <w:color w:val="auto"/>
                <w:sz w:val="21"/>
                <w:szCs w:val="21"/>
                <w:shd w:val="clear" w:color="auto" w:fill="FFFFFF"/>
                <w:vertAlign w:val="superscript"/>
              </w:rPr>
              <w:t>3</w:t>
            </w:r>
            <w:r>
              <w:rPr>
                <w:rFonts w:hint="default" w:ascii="Times New Roman" w:hAnsi="Times New Roman" w:cs="Times New Roman"/>
                <w:b/>
                <w:bCs/>
                <w:color w:val="auto"/>
                <w:sz w:val="21"/>
                <w:szCs w:val="21"/>
              </w:rPr>
              <w:t>）</w:t>
            </w:r>
          </w:p>
        </w:tc>
        <w:tc>
          <w:tcPr>
            <w:tcW w:w="135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占标率/%</w:t>
            </w:r>
          </w:p>
        </w:tc>
        <w:tc>
          <w:tcPr>
            <w:tcW w:w="109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SO</w:t>
            </w:r>
            <w:r>
              <w:rPr>
                <w:rFonts w:hint="default" w:ascii="Times New Roman" w:hAnsi="Times New Roman" w:cs="Times New Roman"/>
                <w:color w:val="auto"/>
                <w:sz w:val="21"/>
                <w:szCs w:val="21"/>
                <w:vertAlign w:val="subscript"/>
              </w:rPr>
              <w:t>2</w:t>
            </w:r>
          </w:p>
        </w:tc>
        <w:tc>
          <w:tcPr>
            <w:tcW w:w="236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年平均质量浓度</w:t>
            </w:r>
          </w:p>
        </w:tc>
        <w:tc>
          <w:tcPr>
            <w:tcW w:w="1558"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9.33</w:t>
            </w:r>
          </w:p>
        </w:tc>
        <w:tc>
          <w:tcPr>
            <w:tcW w:w="130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60</w:t>
            </w:r>
          </w:p>
        </w:tc>
        <w:tc>
          <w:tcPr>
            <w:tcW w:w="135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15.54</w:t>
            </w:r>
          </w:p>
        </w:tc>
        <w:tc>
          <w:tcPr>
            <w:tcW w:w="109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rPr>
            </w:pPr>
          </w:p>
        </w:tc>
        <w:tc>
          <w:tcPr>
            <w:tcW w:w="236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6"/>
                <w:sz w:val="21"/>
                <w:szCs w:val="21"/>
              </w:rPr>
              <w:t>第98百分位数日平均</w:t>
            </w:r>
          </w:p>
        </w:tc>
        <w:tc>
          <w:tcPr>
            <w:tcW w:w="1558"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21.39</w:t>
            </w:r>
          </w:p>
        </w:tc>
        <w:tc>
          <w:tcPr>
            <w:tcW w:w="130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150</w:t>
            </w:r>
          </w:p>
        </w:tc>
        <w:tc>
          <w:tcPr>
            <w:tcW w:w="135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14.26</w:t>
            </w:r>
          </w:p>
        </w:tc>
        <w:tc>
          <w:tcPr>
            <w:tcW w:w="109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NO</w:t>
            </w:r>
            <w:r>
              <w:rPr>
                <w:rFonts w:hint="default" w:ascii="Times New Roman" w:hAnsi="Times New Roman" w:cs="Times New Roman"/>
                <w:color w:val="auto"/>
                <w:sz w:val="21"/>
                <w:szCs w:val="21"/>
                <w:vertAlign w:val="subscript"/>
              </w:rPr>
              <w:t>2</w:t>
            </w:r>
          </w:p>
        </w:tc>
        <w:tc>
          <w:tcPr>
            <w:tcW w:w="236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年平均质量浓度</w:t>
            </w:r>
          </w:p>
        </w:tc>
        <w:tc>
          <w:tcPr>
            <w:tcW w:w="1558"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15.24</w:t>
            </w:r>
          </w:p>
        </w:tc>
        <w:tc>
          <w:tcPr>
            <w:tcW w:w="130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w:t>
            </w:r>
          </w:p>
        </w:tc>
        <w:tc>
          <w:tcPr>
            <w:tcW w:w="135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19.05</w:t>
            </w:r>
          </w:p>
        </w:tc>
        <w:tc>
          <w:tcPr>
            <w:tcW w:w="109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rPr>
            </w:pPr>
          </w:p>
        </w:tc>
        <w:tc>
          <w:tcPr>
            <w:tcW w:w="236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6"/>
                <w:sz w:val="21"/>
                <w:szCs w:val="21"/>
              </w:rPr>
              <w:t>第98百分位数日平均</w:t>
            </w:r>
          </w:p>
        </w:tc>
        <w:tc>
          <w:tcPr>
            <w:tcW w:w="1558"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38.21</w:t>
            </w:r>
          </w:p>
        </w:tc>
        <w:tc>
          <w:tcPr>
            <w:tcW w:w="130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80</w:t>
            </w:r>
          </w:p>
        </w:tc>
        <w:tc>
          <w:tcPr>
            <w:tcW w:w="135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47.76</w:t>
            </w:r>
          </w:p>
        </w:tc>
        <w:tc>
          <w:tcPr>
            <w:tcW w:w="109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PM</w:t>
            </w:r>
            <w:r>
              <w:rPr>
                <w:rFonts w:hint="default" w:ascii="Times New Roman" w:hAnsi="Times New Roman" w:cs="Times New Roman"/>
                <w:color w:val="auto"/>
                <w:sz w:val="21"/>
                <w:szCs w:val="21"/>
                <w:vertAlign w:val="subscript"/>
              </w:rPr>
              <w:t>10</w:t>
            </w:r>
          </w:p>
        </w:tc>
        <w:tc>
          <w:tcPr>
            <w:tcW w:w="236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年平均质量浓度</w:t>
            </w:r>
          </w:p>
        </w:tc>
        <w:tc>
          <w:tcPr>
            <w:tcW w:w="1558"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25.87</w:t>
            </w:r>
          </w:p>
        </w:tc>
        <w:tc>
          <w:tcPr>
            <w:tcW w:w="130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70</w:t>
            </w:r>
          </w:p>
        </w:tc>
        <w:tc>
          <w:tcPr>
            <w:tcW w:w="135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36.96</w:t>
            </w:r>
          </w:p>
        </w:tc>
        <w:tc>
          <w:tcPr>
            <w:tcW w:w="109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rPr>
            </w:pPr>
          </w:p>
        </w:tc>
        <w:tc>
          <w:tcPr>
            <w:tcW w:w="236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6"/>
                <w:sz w:val="21"/>
                <w:szCs w:val="21"/>
              </w:rPr>
              <w:t>第95百分位数日平均</w:t>
            </w:r>
          </w:p>
        </w:tc>
        <w:tc>
          <w:tcPr>
            <w:tcW w:w="1558"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53.82</w:t>
            </w:r>
          </w:p>
        </w:tc>
        <w:tc>
          <w:tcPr>
            <w:tcW w:w="130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150</w:t>
            </w:r>
          </w:p>
        </w:tc>
        <w:tc>
          <w:tcPr>
            <w:tcW w:w="135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35.88</w:t>
            </w:r>
          </w:p>
        </w:tc>
        <w:tc>
          <w:tcPr>
            <w:tcW w:w="109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PM</w:t>
            </w:r>
            <w:r>
              <w:rPr>
                <w:rFonts w:hint="default" w:ascii="Times New Roman" w:hAnsi="Times New Roman" w:cs="Times New Roman"/>
                <w:color w:val="auto"/>
                <w:sz w:val="21"/>
                <w:szCs w:val="21"/>
                <w:vertAlign w:val="subscript"/>
              </w:rPr>
              <w:t>2.5</w:t>
            </w:r>
          </w:p>
        </w:tc>
        <w:tc>
          <w:tcPr>
            <w:tcW w:w="236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年平均质量浓度</w:t>
            </w:r>
          </w:p>
        </w:tc>
        <w:tc>
          <w:tcPr>
            <w:tcW w:w="1558"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17.17</w:t>
            </w:r>
          </w:p>
        </w:tc>
        <w:tc>
          <w:tcPr>
            <w:tcW w:w="130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35</w:t>
            </w:r>
          </w:p>
        </w:tc>
        <w:tc>
          <w:tcPr>
            <w:tcW w:w="135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49.06</w:t>
            </w:r>
          </w:p>
        </w:tc>
        <w:tc>
          <w:tcPr>
            <w:tcW w:w="109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rPr>
            </w:pPr>
          </w:p>
        </w:tc>
        <w:tc>
          <w:tcPr>
            <w:tcW w:w="236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6"/>
                <w:sz w:val="21"/>
                <w:szCs w:val="21"/>
              </w:rPr>
              <w:t>第95百分位数日平均</w:t>
            </w:r>
          </w:p>
        </w:tc>
        <w:tc>
          <w:tcPr>
            <w:tcW w:w="1558"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39.82</w:t>
            </w:r>
          </w:p>
        </w:tc>
        <w:tc>
          <w:tcPr>
            <w:tcW w:w="130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75</w:t>
            </w:r>
          </w:p>
        </w:tc>
        <w:tc>
          <w:tcPr>
            <w:tcW w:w="135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53.09</w:t>
            </w:r>
          </w:p>
        </w:tc>
        <w:tc>
          <w:tcPr>
            <w:tcW w:w="109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CO</w:t>
            </w:r>
          </w:p>
        </w:tc>
        <w:tc>
          <w:tcPr>
            <w:tcW w:w="236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pacing w:val="-6"/>
                <w:sz w:val="21"/>
                <w:szCs w:val="21"/>
              </w:rPr>
            </w:pPr>
            <w:r>
              <w:rPr>
                <w:rFonts w:hint="default" w:ascii="Times New Roman" w:hAnsi="Times New Roman" w:cs="Times New Roman"/>
                <w:color w:val="auto"/>
                <w:spacing w:val="-6"/>
                <w:sz w:val="21"/>
                <w:szCs w:val="21"/>
              </w:rPr>
              <w:t>第95百分位数日平均</w:t>
            </w:r>
          </w:p>
        </w:tc>
        <w:tc>
          <w:tcPr>
            <w:tcW w:w="1558"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0.89</w:t>
            </w:r>
          </w:p>
        </w:tc>
        <w:tc>
          <w:tcPr>
            <w:tcW w:w="130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4000</w:t>
            </w:r>
          </w:p>
        </w:tc>
        <w:tc>
          <w:tcPr>
            <w:tcW w:w="135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0.02</w:t>
            </w:r>
          </w:p>
        </w:tc>
        <w:tc>
          <w:tcPr>
            <w:tcW w:w="109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O</w:t>
            </w:r>
            <w:r>
              <w:rPr>
                <w:rFonts w:hint="default" w:ascii="Times New Roman" w:hAnsi="Times New Roman" w:cs="Times New Roman"/>
                <w:color w:val="auto"/>
                <w:sz w:val="21"/>
                <w:szCs w:val="21"/>
                <w:vertAlign w:val="subscript"/>
              </w:rPr>
              <w:t>3</w:t>
            </w:r>
          </w:p>
        </w:tc>
        <w:tc>
          <w:tcPr>
            <w:tcW w:w="236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pacing w:val="-6"/>
                <w:sz w:val="21"/>
                <w:szCs w:val="21"/>
              </w:rPr>
            </w:pPr>
            <w:r>
              <w:rPr>
                <w:rFonts w:hint="default" w:ascii="Times New Roman" w:hAnsi="Times New Roman" w:cs="Times New Roman"/>
                <w:color w:val="auto"/>
                <w:spacing w:val="-6"/>
                <w:sz w:val="21"/>
                <w:szCs w:val="21"/>
              </w:rPr>
              <w:t>最大8小时滑动平均值的第90百分位数</w:t>
            </w:r>
          </w:p>
        </w:tc>
        <w:tc>
          <w:tcPr>
            <w:tcW w:w="1558"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105.5</w:t>
            </w:r>
          </w:p>
        </w:tc>
        <w:tc>
          <w:tcPr>
            <w:tcW w:w="130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160</w:t>
            </w:r>
          </w:p>
        </w:tc>
        <w:tc>
          <w:tcPr>
            <w:tcW w:w="135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65.94</w:t>
            </w:r>
          </w:p>
        </w:tc>
        <w:tc>
          <w:tcPr>
            <w:tcW w:w="109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default" w:ascii="Times New Roman" w:hAnsi="Times New Roman" w:eastAsia="宋体" w:cs="Times New Roman"/>
          <w:color w:val="auto"/>
          <w:lang w:eastAsia="zh-CN"/>
        </w:rPr>
      </w:pPr>
      <w:r>
        <w:rPr>
          <w:rFonts w:hint="default" w:ascii="Times New Roman" w:hAnsi="Times New Roman" w:cs="Times New Roman"/>
          <w:color w:val="auto"/>
        </w:rPr>
        <w:t>2、</w:t>
      </w:r>
      <w:r>
        <w:rPr>
          <w:rFonts w:hint="default" w:ascii="Times New Roman" w:hAnsi="Times New Roman" w:cs="Times New Roman"/>
          <w:color w:val="auto"/>
          <w:lang w:eastAsia="zh-CN"/>
        </w:rPr>
        <w:t>大气环境质量现状监测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kern w:val="21"/>
          <w:lang w:eastAsia="zh-CN" w:bidi="ar"/>
        </w:rPr>
      </w:pPr>
      <w:r>
        <w:rPr>
          <w:rFonts w:hint="default" w:ascii="Times New Roman" w:hAnsi="Times New Roman" w:cs="Times New Roman"/>
          <w:color w:val="auto"/>
          <w:kern w:val="21"/>
          <w:lang w:eastAsia="zh-CN" w:bidi="ar"/>
        </w:rPr>
        <w:t>本次项目排放的大气特征污染物为非甲烷总烃、颗粒物、氟化物、氨、硫化氢，均为引用周边其他项目检测结果。</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kern w:val="21"/>
          <w:lang w:eastAsia="zh-CN" w:bidi="ar"/>
        </w:rPr>
      </w:pPr>
      <w:r>
        <w:rPr>
          <w:rFonts w:hint="default" w:ascii="Times New Roman" w:hAnsi="Times New Roman" w:cs="Times New Roman"/>
          <w:color w:val="auto"/>
          <w:kern w:val="21"/>
          <w:lang w:eastAsia="zh-CN" w:bidi="ar"/>
        </w:rPr>
        <w:t>（</w:t>
      </w:r>
      <w:r>
        <w:rPr>
          <w:rFonts w:hint="default" w:ascii="Times New Roman" w:hAnsi="Times New Roman" w:cs="Times New Roman"/>
          <w:color w:val="auto"/>
          <w:kern w:val="21"/>
          <w:lang w:val="en-US" w:eastAsia="zh-CN" w:bidi="ar"/>
        </w:rPr>
        <w:t>1</w:t>
      </w:r>
      <w:r>
        <w:rPr>
          <w:rFonts w:hint="default" w:ascii="Times New Roman" w:hAnsi="Times New Roman" w:cs="Times New Roman"/>
          <w:color w:val="auto"/>
          <w:kern w:val="21"/>
          <w:lang w:eastAsia="zh-CN" w:bidi="ar"/>
        </w:rPr>
        <w:t>）非甲烷总烃</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21"/>
          <w:lang w:val="en-US" w:eastAsia="zh-CN" w:bidi="ar"/>
        </w:rPr>
      </w:pPr>
      <w:r>
        <w:rPr>
          <w:rFonts w:hint="default" w:ascii="Times New Roman" w:hAnsi="Times New Roman" w:cs="Times New Roman"/>
          <w:color w:val="auto"/>
          <w:kern w:val="21"/>
          <w:lang w:eastAsia="zh-CN" w:bidi="ar"/>
        </w:rPr>
        <w:t>非甲烷总烃引用《年产</w:t>
      </w:r>
      <w:r>
        <w:rPr>
          <w:rFonts w:hint="default" w:ascii="Times New Roman" w:hAnsi="Times New Roman" w:cs="Times New Roman"/>
          <w:color w:val="auto"/>
          <w:kern w:val="21"/>
          <w:lang w:val="en-US" w:eastAsia="zh-CN" w:bidi="ar"/>
        </w:rPr>
        <w:t>22GW单晶硅片建设项目环境质量现状检测报告</w:t>
      </w:r>
      <w:r>
        <w:rPr>
          <w:rFonts w:hint="default" w:ascii="Times New Roman" w:hAnsi="Times New Roman" w:cs="Times New Roman"/>
          <w:color w:val="auto"/>
          <w:kern w:val="21"/>
          <w:lang w:eastAsia="zh-CN" w:bidi="ar"/>
        </w:rPr>
        <w:t>》检测结果，该项目位于本项目厂区北侧</w:t>
      </w:r>
      <w:r>
        <w:rPr>
          <w:rFonts w:hint="default" w:ascii="Times New Roman" w:hAnsi="Times New Roman" w:cs="Times New Roman"/>
          <w:color w:val="auto"/>
          <w:kern w:val="21"/>
          <w:lang w:val="en-US" w:eastAsia="zh-CN" w:bidi="ar"/>
        </w:rPr>
        <w:t>100m处，监测时间为</w:t>
      </w:r>
      <w:r>
        <w:rPr>
          <w:rFonts w:hint="default" w:ascii="Times New Roman" w:hAnsi="Times New Roman" w:cs="Times New Roman"/>
          <w:color w:val="auto"/>
          <w:kern w:val="21"/>
        </w:rPr>
        <w:t>202</w:t>
      </w:r>
      <w:r>
        <w:rPr>
          <w:rFonts w:hint="default" w:ascii="Times New Roman" w:hAnsi="Times New Roman" w:cs="Times New Roman"/>
          <w:color w:val="auto"/>
          <w:kern w:val="21"/>
          <w:lang w:val="en-US" w:eastAsia="zh-CN"/>
        </w:rPr>
        <w:t>2</w:t>
      </w:r>
      <w:r>
        <w:rPr>
          <w:rFonts w:hint="default" w:ascii="Times New Roman" w:hAnsi="Times New Roman" w:cs="Times New Roman"/>
          <w:color w:val="auto"/>
          <w:kern w:val="21"/>
        </w:rPr>
        <w:t>年</w:t>
      </w:r>
      <w:r>
        <w:rPr>
          <w:rFonts w:hint="default" w:ascii="Times New Roman" w:hAnsi="Times New Roman" w:cs="Times New Roman"/>
          <w:color w:val="auto"/>
          <w:kern w:val="21"/>
          <w:lang w:val="en-US" w:eastAsia="zh-CN"/>
        </w:rPr>
        <w:t>12</w:t>
      </w:r>
      <w:r>
        <w:rPr>
          <w:rFonts w:hint="default" w:ascii="Times New Roman" w:hAnsi="Times New Roman" w:cs="Times New Roman"/>
          <w:color w:val="auto"/>
          <w:kern w:val="21"/>
        </w:rPr>
        <w:t>月</w:t>
      </w:r>
      <w:r>
        <w:rPr>
          <w:rFonts w:hint="default" w:ascii="Times New Roman" w:hAnsi="Times New Roman" w:cs="Times New Roman"/>
          <w:color w:val="auto"/>
          <w:kern w:val="21"/>
          <w:lang w:val="en-US" w:eastAsia="zh-CN"/>
        </w:rPr>
        <w:t>13</w:t>
      </w:r>
      <w:r>
        <w:rPr>
          <w:rFonts w:hint="default" w:ascii="Times New Roman" w:hAnsi="Times New Roman" w:cs="Times New Roman"/>
          <w:color w:val="auto"/>
          <w:kern w:val="21"/>
        </w:rPr>
        <w:t>日~</w:t>
      </w:r>
      <w:r>
        <w:rPr>
          <w:rFonts w:hint="default" w:ascii="Times New Roman" w:hAnsi="Times New Roman" w:cs="Times New Roman"/>
          <w:color w:val="auto"/>
          <w:kern w:val="21"/>
          <w:lang w:val="en-US" w:eastAsia="zh-CN"/>
        </w:rPr>
        <w:t>12</w:t>
      </w:r>
      <w:r>
        <w:rPr>
          <w:rFonts w:hint="default" w:ascii="Times New Roman" w:hAnsi="Times New Roman" w:cs="Times New Roman"/>
          <w:color w:val="auto"/>
          <w:kern w:val="21"/>
        </w:rPr>
        <w:t>月1</w:t>
      </w:r>
      <w:r>
        <w:rPr>
          <w:rFonts w:hint="default" w:ascii="Times New Roman" w:hAnsi="Times New Roman" w:cs="Times New Roman"/>
          <w:color w:val="auto"/>
          <w:kern w:val="21"/>
          <w:lang w:val="en-US" w:eastAsia="zh-CN"/>
        </w:rPr>
        <w:t>9</w:t>
      </w:r>
      <w:r>
        <w:rPr>
          <w:rFonts w:hint="default" w:ascii="Times New Roman" w:hAnsi="Times New Roman" w:cs="Times New Roman"/>
          <w:color w:val="auto"/>
          <w:kern w:val="21"/>
        </w:rPr>
        <w:t>日</w:t>
      </w:r>
      <w:r>
        <w:rPr>
          <w:rFonts w:hint="default" w:ascii="Times New Roman" w:hAnsi="Times New Roman" w:cs="Times New Roman"/>
          <w:color w:val="auto"/>
          <w:kern w:val="21"/>
          <w:lang w:eastAsia="zh-CN"/>
        </w:rPr>
        <w:t>，监测点位为“</w:t>
      </w:r>
      <w:r>
        <w:rPr>
          <w:rFonts w:hint="default" w:ascii="Times New Roman" w:hAnsi="Times New Roman" w:cs="Times New Roman"/>
          <w:color w:val="auto"/>
          <w:kern w:val="21"/>
          <w:lang w:eastAsia="zh-CN" w:bidi="ar"/>
        </w:rPr>
        <w:t>年产</w:t>
      </w:r>
      <w:r>
        <w:rPr>
          <w:rFonts w:hint="default" w:ascii="Times New Roman" w:hAnsi="Times New Roman" w:cs="Times New Roman"/>
          <w:color w:val="auto"/>
          <w:kern w:val="21"/>
          <w:lang w:val="en-US" w:eastAsia="zh-CN" w:bidi="ar"/>
        </w:rPr>
        <w:t>22GW单晶硅片建设项目</w:t>
      </w:r>
      <w:r>
        <w:rPr>
          <w:rFonts w:hint="default" w:ascii="Times New Roman" w:hAnsi="Times New Roman" w:cs="Times New Roman"/>
          <w:color w:val="auto"/>
          <w:kern w:val="21"/>
          <w:lang w:eastAsia="zh-CN"/>
        </w:rPr>
        <w:t>”</w:t>
      </w:r>
      <w:r>
        <w:rPr>
          <w:rFonts w:hint="default" w:ascii="Times New Roman" w:hAnsi="Times New Roman" w:cs="Times New Roman"/>
          <w:color w:val="auto"/>
          <w:kern w:val="21"/>
          <w:lang w:val="en-US" w:eastAsia="zh-CN" w:bidi="ar"/>
        </w:rPr>
        <w:t>切片车间（本项目下风向500m）、朱瓜冲居民点（本项目下风向1480m），</w:t>
      </w:r>
      <w:r>
        <w:rPr>
          <w:rFonts w:hint="default" w:ascii="Times New Roman" w:hAnsi="Times New Roman" w:cs="Times New Roman"/>
          <w:color w:val="auto"/>
        </w:rPr>
        <w:t>检测</w:t>
      </w:r>
      <w:r>
        <w:rPr>
          <w:rFonts w:hint="default" w:ascii="Times New Roman" w:hAnsi="Times New Roman" w:cs="Times New Roman"/>
          <w:color w:val="auto"/>
          <w:lang w:val="en-US" w:eastAsia="zh-CN"/>
        </w:rPr>
        <w:t>结果可满足本项目要求。</w:t>
      </w:r>
    </w:p>
    <w:p>
      <w:pPr>
        <w:keepNext w:val="0"/>
        <w:keepLines w:val="0"/>
        <w:pageBreakBefore w:val="0"/>
        <w:widowControl w:val="0"/>
        <w:tabs>
          <w:tab w:val="left" w:pos="1070"/>
        </w:tabs>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kern w:val="21"/>
        </w:rPr>
      </w:pPr>
      <w:r>
        <w:rPr>
          <w:rFonts w:hint="default" w:ascii="Times New Roman" w:hAnsi="Times New Roman" w:cs="Times New Roman"/>
          <w:color w:val="auto"/>
          <w:kern w:val="21"/>
          <w:lang w:eastAsia="zh-CN"/>
        </w:rPr>
        <w:t>①</w:t>
      </w:r>
      <w:r>
        <w:rPr>
          <w:rFonts w:hint="default" w:ascii="Times New Roman" w:hAnsi="Times New Roman" w:cs="Times New Roman"/>
          <w:color w:val="auto"/>
          <w:kern w:val="21"/>
        </w:rPr>
        <w:t>监测点布设</w:t>
      </w:r>
      <w:r>
        <w:rPr>
          <w:rFonts w:hint="default" w:ascii="Times New Roman" w:hAnsi="Times New Roman" w:cs="Times New Roman"/>
          <w:color w:val="auto"/>
          <w:kern w:val="21"/>
          <w:lang w:eastAsia="zh-CN"/>
        </w:rPr>
        <w:t>：“</w:t>
      </w:r>
      <w:r>
        <w:rPr>
          <w:rFonts w:hint="default" w:ascii="Times New Roman" w:hAnsi="Times New Roman" w:cs="Times New Roman"/>
          <w:color w:val="auto"/>
          <w:kern w:val="21"/>
          <w:lang w:eastAsia="zh-CN" w:bidi="ar"/>
        </w:rPr>
        <w:t>年产</w:t>
      </w:r>
      <w:r>
        <w:rPr>
          <w:rFonts w:hint="default" w:ascii="Times New Roman" w:hAnsi="Times New Roman" w:cs="Times New Roman"/>
          <w:color w:val="auto"/>
          <w:kern w:val="21"/>
          <w:lang w:val="en-US" w:eastAsia="zh-CN" w:bidi="ar"/>
        </w:rPr>
        <w:t>22GW单晶硅片建设项目</w:t>
      </w:r>
      <w:r>
        <w:rPr>
          <w:rFonts w:hint="default" w:ascii="Times New Roman" w:hAnsi="Times New Roman" w:cs="Times New Roman"/>
          <w:color w:val="auto"/>
          <w:kern w:val="21"/>
          <w:lang w:eastAsia="zh-CN"/>
        </w:rPr>
        <w:t>”</w:t>
      </w:r>
      <w:r>
        <w:rPr>
          <w:rFonts w:hint="default" w:ascii="Times New Roman" w:hAnsi="Times New Roman" w:cs="Times New Roman"/>
          <w:color w:val="auto"/>
          <w:kern w:val="21"/>
          <w:lang w:val="en-US" w:eastAsia="zh-CN" w:bidi="ar"/>
        </w:rPr>
        <w:t>切片车间（本项目下风向500m）、朱瓜冲居民点（本项目下风向1480m）</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kern w:val="21"/>
          <w:lang w:eastAsia="zh-CN"/>
        </w:rPr>
      </w:pPr>
      <w:r>
        <w:rPr>
          <w:rFonts w:hint="default" w:ascii="Times New Roman" w:hAnsi="Times New Roman" w:cs="Times New Roman"/>
          <w:bCs/>
          <w:color w:val="auto"/>
          <w:kern w:val="21"/>
          <w:lang w:eastAsia="zh-CN"/>
        </w:rPr>
        <w:t>②</w:t>
      </w:r>
      <w:r>
        <w:rPr>
          <w:rFonts w:hint="default" w:ascii="Times New Roman" w:hAnsi="Times New Roman" w:cs="Times New Roman"/>
          <w:bCs/>
          <w:color w:val="auto"/>
          <w:kern w:val="21"/>
        </w:rPr>
        <w:t>监测因子：</w:t>
      </w:r>
      <w:r>
        <w:rPr>
          <w:rFonts w:hint="default" w:ascii="Times New Roman" w:hAnsi="Times New Roman" w:cs="Times New Roman"/>
          <w:bCs/>
          <w:color w:val="auto"/>
          <w:kern w:val="21"/>
          <w:lang w:eastAsia="zh-CN"/>
        </w:rPr>
        <w:t>非甲烷总烃</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kern w:val="21"/>
        </w:rPr>
      </w:pPr>
      <w:r>
        <w:rPr>
          <w:rFonts w:hint="default" w:ascii="Times New Roman" w:hAnsi="Times New Roman" w:cs="Times New Roman"/>
          <w:bCs/>
          <w:color w:val="auto"/>
          <w:kern w:val="21"/>
          <w:lang w:eastAsia="zh-CN"/>
        </w:rPr>
        <w:t>③</w:t>
      </w:r>
      <w:r>
        <w:rPr>
          <w:rFonts w:hint="default" w:ascii="Times New Roman" w:hAnsi="Times New Roman" w:cs="Times New Roman"/>
          <w:bCs/>
          <w:color w:val="auto"/>
          <w:kern w:val="21"/>
        </w:rPr>
        <w:t>监测时间</w:t>
      </w:r>
      <w:r>
        <w:rPr>
          <w:rFonts w:hint="default" w:ascii="Times New Roman" w:hAnsi="Times New Roman" w:cs="Times New Roman"/>
          <w:bCs/>
          <w:color w:val="auto"/>
          <w:kern w:val="21"/>
          <w:lang w:eastAsia="zh-CN"/>
        </w:rPr>
        <w:t>：</w:t>
      </w:r>
      <w:r>
        <w:rPr>
          <w:rFonts w:hint="default" w:ascii="Times New Roman" w:hAnsi="Times New Roman" w:cs="Times New Roman"/>
          <w:color w:val="auto"/>
          <w:kern w:val="21"/>
        </w:rPr>
        <w:t>监测时间为202</w:t>
      </w:r>
      <w:r>
        <w:rPr>
          <w:rFonts w:hint="default" w:ascii="Times New Roman" w:hAnsi="Times New Roman" w:cs="Times New Roman"/>
          <w:color w:val="auto"/>
          <w:kern w:val="21"/>
          <w:lang w:val="en-US" w:eastAsia="zh-CN"/>
        </w:rPr>
        <w:t>2</w:t>
      </w:r>
      <w:r>
        <w:rPr>
          <w:rFonts w:hint="default" w:ascii="Times New Roman" w:hAnsi="Times New Roman" w:cs="Times New Roman"/>
          <w:color w:val="auto"/>
          <w:kern w:val="21"/>
        </w:rPr>
        <w:t>年</w:t>
      </w:r>
      <w:r>
        <w:rPr>
          <w:rFonts w:hint="default" w:ascii="Times New Roman" w:hAnsi="Times New Roman" w:cs="Times New Roman"/>
          <w:color w:val="auto"/>
          <w:kern w:val="21"/>
          <w:lang w:val="en-US" w:eastAsia="zh-CN"/>
        </w:rPr>
        <w:t>12</w:t>
      </w:r>
      <w:r>
        <w:rPr>
          <w:rFonts w:hint="default" w:ascii="Times New Roman" w:hAnsi="Times New Roman" w:cs="Times New Roman"/>
          <w:color w:val="auto"/>
          <w:kern w:val="21"/>
        </w:rPr>
        <w:t>月</w:t>
      </w:r>
      <w:r>
        <w:rPr>
          <w:rFonts w:hint="default" w:ascii="Times New Roman" w:hAnsi="Times New Roman" w:cs="Times New Roman"/>
          <w:color w:val="auto"/>
          <w:kern w:val="21"/>
          <w:lang w:val="en-US" w:eastAsia="zh-CN"/>
        </w:rPr>
        <w:t>13</w:t>
      </w:r>
      <w:r>
        <w:rPr>
          <w:rFonts w:hint="default" w:ascii="Times New Roman" w:hAnsi="Times New Roman" w:cs="Times New Roman"/>
          <w:color w:val="auto"/>
          <w:kern w:val="21"/>
        </w:rPr>
        <w:t>日~</w:t>
      </w:r>
      <w:r>
        <w:rPr>
          <w:rFonts w:hint="default" w:ascii="Times New Roman" w:hAnsi="Times New Roman" w:cs="Times New Roman"/>
          <w:color w:val="auto"/>
          <w:kern w:val="21"/>
          <w:lang w:val="en-US" w:eastAsia="zh-CN"/>
        </w:rPr>
        <w:t>12</w:t>
      </w:r>
      <w:r>
        <w:rPr>
          <w:rFonts w:hint="default" w:ascii="Times New Roman" w:hAnsi="Times New Roman" w:cs="Times New Roman"/>
          <w:color w:val="auto"/>
          <w:kern w:val="21"/>
        </w:rPr>
        <w:t>月1</w:t>
      </w:r>
      <w:r>
        <w:rPr>
          <w:rFonts w:hint="default" w:ascii="Times New Roman" w:hAnsi="Times New Roman" w:cs="Times New Roman"/>
          <w:color w:val="auto"/>
          <w:kern w:val="21"/>
          <w:lang w:val="en-US" w:eastAsia="zh-CN"/>
        </w:rPr>
        <w:t>9</w:t>
      </w:r>
      <w:r>
        <w:rPr>
          <w:rFonts w:hint="default" w:ascii="Times New Roman" w:hAnsi="Times New Roman" w:cs="Times New Roman"/>
          <w:color w:val="auto"/>
          <w:kern w:val="21"/>
        </w:rPr>
        <w:t>日，均连续采样7天</w:t>
      </w:r>
    </w:p>
    <w:p>
      <w:pPr>
        <w:spacing w:line="360" w:lineRule="auto"/>
        <w:ind w:firstLine="480" w:firstLineChars="200"/>
        <w:rPr>
          <w:rFonts w:hint="default" w:ascii="Times New Roman" w:hAnsi="Times New Roman" w:eastAsia="宋体" w:cs="Times New Roman"/>
          <w:color w:val="auto"/>
          <w:lang w:val="en-US" w:eastAsia="zh-CN"/>
        </w:rPr>
      </w:pPr>
      <w:r>
        <w:rPr>
          <w:rFonts w:hint="default" w:ascii="Times New Roman" w:hAnsi="Times New Roman" w:cs="Times New Roman"/>
          <w:color w:val="auto"/>
          <w:lang w:eastAsia="zh-CN"/>
        </w:rPr>
        <w:t>④监测频率：非甲烷总烃</w:t>
      </w:r>
      <w:r>
        <w:rPr>
          <w:rFonts w:hint="default" w:ascii="Times New Roman" w:hAnsi="Times New Roman" w:cs="Times New Roman"/>
          <w:color w:val="auto"/>
        </w:rPr>
        <w:t>检测</w:t>
      </w:r>
      <w:r>
        <w:rPr>
          <w:rFonts w:hint="default" w:ascii="Times New Roman" w:hAnsi="Times New Roman" w:cs="Times New Roman"/>
          <w:color w:val="auto"/>
          <w:lang w:val="en-US" w:eastAsia="zh-CN"/>
        </w:rPr>
        <w:t>1小时均值</w:t>
      </w:r>
    </w:p>
    <w:p>
      <w:pPr>
        <w:pStyle w:val="96"/>
        <w:ind w:firstLine="488"/>
        <w:rPr>
          <w:rFonts w:hint="default" w:ascii="Times New Roman" w:hAnsi="Times New Roman" w:cs="Times New Roman"/>
          <w:b w:val="0"/>
          <w:color w:val="auto"/>
        </w:rPr>
      </w:pPr>
      <w:r>
        <w:rPr>
          <w:rFonts w:hint="default" w:ascii="Times New Roman" w:hAnsi="Times New Roman" w:cs="Times New Roman"/>
          <w:b w:val="0"/>
          <w:color w:val="auto"/>
          <w:lang w:eastAsia="zh-CN"/>
        </w:rPr>
        <w:t>⑤</w:t>
      </w:r>
      <w:r>
        <w:rPr>
          <w:rFonts w:hint="default" w:ascii="Times New Roman" w:hAnsi="Times New Roman" w:cs="Times New Roman"/>
          <w:b w:val="0"/>
          <w:color w:val="auto"/>
        </w:rPr>
        <w:t>现状监测结果</w:t>
      </w:r>
    </w:p>
    <w:p>
      <w:pPr>
        <w:pStyle w:val="133"/>
        <w:keepNext w:val="0"/>
        <w:keepLines w:val="0"/>
        <w:pageBreakBefore w:val="0"/>
        <w:widowControl w:val="0"/>
        <w:numPr>
          <w:ilvl w:val="0"/>
          <w:numId w:val="15"/>
        </w:numPr>
        <w:tabs>
          <w:tab w:val="left" w:pos="1020"/>
        </w:tabs>
        <w:kinsoku/>
        <w:wordWrap/>
        <w:overflowPunct/>
        <w:topLinePunct w:val="0"/>
        <w:autoSpaceDE/>
        <w:autoSpaceDN/>
        <w:bidi w:val="0"/>
        <w:adjustRightInd/>
        <w:snapToGrid/>
        <w:spacing w:line="360" w:lineRule="auto"/>
        <w:ind w:left="840" w:leftChars="0" w:hanging="420" w:firstLineChars="0"/>
        <w:jc w:val="center"/>
        <w:textAlignment w:val="auto"/>
        <w:rPr>
          <w:rFonts w:hint="default" w:ascii="Times New Roman" w:hAnsi="Times New Roman" w:cs="Times New Roman"/>
          <w:b/>
          <w:bCs/>
          <w:color w:val="auto"/>
          <w:spacing w:val="1"/>
        </w:rPr>
      </w:pPr>
      <w:r>
        <w:rPr>
          <w:rFonts w:hint="default" w:ascii="Times New Roman" w:hAnsi="Times New Roman" w:cs="Times New Roman"/>
          <w:b/>
          <w:bCs/>
          <w:color w:val="auto"/>
          <w:spacing w:val="1"/>
          <w:lang w:eastAsia="zh-CN"/>
        </w:rPr>
        <w:t>非甲烷总烃</w:t>
      </w:r>
      <w:r>
        <w:rPr>
          <w:rFonts w:hint="default" w:ascii="Times New Roman" w:hAnsi="Times New Roman" w:cs="Times New Roman"/>
          <w:b/>
          <w:bCs/>
          <w:color w:val="auto"/>
          <w:spacing w:val="1"/>
          <w:lang w:val="en-US" w:eastAsia="zh-CN"/>
        </w:rPr>
        <w:t>1小时</w:t>
      </w:r>
      <w:r>
        <w:rPr>
          <w:rFonts w:hint="default" w:ascii="Times New Roman" w:hAnsi="Times New Roman" w:cs="Times New Roman"/>
          <w:b/>
          <w:bCs/>
          <w:color w:val="auto"/>
          <w:spacing w:val="1"/>
        </w:rPr>
        <w:t>均值检测结果</w:t>
      </w:r>
    </w:p>
    <w:tbl>
      <w:tblPr>
        <w:tblStyle w:val="44"/>
        <w:tblW w:w="476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3"/>
        <w:gridCol w:w="1341"/>
        <w:gridCol w:w="2431"/>
        <w:gridCol w:w="26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073" w:type="pct"/>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bCs w:val="0"/>
                <w:color w:val="auto"/>
                <w:sz w:val="21"/>
                <w:szCs w:val="21"/>
                <w:lang w:eastAsia="zh-CN"/>
              </w:rPr>
            </w:pPr>
            <w:r>
              <w:rPr>
                <w:rFonts w:hint="default" w:ascii="Times New Roman" w:hAnsi="Times New Roman" w:cs="Times New Roman"/>
                <w:b/>
                <w:bCs w:val="0"/>
                <w:color w:val="auto"/>
                <w:sz w:val="21"/>
                <w:szCs w:val="21"/>
                <w:lang w:eastAsia="zh-CN"/>
              </w:rPr>
              <w:t>检测点位</w:t>
            </w:r>
          </w:p>
        </w:tc>
        <w:tc>
          <w:tcPr>
            <w:tcW w:w="825" w:type="pct"/>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bCs/>
                <w:color w:val="auto"/>
                <w:sz w:val="21"/>
                <w:szCs w:val="21"/>
                <w:lang w:eastAsia="zh-CN"/>
              </w:rPr>
              <w:t>检测</w:t>
            </w:r>
            <w:r>
              <w:rPr>
                <w:rFonts w:hint="default" w:ascii="Times New Roman" w:hAnsi="Times New Roman" w:eastAsia="宋体" w:cs="Times New Roman"/>
                <w:b/>
                <w:bCs/>
                <w:color w:val="auto"/>
                <w:sz w:val="21"/>
                <w:szCs w:val="21"/>
              </w:rPr>
              <w:t>日期</w:t>
            </w:r>
          </w:p>
        </w:tc>
        <w:tc>
          <w:tcPr>
            <w:tcW w:w="1497" w:type="pct"/>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采样时段</w:t>
            </w:r>
          </w:p>
        </w:tc>
        <w:tc>
          <w:tcPr>
            <w:tcW w:w="1603" w:type="pct"/>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cs="Times New Roman"/>
                <w:b/>
                <w:bCs/>
                <w:color w:val="auto"/>
                <w:sz w:val="21"/>
                <w:szCs w:val="21"/>
                <w:lang w:eastAsia="zh-CN"/>
              </w:rPr>
            </w:pPr>
            <w:r>
              <w:rPr>
                <w:rFonts w:hint="default" w:ascii="Times New Roman" w:hAnsi="Times New Roman" w:cs="Times New Roman"/>
                <w:b/>
                <w:bCs/>
                <w:color w:val="auto"/>
                <w:sz w:val="21"/>
                <w:szCs w:val="21"/>
                <w:lang w:val="en-US" w:eastAsia="zh-CN"/>
              </w:rPr>
              <w:t>非甲烷总烃（</w:t>
            </w:r>
            <w:r>
              <w:rPr>
                <w:rFonts w:hint="default" w:ascii="Times New Roman" w:hAnsi="Times New Roman" w:eastAsia="宋体" w:cs="Times New Roman"/>
                <w:b/>
                <w:bCs/>
                <w:color w:val="auto"/>
                <w:sz w:val="21"/>
                <w:szCs w:val="21"/>
                <w:lang w:val="en-US" w:eastAsia="zh-CN"/>
              </w:rPr>
              <w:t>m</w:t>
            </w:r>
            <w:r>
              <w:rPr>
                <w:rFonts w:hint="default" w:ascii="Times New Roman" w:hAnsi="Times New Roman" w:eastAsia="宋体" w:cs="Times New Roman"/>
                <w:b/>
                <w:bCs/>
                <w:color w:val="auto"/>
                <w:sz w:val="21"/>
                <w:szCs w:val="21"/>
              </w:rPr>
              <w:t>g/m</w:t>
            </w:r>
            <w:r>
              <w:rPr>
                <w:rFonts w:hint="default" w:ascii="Times New Roman" w:hAnsi="Times New Roman" w:eastAsia="宋体" w:cs="Times New Roman"/>
                <w:b/>
                <w:bCs/>
                <w:color w:val="auto"/>
                <w:sz w:val="21"/>
                <w:szCs w:val="21"/>
                <w:vertAlign w:val="superscript"/>
              </w:rPr>
              <w:t>3</w:t>
            </w:r>
            <w:r>
              <w:rPr>
                <w:rFonts w:hint="default" w:ascii="Times New Roman" w:hAnsi="Times New Roman" w:cs="Times New Roman"/>
                <w:b/>
                <w:bCs/>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073" w:type="pct"/>
            <w:vMerge w:val="restart"/>
            <w:noWrap w:val="0"/>
            <w:vAlign w:val="center"/>
          </w:tcPr>
          <w:p>
            <w:pPr>
              <w:keepNext w:val="0"/>
              <w:keepLines w:val="0"/>
              <w:pageBreakBefore w:val="0"/>
              <w:kinsoku/>
              <w:wordWrap/>
              <w:overflowPunct/>
              <w:topLinePunct w:val="0"/>
              <w:autoSpaceDE/>
              <w:autoSpaceDN/>
              <w:bidi w:val="0"/>
              <w:adjustRightInd w:val="0"/>
              <w:snapToGrid/>
              <w:spacing w:line="0" w:lineRule="atLeast"/>
              <w:jc w:val="center"/>
              <w:rPr>
                <w:rFonts w:hint="default" w:ascii="Times New Roman" w:hAnsi="Times New Roman" w:eastAsia="宋体" w:cs="Times New Roman"/>
                <w:b/>
                <w:bCs w:val="0"/>
                <w:color w:val="auto"/>
                <w:sz w:val="21"/>
                <w:szCs w:val="21"/>
                <w:lang w:eastAsia="zh-CN"/>
              </w:rPr>
            </w:pPr>
            <w:r>
              <w:rPr>
                <w:rFonts w:hint="default" w:ascii="Times New Roman" w:hAnsi="Times New Roman" w:cs="Times New Roman"/>
                <w:color w:val="auto"/>
                <w:kern w:val="21"/>
                <w:sz w:val="21"/>
                <w:szCs w:val="21"/>
                <w:lang w:eastAsia="zh-CN"/>
              </w:rPr>
              <w:t>“</w:t>
            </w:r>
            <w:r>
              <w:rPr>
                <w:rFonts w:hint="default" w:ascii="Times New Roman" w:hAnsi="Times New Roman" w:cs="Times New Roman"/>
                <w:color w:val="auto"/>
                <w:kern w:val="21"/>
                <w:sz w:val="21"/>
                <w:szCs w:val="21"/>
                <w:lang w:eastAsia="zh-CN" w:bidi="ar"/>
              </w:rPr>
              <w:t>年产</w:t>
            </w:r>
            <w:r>
              <w:rPr>
                <w:rFonts w:hint="default" w:ascii="Times New Roman" w:hAnsi="Times New Roman" w:cs="Times New Roman"/>
                <w:color w:val="auto"/>
                <w:kern w:val="21"/>
                <w:sz w:val="21"/>
                <w:szCs w:val="21"/>
                <w:lang w:val="en-US" w:eastAsia="zh-CN" w:bidi="ar"/>
              </w:rPr>
              <w:t>22GW单晶硅片建设项目</w:t>
            </w:r>
            <w:r>
              <w:rPr>
                <w:rFonts w:hint="default" w:ascii="Times New Roman" w:hAnsi="Times New Roman" w:cs="Times New Roman"/>
                <w:color w:val="auto"/>
                <w:kern w:val="21"/>
                <w:sz w:val="21"/>
                <w:szCs w:val="21"/>
                <w:lang w:eastAsia="zh-CN"/>
              </w:rPr>
              <w:t>”</w:t>
            </w:r>
            <w:r>
              <w:rPr>
                <w:rFonts w:hint="default" w:ascii="Times New Roman" w:hAnsi="Times New Roman" w:cs="Times New Roman"/>
                <w:color w:val="auto"/>
                <w:kern w:val="21"/>
                <w:sz w:val="21"/>
                <w:szCs w:val="21"/>
                <w:lang w:val="en-US" w:eastAsia="zh-CN" w:bidi="ar"/>
              </w:rPr>
              <w:t>切片车间（本项目下风向500m）</w:t>
            </w:r>
          </w:p>
        </w:tc>
        <w:tc>
          <w:tcPr>
            <w:tcW w:w="825" w:type="pct"/>
            <w:vMerge w:val="restart"/>
            <w:noWrap w:val="0"/>
            <w:vAlign w:val="center"/>
          </w:tcPr>
          <w:p>
            <w:pPr>
              <w:pStyle w:val="143"/>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12月13日</w:t>
            </w:r>
          </w:p>
        </w:tc>
        <w:tc>
          <w:tcPr>
            <w:tcW w:w="1497" w:type="pct"/>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HH2022DQ031-1-1</w:t>
            </w:r>
          </w:p>
        </w:tc>
        <w:tc>
          <w:tcPr>
            <w:tcW w:w="1603" w:type="pct"/>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073" w:type="pct"/>
            <w:vMerge w:val="continue"/>
            <w:noWrap w:val="0"/>
            <w:vAlign w:val="center"/>
          </w:tcPr>
          <w:p>
            <w:pPr>
              <w:keepNext w:val="0"/>
              <w:keepLines w:val="0"/>
              <w:pageBreakBefore w:val="0"/>
              <w:kinsoku/>
              <w:wordWrap/>
              <w:overflowPunct/>
              <w:topLinePunct w:val="0"/>
              <w:autoSpaceDE/>
              <w:autoSpaceDN/>
              <w:bidi w:val="0"/>
              <w:adjustRightInd w:val="0"/>
              <w:snapToGrid/>
              <w:spacing w:line="0" w:lineRule="atLeast"/>
              <w:jc w:val="center"/>
              <w:rPr>
                <w:rFonts w:hint="default" w:ascii="Times New Roman" w:hAnsi="Times New Roman" w:cs="Times New Roman"/>
                <w:b/>
                <w:color w:val="auto"/>
                <w:sz w:val="21"/>
                <w:szCs w:val="21"/>
              </w:rPr>
            </w:pPr>
          </w:p>
        </w:tc>
        <w:tc>
          <w:tcPr>
            <w:tcW w:w="825" w:type="pct"/>
            <w:vMerge w:val="continue"/>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bCs/>
                <w:color w:val="auto"/>
                <w:spacing w:val="-6"/>
                <w:sz w:val="21"/>
                <w:szCs w:val="21"/>
                <w:lang w:val="en-US" w:eastAsia="zh-CN"/>
              </w:rPr>
            </w:pPr>
          </w:p>
        </w:tc>
        <w:tc>
          <w:tcPr>
            <w:tcW w:w="1497" w:type="pct"/>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HH2022DQ031-1-2</w:t>
            </w:r>
          </w:p>
        </w:tc>
        <w:tc>
          <w:tcPr>
            <w:tcW w:w="1603" w:type="pct"/>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073" w:type="pct"/>
            <w:vMerge w:val="continue"/>
            <w:noWrap w:val="0"/>
            <w:vAlign w:val="center"/>
          </w:tcPr>
          <w:p>
            <w:pPr>
              <w:keepNext w:val="0"/>
              <w:keepLines w:val="0"/>
              <w:pageBreakBefore w:val="0"/>
              <w:kinsoku/>
              <w:wordWrap/>
              <w:overflowPunct/>
              <w:topLinePunct w:val="0"/>
              <w:autoSpaceDE/>
              <w:autoSpaceDN/>
              <w:bidi w:val="0"/>
              <w:adjustRightInd w:val="0"/>
              <w:snapToGrid/>
              <w:spacing w:line="0" w:lineRule="atLeast"/>
              <w:jc w:val="center"/>
              <w:rPr>
                <w:rFonts w:hint="default" w:ascii="Times New Roman" w:hAnsi="Times New Roman" w:cs="Times New Roman"/>
                <w:b/>
                <w:color w:val="auto"/>
                <w:sz w:val="21"/>
                <w:szCs w:val="21"/>
              </w:rPr>
            </w:pPr>
          </w:p>
        </w:tc>
        <w:tc>
          <w:tcPr>
            <w:tcW w:w="825" w:type="pct"/>
            <w:vMerge w:val="continue"/>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bCs/>
                <w:color w:val="auto"/>
                <w:spacing w:val="-6"/>
                <w:sz w:val="21"/>
                <w:szCs w:val="21"/>
                <w:lang w:val="en-US" w:eastAsia="zh-CN"/>
              </w:rPr>
            </w:pPr>
          </w:p>
        </w:tc>
        <w:tc>
          <w:tcPr>
            <w:tcW w:w="1497" w:type="pct"/>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HH2022DQ031-1-3</w:t>
            </w:r>
          </w:p>
        </w:tc>
        <w:tc>
          <w:tcPr>
            <w:tcW w:w="1603" w:type="pct"/>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073" w:type="pct"/>
            <w:vMerge w:val="continue"/>
            <w:noWrap w:val="0"/>
            <w:vAlign w:val="center"/>
          </w:tcPr>
          <w:p>
            <w:pPr>
              <w:keepNext w:val="0"/>
              <w:keepLines w:val="0"/>
              <w:pageBreakBefore w:val="0"/>
              <w:kinsoku/>
              <w:wordWrap/>
              <w:overflowPunct/>
              <w:topLinePunct w:val="0"/>
              <w:autoSpaceDE/>
              <w:autoSpaceDN/>
              <w:bidi w:val="0"/>
              <w:adjustRightInd w:val="0"/>
              <w:snapToGrid/>
              <w:spacing w:line="0" w:lineRule="atLeast"/>
              <w:jc w:val="center"/>
              <w:rPr>
                <w:rFonts w:hint="default" w:ascii="Times New Roman" w:hAnsi="Times New Roman" w:cs="Times New Roman"/>
                <w:b/>
                <w:color w:val="auto"/>
                <w:sz w:val="21"/>
                <w:szCs w:val="21"/>
              </w:rPr>
            </w:pPr>
          </w:p>
        </w:tc>
        <w:tc>
          <w:tcPr>
            <w:tcW w:w="825" w:type="pct"/>
            <w:vMerge w:val="continue"/>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bCs/>
                <w:color w:val="auto"/>
                <w:spacing w:val="-6"/>
                <w:sz w:val="21"/>
                <w:szCs w:val="21"/>
                <w:lang w:val="en-US" w:eastAsia="zh-CN"/>
              </w:rPr>
            </w:pPr>
          </w:p>
        </w:tc>
        <w:tc>
          <w:tcPr>
            <w:tcW w:w="1497" w:type="pct"/>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HH2022DQ031-1-4</w:t>
            </w:r>
          </w:p>
        </w:tc>
        <w:tc>
          <w:tcPr>
            <w:tcW w:w="1603" w:type="pct"/>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073" w:type="pct"/>
            <w:vMerge w:val="continue"/>
            <w:noWrap w:val="0"/>
            <w:vAlign w:val="center"/>
          </w:tcPr>
          <w:p>
            <w:pPr>
              <w:keepNext w:val="0"/>
              <w:keepLines w:val="0"/>
              <w:pageBreakBefore w:val="0"/>
              <w:kinsoku/>
              <w:wordWrap/>
              <w:overflowPunct/>
              <w:topLinePunct w:val="0"/>
              <w:autoSpaceDE/>
              <w:autoSpaceDN/>
              <w:bidi w:val="0"/>
              <w:adjustRightInd w:val="0"/>
              <w:snapToGrid/>
              <w:spacing w:line="0" w:lineRule="atLeast"/>
              <w:jc w:val="center"/>
              <w:rPr>
                <w:rFonts w:hint="default" w:ascii="Times New Roman" w:hAnsi="Times New Roman" w:cs="Times New Roman"/>
                <w:b/>
                <w:color w:val="auto"/>
                <w:sz w:val="21"/>
                <w:szCs w:val="21"/>
              </w:rPr>
            </w:pPr>
          </w:p>
        </w:tc>
        <w:tc>
          <w:tcPr>
            <w:tcW w:w="825" w:type="pct"/>
            <w:vMerge w:val="restar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12月14日</w:t>
            </w:r>
          </w:p>
        </w:tc>
        <w:tc>
          <w:tcPr>
            <w:tcW w:w="1497" w:type="pct"/>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HH2022DQ031-1-5</w:t>
            </w:r>
          </w:p>
        </w:tc>
        <w:tc>
          <w:tcPr>
            <w:tcW w:w="1603" w:type="pct"/>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073" w:type="pct"/>
            <w:vMerge w:val="continue"/>
            <w:noWrap w:val="0"/>
            <w:vAlign w:val="center"/>
          </w:tcPr>
          <w:p>
            <w:pPr>
              <w:keepNext w:val="0"/>
              <w:keepLines w:val="0"/>
              <w:pageBreakBefore w:val="0"/>
              <w:kinsoku/>
              <w:wordWrap/>
              <w:overflowPunct/>
              <w:topLinePunct w:val="0"/>
              <w:autoSpaceDE/>
              <w:autoSpaceDN/>
              <w:bidi w:val="0"/>
              <w:adjustRightInd w:val="0"/>
              <w:snapToGrid/>
              <w:spacing w:line="0" w:lineRule="atLeast"/>
              <w:jc w:val="center"/>
              <w:rPr>
                <w:rFonts w:hint="default" w:ascii="Times New Roman" w:hAnsi="Times New Roman" w:cs="Times New Roman"/>
                <w:b/>
                <w:color w:val="auto"/>
                <w:sz w:val="21"/>
                <w:szCs w:val="21"/>
              </w:rPr>
            </w:pPr>
          </w:p>
        </w:tc>
        <w:tc>
          <w:tcPr>
            <w:tcW w:w="825" w:type="pct"/>
            <w:vMerge w:val="continue"/>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bCs/>
                <w:color w:val="auto"/>
                <w:spacing w:val="-6"/>
                <w:sz w:val="21"/>
                <w:szCs w:val="21"/>
                <w:lang w:val="en-US" w:eastAsia="zh-CN"/>
              </w:rPr>
            </w:pPr>
          </w:p>
        </w:tc>
        <w:tc>
          <w:tcPr>
            <w:tcW w:w="1497" w:type="pct"/>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HH2022DQ031-1-6</w:t>
            </w:r>
          </w:p>
        </w:tc>
        <w:tc>
          <w:tcPr>
            <w:tcW w:w="1603" w:type="pct"/>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073" w:type="pct"/>
            <w:vMerge w:val="continue"/>
            <w:noWrap w:val="0"/>
            <w:vAlign w:val="center"/>
          </w:tcPr>
          <w:p>
            <w:pPr>
              <w:keepNext w:val="0"/>
              <w:keepLines w:val="0"/>
              <w:pageBreakBefore w:val="0"/>
              <w:kinsoku/>
              <w:wordWrap/>
              <w:overflowPunct/>
              <w:topLinePunct w:val="0"/>
              <w:autoSpaceDE/>
              <w:autoSpaceDN/>
              <w:bidi w:val="0"/>
              <w:adjustRightInd w:val="0"/>
              <w:snapToGrid/>
              <w:spacing w:line="0" w:lineRule="atLeast"/>
              <w:jc w:val="center"/>
              <w:rPr>
                <w:rFonts w:hint="default" w:ascii="Times New Roman" w:hAnsi="Times New Roman" w:cs="Times New Roman"/>
                <w:b/>
                <w:color w:val="auto"/>
                <w:sz w:val="21"/>
                <w:szCs w:val="21"/>
              </w:rPr>
            </w:pPr>
          </w:p>
        </w:tc>
        <w:tc>
          <w:tcPr>
            <w:tcW w:w="825" w:type="pct"/>
            <w:vMerge w:val="continue"/>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bCs/>
                <w:color w:val="auto"/>
                <w:spacing w:val="-6"/>
                <w:sz w:val="21"/>
                <w:szCs w:val="21"/>
                <w:lang w:val="en-US" w:eastAsia="zh-CN"/>
              </w:rPr>
            </w:pPr>
          </w:p>
        </w:tc>
        <w:tc>
          <w:tcPr>
            <w:tcW w:w="1497" w:type="pct"/>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HH2022DQ031-1-7</w:t>
            </w:r>
          </w:p>
        </w:tc>
        <w:tc>
          <w:tcPr>
            <w:tcW w:w="1603" w:type="pct"/>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073" w:type="pct"/>
            <w:vMerge w:val="continue"/>
            <w:noWrap w:val="0"/>
            <w:vAlign w:val="center"/>
          </w:tcPr>
          <w:p>
            <w:pPr>
              <w:keepNext w:val="0"/>
              <w:keepLines w:val="0"/>
              <w:pageBreakBefore w:val="0"/>
              <w:kinsoku/>
              <w:wordWrap/>
              <w:overflowPunct/>
              <w:topLinePunct w:val="0"/>
              <w:autoSpaceDE/>
              <w:autoSpaceDN/>
              <w:bidi w:val="0"/>
              <w:adjustRightInd w:val="0"/>
              <w:snapToGrid/>
              <w:spacing w:line="0" w:lineRule="atLeast"/>
              <w:jc w:val="center"/>
              <w:rPr>
                <w:rFonts w:hint="default" w:ascii="Times New Roman" w:hAnsi="Times New Roman" w:cs="Times New Roman"/>
                <w:b/>
                <w:color w:val="auto"/>
                <w:sz w:val="21"/>
                <w:szCs w:val="21"/>
              </w:rPr>
            </w:pPr>
          </w:p>
        </w:tc>
        <w:tc>
          <w:tcPr>
            <w:tcW w:w="825" w:type="pct"/>
            <w:vMerge w:val="continue"/>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bCs/>
                <w:color w:val="auto"/>
                <w:spacing w:val="-6"/>
                <w:sz w:val="21"/>
                <w:szCs w:val="21"/>
                <w:lang w:val="en-US" w:eastAsia="zh-CN"/>
              </w:rPr>
            </w:pPr>
          </w:p>
        </w:tc>
        <w:tc>
          <w:tcPr>
            <w:tcW w:w="1497" w:type="pct"/>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HH2022DQ031-1-8</w:t>
            </w:r>
          </w:p>
        </w:tc>
        <w:tc>
          <w:tcPr>
            <w:tcW w:w="1603" w:type="pct"/>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073" w:type="pct"/>
            <w:vMerge w:val="continue"/>
            <w:noWrap w:val="0"/>
            <w:vAlign w:val="center"/>
          </w:tcPr>
          <w:p>
            <w:pPr>
              <w:keepNext w:val="0"/>
              <w:keepLines w:val="0"/>
              <w:pageBreakBefore w:val="0"/>
              <w:kinsoku/>
              <w:wordWrap/>
              <w:overflowPunct/>
              <w:topLinePunct w:val="0"/>
              <w:autoSpaceDE/>
              <w:autoSpaceDN/>
              <w:bidi w:val="0"/>
              <w:adjustRightInd w:val="0"/>
              <w:snapToGrid/>
              <w:spacing w:line="0" w:lineRule="atLeast"/>
              <w:jc w:val="center"/>
              <w:rPr>
                <w:rFonts w:hint="default" w:ascii="Times New Roman" w:hAnsi="Times New Roman" w:eastAsia="宋体" w:cs="Times New Roman"/>
                <w:b/>
                <w:color w:val="auto"/>
                <w:sz w:val="21"/>
                <w:szCs w:val="21"/>
                <w:lang w:eastAsia="zh-CN"/>
              </w:rPr>
            </w:pPr>
          </w:p>
        </w:tc>
        <w:tc>
          <w:tcPr>
            <w:tcW w:w="825" w:type="pct"/>
            <w:vMerge w:val="restart"/>
            <w:tcBorders>
              <w:top w:val="single" w:color="auto" w:sz="4" w:space="0"/>
              <w:left w:val="single" w:color="auto" w:sz="4" w:space="0"/>
              <w:right w:val="single" w:color="auto" w:sz="4" w:space="0"/>
            </w:tcBorders>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12月15日</w:t>
            </w:r>
          </w:p>
        </w:tc>
        <w:tc>
          <w:tcPr>
            <w:tcW w:w="149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HH2022DQ031-1-9</w:t>
            </w:r>
          </w:p>
        </w:tc>
        <w:tc>
          <w:tcPr>
            <w:tcW w:w="160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073" w:type="pct"/>
            <w:vMerge w:val="continue"/>
            <w:noWrap w:val="0"/>
            <w:vAlign w:val="center"/>
          </w:tcPr>
          <w:p>
            <w:pPr>
              <w:keepNext w:val="0"/>
              <w:keepLines w:val="0"/>
              <w:pageBreakBefore w:val="0"/>
              <w:kinsoku/>
              <w:wordWrap/>
              <w:overflowPunct/>
              <w:topLinePunct w:val="0"/>
              <w:autoSpaceDE/>
              <w:autoSpaceDN/>
              <w:bidi w:val="0"/>
              <w:adjustRightInd w:val="0"/>
              <w:snapToGrid/>
              <w:spacing w:line="0" w:lineRule="atLeast"/>
              <w:jc w:val="center"/>
              <w:rPr>
                <w:rFonts w:hint="default" w:ascii="Times New Roman" w:hAnsi="Times New Roman" w:cs="Times New Roman"/>
                <w:b/>
                <w:color w:val="auto"/>
                <w:sz w:val="21"/>
                <w:szCs w:val="21"/>
              </w:rPr>
            </w:pPr>
          </w:p>
        </w:tc>
        <w:tc>
          <w:tcPr>
            <w:tcW w:w="825" w:type="pct"/>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bCs/>
                <w:color w:val="auto"/>
                <w:spacing w:val="-6"/>
                <w:sz w:val="21"/>
                <w:szCs w:val="21"/>
                <w:lang w:val="en-US" w:eastAsia="zh-CN"/>
              </w:rPr>
            </w:pPr>
          </w:p>
        </w:tc>
        <w:tc>
          <w:tcPr>
            <w:tcW w:w="149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HH2022DQ031-1-10</w:t>
            </w:r>
          </w:p>
        </w:tc>
        <w:tc>
          <w:tcPr>
            <w:tcW w:w="160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073" w:type="pct"/>
            <w:vMerge w:val="continue"/>
            <w:noWrap w:val="0"/>
            <w:vAlign w:val="center"/>
          </w:tcPr>
          <w:p>
            <w:pPr>
              <w:keepNext w:val="0"/>
              <w:keepLines w:val="0"/>
              <w:pageBreakBefore w:val="0"/>
              <w:kinsoku/>
              <w:wordWrap/>
              <w:overflowPunct/>
              <w:topLinePunct w:val="0"/>
              <w:autoSpaceDE/>
              <w:autoSpaceDN/>
              <w:bidi w:val="0"/>
              <w:adjustRightInd w:val="0"/>
              <w:snapToGrid/>
              <w:spacing w:line="0" w:lineRule="atLeast"/>
              <w:jc w:val="center"/>
              <w:rPr>
                <w:rFonts w:hint="default" w:ascii="Times New Roman" w:hAnsi="Times New Roman" w:cs="Times New Roman"/>
                <w:b/>
                <w:color w:val="auto"/>
                <w:sz w:val="21"/>
                <w:szCs w:val="21"/>
              </w:rPr>
            </w:pPr>
          </w:p>
        </w:tc>
        <w:tc>
          <w:tcPr>
            <w:tcW w:w="825" w:type="pct"/>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bCs/>
                <w:color w:val="auto"/>
                <w:spacing w:val="-6"/>
                <w:sz w:val="21"/>
                <w:szCs w:val="21"/>
                <w:lang w:val="en-US" w:eastAsia="zh-CN"/>
              </w:rPr>
            </w:pPr>
          </w:p>
        </w:tc>
        <w:tc>
          <w:tcPr>
            <w:tcW w:w="149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HH2022DQ031-1-11</w:t>
            </w:r>
          </w:p>
        </w:tc>
        <w:tc>
          <w:tcPr>
            <w:tcW w:w="160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073" w:type="pct"/>
            <w:vMerge w:val="continue"/>
            <w:noWrap w:val="0"/>
            <w:vAlign w:val="center"/>
          </w:tcPr>
          <w:p>
            <w:pPr>
              <w:keepNext w:val="0"/>
              <w:keepLines w:val="0"/>
              <w:pageBreakBefore w:val="0"/>
              <w:kinsoku/>
              <w:wordWrap/>
              <w:overflowPunct/>
              <w:topLinePunct w:val="0"/>
              <w:autoSpaceDE/>
              <w:autoSpaceDN/>
              <w:bidi w:val="0"/>
              <w:adjustRightInd w:val="0"/>
              <w:snapToGrid/>
              <w:spacing w:line="0" w:lineRule="atLeast"/>
              <w:jc w:val="center"/>
              <w:rPr>
                <w:rFonts w:hint="default" w:ascii="Times New Roman" w:hAnsi="Times New Roman" w:cs="Times New Roman"/>
                <w:b/>
                <w:color w:val="auto"/>
                <w:sz w:val="21"/>
                <w:szCs w:val="21"/>
              </w:rPr>
            </w:pPr>
          </w:p>
        </w:tc>
        <w:tc>
          <w:tcPr>
            <w:tcW w:w="825" w:type="pct"/>
            <w:vMerge w:val="continue"/>
            <w:tcBorders>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bCs/>
                <w:color w:val="auto"/>
                <w:spacing w:val="-6"/>
                <w:sz w:val="21"/>
                <w:szCs w:val="21"/>
                <w:lang w:val="en-US" w:eastAsia="zh-CN"/>
              </w:rPr>
            </w:pPr>
          </w:p>
        </w:tc>
        <w:tc>
          <w:tcPr>
            <w:tcW w:w="149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HH2022DQ031-1-12</w:t>
            </w:r>
          </w:p>
        </w:tc>
        <w:tc>
          <w:tcPr>
            <w:tcW w:w="160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073" w:type="pct"/>
            <w:vMerge w:val="continue"/>
            <w:noWrap w:val="0"/>
            <w:vAlign w:val="center"/>
          </w:tcPr>
          <w:p>
            <w:pPr>
              <w:keepNext w:val="0"/>
              <w:keepLines w:val="0"/>
              <w:pageBreakBefore w:val="0"/>
              <w:kinsoku/>
              <w:wordWrap/>
              <w:overflowPunct/>
              <w:topLinePunct w:val="0"/>
              <w:autoSpaceDE/>
              <w:autoSpaceDN/>
              <w:bidi w:val="0"/>
              <w:adjustRightInd w:val="0"/>
              <w:snapToGrid/>
              <w:spacing w:line="0" w:lineRule="atLeast"/>
              <w:jc w:val="center"/>
              <w:rPr>
                <w:rFonts w:hint="default" w:ascii="Times New Roman" w:hAnsi="Times New Roman" w:cs="Times New Roman"/>
                <w:b/>
                <w:color w:val="auto"/>
                <w:sz w:val="21"/>
                <w:szCs w:val="21"/>
              </w:rPr>
            </w:pPr>
          </w:p>
        </w:tc>
        <w:tc>
          <w:tcPr>
            <w:tcW w:w="825" w:type="pct"/>
            <w:vMerge w:val="restart"/>
            <w:tcBorders>
              <w:top w:val="single" w:color="auto" w:sz="4" w:space="0"/>
              <w:left w:val="single" w:color="auto" w:sz="4" w:space="0"/>
              <w:right w:val="single" w:color="auto" w:sz="4" w:space="0"/>
            </w:tcBorders>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12月16日</w:t>
            </w:r>
          </w:p>
        </w:tc>
        <w:tc>
          <w:tcPr>
            <w:tcW w:w="149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HH2022DQ031-1-13</w:t>
            </w:r>
          </w:p>
        </w:tc>
        <w:tc>
          <w:tcPr>
            <w:tcW w:w="160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073" w:type="pct"/>
            <w:vMerge w:val="continue"/>
            <w:noWrap w:val="0"/>
            <w:vAlign w:val="center"/>
          </w:tcPr>
          <w:p>
            <w:pPr>
              <w:keepNext w:val="0"/>
              <w:keepLines w:val="0"/>
              <w:pageBreakBefore w:val="0"/>
              <w:kinsoku/>
              <w:wordWrap/>
              <w:overflowPunct/>
              <w:topLinePunct w:val="0"/>
              <w:autoSpaceDE/>
              <w:autoSpaceDN/>
              <w:bidi w:val="0"/>
              <w:adjustRightInd w:val="0"/>
              <w:snapToGrid/>
              <w:spacing w:line="0" w:lineRule="atLeast"/>
              <w:jc w:val="center"/>
              <w:rPr>
                <w:rFonts w:hint="default" w:ascii="Times New Roman" w:hAnsi="Times New Roman" w:cs="Times New Roman"/>
                <w:b/>
                <w:color w:val="auto"/>
                <w:sz w:val="21"/>
                <w:szCs w:val="21"/>
              </w:rPr>
            </w:pPr>
          </w:p>
        </w:tc>
        <w:tc>
          <w:tcPr>
            <w:tcW w:w="825" w:type="pct"/>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bCs/>
                <w:color w:val="auto"/>
                <w:sz w:val="21"/>
                <w:szCs w:val="21"/>
                <w:lang w:val="en-US" w:eastAsia="zh-CN"/>
              </w:rPr>
            </w:pPr>
          </w:p>
        </w:tc>
        <w:tc>
          <w:tcPr>
            <w:tcW w:w="149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HH2022DQ031-1-14</w:t>
            </w:r>
          </w:p>
        </w:tc>
        <w:tc>
          <w:tcPr>
            <w:tcW w:w="160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073" w:type="pct"/>
            <w:vMerge w:val="continue"/>
            <w:noWrap w:val="0"/>
            <w:vAlign w:val="center"/>
          </w:tcPr>
          <w:p>
            <w:pPr>
              <w:keepNext w:val="0"/>
              <w:keepLines w:val="0"/>
              <w:pageBreakBefore w:val="0"/>
              <w:kinsoku/>
              <w:wordWrap/>
              <w:overflowPunct/>
              <w:topLinePunct w:val="0"/>
              <w:autoSpaceDE/>
              <w:autoSpaceDN/>
              <w:bidi w:val="0"/>
              <w:adjustRightInd w:val="0"/>
              <w:snapToGrid/>
              <w:spacing w:line="0" w:lineRule="atLeast"/>
              <w:jc w:val="center"/>
              <w:rPr>
                <w:rFonts w:hint="default" w:ascii="Times New Roman" w:hAnsi="Times New Roman" w:cs="Times New Roman"/>
                <w:b/>
                <w:color w:val="auto"/>
                <w:sz w:val="21"/>
                <w:szCs w:val="21"/>
              </w:rPr>
            </w:pPr>
          </w:p>
        </w:tc>
        <w:tc>
          <w:tcPr>
            <w:tcW w:w="825" w:type="pct"/>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bCs/>
                <w:color w:val="auto"/>
                <w:sz w:val="21"/>
                <w:szCs w:val="21"/>
                <w:lang w:val="en-US" w:eastAsia="zh-CN"/>
              </w:rPr>
            </w:pPr>
          </w:p>
        </w:tc>
        <w:tc>
          <w:tcPr>
            <w:tcW w:w="149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HH2022DQ031-1-15</w:t>
            </w:r>
          </w:p>
        </w:tc>
        <w:tc>
          <w:tcPr>
            <w:tcW w:w="160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073" w:type="pct"/>
            <w:vMerge w:val="continue"/>
            <w:noWrap w:val="0"/>
            <w:vAlign w:val="center"/>
          </w:tcPr>
          <w:p>
            <w:pPr>
              <w:keepNext w:val="0"/>
              <w:keepLines w:val="0"/>
              <w:pageBreakBefore w:val="0"/>
              <w:kinsoku/>
              <w:wordWrap/>
              <w:overflowPunct/>
              <w:topLinePunct w:val="0"/>
              <w:autoSpaceDE/>
              <w:autoSpaceDN/>
              <w:bidi w:val="0"/>
              <w:adjustRightInd w:val="0"/>
              <w:snapToGrid/>
              <w:spacing w:line="0" w:lineRule="atLeast"/>
              <w:jc w:val="center"/>
              <w:rPr>
                <w:rFonts w:hint="default" w:ascii="Times New Roman" w:hAnsi="Times New Roman" w:cs="Times New Roman"/>
                <w:b/>
                <w:color w:val="auto"/>
                <w:sz w:val="21"/>
                <w:szCs w:val="21"/>
              </w:rPr>
            </w:pPr>
          </w:p>
        </w:tc>
        <w:tc>
          <w:tcPr>
            <w:tcW w:w="825" w:type="pct"/>
            <w:vMerge w:val="continue"/>
            <w:tcBorders>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bCs/>
                <w:color w:val="auto"/>
                <w:sz w:val="21"/>
                <w:szCs w:val="21"/>
                <w:lang w:val="en-US" w:eastAsia="zh-CN"/>
              </w:rPr>
            </w:pPr>
          </w:p>
        </w:tc>
        <w:tc>
          <w:tcPr>
            <w:tcW w:w="149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HH2022DQ031-1-16</w:t>
            </w:r>
          </w:p>
        </w:tc>
        <w:tc>
          <w:tcPr>
            <w:tcW w:w="160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073" w:type="pct"/>
            <w:vMerge w:val="continue"/>
            <w:noWrap w:val="0"/>
            <w:vAlign w:val="center"/>
          </w:tcPr>
          <w:p>
            <w:pPr>
              <w:keepNext w:val="0"/>
              <w:keepLines w:val="0"/>
              <w:pageBreakBefore w:val="0"/>
              <w:kinsoku/>
              <w:wordWrap/>
              <w:overflowPunct/>
              <w:topLinePunct w:val="0"/>
              <w:autoSpaceDE/>
              <w:autoSpaceDN/>
              <w:bidi w:val="0"/>
              <w:adjustRightInd w:val="0"/>
              <w:snapToGrid/>
              <w:spacing w:line="0" w:lineRule="atLeast"/>
              <w:jc w:val="center"/>
              <w:rPr>
                <w:rFonts w:hint="default" w:ascii="Times New Roman" w:hAnsi="Times New Roman" w:cs="Times New Roman"/>
                <w:b/>
                <w:color w:val="auto"/>
                <w:sz w:val="21"/>
                <w:szCs w:val="21"/>
              </w:rPr>
            </w:pPr>
          </w:p>
        </w:tc>
        <w:tc>
          <w:tcPr>
            <w:tcW w:w="825" w:type="pct"/>
            <w:vMerge w:val="restart"/>
            <w:tcBorders>
              <w:top w:val="single" w:color="auto" w:sz="4" w:space="0"/>
              <w:left w:val="single" w:color="auto" w:sz="4" w:space="0"/>
              <w:right w:val="single" w:color="auto" w:sz="4" w:space="0"/>
            </w:tcBorders>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12月17日</w:t>
            </w:r>
          </w:p>
        </w:tc>
        <w:tc>
          <w:tcPr>
            <w:tcW w:w="149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HH2022DQ031-1-17</w:t>
            </w:r>
          </w:p>
        </w:tc>
        <w:tc>
          <w:tcPr>
            <w:tcW w:w="160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073" w:type="pct"/>
            <w:vMerge w:val="continue"/>
            <w:noWrap w:val="0"/>
            <w:vAlign w:val="center"/>
          </w:tcPr>
          <w:p>
            <w:pPr>
              <w:keepNext w:val="0"/>
              <w:keepLines w:val="0"/>
              <w:pageBreakBefore w:val="0"/>
              <w:kinsoku/>
              <w:wordWrap/>
              <w:overflowPunct/>
              <w:topLinePunct w:val="0"/>
              <w:autoSpaceDE/>
              <w:autoSpaceDN/>
              <w:bidi w:val="0"/>
              <w:adjustRightInd w:val="0"/>
              <w:snapToGrid/>
              <w:spacing w:line="0" w:lineRule="atLeast"/>
              <w:jc w:val="center"/>
              <w:rPr>
                <w:rFonts w:hint="default" w:ascii="Times New Roman" w:hAnsi="Times New Roman" w:cs="Times New Roman"/>
                <w:b/>
                <w:color w:val="auto"/>
                <w:sz w:val="21"/>
                <w:szCs w:val="21"/>
              </w:rPr>
            </w:pPr>
          </w:p>
        </w:tc>
        <w:tc>
          <w:tcPr>
            <w:tcW w:w="825" w:type="pct"/>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bCs/>
                <w:color w:val="auto"/>
                <w:sz w:val="21"/>
                <w:szCs w:val="21"/>
                <w:lang w:val="en-US" w:eastAsia="zh-CN"/>
              </w:rPr>
            </w:pPr>
          </w:p>
        </w:tc>
        <w:tc>
          <w:tcPr>
            <w:tcW w:w="149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HH2022DQ031-1-18</w:t>
            </w:r>
          </w:p>
        </w:tc>
        <w:tc>
          <w:tcPr>
            <w:tcW w:w="160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073" w:type="pct"/>
            <w:vMerge w:val="continue"/>
            <w:noWrap w:val="0"/>
            <w:vAlign w:val="center"/>
          </w:tcPr>
          <w:p>
            <w:pPr>
              <w:keepNext w:val="0"/>
              <w:keepLines w:val="0"/>
              <w:pageBreakBefore w:val="0"/>
              <w:kinsoku/>
              <w:wordWrap/>
              <w:overflowPunct/>
              <w:topLinePunct w:val="0"/>
              <w:autoSpaceDE/>
              <w:autoSpaceDN/>
              <w:bidi w:val="0"/>
              <w:adjustRightInd w:val="0"/>
              <w:snapToGrid/>
              <w:spacing w:line="0" w:lineRule="atLeast"/>
              <w:jc w:val="center"/>
              <w:rPr>
                <w:rFonts w:hint="default" w:ascii="Times New Roman" w:hAnsi="Times New Roman" w:cs="Times New Roman"/>
                <w:b/>
                <w:color w:val="auto"/>
                <w:sz w:val="21"/>
                <w:szCs w:val="21"/>
              </w:rPr>
            </w:pPr>
          </w:p>
        </w:tc>
        <w:tc>
          <w:tcPr>
            <w:tcW w:w="825" w:type="pct"/>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bCs/>
                <w:color w:val="auto"/>
                <w:sz w:val="21"/>
                <w:szCs w:val="21"/>
                <w:lang w:val="en-US" w:eastAsia="zh-CN"/>
              </w:rPr>
            </w:pPr>
          </w:p>
        </w:tc>
        <w:tc>
          <w:tcPr>
            <w:tcW w:w="149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HH2022DQ031-1-19</w:t>
            </w:r>
          </w:p>
        </w:tc>
        <w:tc>
          <w:tcPr>
            <w:tcW w:w="160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073" w:type="pct"/>
            <w:vMerge w:val="continue"/>
            <w:noWrap w:val="0"/>
            <w:vAlign w:val="center"/>
          </w:tcPr>
          <w:p>
            <w:pPr>
              <w:keepNext w:val="0"/>
              <w:keepLines w:val="0"/>
              <w:pageBreakBefore w:val="0"/>
              <w:kinsoku/>
              <w:wordWrap/>
              <w:overflowPunct/>
              <w:topLinePunct w:val="0"/>
              <w:autoSpaceDE/>
              <w:autoSpaceDN/>
              <w:bidi w:val="0"/>
              <w:adjustRightInd w:val="0"/>
              <w:snapToGrid/>
              <w:spacing w:line="0" w:lineRule="atLeast"/>
              <w:jc w:val="center"/>
              <w:rPr>
                <w:rFonts w:hint="default" w:ascii="Times New Roman" w:hAnsi="Times New Roman" w:cs="Times New Roman"/>
                <w:b/>
                <w:color w:val="auto"/>
                <w:sz w:val="21"/>
                <w:szCs w:val="21"/>
              </w:rPr>
            </w:pPr>
          </w:p>
        </w:tc>
        <w:tc>
          <w:tcPr>
            <w:tcW w:w="825" w:type="pct"/>
            <w:vMerge w:val="continue"/>
            <w:tcBorders>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bCs/>
                <w:color w:val="auto"/>
                <w:sz w:val="21"/>
                <w:szCs w:val="21"/>
                <w:lang w:val="en-US" w:eastAsia="zh-CN"/>
              </w:rPr>
            </w:pPr>
          </w:p>
        </w:tc>
        <w:tc>
          <w:tcPr>
            <w:tcW w:w="149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HH2022DQ031-1-20</w:t>
            </w:r>
          </w:p>
        </w:tc>
        <w:tc>
          <w:tcPr>
            <w:tcW w:w="160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073" w:type="pct"/>
            <w:vMerge w:val="continue"/>
            <w:noWrap w:val="0"/>
            <w:vAlign w:val="center"/>
          </w:tcPr>
          <w:p>
            <w:pPr>
              <w:keepNext w:val="0"/>
              <w:keepLines w:val="0"/>
              <w:pageBreakBefore w:val="0"/>
              <w:kinsoku/>
              <w:wordWrap/>
              <w:overflowPunct/>
              <w:topLinePunct w:val="0"/>
              <w:autoSpaceDE/>
              <w:autoSpaceDN/>
              <w:bidi w:val="0"/>
              <w:adjustRightInd w:val="0"/>
              <w:snapToGrid/>
              <w:spacing w:line="0" w:lineRule="atLeast"/>
              <w:jc w:val="center"/>
              <w:rPr>
                <w:rFonts w:hint="default" w:ascii="Times New Roman" w:hAnsi="Times New Roman" w:cs="Times New Roman"/>
                <w:b/>
                <w:color w:val="auto"/>
                <w:sz w:val="21"/>
                <w:szCs w:val="21"/>
              </w:rPr>
            </w:pPr>
          </w:p>
        </w:tc>
        <w:tc>
          <w:tcPr>
            <w:tcW w:w="825" w:type="pct"/>
            <w:vMerge w:val="restart"/>
            <w:tcBorders>
              <w:top w:val="single" w:color="auto" w:sz="4" w:space="0"/>
              <w:left w:val="single" w:color="auto" w:sz="4" w:space="0"/>
              <w:right w:val="single" w:color="auto" w:sz="4" w:space="0"/>
            </w:tcBorders>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12月18日</w:t>
            </w:r>
          </w:p>
        </w:tc>
        <w:tc>
          <w:tcPr>
            <w:tcW w:w="149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HH2022DQ031-1-21</w:t>
            </w:r>
          </w:p>
        </w:tc>
        <w:tc>
          <w:tcPr>
            <w:tcW w:w="160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073" w:type="pct"/>
            <w:vMerge w:val="continue"/>
            <w:noWrap w:val="0"/>
            <w:vAlign w:val="center"/>
          </w:tcPr>
          <w:p>
            <w:pPr>
              <w:keepNext w:val="0"/>
              <w:keepLines w:val="0"/>
              <w:pageBreakBefore w:val="0"/>
              <w:kinsoku/>
              <w:wordWrap/>
              <w:overflowPunct/>
              <w:topLinePunct w:val="0"/>
              <w:autoSpaceDE/>
              <w:autoSpaceDN/>
              <w:bidi w:val="0"/>
              <w:adjustRightInd w:val="0"/>
              <w:snapToGrid/>
              <w:spacing w:line="0" w:lineRule="atLeast"/>
              <w:jc w:val="center"/>
              <w:rPr>
                <w:rFonts w:hint="default" w:ascii="Times New Roman" w:hAnsi="Times New Roman" w:cs="Times New Roman"/>
                <w:b/>
                <w:color w:val="auto"/>
                <w:sz w:val="21"/>
                <w:szCs w:val="21"/>
              </w:rPr>
            </w:pPr>
          </w:p>
        </w:tc>
        <w:tc>
          <w:tcPr>
            <w:tcW w:w="825" w:type="pct"/>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bCs/>
                <w:color w:val="auto"/>
                <w:sz w:val="21"/>
                <w:szCs w:val="21"/>
                <w:lang w:val="en-US" w:eastAsia="zh-CN"/>
              </w:rPr>
            </w:pPr>
          </w:p>
        </w:tc>
        <w:tc>
          <w:tcPr>
            <w:tcW w:w="149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HH2022DQ031-1-22</w:t>
            </w:r>
          </w:p>
        </w:tc>
        <w:tc>
          <w:tcPr>
            <w:tcW w:w="160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073" w:type="pct"/>
            <w:vMerge w:val="continue"/>
            <w:noWrap w:val="0"/>
            <w:vAlign w:val="center"/>
          </w:tcPr>
          <w:p>
            <w:pPr>
              <w:keepNext w:val="0"/>
              <w:keepLines w:val="0"/>
              <w:pageBreakBefore w:val="0"/>
              <w:kinsoku/>
              <w:wordWrap/>
              <w:overflowPunct/>
              <w:topLinePunct w:val="0"/>
              <w:autoSpaceDE/>
              <w:autoSpaceDN/>
              <w:bidi w:val="0"/>
              <w:adjustRightInd w:val="0"/>
              <w:snapToGrid/>
              <w:spacing w:line="0" w:lineRule="atLeast"/>
              <w:jc w:val="center"/>
              <w:rPr>
                <w:rFonts w:hint="default" w:ascii="Times New Roman" w:hAnsi="Times New Roman" w:cs="Times New Roman"/>
                <w:b/>
                <w:color w:val="auto"/>
                <w:sz w:val="21"/>
                <w:szCs w:val="21"/>
              </w:rPr>
            </w:pPr>
          </w:p>
        </w:tc>
        <w:tc>
          <w:tcPr>
            <w:tcW w:w="825" w:type="pct"/>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bCs/>
                <w:color w:val="auto"/>
                <w:sz w:val="21"/>
                <w:szCs w:val="21"/>
                <w:lang w:val="en-US" w:eastAsia="zh-CN"/>
              </w:rPr>
            </w:pPr>
          </w:p>
        </w:tc>
        <w:tc>
          <w:tcPr>
            <w:tcW w:w="149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HH2022DQ031-1-23</w:t>
            </w:r>
          </w:p>
        </w:tc>
        <w:tc>
          <w:tcPr>
            <w:tcW w:w="160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073" w:type="pct"/>
            <w:vMerge w:val="continue"/>
            <w:noWrap w:val="0"/>
            <w:vAlign w:val="center"/>
          </w:tcPr>
          <w:p>
            <w:pPr>
              <w:keepNext w:val="0"/>
              <w:keepLines w:val="0"/>
              <w:pageBreakBefore w:val="0"/>
              <w:kinsoku/>
              <w:wordWrap/>
              <w:overflowPunct/>
              <w:topLinePunct w:val="0"/>
              <w:autoSpaceDE/>
              <w:autoSpaceDN/>
              <w:bidi w:val="0"/>
              <w:adjustRightInd w:val="0"/>
              <w:snapToGrid/>
              <w:spacing w:line="0" w:lineRule="atLeast"/>
              <w:jc w:val="center"/>
              <w:rPr>
                <w:rFonts w:hint="default" w:ascii="Times New Roman" w:hAnsi="Times New Roman" w:cs="Times New Roman"/>
                <w:b/>
                <w:color w:val="auto"/>
                <w:sz w:val="21"/>
                <w:szCs w:val="21"/>
              </w:rPr>
            </w:pPr>
          </w:p>
        </w:tc>
        <w:tc>
          <w:tcPr>
            <w:tcW w:w="825" w:type="pct"/>
            <w:vMerge w:val="continue"/>
            <w:tcBorders>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bCs/>
                <w:color w:val="auto"/>
                <w:sz w:val="21"/>
                <w:szCs w:val="21"/>
                <w:lang w:val="en-US" w:eastAsia="zh-CN"/>
              </w:rPr>
            </w:pPr>
          </w:p>
        </w:tc>
        <w:tc>
          <w:tcPr>
            <w:tcW w:w="149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HH2022DQ031-1-24</w:t>
            </w:r>
          </w:p>
        </w:tc>
        <w:tc>
          <w:tcPr>
            <w:tcW w:w="160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073" w:type="pct"/>
            <w:vMerge w:val="continue"/>
            <w:noWrap w:val="0"/>
            <w:vAlign w:val="center"/>
          </w:tcPr>
          <w:p>
            <w:pPr>
              <w:keepNext w:val="0"/>
              <w:keepLines w:val="0"/>
              <w:pageBreakBefore w:val="0"/>
              <w:kinsoku/>
              <w:wordWrap/>
              <w:overflowPunct/>
              <w:topLinePunct w:val="0"/>
              <w:autoSpaceDE/>
              <w:autoSpaceDN/>
              <w:bidi w:val="0"/>
              <w:adjustRightInd w:val="0"/>
              <w:snapToGrid/>
              <w:spacing w:line="0" w:lineRule="atLeast"/>
              <w:jc w:val="center"/>
              <w:rPr>
                <w:rFonts w:hint="default" w:ascii="Times New Roman" w:hAnsi="Times New Roman" w:cs="Times New Roman"/>
                <w:b/>
                <w:color w:val="auto"/>
                <w:sz w:val="21"/>
                <w:szCs w:val="21"/>
              </w:rPr>
            </w:pPr>
          </w:p>
        </w:tc>
        <w:tc>
          <w:tcPr>
            <w:tcW w:w="825"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color w:val="auto"/>
                <w:sz w:val="21"/>
                <w:szCs w:val="21"/>
                <w:lang w:val="en-US" w:eastAsia="zh-CN"/>
              </w:rPr>
              <w:t>12月19日</w:t>
            </w:r>
          </w:p>
        </w:tc>
        <w:tc>
          <w:tcPr>
            <w:tcW w:w="149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HH2022DQ031-1-25</w:t>
            </w:r>
          </w:p>
        </w:tc>
        <w:tc>
          <w:tcPr>
            <w:tcW w:w="160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073" w:type="pct"/>
            <w:vMerge w:val="continue"/>
            <w:noWrap w:val="0"/>
            <w:vAlign w:val="center"/>
          </w:tcPr>
          <w:p>
            <w:pPr>
              <w:keepNext w:val="0"/>
              <w:keepLines w:val="0"/>
              <w:pageBreakBefore w:val="0"/>
              <w:kinsoku/>
              <w:wordWrap/>
              <w:overflowPunct/>
              <w:topLinePunct w:val="0"/>
              <w:autoSpaceDE/>
              <w:autoSpaceDN/>
              <w:bidi w:val="0"/>
              <w:adjustRightInd w:val="0"/>
              <w:snapToGrid/>
              <w:spacing w:line="0" w:lineRule="atLeast"/>
              <w:jc w:val="center"/>
              <w:rPr>
                <w:rFonts w:hint="default" w:ascii="Times New Roman" w:hAnsi="Times New Roman" w:cs="Times New Roman"/>
                <w:b/>
                <w:color w:val="auto"/>
                <w:sz w:val="21"/>
                <w:szCs w:val="21"/>
              </w:rPr>
            </w:pPr>
          </w:p>
        </w:tc>
        <w:tc>
          <w:tcPr>
            <w:tcW w:w="825" w:type="pct"/>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bCs/>
                <w:color w:val="auto"/>
                <w:sz w:val="21"/>
                <w:szCs w:val="21"/>
                <w:lang w:val="en-US" w:eastAsia="zh-CN"/>
              </w:rPr>
            </w:pPr>
          </w:p>
        </w:tc>
        <w:tc>
          <w:tcPr>
            <w:tcW w:w="149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HH2022DQ031-1-26</w:t>
            </w:r>
          </w:p>
        </w:tc>
        <w:tc>
          <w:tcPr>
            <w:tcW w:w="160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073" w:type="pct"/>
            <w:vMerge w:val="continue"/>
            <w:noWrap w:val="0"/>
            <w:vAlign w:val="center"/>
          </w:tcPr>
          <w:p>
            <w:pPr>
              <w:keepNext w:val="0"/>
              <w:keepLines w:val="0"/>
              <w:pageBreakBefore w:val="0"/>
              <w:kinsoku/>
              <w:wordWrap/>
              <w:overflowPunct/>
              <w:topLinePunct w:val="0"/>
              <w:autoSpaceDE/>
              <w:autoSpaceDN/>
              <w:bidi w:val="0"/>
              <w:adjustRightInd w:val="0"/>
              <w:snapToGrid/>
              <w:spacing w:line="0" w:lineRule="atLeast"/>
              <w:jc w:val="center"/>
              <w:rPr>
                <w:rFonts w:hint="default" w:ascii="Times New Roman" w:hAnsi="Times New Roman" w:cs="Times New Roman"/>
                <w:b/>
                <w:color w:val="auto"/>
                <w:sz w:val="21"/>
                <w:szCs w:val="21"/>
              </w:rPr>
            </w:pPr>
          </w:p>
        </w:tc>
        <w:tc>
          <w:tcPr>
            <w:tcW w:w="825" w:type="pct"/>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bCs/>
                <w:color w:val="auto"/>
                <w:sz w:val="21"/>
                <w:szCs w:val="21"/>
                <w:lang w:val="en-US" w:eastAsia="zh-CN"/>
              </w:rPr>
            </w:pPr>
          </w:p>
        </w:tc>
        <w:tc>
          <w:tcPr>
            <w:tcW w:w="149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HH2022DQ031-1-27</w:t>
            </w:r>
          </w:p>
        </w:tc>
        <w:tc>
          <w:tcPr>
            <w:tcW w:w="160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073" w:type="pct"/>
            <w:vMerge w:val="continue"/>
            <w:noWrap w:val="0"/>
            <w:vAlign w:val="center"/>
          </w:tcPr>
          <w:p>
            <w:pPr>
              <w:keepNext w:val="0"/>
              <w:keepLines w:val="0"/>
              <w:pageBreakBefore w:val="0"/>
              <w:kinsoku/>
              <w:wordWrap/>
              <w:overflowPunct/>
              <w:topLinePunct w:val="0"/>
              <w:autoSpaceDE/>
              <w:autoSpaceDN/>
              <w:bidi w:val="0"/>
              <w:adjustRightInd w:val="0"/>
              <w:snapToGrid/>
              <w:spacing w:line="0" w:lineRule="atLeast"/>
              <w:jc w:val="center"/>
              <w:rPr>
                <w:rFonts w:hint="default" w:ascii="Times New Roman" w:hAnsi="Times New Roman" w:cs="Times New Roman"/>
                <w:b/>
                <w:color w:val="auto"/>
                <w:sz w:val="21"/>
                <w:szCs w:val="21"/>
              </w:rPr>
            </w:pPr>
          </w:p>
        </w:tc>
        <w:tc>
          <w:tcPr>
            <w:tcW w:w="825" w:type="pct"/>
            <w:vMerge w:val="continue"/>
            <w:tcBorders>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bCs/>
                <w:color w:val="auto"/>
                <w:sz w:val="21"/>
                <w:szCs w:val="21"/>
                <w:lang w:val="en-US" w:eastAsia="zh-CN"/>
              </w:rPr>
            </w:pPr>
          </w:p>
        </w:tc>
        <w:tc>
          <w:tcPr>
            <w:tcW w:w="149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HH2022DQ031-1-28</w:t>
            </w:r>
          </w:p>
        </w:tc>
        <w:tc>
          <w:tcPr>
            <w:tcW w:w="160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073" w:type="pct"/>
            <w:vMerge w:val="restart"/>
            <w:noWrap w:val="0"/>
            <w:vAlign w:val="center"/>
          </w:tcPr>
          <w:p>
            <w:pPr>
              <w:keepNext w:val="0"/>
              <w:keepLines w:val="0"/>
              <w:pageBreakBefore w:val="0"/>
              <w:kinsoku/>
              <w:wordWrap/>
              <w:overflowPunct/>
              <w:topLinePunct w:val="0"/>
              <w:autoSpaceDE/>
              <w:autoSpaceDN/>
              <w:bidi w:val="0"/>
              <w:adjustRightInd w:val="0"/>
              <w:snapToGrid/>
              <w:spacing w:line="0" w:lineRule="atLeast"/>
              <w:jc w:val="center"/>
              <w:rPr>
                <w:rFonts w:hint="default" w:ascii="Times New Roman" w:hAnsi="Times New Roman" w:eastAsia="宋体" w:cs="Times New Roman"/>
                <w:b/>
                <w:bCs w:val="0"/>
                <w:color w:val="auto"/>
                <w:sz w:val="21"/>
                <w:szCs w:val="21"/>
                <w:lang w:eastAsia="zh-CN"/>
              </w:rPr>
            </w:pPr>
            <w:r>
              <w:rPr>
                <w:rFonts w:hint="default" w:ascii="Times New Roman" w:hAnsi="Times New Roman" w:cs="Times New Roman"/>
                <w:color w:val="auto"/>
                <w:kern w:val="21"/>
                <w:sz w:val="21"/>
                <w:szCs w:val="21"/>
                <w:lang w:val="en-US" w:eastAsia="zh-CN" w:bidi="ar"/>
              </w:rPr>
              <w:t>朱瓜冲居民点（本项目下风向1480m）</w:t>
            </w:r>
          </w:p>
        </w:tc>
        <w:tc>
          <w:tcPr>
            <w:tcW w:w="825" w:type="pct"/>
            <w:vMerge w:val="restart"/>
            <w:noWrap w:val="0"/>
            <w:vAlign w:val="center"/>
          </w:tcPr>
          <w:p>
            <w:pPr>
              <w:pStyle w:val="143"/>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12月13日</w:t>
            </w:r>
          </w:p>
        </w:tc>
        <w:tc>
          <w:tcPr>
            <w:tcW w:w="1497" w:type="pct"/>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HH2022DQ031-2-1</w:t>
            </w:r>
          </w:p>
        </w:tc>
        <w:tc>
          <w:tcPr>
            <w:tcW w:w="1603" w:type="pct"/>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073" w:type="pct"/>
            <w:vMerge w:val="continue"/>
            <w:noWrap w:val="0"/>
            <w:vAlign w:val="center"/>
          </w:tcPr>
          <w:p>
            <w:pPr>
              <w:keepNext w:val="0"/>
              <w:keepLines w:val="0"/>
              <w:pageBreakBefore w:val="0"/>
              <w:kinsoku/>
              <w:wordWrap/>
              <w:overflowPunct/>
              <w:topLinePunct w:val="0"/>
              <w:autoSpaceDE/>
              <w:autoSpaceDN/>
              <w:bidi w:val="0"/>
              <w:adjustRightInd w:val="0"/>
              <w:snapToGrid/>
              <w:spacing w:line="0" w:lineRule="atLeast"/>
              <w:jc w:val="center"/>
              <w:rPr>
                <w:rFonts w:hint="default" w:ascii="Times New Roman" w:hAnsi="Times New Roman" w:cs="Times New Roman"/>
                <w:b/>
                <w:color w:val="auto"/>
                <w:sz w:val="21"/>
                <w:szCs w:val="21"/>
              </w:rPr>
            </w:pPr>
          </w:p>
        </w:tc>
        <w:tc>
          <w:tcPr>
            <w:tcW w:w="825" w:type="pct"/>
            <w:vMerge w:val="continue"/>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bCs/>
                <w:color w:val="auto"/>
                <w:spacing w:val="-6"/>
                <w:sz w:val="21"/>
                <w:szCs w:val="21"/>
                <w:lang w:val="en-US" w:eastAsia="zh-CN"/>
              </w:rPr>
            </w:pPr>
          </w:p>
        </w:tc>
        <w:tc>
          <w:tcPr>
            <w:tcW w:w="1497" w:type="pct"/>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HH2022DQ031-2-2</w:t>
            </w:r>
          </w:p>
        </w:tc>
        <w:tc>
          <w:tcPr>
            <w:tcW w:w="1603" w:type="pct"/>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073" w:type="pct"/>
            <w:vMerge w:val="continue"/>
            <w:noWrap w:val="0"/>
            <w:vAlign w:val="center"/>
          </w:tcPr>
          <w:p>
            <w:pPr>
              <w:keepNext w:val="0"/>
              <w:keepLines w:val="0"/>
              <w:pageBreakBefore w:val="0"/>
              <w:kinsoku/>
              <w:wordWrap/>
              <w:overflowPunct/>
              <w:topLinePunct w:val="0"/>
              <w:autoSpaceDE/>
              <w:autoSpaceDN/>
              <w:bidi w:val="0"/>
              <w:adjustRightInd w:val="0"/>
              <w:snapToGrid/>
              <w:spacing w:line="0" w:lineRule="atLeast"/>
              <w:jc w:val="center"/>
              <w:rPr>
                <w:rFonts w:hint="default" w:ascii="Times New Roman" w:hAnsi="Times New Roman" w:cs="Times New Roman"/>
                <w:b/>
                <w:color w:val="auto"/>
                <w:sz w:val="21"/>
                <w:szCs w:val="21"/>
              </w:rPr>
            </w:pPr>
          </w:p>
        </w:tc>
        <w:tc>
          <w:tcPr>
            <w:tcW w:w="825" w:type="pct"/>
            <w:vMerge w:val="continue"/>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bCs/>
                <w:color w:val="auto"/>
                <w:spacing w:val="-6"/>
                <w:sz w:val="21"/>
                <w:szCs w:val="21"/>
                <w:lang w:val="en-US" w:eastAsia="zh-CN"/>
              </w:rPr>
            </w:pPr>
          </w:p>
        </w:tc>
        <w:tc>
          <w:tcPr>
            <w:tcW w:w="1497" w:type="pct"/>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HH2022DQ031-2-3</w:t>
            </w:r>
          </w:p>
        </w:tc>
        <w:tc>
          <w:tcPr>
            <w:tcW w:w="1603" w:type="pct"/>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073" w:type="pct"/>
            <w:vMerge w:val="continue"/>
            <w:noWrap w:val="0"/>
            <w:vAlign w:val="center"/>
          </w:tcPr>
          <w:p>
            <w:pPr>
              <w:keepNext w:val="0"/>
              <w:keepLines w:val="0"/>
              <w:pageBreakBefore w:val="0"/>
              <w:kinsoku/>
              <w:wordWrap/>
              <w:overflowPunct/>
              <w:topLinePunct w:val="0"/>
              <w:autoSpaceDE/>
              <w:autoSpaceDN/>
              <w:bidi w:val="0"/>
              <w:adjustRightInd w:val="0"/>
              <w:snapToGrid/>
              <w:spacing w:line="0" w:lineRule="atLeast"/>
              <w:jc w:val="center"/>
              <w:rPr>
                <w:rFonts w:hint="default" w:ascii="Times New Roman" w:hAnsi="Times New Roman" w:cs="Times New Roman"/>
                <w:b/>
                <w:color w:val="auto"/>
                <w:sz w:val="21"/>
                <w:szCs w:val="21"/>
              </w:rPr>
            </w:pPr>
          </w:p>
        </w:tc>
        <w:tc>
          <w:tcPr>
            <w:tcW w:w="825" w:type="pct"/>
            <w:vMerge w:val="continue"/>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bCs/>
                <w:color w:val="auto"/>
                <w:spacing w:val="-6"/>
                <w:sz w:val="21"/>
                <w:szCs w:val="21"/>
                <w:lang w:val="en-US" w:eastAsia="zh-CN"/>
              </w:rPr>
            </w:pPr>
          </w:p>
        </w:tc>
        <w:tc>
          <w:tcPr>
            <w:tcW w:w="1497" w:type="pct"/>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HH2022DQ031-2-4</w:t>
            </w:r>
          </w:p>
        </w:tc>
        <w:tc>
          <w:tcPr>
            <w:tcW w:w="1603" w:type="pct"/>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073" w:type="pct"/>
            <w:vMerge w:val="continue"/>
            <w:noWrap w:val="0"/>
            <w:vAlign w:val="center"/>
          </w:tcPr>
          <w:p>
            <w:pPr>
              <w:keepNext w:val="0"/>
              <w:keepLines w:val="0"/>
              <w:pageBreakBefore w:val="0"/>
              <w:kinsoku/>
              <w:wordWrap/>
              <w:overflowPunct/>
              <w:topLinePunct w:val="0"/>
              <w:autoSpaceDE/>
              <w:autoSpaceDN/>
              <w:bidi w:val="0"/>
              <w:adjustRightInd w:val="0"/>
              <w:snapToGrid/>
              <w:spacing w:line="0" w:lineRule="atLeast"/>
              <w:jc w:val="center"/>
              <w:rPr>
                <w:rFonts w:hint="default" w:ascii="Times New Roman" w:hAnsi="Times New Roman" w:cs="Times New Roman"/>
                <w:b/>
                <w:color w:val="auto"/>
                <w:sz w:val="21"/>
                <w:szCs w:val="21"/>
              </w:rPr>
            </w:pPr>
          </w:p>
        </w:tc>
        <w:tc>
          <w:tcPr>
            <w:tcW w:w="825" w:type="pct"/>
            <w:vMerge w:val="restar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12月14日</w:t>
            </w:r>
          </w:p>
        </w:tc>
        <w:tc>
          <w:tcPr>
            <w:tcW w:w="1497" w:type="pct"/>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HH2022DQ031-2-5</w:t>
            </w:r>
          </w:p>
        </w:tc>
        <w:tc>
          <w:tcPr>
            <w:tcW w:w="1603" w:type="pct"/>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073" w:type="pct"/>
            <w:vMerge w:val="continue"/>
            <w:noWrap w:val="0"/>
            <w:vAlign w:val="center"/>
          </w:tcPr>
          <w:p>
            <w:pPr>
              <w:keepNext w:val="0"/>
              <w:keepLines w:val="0"/>
              <w:pageBreakBefore w:val="0"/>
              <w:kinsoku/>
              <w:wordWrap/>
              <w:overflowPunct/>
              <w:topLinePunct w:val="0"/>
              <w:autoSpaceDE/>
              <w:autoSpaceDN/>
              <w:bidi w:val="0"/>
              <w:adjustRightInd w:val="0"/>
              <w:snapToGrid/>
              <w:spacing w:line="0" w:lineRule="atLeast"/>
              <w:jc w:val="center"/>
              <w:rPr>
                <w:rFonts w:hint="default" w:ascii="Times New Roman" w:hAnsi="Times New Roman" w:cs="Times New Roman"/>
                <w:b/>
                <w:color w:val="auto"/>
                <w:sz w:val="21"/>
                <w:szCs w:val="21"/>
              </w:rPr>
            </w:pPr>
          </w:p>
        </w:tc>
        <w:tc>
          <w:tcPr>
            <w:tcW w:w="825" w:type="pct"/>
            <w:vMerge w:val="continue"/>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bCs/>
                <w:color w:val="auto"/>
                <w:spacing w:val="-6"/>
                <w:sz w:val="21"/>
                <w:szCs w:val="21"/>
                <w:lang w:val="en-US" w:eastAsia="zh-CN"/>
              </w:rPr>
            </w:pPr>
          </w:p>
        </w:tc>
        <w:tc>
          <w:tcPr>
            <w:tcW w:w="1497" w:type="pct"/>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HH2022DQ031-2-6</w:t>
            </w:r>
          </w:p>
        </w:tc>
        <w:tc>
          <w:tcPr>
            <w:tcW w:w="1603" w:type="pct"/>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073" w:type="pct"/>
            <w:vMerge w:val="continue"/>
            <w:noWrap w:val="0"/>
            <w:vAlign w:val="center"/>
          </w:tcPr>
          <w:p>
            <w:pPr>
              <w:keepNext w:val="0"/>
              <w:keepLines w:val="0"/>
              <w:pageBreakBefore w:val="0"/>
              <w:kinsoku/>
              <w:wordWrap/>
              <w:overflowPunct/>
              <w:topLinePunct w:val="0"/>
              <w:autoSpaceDE/>
              <w:autoSpaceDN/>
              <w:bidi w:val="0"/>
              <w:adjustRightInd w:val="0"/>
              <w:snapToGrid/>
              <w:spacing w:line="0" w:lineRule="atLeast"/>
              <w:jc w:val="center"/>
              <w:rPr>
                <w:rFonts w:hint="default" w:ascii="Times New Roman" w:hAnsi="Times New Roman" w:cs="Times New Roman"/>
                <w:b/>
                <w:color w:val="auto"/>
                <w:sz w:val="21"/>
                <w:szCs w:val="21"/>
              </w:rPr>
            </w:pPr>
          </w:p>
        </w:tc>
        <w:tc>
          <w:tcPr>
            <w:tcW w:w="825" w:type="pct"/>
            <w:vMerge w:val="continue"/>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bCs/>
                <w:color w:val="auto"/>
                <w:spacing w:val="-6"/>
                <w:sz w:val="21"/>
                <w:szCs w:val="21"/>
                <w:lang w:val="en-US" w:eastAsia="zh-CN"/>
              </w:rPr>
            </w:pPr>
          </w:p>
        </w:tc>
        <w:tc>
          <w:tcPr>
            <w:tcW w:w="1497" w:type="pct"/>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HH2022DQ031-2-7</w:t>
            </w:r>
          </w:p>
        </w:tc>
        <w:tc>
          <w:tcPr>
            <w:tcW w:w="1603" w:type="pct"/>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073" w:type="pct"/>
            <w:vMerge w:val="continue"/>
            <w:noWrap w:val="0"/>
            <w:vAlign w:val="center"/>
          </w:tcPr>
          <w:p>
            <w:pPr>
              <w:keepNext w:val="0"/>
              <w:keepLines w:val="0"/>
              <w:pageBreakBefore w:val="0"/>
              <w:kinsoku/>
              <w:wordWrap/>
              <w:overflowPunct/>
              <w:topLinePunct w:val="0"/>
              <w:autoSpaceDE/>
              <w:autoSpaceDN/>
              <w:bidi w:val="0"/>
              <w:adjustRightInd w:val="0"/>
              <w:snapToGrid/>
              <w:spacing w:line="0" w:lineRule="atLeast"/>
              <w:jc w:val="center"/>
              <w:rPr>
                <w:rFonts w:hint="default" w:ascii="Times New Roman" w:hAnsi="Times New Roman" w:cs="Times New Roman"/>
                <w:b/>
                <w:color w:val="auto"/>
                <w:sz w:val="21"/>
                <w:szCs w:val="21"/>
              </w:rPr>
            </w:pPr>
          </w:p>
        </w:tc>
        <w:tc>
          <w:tcPr>
            <w:tcW w:w="825" w:type="pct"/>
            <w:vMerge w:val="continue"/>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bCs/>
                <w:color w:val="auto"/>
                <w:spacing w:val="-6"/>
                <w:sz w:val="21"/>
                <w:szCs w:val="21"/>
                <w:lang w:val="en-US" w:eastAsia="zh-CN"/>
              </w:rPr>
            </w:pPr>
          </w:p>
        </w:tc>
        <w:tc>
          <w:tcPr>
            <w:tcW w:w="1497" w:type="pct"/>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HH2022DQ031-2-8</w:t>
            </w:r>
          </w:p>
        </w:tc>
        <w:tc>
          <w:tcPr>
            <w:tcW w:w="1603" w:type="pct"/>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073" w:type="pct"/>
            <w:vMerge w:val="continue"/>
            <w:noWrap w:val="0"/>
            <w:vAlign w:val="center"/>
          </w:tcPr>
          <w:p>
            <w:pPr>
              <w:keepNext w:val="0"/>
              <w:keepLines w:val="0"/>
              <w:pageBreakBefore w:val="0"/>
              <w:kinsoku/>
              <w:wordWrap/>
              <w:overflowPunct/>
              <w:topLinePunct w:val="0"/>
              <w:autoSpaceDE/>
              <w:autoSpaceDN/>
              <w:bidi w:val="0"/>
              <w:adjustRightInd w:val="0"/>
              <w:snapToGrid/>
              <w:spacing w:line="0" w:lineRule="atLeast"/>
              <w:jc w:val="center"/>
              <w:rPr>
                <w:rFonts w:hint="default" w:ascii="Times New Roman" w:hAnsi="Times New Roman" w:eastAsia="宋体" w:cs="Times New Roman"/>
                <w:b/>
                <w:color w:val="auto"/>
                <w:sz w:val="21"/>
                <w:szCs w:val="21"/>
                <w:lang w:eastAsia="zh-CN"/>
              </w:rPr>
            </w:pPr>
          </w:p>
        </w:tc>
        <w:tc>
          <w:tcPr>
            <w:tcW w:w="825" w:type="pct"/>
            <w:vMerge w:val="restart"/>
            <w:tcBorders>
              <w:top w:val="single" w:color="auto" w:sz="4" w:space="0"/>
              <w:left w:val="single" w:color="auto" w:sz="4" w:space="0"/>
              <w:right w:val="single" w:color="auto" w:sz="4" w:space="0"/>
            </w:tcBorders>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12月15日</w:t>
            </w:r>
          </w:p>
        </w:tc>
        <w:tc>
          <w:tcPr>
            <w:tcW w:w="149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HH2022DQ031-2-9</w:t>
            </w:r>
          </w:p>
        </w:tc>
        <w:tc>
          <w:tcPr>
            <w:tcW w:w="160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073" w:type="pct"/>
            <w:vMerge w:val="continue"/>
            <w:noWrap w:val="0"/>
            <w:vAlign w:val="center"/>
          </w:tcPr>
          <w:p>
            <w:pPr>
              <w:keepNext w:val="0"/>
              <w:keepLines w:val="0"/>
              <w:pageBreakBefore w:val="0"/>
              <w:kinsoku/>
              <w:wordWrap/>
              <w:overflowPunct/>
              <w:topLinePunct w:val="0"/>
              <w:autoSpaceDE/>
              <w:autoSpaceDN/>
              <w:bidi w:val="0"/>
              <w:adjustRightInd w:val="0"/>
              <w:snapToGrid/>
              <w:spacing w:line="0" w:lineRule="atLeast"/>
              <w:jc w:val="center"/>
              <w:rPr>
                <w:rFonts w:hint="default" w:ascii="Times New Roman" w:hAnsi="Times New Roman" w:cs="Times New Roman"/>
                <w:b/>
                <w:color w:val="auto"/>
                <w:sz w:val="21"/>
                <w:szCs w:val="21"/>
              </w:rPr>
            </w:pPr>
          </w:p>
        </w:tc>
        <w:tc>
          <w:tcPr>
            <w:tcW w:w="825" w:type="pct"/>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bCs/>
                <w:color w:val="auto"/>
                <w:spacing w:val="-6"/>
                <w:sz w:val="21"/>
                <w:szCs w:val="21"/>
                <w:lang w:val="en-US" w:eastAsia="zh-CN"/>
              </w:rPr>
            </w:pPr>
          </w:p>
        </w:tc>
        <w:tc>
          <w:tcPr>
            <w:tcW w:w="149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HH2022DQ031-2-10</w:t>
            </w:r>
          </w:p>
        </w:tc>
        <w:tc>
          <w:tcPr>
            <w:tcW w:w="160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073" w:type="pct"/>
            <w:vMerge w:val="continue"/>
            <w:noWrap w:val="0"/>
            <w:vAlign w:val="center"/>
          </w:tcPr>
          <w:p>
            <w:pPr>
              <w:keepNext w:val="0"/>
              <w:keepLines w:val="0"/>
              <w:pageBreakBefore w:val="0"/>
              <w:kinsoku/>
              <w:wordWrap/>
              <w:overflowPunct/>
              <w:topLinePunct w:val="0"/>
              <w:autoSpaceDE/>
              <w:autoSpaceDN/>
              <w:bidi w:val="0"/>
              <w:adjustRightInd w:val="0"/>
              <w:snapToGrid/>
              <w:spacing w:line="0" w:lineRule="atLeast"/>
              <w:jc w:val="center"/>
              <w:rPr>
                <w:rFonts w:hint="default" w:ascii="Times New Roman" w:hAnsi="Times New Roman" w:cs="Times New Roman"/>
                <w:b/>
                <w:color w:val="auto"/>
                <w:sz w:val="21"/>
                <w:szCs w:val="21"/>
              </w:rPr>
            </w:pPr>
          </w:p>
        </w:tc>
        <w:tc>
          <w:tcPr>
            <w:tcW w:w="825" w:type="pct"/>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bCs/>
                <w:color w:val="auto"/>
                <w:spacing w:val="-6"/>
                <w:sz w:val="21"/>
                <w:szCs w:val="21"/>
                <w:lang w:val="en-US" w:eastAsia="zh-CN"/>
              </w:rPr>
            </w:pPr>
          </w:p>
        </w:tc>
        <w:tc>
          <w:tcPr>
            <w:tcW w:w="149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HH2022DQ031-2-11</w:t>
            </w:r>
          </w:p>
        </w:tc>
        <w:tc>
          <w:tcPr>
            <w:tcW w:w="160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073" w:type="pct"/>
            <w:vMerge w:val="continue"/>
            <w:noWrap w:val="0"/>
            <w:vAlign w:val="center"/>
          </w:tcPr>
          <w:p>
            <w:pPr>
              <w:keepNext w:val="0"/>
              <w:keepLines w:val="0"/>
              <w:pageBreakBefore w:val="0"/>
              <w:kinsoku/>
              <w:wordWrap/>
              <w:overflowPunct/>
              <w:topLinePunct w:val="0"/>
              <w:autoSpaceDE/>
              <w:autoSpaceDN/>
              <w:bidi w:val="0"/>
              <w:adjustRightInd w:val="0"/>
              <w:snapToGrid/>
              <w:spacing w:line="0" w:lineRule="atLeast"/>
              <w:jc w:val="center"/>
              <w:rPr>
                <w:rFonts w:hint="default" w:ascii="Times New Roman" w:hAnsi="Times New Roman" w:cs="Times New Roman"/>
                <w:b/>
                <w:color w:val="auto"/>
                <w:sz w:val="21"/>
                <w:szCs w:val="21"/>
              </w:rPr>
            </w:pPr>
          </w:p>
        </w:tc>
        <w:tc>
          <w:tcPr>
            <w:tcW w:w="825" w:type="pct"/>
            <w:vMerge w:val="continue"/>
            <w:tcBorders>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bCs/>
                <w:color w:val="auto"/>
                <w:spacing w:val="-6"/>
                <w:sz w:val="21"/>
                <w:szCs w:val="21"/>
                <w:lang w:val="en-US" w:eastAsia="zh-CN"/>
              </w:rPr>
            </w:pPr>
          </w:p>
        </w:tc>
        <w:tc>
          <w:tcPr>
            <w:tcW w:w="149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HH2022DQ031-2-12</w:t>
            </w:r>
          </w:p>
        </w:tc>
        <w:tc>
          <w:tcPr>
            <w:tcW w:w="160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073" w:type="pct"/>
            <w:vMerge w:val="continue"/>
            <w:noWrap w:val="0"/>
            <w:vAlign w:val="center"/>
          </w:tcPr>
          <w:p>
            <w:pPr>
              <w:keepNext w:val="0"/>
              <w:keepLines w:val="0"/>
              <w:pageBreakBefore w:val="0"/>
              <w:kinsoku/>
              <w:wordWrap/>
              <w:overflowPunct/>
              <w:topLinePunct w:val="0"/>
              <w:autoSpaceDE/>
              <w:autoSpaceDN/>
              <w:bidi w:val="0"/>
              <w:adjustRightInd w:val="0"/>
              <w:snapToGrid/>
              <w:spacing w:line="0" w:lineRule="atLeast"/>
              <w:jc w:val="center"/>
              <w:rPr>
                <w:rFonts w:hint="default" w:ascii="Times New Roman" w:hAnsi="Times New Roman" w:cs="Times New Roman"/>
                <w:b/>
                <w:color w:val="auto"/>
                <w:sz w:val="21"/>
                <w:szCs w:val="21"/>
              </w:rPr>
            </w:pPr>
          </w:p>
        </w:tc>
        <w:tc>
          <w:tcPr>
            <w:tcW w:w="825" w:type="pct"/>
            <w:vMerge w:val="restart"/>
            <w:tcBorders>
              <w:top w:val="single" w:color="auto" w:sz="4" w:space="0"/>
              <w:left w:val="single" w:color="auto" w:sz="4" w:space="0"/>
              <w:right w:val="single" w:color="auto" w:sz="4" w:space="0"/>
            </w:tcBorders>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12月16日</w:t>
            </w:r>
          </w:p>
        </w:tc>
        <w:tc>
          <w:tcPr>
            <w:tcW w:w="149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HH2022DQ031-2-13</w:t>
            </w:r>
          </w:p>
        </w:tc>
        <w:tc>
          <w:tcPr>
            <w:tcW w:w="160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073" w:type="pct"/>
            <w:vMerge w:val="continue"/>
            <w:noWrap w:val="0"/>
            <w:vAlign w:val="center"/>
          </w:tcPr>
          <w:p>
            <w:pPr>
              <w:keepNext w:val="0"/>
              <w:keepLines w:val="0"/>
              <w:pageBreakBefore w:val="0"/>
              <w:kinsoku/>
              <w:wordWrap/>
              <w:overflowPunct/>
              <w:topLinePunct w:val="0"/>
              <w:autoSpaceDE/>
              <w:autoSpaceDN/>
              <w:bidi w:val="0"/>
              <w:adjustRightInd w:val="0"/>
              <w:snapToGrid/>
              <w:spacing w:line="0" w:lineRule="atLeast"/>
              <w:jc w:val="center"/>
              <w:rPr>
                <w:rFonts w:hint="default" w:ascii="Times New Roman" w:hAnsi="Times New Roman" w:cs="Times New Roman"/>
                <w:b/>
                <w:color w:val="auto"/>
                <w:sz w:val="21"/>
                <w:szCs w:val="21"/>
              </w:rPr>
            </w:pPr>
          </w:p>
        </w:tc>
        <w:tc>
          <w:tcPr>
            <w:tcW w:w="825" w:type="pct"/>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bCs/>
                <w:color w:val="auto"/>
                <w:sz w:val="21"/>
                <w:szCs w:val="21"/>
                <w:lang w:val="en-US" w:eastAsia="zh-CN"/>
              </w:rPr>
            </w:pPr>
          </w:p>
        </w:tc>
        <w:tc>
          <w:tcPr>
            <w:tcW w:w="149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HH2022DQ031-2-14</w:t>
            </w:r>
          </w:p>
        </w:tc>
        <w:tc>
          <w:tcPr>
            <w:tcW w:w="160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073" w:type="pct"/>
            <w:vMerge w:val="continue"/>
            <w:noWrap w:val="0"/>
            <w:vAlign w:val="center"/>
          </w:tcPr>
          <w:p>
            <w:pPr>
              <w:keepNext w:val="0"/>
              <w:keepLines w:val="0"/>
              <w:pageBreakBefore w:val="0"/>
              <w:kinsoku/>
              <w:wordWrap/>
              <w:overflowPunct/>
              <w:topLinePunct w:val="0"/>
              <w:autoSpaceDE/>
              <w:autoSpaceDN/>
              <w:bidi w:val="0"/>
              <w:adjustRightInd w:val="0"/>
              <w:snapToGrid/>
              <w:spacing w:line="0" w:lineRule="atLeast"/>
              <w:jc w:val="center"/>
              <w:rPr>
                <w:rFonts w:hint="default" w:ascii="Times New Roman" w:hAnsi="Times New Roman" w:cs="Times New Roman"/>
                <w:b/>
                <w:color w:val="auto"/>
                <w:sz w:val="21"/>
                <w:szCs w:val="21"/>
              </w:rPr>
            </w:pPr>
          </w:p>
        </w:tc>
        <w:tc>
          <w:tcPr>
            <w:tcW w:w="825" w:type="pct"/>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bCs/>
                <w:color w:val="auto"/>
                <w:sz w:val="21"/>
                <w:szCs w:val="21"/>
                <w:lang w:val="en-US" w:eastAsia="zh-CN"/>
              </w:rPr>
            </w:pPr>
          </w:p>
        </w:tc>
        <w:tc>
          <w:tcPr>
            <w:tcW w:w="149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HH2022DQ031-2-15</w:t>
            </w:r>
          </w:p>
        </w:tc>
        <w:tc>
          <w:tcPr>
            <w:tcW w:w="160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073" w:type="pct"/>
            <w:vMerge w:val="continue"/>
            <w:noWrap w:val="0"/>
            <w:vAlign w:val="center"/>
          </w:tcPr>
          <w:p>
            <w:pPr>
              <w:keepNext w:val="0"/>
              <w:keepLines w:val="0"/>
              <w:pageBreakBefore w:val="0"/>
              <w:kinsoku/>
              <w:wordWrap/>
              <w:overflowPunct/>
              <w:topLinePunct w:val="0"/>
              <w:autoSpaceDE/>
              <w:autoSpaceDN/>
              <w:bidi w:val="0"/>
              <w:adjustRightInd w:val="0"/>
              <w:snapToGrid/>
              <w:spacing w:line="0" w:lineRule="atLeast"/>
              <w:jc w:val="center"/>
              <w:rPr>
                <w:rFonts w:hint="default" w:ascii="Times New Roman" w:hAnsi="Times New Roman" w:cs="Times New Roman"/>
                <w:b/>
                <w:color w:val="auto"/>
                <w:sz w:val="21"/>
                <w:szCs w:val="21"/>
              </w:rPr>
            </w:pPr>
          </w:p>
        </w:tc>
        <w:tc>
          <w:tcPr>
            <w:tcW w:w="825" w:type="pct"/>
            <w:vMerge w:val="continue"/>
            <w:tcBorders>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bCs/>
                <w:color w:val="auto"/>
                <w:sz w:val="21"/>
                <w:szCs w:val="21"/>
                <w:lang w:val="en-US" w:eastAsia="zh-CN"/>
              </w:rPr>
            </w:pPr>
          </w:p>
        </w:tc>
        <w:tc>
          <w:tcPr>
            <w:tcW w:w="149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HH2022DQ031-2-16</w:t>
            </w:r>
          </w:p>
        </w:tc>
        <w:tc>
          <w:tcPr>
            <w:tcW w:w="160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073" w:type="pct"/>
            <w:vMerge w:val="continue"/>
            <w:noWrap w:val="0"/>
            <w:vAlign w:val="center"/>
          </w:tcPr>
          <w:p>
            <w:pPr>
              <w:keepNext w:val="0"/>
              <w:keepLines w:val="0"/>
              <w:pageBreakBefore w:val="0"/>
              <w:kinsoku/>
              <w:wordWrap/>
              <w:overflowPunct/>
              <w:topLinePunct w:val="0"/>
              <w:autoSpaceDE/>
              <w:autoSpaceDN/>
              <w:bidi w:val="0"/>
              <w:adjustRightInd w:val="0"/>
              <w:snapToGrid/>
              <w:spacing w:line="0" w:lineRule="atLeast"/>
              <w:jc w:val="center"/>
              <w:rPr>
                <w:rFonts w:hint="default" w:ascii="Times New Roman" w:hAnsi="Times New Roman" w:cs="Times New Roman"/>
                <w:b/>
                <w:color w:val="auto"/>
                <w:sz w:val="21"/>
                <w:szCs w:val="21"/>
              </w:rPr>
            </w:pPr>
          </w:p>
        </w:tc>
        <w:tc>
          <w:tcPr>
            <w:tcW w:w="825" w:type="pct"/>
            <w:vMerge w:val="restart"/>
            <w:tcBorders>
              <w:top w:val="single" w:color="auto" w:sz="4" w:space="0"/>
              <w:left w:val="single" w:color="auto" w:sz="4" w:space="0"/>
              <w:right w:val="single" w:color="auto" w:sz="4" w:space="0"/>
            </w:tcBorders>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12月17日</w:t>
            </w:r>
          </w:p>
        </w:tc>
        <w:tc>
          <w:tcPr>
            <w:tcW w:w="149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HH2022DQ031-2-17</w:t>
            </w:r>
          </w:p>
        </w:tc>
        <w:tc>
          <w:tcPr>
            <w:tcW w:w="160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073" w:type="pct"/>
            <w:vMerge w:val="continue"/>
            <w:noWrap w:val="0"/>
            <w:vAlign w:val="center"/>
          </w:tcPr>
          <w:p>
            <w:pPr>
              <w:keepNext w:val="0"/>
              <w:keepLines w:val="0"/>
              <w:pageBreakBefore w:val="0"/>
              <w:kinsoku/>
              <w:wordWrap/>
              <w:overflowPunct/>
              <w:topLinePunct w:val="0"/>
              <w:autoSpaceDE/>
              <w:autoSpaceDN/>
              <w:bidi w:val="0"/>
              <w:adjustRightInd w:val="0"/>
              <w:snapToGrid/>
              <w:spacing w:line="0" w:lineRule="atLeast"/>
              <w:jc w:val="center"/>
              <w:rPr>
                <w:rFonts w:hint="default" w:ascii="Times New Roman" w:hAnsi="Times New Roman" w:cs="Times New Roman"/>
                <w:b/>
                <w:color w:val="auto"/>
                <w:sz w:val="21"/>
                <w:szCs w:val="21"/>
              </w:rPr>
            </w:pPr>
          </w:p>
        </w:tc>
        <w:tc>
          <w:tcPr>
            <w:tcW w:w="825" w:type="pct"/>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bCs/>
                <w:color w:val="auto"/>
                <w:sz w:val="21"/>
                <w:szCs w:val="21"/>
                <w:lang w:val="en-US" w:eastAsia="zh-CN"/>
              </w:rPr>
            </w:pPr>
          </w:p>
        </w:tc>
        <w:tc>
          <w:tcPr>
            <w:tcW w:w="149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HH2022DQ031-2-18</w:t>
            </w:r>
          </w:p>
        </w:tc>
        <w:tc>
          <w:tcPr>
            <w:tcW w:w="160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073" w:type="pct"/>
            <w:vMerge w:val="continue"/>
            <w:noWrap w:val="0"/>
            <w:vAlign w:val="center"/>
          </w:tcPr>
          <w:p>
            <w:pPr>
              <w:keepNext w:val="0"/>
              <w:keepLines w:val="0"/>
              <w:pageBreakBefore w:val="0"/>
              <w:kinsoku/>
              <w:wordWrap/>
              <w:overflowPunct/>
              <w:topLinePunct w:val="0"/>
              <w:autoSpaceDE/>
              <w:autoSpaceDN/>
              <w:bidi w:val="0"/>
              <w:adjustRightInd w:val="0"/>
              <w:snapToGrid/>
              <w:spacing w:line="0" w:lineRule="atLeast"/>
              <w:jc w:val="center"/>
              <w:rPr>
                <w:rFonts w:hint="default" w:ascii="Times New Roman" w:hAnsi="Times New Roman" w:cs="Times New Roman"/>
                <w:b/>
                <w:color w:val="auto"/>
                <w:sz w:val="21"/>
                <w:szCs w:val="21"/>
              </w:rPr>
            </w:pPr>
          </w:p>
        </w:tc>
        <w:tc>
          <w:tcPr>
            <w:tcW w:w="825" w:type="pct"/>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bCs/>
                <w:color w:val="auto"/>
                <w:sz w:val="21"/>
                <w:szCs w:val="21"/>
                <w:lang w:val="en-US" w:eastAsia="zh-CN"/>
              </w:rPr>
            </w:pPr>
          </w:p>
        </w:tc>
        <w:tc>
          <w:tcPr>
            <w:tcW w:w="149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HH2022DQ031-2-19</w:t>
            </w:r>
          </w:p>
        </w:tc>
        <w:tc>
          <w:tcPr>
            <w:tcW w:w="160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073" w:type="pct"/>
            <w:vMerge w:val="continue"/>
            <w:noWrap w:val="0"/>
            <w:vAlign w:val="center"/>
          </w:tcPr>
          <w:p>
            <w:pPr>
              <w:keepNext w:val="0"/>
              <w:keepLines w:val="0"/>
              <w:pageBreakBefore w:val="0"/>
              <w:kinsoku/>
              <w:wordWrap/>
              <w:overflowPunct/>
              <w:topLinePunct w:val="0"/>
              <w:autoSpaceDE/>
              <w:autoSpaceDN/>
              <w:bidi w:val="0"/>
              <w:adjustRightInd w:val="0"/>
              <w:snapToGrid/>
              <w:spacing w:line="0" w:lineRule="atLeast"/>
              <w:jc w:val="center"/>
              <w:rPr>
                <w:rFonts w:hint="default" w:ascii="Times New Roman" w:hAnsi="Times New Roman" w:cs="Times New Roman"/>
                <w:b/>
                <w:color w:val="auto"/>
                <w:sz w:val="21"/>
                <w:szCs w:val="21"/>
              </w:rPr>
            </w:pPr>
          </w:p>
        </w:tc>
        <w:tc>
          <w:tcPr>
            <w:tcW w:w="825" w:type="pct"/>
            <w:vMerge w:val="continue"/>
            <w:tcBorders>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bCs/>
                <w:color w:val="auto"/>
                <w:sz w:val="21"/>
                <w:szCs w:val="21"/>
                <w:lang w:val="en-US" w:eastAsia="zh-CN"/>
              </w:rPr>
            </w:pPr>
          </w:p>
        </w:tc>
        <w:tc>
          <w:tcPr>
            <w:tcW w:w="149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HH2022DQ031-2-20</w:t>
            </w:r>
          </w:p>
        </w:tc>
        <w:tc>
          <w:tcPr>
            <w:tcW w:w="160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073" w:type="pct"/>
            <w:vMerge w:val="continue"/>
            <w:noWrap w:val="0"/>
            <w:vAlign w:val="center"/>
          </w:tcPr>
          <w:p>
            <w:pPr>
              <w:keepNext w:val="0"/>
              <w:keepLines w:val="0"/>
              <w:pageBreakBefore w:val="0"/>
              <w:kinsoku/>
              <w:wordWrap/>
              <w:overflowPunct/>
              <w:topLinePunct w:val="0"/>
              <w:autoSpaceDE/>
              <w:autoSpaceDN/>
              <w:bidi w:val="0"/>
              <w:adjustRightInd w:val="0"/>
              <w:snapToGrid/>
              <w:spacing w:line="0" w:lineRule="atLeast"/>
              <w:jc w:val="center"/>
              <w:rPr>
                <w:rFonts w:hint="default" w:ascii="Times New Roman" w:hAnsi="Times New Roman" w:cs="Times New Roman"/>
                <w:b/>
                <w:color w:val="auto"/>
                <w:sz w:val="21"/>
                <w:szCs w:val="21"/>
              </w:rPr>
            </w:pPr>
          </w:p>
        </w:tc>
        <w:tc>
          <w:tcPr>
            <w:tcW w:w="825" w:type="pct"/>
            <w:vMerge w:val="restart"/>
            <w:tcBorders>
              <w:top w:val="single" w:color="auto" w:sz="4" w:space="0"/>
              <w:left w:val="single" w:color="auto" w:sz="4" w:space="0"/>
              <w:right w:val="single" w:color="auto" w:sz="4" w:space="0"/>
            </w:tcBorders>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12月18日</w:t>
            </w:r>
          </w:p>
        </w:tc>
        <w:tc>
          <w:tcPr>
            <w:tcW w:w="149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HH2022DQ031-2-21</w:t>
            </w:r>
          </w:p>
        </w:tc>
        <w:tc>
          <w:tcPr>
            <w:tcW w:w="160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073" w:type="pct"/>
            <w:vMerge w:val="continue"/>
            <w:noWrap w:val="0"/>
            <w:vAlign w:val="center"/>
          </w:tcPr>
          <w:p>
            <w:pPr>
              <w:keepNext w:val="0"/>
              <w:keepLines w:val="0"/>
              <w:pageBreakBefore w:val="0"/>
              <w:kinsoku/>
              <w:wordWrap/>
              <w:overflowPunct/>
              <w:topLinePunct w:val="0"/>
              <w:autoSpaceDE/>
              <w:autoSpaceDN/>
              <w:bidi w:val="0"/>
              <w:adjustRightInd w:val="0"/>
              <w:snapToGrid/>
              <w:spacing w:line="0" w:lineRule="atLeast"/>
              <w:jc w:val="center"/>
              <w:rPr>
                <w:rFonts w:hint="default" w:ascii="Times New Roman" w:hAnsi="Times New Roman" w:cs="Times New Roman"/>
                <w:b/>
                <w:color w:val="auto"/>
                <w:sz w:val="21"/>
                <w:szCs w:val="21"/>
              </w:rPr>
            </w:pPr>
          </w:p>
        </w:tc>
        <w:tc>
          <w:tcPr>
            <w:tcW w:w="825" w:type="pct"/>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bCs/>
                <w:color w:val="auto"/>
                <w:sz w:val="21"/>
                <w:szCs w:val="21"/>
                <w:lang w:val="en-US" w:eastAsia="zh-CN"/>
              </w:rPr>
            </w:pPr>
          </w:p>
        </w:tc>
        <w:tc>
          <w:tcPr>
            <w:tcW w:w="149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HH2022DQ031-2-22</w:t>
            </w:r>
          </w:p>
        </w:tc>
        <w:tc>
          <w:tcPr>
            <w:tcW w:w="160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073" w:type="pct"/>
            <w:vMerge w:val="continue"/>
            <w:noWrap w:val="0"/>
            <w:vAlign w:val="center"/>
          </w:tcPr>
          <w:p>
            <w:pPr>
              <w:keepNext w:val="0"/>
              <w:keepLines w:val="0"/>
              <w:pageBreakBefore w:val="0"/>
              <w:kinsoku/>
              <w:wordWrap/>
              <w:overflowPunct/>
              <w:topLinePunct w:val="0"/>
              <w:autoSpaceDE/>
              <w:autoSpaceDN/>
              <w:bidi w:val="0"/>
              <w:adjustRightInd w:val="0"/>
              <w:snapToGrid/>
              <w:spacing w:line="0" w:lineRule="atLeast"/>
              <w:jc w:val="center"/>
              <w:rPr>
                <w:rFonts w:hint="default" w:ascii="Times New Roman" w:hAnsi="Times New Roman" w:cs="Times New Roman"/>
                <w:b/>
                <w:color w:val="auto"/>
                <w:sz w:val="21"/>
                <w:szCs w:val="21"/>
              </w:rPr>
            </w:pPr>
          </w:p>
        </w:tc>
        <w:tc>
          <w:tcPr>
            <w:tcW w:w="825" w:type="pct"/>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bCs/>
                <w:color w:val="auto"/>
                <w:sz w:val="21"/>
                <w:szCs w:val="21"/>
                <w:lang w:val="en-US" w:eastAsia="zh-CN"/>
              </w:rPr>
            </w:pPr>
          </w:p>
        </w:tc>
        <w:tc>
          <w:tcPr>
            <w:tcW w:w="149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HH2022DQ031-2-23</w:t>
            </w:r>
          </w:p>
        </w:tc>
        <w:tc>
          <w:tcPr>
            <w:tcW w:w="160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073" w:type="pct"/>
            <w:vMerge w:val="continue"/>
            <w:noWrap w:val="0"/>
            <w:vAlign w:val="center"/>
          </w:tcPr>
          <w:p>
            <w:pPr>
              <w:keepNext w:val="0"/>
              <w:keepLines w:val="0"/>
              <w:pageBreakBefore w:val="0"/>
              <w:kinsoku/>
              <w:wordWrap/>
              <w:overflowPunct/>
              <w:topLinePunct w:val="0"/>
              <w:autoSpaceDE/>
              <w:autoSpaceDN/>
              <w:bidi w:val="0"/>
              <w:adjustRightInd w:val="0"/>
              <w:snapToGrid/>
              <w:spacing w:line="0" w:lineRule="atLeast"/>
              <w:jc w:val="center"/>
              <w:rPr>
                <w:rFonts w:hint="default" w:ascii="Times New Roman" w:hAnsi="Times New Roman" w:cs="Times New Roman"/>
                <w:b/>
                <w:color w:val="auto"/>
                <w:sz w:val="21"/>
                <w:szCs w:val="21"/>
              </w:rPr>
            </w:pPr>
          </w:p>
        </w:tc>
        <w:tc>
          <w:tcPr>
            <w:tcW w:w="825" w:type="pct"/>
            <w:vMerge w:val="continue"/>
            <w:tcBorders>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bCs/>
                <w:color w:val="auto"/>
                <w:sz w:val="21"/>
                <w:szCs w:val="21"/>
                <w:lang w:val="en-US" w:eastAsia="zh-CN"/>
              </w:rPr>
            </w:pPr>
          </w:p>
        </w:tc>
        <w:tc>
          <w:tcPr>
            <w:tcW w:w="149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HH2022DQ031-2-24</w:t>
            </w:r>
          </w:p>
        </w:tc>
        <w:tc>
          <w:tcPr>
            <w:tcW w:w="160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073" w:type="pct"/>
            <w:vMerge w:val="continue"/>
            <w:noWrap w:val="0"/>
            <w:vAlign w:val="center"/>
          </w:tcPr>
          <w:p>
            <w:pPr>
              <w:keepNext w:val="0"/>
              <w:keepLines w:val="0"/>
              <w:pageBreakBefore w:val="0"/>
              <w:kinsoku/>
              <w:wordWrap/>
              <w:overflowPunct/>
              <w:topLinePunct w:val="0"/>
              <w:autoSpaceDE/>
              <w:autoSpaceDN/>
              <w:bidi w:val="0"/>
              <w:adjustRightInd w:val="0"/>
              <w:snapToGrid/>
              <w:spacing w:line="0" w:lineRule="atLeast"/>
              <w:jc w:val="center"/>
              <w:rPr>
                <w:rFonts w:hint="default" w:ascii="Times New Roman" w:hAnsi="Times New Roman" w:cs="Times New Roman"/>
                <w:b/>
                <w:color w:val="auto"/>
                <w:sz w:val="21"/>
                <w:szCs w:val="21"/>
              </w:rPr>
            </w:pPr>
          </w:p>
        </w:tc>
        <w:tc>
          <w:tcPr>
            <w:tcW w:w="825"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color w:val="auto"/>
                <w:sz w:val="21"/>
                <w:szCs w:val="21"/>
                <w:lang w:val="en-US" w:eastAsia="zh-CN"/>
              </w:rPr>
              <w:t>12月19日</w:t>
            </w:r>
          </w:p>
        </w:tc>
        <w:tc>
          <w:tcPr>
            <w:tcW w:w="149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HH2022DQ031-2-25</w:t>
            </w:r>
          </w:p>
        </w:tc>
        <w:tc>
          <w:tcPr>
            <w:tcW w:w="160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073" w:type="pct"/>
            <w:vMerge w:val="continue"/>
            <w:noWrap w:val="0"/>
            <w:vAlign w:val="center"/>
          </w:tcPr>
          <w:p>
            <w:pPr>
              <w:keepNext w:val="0"/>
              <w:keepLines w:val="0"/>
              <w:pageBreakBefore w:val="0"/>
              <w:kinsoku/>
              <w:wordWrap/>
              <w:overflowPunct/>
              <w:topLinePunct w:val="0"/>
              <w:autoSpaceDE/>
              <w:autoSpaceDN/>
              <w:bidi w:val="0"/>
              <w:adjustRightInd w:val="0"/>
              <w:snapToGrid/>
              <w:spacing w:line="0" w:lineRule="atLeast"/>
              <w:jc w:val="center"/>
              <w:rPr>
                <w:rFonts w:hint="default" w:ascii="Times New Roman" w:hAnsi="Times New Roman" w:cs="Times New Roman"/>
                <w:b/>
                <w:color w:val="auto"/>
                <w:sz w:val="21"/>
                <w:szCs w:val="21"/>
              </w:rPr>
            </w:pPr>
          </w:p>
        </w:tc>
        <w:tc>
          <w:tcPr>
            <w:tcW w:w="825" w:type="pct"/>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bCs/>
                <w:color w:val="auto"/>
                <w:sz w:val="21"/>
                <w:szCs w:val="21"/>
                <w:lang w:val="en-US" w:eastAsia="zh-CN"/>
              </w:rPr>
            </w:pPr>
          </w:p>
        </w:tc>
        <w:tc>
          <w:tcPr>
            <w:tcW w:w="149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HH2022DQ031-2-26</w:t>
            </w:r>
          </w:p>
        </w:tc>
        <w:tc>
          <w:tcPr>
            <w:tcW w:w="160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073" w:type="pct"/>
            <w:vMerge w:val="continue"/>
            <w:noWrap w:val="0"/>
            <w:vAlign w:val="center"/>
          </w:tcPr>
          <w:p>
            <w:pPr>
              <w:keepNext w:val="0"/>
              <w:keepLines w:val="0"/>
              <w:pageBreakBefore w:val="0"/>
              <w:kinsoku/>
              <w:wordWrap/>
              <w:overflowPunct/>
              <w:topLinePunct w:val="0"/>
              <w:autoSpaceDE/>
              <w:autoSpaceDN/>
              <w:bidi w:val="0"/>
              <w:adjustRightInd w:val="0"/>
              <w:snapToGrid/>
              <w:spacing w:line="0" w:lineRule="atLeast"/>
              <w:jc w:val="center"/>
              <w:rPr>
                <w:rFonts w:hint="default" w:ascii="Times New Roman" w:hAnsi="Times New Roman" w:cs="Times New Roman"/>
                <w:b/>
                <w:color w:val="auto"/>
                <w:sz w:val="21"/>
                <w:szCs w:val="21"/>
              </w:rPr>
            </w:pPr>
          </w:p>
        </w:tc>
        <w:tc>
          <w:tcPr>
            <w:tcW w:w="825" w:type="pct"/>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bCs/>
                <w:color w:val="auto"/>
                <w:sz w:val="21"/>
                <w:szCs w:val="21"/>
                <w:lang w:val="en-US" w:eastAsia="zh-CN"/>
              </w:rPr>
            </w:pPr>
          </w:p>
        </w:tc>
        <w:tc>
          <w:tcPr>
            <w:tcW w:w="149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HH2022DQ031-2-27</w:t>
            </w:r>
          </w:p>
        </w:tc>
        <w:tc>
          <w:tcPr>
            <w:tcW w:w="160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073" w:type="pct"/>
            <w:vMerge w:val="continue"/>
            <w:noWrap w:val="0"/>
            <w:vAlign w:val="center"/>
          </w:tcPr>
          <w:p>
            <w:pPr>
              <w:keepNext w:val="0"/>
              <w:keepLines w:val="0"/>
              <w:pageBreakBefore w:val="0"/>
              <w:kinsoku/>
              <w:wordWrap/>
              <w:overflowPunct/>
              <w:topLinePunct w:val="0"/>
              <w:autoSpaceDE/>
              <w:autoSpaceDN/>
              <w:bidi w:val="0"/>
              <w:adjustRightInd w:val="0"/>
              <w:snapToGrid/>
              <w:spacing w:line="0" w:lineRule="atLeast"/>
              <w:jc w:val="center"/>
              <w:rPr>
                <w:rFonts w:hint="default" w:ascii="Times New Roman" w:hAnsi="Times New Roman" w:cs="Times New Roman"/>
                <w:b/>
                <w:color w:val="auto"/>
                <w:sz w:val="21"/>
                <w:szCs w:val="21"/>
              </w:rPr>
            </w:pPr>
          </w:p>
        </w:tc>
        <w:tc>
          <w:tcPr>
            <w:tcW w:w="825" w:type="pct"/>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bCs/>
                <w:color w:val="auto"/>
                <w:sz w:val="21"/>
                <w:szCs w:val="21"/>
                <w:lang w:val="en-US" w:eastAsia="zh-CN"/>
              </w:rPr>
            </w:pPr>
          </w:p>
        </w:tc>
        <w:tc>
          <w:tcPr>
            <w:tcW w:w="149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HH2022DQ031-2-28</w:t>
            </w:r>
          </w:p>
        </w:tc>
        <w:tc>
          <w:tcPr>
            <w:tcW w:w="160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3396" w:type="pct"/>
            <w:gridSpan w:val="3"/>
            <w:tcBorders>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标准值</w:t>
            </w:r>
          </w:p>
        </w:tc>
        <w:tc>
          <w:tcPr>
            <w:tcW w:w="160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3396" w:type="pct"/>
            <w:gridSpan w:val="3"/>
            <w:tcBorders>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是否达标</w:t>
            </w:r>
          </w:p>
        </w:tc>
        <w:tc>
          <w:tcPr>
            <w:tcW w:w="160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达标</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hint="default" w:ascii="Times New Roman" w:hAnsi="Times New Roman" w:cs="Times New Roman"/>
          <w:color w:val="auto"/>
          <w:kern w:val="21"/>
          <w:lang w:eastAsia="zh-CN" w:bidi="ar"/>
        </w:rPr>
      </w:pPr>
      <w:r>
        <w:rPr>
          <w:rFonts w:hint="default" w:ascii="Times New Roman" w:hAnsi="Times New Roman" w:cs="Times New Roman"/>
          <w:color w:val="auto"/>
          <w:kern w:val="21"/>
          <w:lang w:eastAsia="zh-CN" w:bidi="ar"/>
        </w:rPr>
        <w:t>（</w:t>
      </w:r>
      <w:r>
        <w:rPr>
          <w:rFonts w:hint="default" w:ascii="Times New Roman" w:hAnsi="Times New Roman" w:cs="Times New Roman"/>
          <w:color w:val="auto"/>
          <w:kern w:val="21"/>
          <w:lang w:val="en-US" w:eastAsia="zh-CN" w:bidi="ar"/>
        </w:rPr>
        <w:t>2</w:t>
      </w:r>
      <w:r>
        <w:rPr>
          <w:rFonts w:hint="default" w:ascii="Times New Roman" w:hAnsi="Times New Roman" w:cs="Times New Roman"/>
          <w:color w:val="auto"/>
          <w:kern w:val="21"/>
          <w:lang w:eastAsia="zh-CN" w:bidi="ar"/>
        </w:rPr>
        <w:t>）颗粒物、氟化物</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21"/>
          <w:lang w:val="en-US" w:eastAsia="zh-CN" w:bidi="ar"/>
        </w:rPr>
      </w:pPr>
      <w:r>
        <w:rPr>
          <w:rFonts w:hint="default" w:ascii="Times New Roman" w:hAnsi="Times New Roman" w:cs="Times New Roman"/>
          <w:color w:val="auto"/>
          <w:kern w:val="21"/>
          <w:lang w:eastAsia="zh-CN" w:bidi="ar"/>
        </w:rPr>
        <w:t>非甲烷总烃引用《年产</w:t>
      </w:r>
      <w:r>
        <w:rPr>
          <w:rFonts w:hint="default" w:ascii="Times New Roman" w:hAnsi="Times New Roman" w:cs="Times New Roman"/>
          <w:color w:val="auto"/>
          <w:kern w:val="21"/>
          <w:lang w:val="en-US" w:eastAsia="zh-CN" w:bidi="ar"/>
        </w:rPr>
        <w:t>20GW单晶硅拉棒建设项目环境质量现状检测报告</w:t>
      </w:r>
      <w:r>
        <w:rPr>
          <w:rFonts w:hint="default" w:ascii="Times New Roman" w:hAnsi="Times New Roman" w:cs="Times New Roman"/>
          <w:color w:val="auto"/>
          <w:kern w:val="21"/>
          <w:lang w:eastAsia="zh-CN" w:bidi="ar"/>
        </w:rPr>
        <w:t>》检测结果，该项目位于本项目厂区东侧</w:t>
      </w:r>
      <w:r>
        <w:rPr>
          <w:rFonts w:hint="default" w:ascii="Times New Roman" w:hAnsi="Times New Roman" w:cs="Times New Roman"/>
          <w:color w:val="auto"/>
          <w:kern w:val="21"/>
          <w:lang w:val="en-US" w:eastAsia="zh-CN" w:bidi="ar"/>
        </w:rPr>
        <w:t>50m处，监测时间为</w:t>
      </w:r>
      <w:r>
        <w:rPr>
          <w:rFonts w:hint="default" w:ascii="Times New Roman" w:hAnsi="Times New Roman" w:cs="Times New Roman"/>
          <w:color w:val="auto"/>
          <w:kern w:val="21"/>
        </w:rPr>
        <w:t>202</w:t>
      </w:r>
      <w:r>
        <w:rPr>
          <w:rFonts w:hint="default" w:ascii="Times New Roman" w:hAnsi="Times New Roman" w:cs="Times New Roman"/>
          <w:color w:val="auto"/>
          <w:kern w:val="21"/>
          <w:lang w:val="en-US" w:eastAsia="zh-CN"/>
        </w:rPr>
        <w:t>2</w:t>
      </w:r>
      <w:r>
        <w:rPr>
          <w:rFonts w:hint="default" w:ascii="Times New Roman" w:hAnsi="Times New Roman" w:cs="Times New Roman"/>
          <w:color w:val="auto"/>
          <w:kern w:val="21"/>
        </w:rPr>
        <w:t>年</w:t>
      </w:r>
      <w:r>
        <w:rPr>
          <w:rFonts w:hint="default" w:ascii="Times New Roman" w:hAnsi="Times New Roman" w:cs="Times New Roman"/>
          <w:color w:val="auto"/>
          <w:kern w:val="21"/>
          <w:lang w:val="en-US" w:eastAsia="zh-CN"/>
        </w:rPr>
        <w:t>10</w:t>
      </w:r>
      <w:r>
        <w:rPr>
          <w:rFonts w:hint="default" w:ascii="Times New Roman" w:hAnsi="Times New Roman" w:cs="Times New Roman"/>
          <w:color w:val="auto"/>
          <w:kern w:val="21"/>
        </w:rPr>
        <w:t>月</w:t>
      </w:r>
      <w:r>
        <w:rPr>
          <w:rFonts w:hint="default" w:ascii="Times New Roman" w:hAnsi="Times New Roman" w:cs="Times New Roman"/>
          <w:color w:val="auto"/>
          <w:kern w:val="21"/>
          <w:lang w:val="en-US" w:eastAsia="zh-CN"/>
        </w:rPr>
        <w:t>26</w:t>
      </w:r>
      <w:r>
        <w:rPr>
          <w:rFonts w:hint="default" w:ascii="Times New Roman" w:hAnsi="Times New Roman" w:cs="Times New Roman"/>
          <w:color w:val="auto"/>
          <w:kern w:val="21"/>
        </w:rPr>
        <w:t>日~</w:t>
      </w:r>
      <w:r>
        <w:rPr>
          <w:rFonts w:hint="default" w:ascii="Times New Roman" w:hAnsi="Times New Roman" w:cs="Times New Roman"/>
          <w:color w:val="auto"/>
          <w:kern w:val="21"/>
          <w:lang w:val="en-US" w:eastAsia="zh-CN"/>
        </w:rPr>
        <w:t>10</w:t>
      </w:r>
      <w:r>
        <w:rPr>
          <w:rFonts w:hint="default" w:ascii="Times New Roman" w:hAnsi="Times New Roman" w:cs="Times New Roman"/>
          <w:color w:val="auto"/>
          <w:kern w:val="21"/>
        </w:rPr>
        <w:t>月</w:t>
      </w:r>
      <w:r>
        <w:rPr>
          <w:rFonts w:hint="default" w:ascii="Times New Roman" w:hAnsi="Times New Roman" w:cs="Times New Roman"/>
          <w:color w:val="auto"/>
          <w:kern w:val="21"/>
          <w:lang w:val="en-US" w:eastAsia="zh-CN"/>
        </w:rPr>
        <w:t>28</w:t>
      </w:r>
      <w:r>
        <w:rPr>
          <w:rFonts w:hint="default" w:ascii="Times New Roman" w:hAnsi="Times New Roman" w:cs="Times New Roman"/>
          <w:color w:val="auto"/>
          <w:kern w:val="21"/>
        </w:rPr>
        <w:t>日</w:t>
      </w:r>
      <w:r>
        <w:rPr>
          <w:rFonts w:hint="default" w:ascii="Times New Roman" w:hAnsi="Times New Roman" w:cs="Times New Roman"/>
          <w:color w:val="auto"/>
          <w:kern w:val="21"/>
          <w:lang w:eastAsia="zh-CN"/>
        </w:rPr>
        <w:t>，监测点位为</w:t>
      </w:r>
      <w:r>
        <w:rPr>
          <w:rFonts w:hint="default" w:ascii="Times New Roman" w:hAnsi="Times New Roman" w:cs="Times New Roman"/>
          <w:color w:val="auto"/>
          <w:kern w:val="21"/>
          <w:lang w:val="en-US" w:eastAsia="zh-CN" w:bidi="ar"/>
        </w:rPr>
        <w:t>本项目侧风向700m，</w:t>
      </w:r>
      <w:r>
        <w:rPr>
          <w:rFonts w:hint="default" w:ascii="Times New Roman" w:hAnsi="Times New Roman" w:cs="Times New Roman"/>
          <w:color w:val="auto"/>
        </w:rPr>
        <w:t>检测</w:t>
      </w:r>
      <w:r>
        <w:rPr>
          <w:rFonts w:hint="default" w:ascii="Times New Roman" w:hAnsi="Times New Roman" w:cs="Times New Roman"/>
          <w:color w:val="auto"/>
          <w:lang w:val="en-US" w:eastAsia="zh-CN"/>
        </w:rPr>
        <w:t>结果可满足本项目要求。</w:t>
      </w:r>
    </w:p>
    <w:p>
      <w:pPr>
        <w:keepNext w:val="0"/>
        <w:keepLines w:val="0"/>
        <w:pageBreakBefore w:val="0"/>
        <w:widowControl w:val="0"/>
        <w:tabs>
          <w:tab w:val="left" w:pos="1070"/>
        </w:tabs>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kern w:val="21"/>
        </w:rPr>
      </w:pPr>
      <w:r>
        <w:rPr>
          <w:rFonts w:hint="default" w:ascii="Times New Roman" w:hAnsi="Times New Roman" w:cs="Times New Roman"/>
          <w:color w:val="auto"/>
          <w:kern w:val="21"/>
          <w:lang w:eastAsia="zh-CN"/>
        </w:rPr>
        <w:t>①</w:t>
      </w:r>
      <w:r>
        <w:rPr>
          <w:rFonts w:hint="default" w:ascii="Times New Roman" w:hAnsi="Times New Roman" w:cs="Times New Roman"/>
          <w:color w:val="auto"/>
          <w:kern w:val="21"/>
        </w:rPr>
        <w:t>监测点布设</w:t>
      </w:r>
      <w:r>
        <w:rPr>
          <w:rFonts w:hint="default" w:ascii="Times New Roman" w:hAnsi="Times New Roman" w:cs="Times New Roman"/>
          <w:color w:val="auto"/>
          <w:kern w:val="21"/>
          <w:lang w:eastAsia="zh-CN"/>
        </w:rPr>
        <w:t>：</w:t>
      </w:r>
      <w:r>
        <w:rPr>
          <w:rFonts w:hint="default" w:ascii="Times New Roman" w:hAnsi="Times New Roman" w:cs="Times New Roman"/>
          <w:color w:val="auto"/>
          <w:kern w:val="21"/>
          <w:lang w:val="en-US" w:eastAsia="zh-CN" w:bidi="ar"/>
        </w:rPr>
        <w:t>本项目侧风向700m</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kern w:val="21"/>
          <w:lang w:eastAsia="zh-CN"/>
        </w:rPr>
      </w:pPr>
      <w:r>
        <w:rPr>
          <w:rFonts w:hint="default" w:ascii="Times New Roman" w:hAnsi="Times New Roman" w:cs="Times New Roman"/>
          <w:bCs/>
          <w:color w:val="auto"/>
          <w:kern w:val="21"/>
          <w:lang w:eastAsia="zh-CN"/>
        </w:rPr>
        <w:t>②</w:t>
      </w:r>
      <w:r>
        <w:rPr>
          <w:rFonts w:hint="default" w:ascii="Times New Roman" w:hAnsi="Times New Roman" w:cs="Times New Roman"/>
          <w:bCs/>
          <w:color w:val="auto"/>
          <w:kern w:val="21"/>
        </w:rPr>
        <w:t>监测因子：</w:t>
      </w:r>
      <w:r>
        <w:rPr>
          <w:rFonts w:hint="default" w:ascii="Times New Roman" w:hAnsi="Times New Roman" w:cs="Times New Roman"/>
          <w:bCs/>
          <w:color w:val="auto"/>
          <w:kern w:val="21"/>
          <w:lang w:eastAsia="zh-CN"/>
        </w:rPr>
        <w:t>颗粒物、氟化物</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kern w:val="21"/>
        </w:rPr>
      </w:pPr>
      <w:r>
        <w:rPr>
          <w:rFonts w:hint="default" w:ascii="Times New Roman" w:hAnsi="Times New Roman" w:cs="Times New Roman"/>
          <w:bCs/>
          <w:color w:val="auto"/>
          <w:kern w:val="21"/>
          <w:lang w:eastAsia="zh-CN"/>
        </w:rPr>
        <w:t>③</w:t>
      </w:r>
      <w:r>
        <w:rPr>
          <w:rFonts w:hint="default" w:ascii="Times New Roman" w:hAnsi="Times New Roman" w:cs="Times New Roman"/>
          <w:bCs/>
          <w:color w:val="auto"/>
          <w:kern w:val="21"/>
        </w:rPr>
        <w:t>监测时间</w:t>
      </w:r>
      <w:r>
        <w:rPr>
          <w:rFonts w:hint="default" w:ascii="Times New Roman" w:hAnsi="Times New Roman" w:cs="Times New Roman"/>
          <w:bCs/>
          <w:color w:val="auto"/>
          <w:kern w:val="21"/>
          <w:lang w:eastAsia="zh-CN"/>
        </w:rPr>
        <w:t>：</w:t>
      </w:r>
      <w:r>
        <w:rPr>
          <w:rFonts w:hint="default" w:ascii="Times New Roman" w:hAnsi="Times New Roman" w:cs="Times New Roman"/>
          <w:color w:val="auto"/>
          <w:kern w:val="21"/>
        </w:rPr>
        <w:t>监测时间为202</w:t>
      </w:r>
      <w:r>
        <w:rPr>
          <w:rFonts w:hint="default" w:ascii="Times New Roman" w:hAnsi="Times New Roman" w:cs="Times New Roman"/>
          <w:color w:val="auto"/>
          <w:kern w:val="21"/>
          <w:lang w:val="en-US" w:eastAsia="zh-CN"/>
        </w:rPr>
        <w:t>2</w:t>
      </w:r>
      <w:r>
        <w:rPr>
          <w:rFonts w:hint="default" w:ascii="Times New Roman" w:hAnsi="Times New Roman" w:cs="Times New Roman"/>
          <w:color w:val="auto"/>
          <w:kern w:val="21"/>
        </w:rPr>
        <w:t>年</w:t>
      </w:r>
      <w:r>
        <w:rPr>
          <w:rFonts w:hint="default" w:ascii="Times New Roman" w:hAnsi="Times New Roman" w:cs="Times New Roman"/>
          <w:color w:val="auto"/>
          <w:kern w:val="21"/>
          <w:lang w:val="en-US" w:eastAsia="zh-CN"/>
        </w:rPr>
        <w:t>10</w:t>
      </w:r>
      <w:r>
        <w:rPr>
          <w:rFonts w:hint="default" w:ascii="Times New Roman" w:hAnsi="Times New Roman" w:cs="Times New Roman"/>
          <w:color w:val="auto"/>
          <w:kern w:val="21"/>
        </w:rPr>
        <w:t>月</w:t>
      </w:r>
      <w:r>
        <w:rPr>
          <w:rFonts w:hint="default" w:ascii="Times New Roman" w:hAnsi="Times New Roman" w:cs="Times New Roman"/>
          <w:color w:val="auto"/>
          <w:kern w:val="21"/>
          <w:lang w:val="en-US" w:eastAsia="zh-CN"/>
        </w:rPr>
        <w:t>26</w:t>
      </w:r>
      <w:r>
        <w:rPr>
          <w:rFonts w:hint="default" w:ascii="Times New Roman" w:hAnsi="Times New Roman" w:cs="Times New Roman"/>
          <w:color w:val="auto"/>
          <w:kern w:val="21"/>
        </w:rPr>
        <w:t>日~</w:t>
      </w:r>
      <w:r>
        <w:rPr>
          <w:rFonts w:hint="default" w:ascii="Times New Roman" w:hAnsi="Times New Roman" w:cs="Times New Roman"/>
          <w:color w:val="auto"/>
          <w:kern w:val="21"/>
          <w:lang w:val="en-US" w:eastAsia="zh-CN"/>
        </w:rPr>
        <w:t>10</w:t>
      </w:r>
      <w:r>
        <w:rPr>
          <w:rFonts w:hint="default" w:ascii="Times New Roman" w:hAnsi="Times New Roman" w:cs="Times New Roman"/>
          <w:color w:val="auto"/>
          <w:kern w:val="21"/>
        </w:rPr>
        <w:t>月</w:t>
      </w:r>
      <w:r>
        <w:rPr>
          <w:rFonts w:hint="default" w:ascii="Times New Roman" w:hAnsi="Times New Roman" w:cs="Times New Roman"/>
          <w:color w:val="auto"/>
          <w:kern w:val="21"/>
          <w:lang w:val="en-US" w:eastAsia="zh-CN"/>
        </w:rPr>
        <w:t>28</w:t>
      </w:r>
      <w:r>
        <w:rPr>
          <w:rFonts w:hint="default" w:ascii="Times New Roman" w:hAnsi="Times New Roman" w:cs="Times New Roman"/>
          <w:color w:val="auto"/>
          <w:kern w:val="21"/>
        </w:rPr>
        <w:t>日，均连续采样</w:t>
      </w:r>
      <w:r>
        <w:rPr>
          <w:rFonts w:hint="default" w:ascii="Times New Roman" w:hAnsi="Times New Roman" w:cs="Times New Roman"/>
          <w:color w:val="auto"/>
          <w:kern w:val="21"/>
          <w:lang w:val="en-US" w:eastAsia="zh-CN"/>
        </w:rPr>
        <w:t>3</w:t>
      </w:r>
      <w:r>
        <w:rPr>
          <w:rFonts w:hint="default" w:ascii="Times New Roman" w:hAnsi="Times New Roman" w:cs="Times New Roman"/>
          <w:color w:val="auto"/>
          <w:kern w:val="21"/>
        </w:rPr>
        <w:t>天</w:t>
      </w:r>
    </w:p>
    <w:p>
      <w:pPr>
        <w:spacing w:line="360" w:lineRule="auto"/>
        <w:ind w:firstLine="480" w:firstLineChars="200"/>
        <w:rPr>
          <w:rFonts w:hint="default" w:ascii="Times New Roman" w:hAnsi="Times New Roman" w:eastAsia="宋体" w:cs="Times New Roman"/>
          <w:color w:val="auto"/>
          <w:lang w:val="en-US" w:eastAsia="zh-CN"/>
        </w:rPr>
      </w:pPr>
      <w:r>
        <w:rPr>
          <w:rFonts w:hint="default" w:ascii="Times New Roman" w:hAnsi="Times New Roman" w:cs="Times New Roman"/>
          <w:color w:val="auto"/>
          <w:lang w:eastAsia="zh-CN"/>
        </w:rPr>
        <w:t>④监测频率：</w:t>
      </w:r>
      <w:r>
        <w:rPr>
          <w:rFonts w:hint="default" w:ascii="Times New Roman" w:hAnsi="Times New Roman" w:cs="Times New Roman"/>
          <w:color w:val="auto"/>
          <w:sz w:val="24"/>
          <w:lang w:eastAsia="zh-CN"/>
        </w:rPr>
        <w:t>颗粒物</w:t>
      </w:r>
      <w:r>
        <w:rPr>
          <w:rFonts w:hint="default" w:ascii="Times New Roman" w:hAnsi="Times New Roman" w:cs="Times New Roman"/>
          <w:color w:val="auto"/>
          <w:sz w:val="24"/>
        </w:rPr>
        <w:t>检测日均值</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氟化物检测日均值和1小时均值</w:t>
      </w:r>
    </w:p>
    <w:p>
      <w:pPr>
        <w:pStyle w:val="133"/>
        <w:keepNext w:val="0"/>
        <w:keepLines w:val="0"/>
        <w:pageBreakBefore w:val="0"/>
        <w:widowControl w:val="0"/>
        <w:numPr>
          <w:ilvl w:val="0"/>
          <w:numId w:val="15"/>
        </w:numPr>
        <w:tabs>
          <w:tab w:val="left" w:pos="1020"/>
        </w:tabs>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TSP、氟化物日均浓度检测值</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5"/>
        <w:gridCol w:w="2066"/>
        <w:gridCol w:w="2678"/>
        <w:gridCol w:w="19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425" w:type="dxa"/>
            <w:noWrap w:val="0"/>
            <w:vAlign w:val="center"/>
          </w:tcPr>
          <w:p>
            <w:pPr>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检测点位</w:t>
            </w:r>
          </w:p>
        </w:tc>
        <w:tc>
          <w:tcPr>
            <w:tcW w:w="2066" w:type="dxa"/>
            <w:noWrap w:val="0"/>
            <w:vAlign w:val="center"/>
          </w:tcPr>
          <w:p>
            <w:pPr>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检测日期</w:t>
            </w:r>
          </w:p>
        </w:tc>
        <w:tc>
          <w:tcPr>
            <w:tcW w:w="2678" w:type="dxa"/>
            <w:noWrap w:val="0"/>
            <w:vAlign w:val="center"/>
          </w:tcPr>
          <w:p>
            <w:pPr>
              <w:spacing w:line="0" w:lineRule="atLeast"/>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总悬浮颗粒物（TSP）</w:t>
            </w:r>
          </w:p>
          <w:p>
            <w:pPr>
              <w:spacing w:line="0" w:lineRule="atLeast"/>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（μg/m</w:t>
            </w:r>
            <w:r>
              <w:rPr>
                <w:rFonts w:hint="default" w:ascii="Times New Roman" w:hAnsi="Times New Roman" w:cs="Times New Roman"/>
                <w:b w:val="0"/>
                <w:bCs w:val="0"/>
                <w:color w:val="auto"/>
                <w:sz w:val="21"/>
                <w:szCs w:val="21"/>
                <w:vertAlign w:val="superscript"/>
              </w:rPr>
              <w:t>3</w:t>
            </w:r>
            <w:r>
              <w:rPr>
                <w:rFonts w:hint="default" w:ascii="Times New Roman" w:hAnsi="Times New Roman" w:cs="Times New Roman"/>
                <w:b w:val="0"/>
                <w:bCs w:val="0"/>
                <w:color w:val="auto"/>
                <w:sz w:val="21"/>
                <w:szCs w:val="21"/>
              </w:rPr>
              <w:t>）</w:t>
            </w:r>
          </w:p>
        </w:tc>
        <w:tc>
          <w:tcPr>
            <w:tcW w:w="1987" w:type="dxa"/>
            <w:noWrap w:val="0"/>
            <w:vAlign w:val="center"/>
          </w:tcPr>
          <w:p>
            <w:pPr>
              <w:spacing w:line="0" w:lineRule="atLeast"/>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氟化物</w:t>
            </w:r>
          </w:p>
          <w:p>
            <w:pPr>
              <w:spacing w:line="0" w:lineRule="atLeast"/>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（μg/m</w:t>
            </w:r>
            <w:r>
              <w:rPr>
                <w:rFonts w:hint="default" w:ascii="Times New Roman" w:hAnsi="Times New Roman" w:cs="Times New Roman"/>
                <w:b w:val="0"/>
                <w:bCs w:val="0"/>
                <w:color w:val="auto"/>
                <w:sz w:val="21"/>
                <w:szCs w:val="21"/>
                <w:vertAlign w:val="superscript"/>
              </w:rPr>
              <w:t>3</w:t>
            </w:r>
            <w:r>
              <w:rPr>
                <w:rFonts w:hint="default" w:ascii="Times New Roman" w:hAnsi="Times New Roman" w:cs="Times New Roman"/>
                <w:b w:val="0"/>
                <w:bCs w:val="0"/>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25" w:type="dxa"/>
            <w:vMerge w:val="restart"/>
            <w:noWrap w:val="0"/>
            <w:vAlign w:val="center"/>
          </w:tcPr>
          <w:p>
            <w:pPr>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kern w:val="21"/>
                <w:sz w:val="21"/>
                <w:szCs w:val="21"/>
                <w:lang w:val="en-US" w:eastAsia="zh-CN" w:bidi="ar"/>
              </w:rPr>
              <w:t>本项目侧风向700m</w:t>
            </w:r>
          </w:p>
        </w:tc>
        <w:tc>
          <w:tcPr>
            <w:tcW w:w="2066" w:type="dxa"/>
            <w:noWrap w:val="0"/>
            <w:vAlign w:val="center"/>
          </w:tcPr>
          <w:p>
            <w:pPr>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pacing w:val="-6"/>
                <w:sz w:val="21"/>
                <w:szCs w:val="21"/>
              </w:rPr>
              <w:t>10月26日</w:t>
            </w:r>
          </w:p>
        </w:tc>
        <w:tc>
          <w:tcPr>
            <w:tcW w:w="2678" w:type="dxa"/>
            <w:noWrap w:val="0"/>
            <w:vAlign w:val="center"/>
          </w:tcPr>
          <w:p>
            <w:pPr>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174</w:t>
            </w:r>
          </w:p>
        </w:tc>
        <w:tc>
          <w:tcPr>
            <w:tcW w:w="1987" w:type="dxa"/>
            <w:noWrap w:val="0"/>
            <w:vAlign w:val="center"/>
          </w:tcPr>
          <w:p>
            <w:pPr>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25" w:type="dxa"/>
            <w:vMerge w:val="continue"/>
            <w:noWrap w:val="0"/>
            <w:vAlign w:val="center"/>
          </w:tcPr>
          <w:p>
            <w:pPr>
              <w:jc w:val="center"/>
              <w:rPr>
                <w:rFonts w:hint="default" w:ascii="Times New Roman" w:hAnsi="Times New Roman" w:cs="Times New Roman"/>
                <w:b w:val="0"/>
                <w:bCs w:val="0"/>
                <w:color w:val="auto"/>
                <w:sz w:val="21"/>
                <w:szCs w:val="21"/>
              </w:rPr>
            </w:pPr>
          </w:p>
        </w:tc>
        <w:tc>
          <w:tcPr>
            <w:tcW w:w="2066" w:type="dxa"/>
            <w:noWrap w:val="0"/>
            <w:vAlign w:val="center"/>
          </w:tcPr>
          <w:p>
            <w:pPr>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pacing w:val="-6"/>
                <w:sz w:val="21"/>
                <w:szCs w:val="21"/>
              </w:rPr>
              <w:t>10月27日</w:t>
            </w:r>
          </w:p>
        </w:tc>
        <w:tc>
          <w:tcPr>
            <w:tcW w:w="2678" w:type="dxa"/>
            <w:noWrap w:val="0"/>
            <w:vAlign w:val="center"/>
          </w:tcPr>
          <w:p>
            <w:pPr>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267</w:t>
            </w:r>
          </w:p>
        </w:tc>
        <w:tc>
          <w:tcPr>
            <w:tcW w:w="1987" w:type="dxa"/>
            <w:noWrap w:val="0"/>
            <w:vAlign w:val="center"/>
          </w:tcPr>
          <w:p>
            <w:pPr>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1425" w:type="dxa"/>
            <w:vMerge w:val="continue"/>
            <w:noWrap w:val="0"/>
            <w:vAlign w:val="center"/>
          </w:tcPr>
          <w:p>
            <w:pPr>
              <w:jc w:val="center"/>
              <w:rPr>
                <w:rFonts w:hint="default" w:ascii="Times New Roman" w:hAnsi="Times New Roman" w:cs="Times New Roman"/>
                <w:b w:val="0"/>
                <w:bCs w:val="0"/>
                <w:color w:val="auto"/>
                <w:sz w:val="21"/>
                <w:szCs w:val="21"/>
              </w:rPr>
            </w:pPr>
          </w:p>
        </w:tc>
        <w:tc>
          <w:tcPr>
            <w:tcW w:w="2066" w:type="dxa"/>
            <w:noWrap w:val="0"/>
            <w:vAlign w:val="center"/>
          </w:tcPr>
          <w:p>
            <w:pPr>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pacing w:val="-6"/>
                <w:sz w:val="21"/>
                <w:szCs w:val="21"/>
              </w:rPr>
              <w:t>10月28日</w:t>
            </w:r>
          </w:p>
        </w:tc>
        <w:tc>
          <w:tcPr>
            <w:tcW w:w="2678" w:type="dxa"/>
            <w:noWrap w:val="0"/>
            <w:vAlign w:val="center"/>
          </w:tcPr>
          <w:p>
            <w:pPr>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231</w:t>
            </w:r>
          </w:p>
        </w:tc>
        <w:tc>
          <w:tcPr>
            <w:tcW w:w="1987" w:type="dxa"/>
            <w:noWrap w:val="0"/>
            <w:vAlign w:val="center"/>
          </w:tcPr>
          <w:p>
            <w:pPr>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91" w:type="dxa"/>
            <w:gridSpan w:val="2"/>
            <w:noWrap w:val="0"/>
            <w:vAlign w:val="center"/>
          </w:tcPr>
          <w:p>
            <w:pPr>
              <w:jc w:val="center"/>
              <w:rPr>
                <w:rFonts w:hint="default" w:ascii="Times New Roman" w:hAnsi="Times New Roman" w:cs="Times New Roman"/>
                <w:b/>
                <w:bCs/>
                <w:color w:val="auto"/>
                <w:spacing w:val="-6"/>
                <w:sz w:val="21"/>
                <w:szCs w:val="21"/>
              </w:rPr>
            </w:pPr>
            <w:r>
              <w:rPr>
                <w:rFonts w:hint="default" w:ascii="Times New Roman" w:hAnsi="Times New Roman" w:cs="Times New Roman"/>
                <w:color w:val="auto"/>
                <w:sz w:val="21"/>
                <w:szCs w:val="21"/>
              </w:rPr>
              <w:t>标准值</w:t>
            </w:r>
          </w:p>
        </w:tc>
        <w:tc>
          <w:tcPr>
            <w:tcW w:w="2678" w:type="dxa"/>
            <w:noWrap w:val="0"/>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300</w:t>
            </w:r>
          </w:p>
        </w:tc>
        <w:tc>
          <w:tcPr>
            <w:tcW w:w="1987" w:type="dxa"/>
            <w:noWrap w:val="0"/>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3491" w:type="dxa"/>
            <w:gridSpan w:val="2"/>
            <w:noWrap w:val="0"/>
            <w:vAlign w:val="center"/>
          </w:tcPr>
          <w:p>
            <w:pPr>
              <w:jc w:val="center"/>
              <w:rPr>
                <w:rFonts w:hint="default" w:ascii="Times New Roman" w:hAnsi="Times New Roman" w:cs="Times New Roman"/>
                <w:b/>
                <w:bCs/>
                <w:color w:val="auto"/>
                <w:spacing w:val="-6"/>
                <w:sz w:val="21"/>
                <w:szCs w:val="21"/>
              </w:rPr>
            </w:pPr>
            <w:r>
              <w:rPr>
                <w:rFonts w:hint="default" w:ascii="Times New Roman" w:hAnsi="Times New Roman" w:cs="Times New Roman"/>
                <w:color w:val="auto"/>
                <w:spacing w:val="-6"/>
                <w:sz w:val="21"/>
                <w:szCs w:val="21"/>
              </w:rPr>
              <w:t>是否达标</w:t>
            </w:r>
          </w:p>
        </w:tc>
        <w:tc>
          <w:tcPr>
            <w:tcW w:w="2678" w:type="dxa"/>
            <w:noWrap w:val="0"/>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color w:val="auto"/>
                <w:spacing w:val="-6"/>
                <w:sz w:val="21"/>
                <w:szCs w:val="21"/>
              </w:rPr>
              <w:t>达标</w:t>
            </w:r>
          </w:p>
        </w:tc>
        <w:tc>
          <w:tcPr>
            <w:tcW w:w="1987" w:type="dxa"/>
            <w:noWrap w:val="0"/>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color w:val="auto"/>
                <w:spacing w:val="-6"/>
                <w:sz w:val="21"/>
                <w:szCs w:val="21"/>
              </w:rPr>
              <w:t>达标</w:t>
            </w:r>
          </w:p>
        </w:tc>
      </w:tr>
    </w:tbl>
    <w:p>
      <w:pPr>
        <w:pStyle w:val="133"/>
        <w:keepNext w:val="0"/>
        <w:keepLines w:val="0"/>
        <w:pageBreakBefore w:val="0"/>
        <w:widowControl w:val="0"/>
        <w:numPr>
          <w:ilvl w:val="0"/>
          <w:numId w:val="15"/>
        </w:numPr>
        <w:tabs>
          <w:tab w:val="left" w:pos="1020"/>
        </w:tabs>
        <w:kinsoku/>
        <w:wordWrap/>
        <w:overflowPunct/>
        <w:topLinePunct w:val="0"/>
        <w:autoSpaceDE/>
        <w:autoSpaceDN/>
        <w:bidi w:val="0"/>
        <w:adjustRightInd/>
        <w:snapToGrid/>
        <w:spacing w:before="157" w:beforeLines="50" w:line="360" w:lineRule="auto"/>
        <w:ind w:left="0" w:leftChars="0" w:firstLine="0" w:firstLineChars="0"/>
        <w:jc w:val="center"/>
        <w:textAlignment w:val="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 xml:space="preserve"> 氟化物1小时浓度检测值</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407"/>
        <w:gridCol w:w="1735"/>
        <w:gridCol w:w="32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704" w:type="dxa"/>
            <w:noWrap w:val="0"/>
            <w:vAlign w:val="center"/>
          </w:tcPr>
          <w:p>
            <w:pPr>
              <w:spacing w:line="0" w:lineRule="atLeast"/>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检测点位</w:t>
            </w:r>
          </w:p>
        </w:tc>
        <w:tc>
          <w:tcPr>
            <w:tcW w:w="1407" w:type="dxa"/>
            <w:noWrap w:val="0"/>
            <w:vAlign w:val="center"/>
          </w:tcPr>
          <w:p>
            <w:pPr>
              <w:spacing w:line="0" w:lineRule="atLeast"/>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检测日期</w:t>
            </w:r>
          </w:p>
        </w:tc>
        <w:tc>
          <w:tcPr>
            <w:tcW w:w="1735" w:type="dxa"/>
            <w:noWrap w:val="0"/>
            <w:vAlign w:val="center"/>
          </w:tcPr>
          <w:p>
            <w:pPr>
              <w:spacing w:line="0" w:lineRule="atLeast"/>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采样时段</w:t>
            </w:r>
          </w:p>
        </w:tc>
        <w:tc>
          <w:tcPr>
            <w:tcW w:w="3224" w:type="dxa"/>
            <w:noWrap w:val="0"/>
            <w:vAlign w:val="center"/>
          </w:tcPr>
          <w:p>
            <w:pPr>
              <w:spacing w:line="0" w:lineRule="atLeast"/>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氟化物（μg/m</w:t>
            </w:r>
            <w:r>
              <w:rPr>
                <w:rFonts w:hint="default" w:ascii="Times New Roman" w:hAnsi="Times New Roman" w:cs="Times New Roman"/>
                <w:b w:val="0"/>
                <w:bCs/>
                <w:color w:val="auto"/>
                <w:sz w:val="21"/>
                <w:szCs w:val="21"/>
                <w:vertAlign w:val="superscript"/>
              </w:rPr>
              <w:t>3</w:t>
            </w:r>
            <w:r>
              <w:rPr>
                <w:rFonts w:hint="default" w:ascii="Times New Roman" w:hAnsi="Times New Roman" w:cs="Times New Roman"/>
                <w:b w:val="0"/>
                <w:bCs/>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704" w:type="dxa"/>
            <w:vMerge w:val="restart"/>
            <w:noWrap w:val="0"/>
            <w:vAlign w:val="center"/>
          </w:tcPr>
          <w:p>
            <w:pPr>
              <w:adjustRightInd w:val="0"/>
              <w:spacing w:line="0" w:lineRule="atLeast"/>
              <w:jc w:val="center"/>
              <w:rPr>
                <w:rFonts w:hint="default" w:ascii="Times New Roman" w:hAnsi="Times New Roman" w:cs="Times New Roman"/>
                <w:b w:val="0"/>
                <w:bCs/>
                <w:color w:val="auto"/>
                <w:sz w:val="21"/>
                <w:szCs w:val="21"/>
              </w:rPr>
            </w:pPr>
            <w:r>
              <w:rPr>
                <w:rFonts w:hint="default" w:ascii="Times New Roman" w:hAnsi="Times New Roman" w:cs="Times New Roman"/>
                <w:b w:val="0"/>
                <w:bCs w:val="0"/>
                <w:color w:val="auto"/>
                <w:kern w:val="21"/>
                <w:sz w:val="21"/>
                <w:szCs w:val="21"/>
                <w:lang w:val="en-US" w:eastAsia="zh-CN" w:bidi="ar"/>
              </w:rPr>
              <w:t>本项目侧风向700m</w:t>
            </w:r>
          </w:p>
        </w:tc>
        <w:tc>
          <w:tcPr>
            <w:tcW w:w="1407" w:type="dxa"/>
            <w:vMerge w:val="restart"/>
            <w:noWrap w:val="0"/>
            <w:vAlign w:val="center"/>
          </w:tcPr>
          <w:p>
            <w:pPr>
              <w:jc w:val="center"/>
              <w:rPr>
                <w:rFonts w:hint="default" w:ascii="Times New Roman" w:hAnsi="Times New Roman" w:cs="Times New Roman"/>
                <w:b w:val="0"/>
                <w:bCs/>
                <w:color w:val="auto"/>
                <w:spacing w:val="-6"/>
                <w:sz w:val="21"/>
                <w:szCs w:val="21"/>
              </w:rPr>
            </w:pPr>
            <w:r>
              <w:rPr>
                <w:rFonts w:hint="default" w:ascii="Times New Roman" w:hAnsi="Times New Roman" w:cs="Times New Roman"/>
                <w:b w:val="0"/>
                <w:bCs/>
                <w:color w:val="auto"/>
                <w:spacing w:val="-6"/>
                <w:sz w:val="21"/>
                <w:szCs w:val="21"/>
              </w:rPr>
              <w:t>10月26日</w:t>
            </w:r>
          </w:p>
        </w:tc>
        <w:tc>
          <w:tcPr>
            <w:tcW w:w="1735" w:type="dxa"/>
            <w:noWrap w:val="0"/>
            <w:vAlign w:val="center"/>
          </w:tcPr>
          <w:p>
            <w:pPr>
              <w:spacing w:line="0" w:lineRule="atLeast"/>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02:00～03:00</w:t>
            </w:r>
          </w:p>
        </w:tc>
        <w:tc>
          <w:tcPr>
            <w:tcW w:w="3224" w:type="dxa"/>
            <w:noWrap w:val="0"/>
            <w:vAlign w:val="center"/>
          </w:tcPr>
          <w:p>
            <w:pPr>
              <w:spacing w:line="0" w:lineRule="atLeast"/>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704" w:type="dxa"/>
            <w:vMerge w:val="continue"/>
            <w:noWrap w:val="0"/>
            <w:vAlign w:val="center"/>
          </w:tcPr>
          <w:p>
            <w:pPr>
              <w:adjustRightInd w:val="0"/>
              <w:spacing w:line="0" w:lineRule="atLeast"/>
              <w:jc w:val="center"/>
              <w:rPr>
                <w:rFonts w:hint="default" w:ascii="Times New Roman" w:hAnsi="Times New Roman" w:cs="Times New Roman"/>
                <w:b w:val="0"/>
                <w:bCs/>
                <w:color w:val="auto"/>
                <w:sz w:val="21"/>
                <w:szCs w:val="21"/>
              </w:rPr>
            </w:pPr>
          </w:p>
        </w:tc>
        <w:tc>
          <w:tcPr>
            <w:tcW w:w="1407" w:type="dxa"/>
            <w:vMerge w:val="continue"/>
            <w:noWrap w:val="0"/>
            <w:vAlign w:val="center"/>
          </w:tcPr>
          <w:p>
            <w:pPr>
              <w:spacing w:line="0" w:lineRule="atLeast"/>
              <w:jc w:val="center"/>
              <w:rPr>
                <w:rFonts w:hint="default" w:ascii="Times New Roman" w:hAnsi="Times New Roman" w:cs="Times New Roman"/>
                <w:b w:val="0"/>
                <w:bCs/>
                <w:color w:val="auto"/>
                <w:spacing w:val="-6"/>
                <w:sz w:val="21"/>
                <w:szCs w:val="21"/>
              </w:rPr>
            </w:pPr>
          </w:p>
        </w:tc>
        <w:tc>
          <w:tcPr>
            <w:tcW w:w="1735" w:type="dxa"/>
            <w:noWrap w:val="0"/>
            <w:vAlign w:val="center"/>
          </w:tcPr>
          <w:p>
            <w:pPr>
              <w:spacing w:line="0" w:lineRule="atLeast"/>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08:00～09:00</w:t>
            </w:r>
          </w:p>
        </w:tc>
        <w:tc>
          <w:tcPr>
            <w:tcW w:w="3224" w:type="dxa"/>
            <w:noWrap w:val="0"/>
            <w:vAlign w:val="center"/>
          </w:tcPr>
          <w:p>
            <w:pPr>
              <w:spacing w:line="0" w:lineRule="atLeast"/>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 w:hRule="atLeast"/>
          <w:jc w:val="center"/>
        </w:trPr>
        <w:tc>
          <w:tcPr>
            <w:tcW w:w="1704" w:type="dxa"/>
            <w:vMerge w:val="continue"/>
            <w:noWrap w:val="0"/>
            <w:vAlign w:val="center"/>
          </w:tcPr>
          <w:p>
            <w:pPr>
              <w:adjustRightInd w:val="0"/>
              <w:spacing w:line="0" w:lineRule="atLeast"/>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w:t>
            </w:r>
          </w:p>
        </w:tc>
        <w:tc>
          <w:tcPr>
            <w:tcW w:w="1407" w:type="dxa"/>
            <w:vMerge w:val="continue"/>
            <w:noWrap w:val="0"/>
            <w:vAlign w:val="center"/>
          </w:tcPr>
          <w:p>
            <w:pPr>
              <w:spacing w:line="0" w:lineRule="atLeast"/>
              <w:jc w:val="center"/>
              <w:rPr>
                <w:rFonts w:hint="default" w:ascii="Times New Roman" w:hAnsi="Times New Roman" w:cs="Times New Roman"/>
                <w:b w:val="0"/>
                <w:bCs/>
                <w:color w:val="auto"/>
                <w:spacing w:val="-6"/>
                <w:sz w:val="21"/>
                <w:szCs w:val="21"/>
              </w:rPr>
            </w:pPr>
          </w:p>
        </w:tc>
        <w:tc>
          <w:tcPr>
            <w:tcW w:w="1735" w:type="dxa"/>
            <w:noWrap w:val="0"/>
            <w:vAlign w:val="center"/>
          </w:tcPr>
          <w:p>
            <w:pPr>
              <w:spacing w:line="0" w:lineRule="atLeast"/>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14:00～15:00</w:t>
            </w:r>
          </w:p>
        </w:tc>
        <w:tc>
          <w:tcPr>
            <w:tcW w:w="3224" w:type="dxa"/>
            <w:noWrap w:val="0"/>
            <w:vAlign w:val="center"/>
          </w:tcPr>
          <w:p>
            <w:pPr>
              <w:spacing w:line="0" w:lineRule="atLeast"/>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704" w:type="dxa"/>
            <w:vMerge w:val="continue"/>
            <w:noWrap w:val="0"/>
            <w:vAlign w:val="center"/>
          </w:tcPr>
          <w:p>
            <w:pPr>
              <w:adjustRightInd w:val="0"/>
              <w:spacing w:line="0" w:lineRule="atLeast"/>
              <w:jc w:val="center"/>
              <w:rPr>
                <w:rFonts w:hint="default" w:ascii="Times New Roman" w:hAnsi="Times New Roman" w:cs="Times New Roman"/>
                <w:b w:val="0"/>
                <w:bCs/>
                <w:color w:val="auto"/>
                <w:sz w:val="21"/>
                <w:szCs w:val="21"/>
              </w:rPr>
            </w:pPr>
          </w:p>
        </w:tc>
        <w:tc>
          <w:tcPr>
            <w:tcW w:w="1407" w:type="dxa"/>
            <w:vMerge w:val="continue"/>
            <w:noWrap w:val="0"/>
            <w:vAlign w:val="center"/>
          </w:tcPr>
          <w:p>
            <w:pPr>
              <w:spacing w:line="0" w:lineRule="atLeast"/>
              <w:jc w:val="center"/>
              <w:rPr>
                <w:rFonts w:hint="default" w:ascii="Times New Roman" w:hAnsi="Times New Roman" w:cs="Times New Roman"/>
                <w:b w:val="0"/>
                <w:bCs/>
                <w:color w:val="auto"/>
                <w:spacing w:val="-6"/>
                <w:sz w:val="21"/>
                <w:szCs w:val="21"/>
              </w:rPr>
            </w:pPr>
          </w:p>
        </w:tc>
        <w:tc>
          <w:tcPr>
            <w:tcW w:w="1735" w:type="dxa"/>
            <w:noWrap w:val="0"/>
            <w:vAlign w:val="center"/>
          </w:tcPr>
          <w:p>
            <w:pPr>
              <w:spacing w:line="0" w:lineRule="atLeast"/>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20:00～21:00</w:t>
            </w:r>
          </w:p>
        </w:tc>
        <w:tc>
          <w:tcPr>
            <w:tcW w:w="3224" w:type="dxa"/>
            <w:noWrap w:val="0"/>
            <w:vAlign w:val="center"/>
          </w:tcPr>
          <w:p>
            <w:pPr>
              <w:spacing w:line="0" w:lineRule="atLeast"/>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704" w:type="dxa"/>
            <w:vMerge w:val="continue"/>
            <w:noWrap w:val="0"/>
            <w:vAlign w:val="center"/>
          </w:tcPr>
          <w:p>
            <w:pPr>
              <w:adjustRightInd w:val="0"/>
              <w:spacing w:line="0" w:lineRule="atLeast"/>
              <w:jc w:val="center"/>
              <w:rPr>
                <w:rFonts w:hint="default" w:ascii="Times New Roman" w:hAnsi="Times New Roman" w:cs="Times New Roman"/>
                <w:b w:val="0"/>
                <w:bCs/>
                <w:color w:val="auto"/>
                <w:sz w:val="21"/>
                <w:szCs w:val="21"/>
              </w:rPr>
            </w:pPr>
          </w:p>
        </w:tc>
        <w:tc>
          <w:tcPr>
            <w:tcW w:w="1407" w:type="dxa"/>
            <w:vMerge w:val="restart"/>
            <w:noWrap w:val="0"/>
            <w:vAlign w:val="center"/>
          </w:tcPr>
          <w:p>
            <w:pPr>
              <w:jc w:val="center"/>
              <w:rPr>
                <w:rFonts w:hint="default" w:ascii="Times New Roman" w:hAnsi="Times New Roman" w:cs="Times New Roman"/>
                <w:b w:val="0"/>
                <w:bCs/>
                <w:color w:val="auto"/>
                <w:spacing w:val="-6"/>
                <w:sz w:val="21"/>
                <w:szCs w:val="21"/>
              </w:rPr>
            </w:pPr>
            <w:r>
              <w:rPr>
                <w:rFonts w:hint="default" w:ascii="Times New Roman" w:hAnsi="Times New Roman" w:cs="Times New Roman"/>
                <w:b w:val="0"/>
                <w:bCs/>
                <w:color w:val="auto"/>
                <w:spacing w:val="-6"/>
                <w:sz w:val="21"/>
                <w:szCs w:val="21"/>
              </w:rPr>
              <w:t>10月27日</w:t>
            </w:r>
          </w:p>
        </w:tc>
        <w:tc>
          <w:tcPr>
            <w:tcW w:w="1735" w:type="dxa"/>
            <w:noWrap w:val="0"/>
            <w:vAlign w:val="center"/>
          </w:tcPr>
          <w:p>
            <w:pPr>
              <w:spacing w:line="0" w:lineRule="atLeast"/>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02:00～03:00</w:t>
            </w:r>
          </w:p>
        </w:tc>
        <w:tc>
          <w:tcPr>
            <w:tcW w:w="3224" w:type="dxa"/>
            <w:noWrap w:val="0"/>
            <w:vAlign w:val="center"/>
          </w:tcPr>
          <w:p>
            <w:pPr>
              <w:spacing w:line="0" w:lineRule="atLeast"/>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704" w:type="dxa"/>
            <w:vMerge w:val="continue"/>
            <w:noWrap w:val="0"/>
            <w:vAlign w:val="center"/>
          </w:tcPr>
          <w:p>
            <w:pPr>
              <w:adjustRightInd w:val="0"/>
              <w:spacing w:line="0" w:lineRule="atLeast"/>
              <w:jc w:val="center"/>
              <w:rPr>
                <w:rFonts w:hint="default" w:ascii="Times New Roman" w:hAnsi="Times New Roman" w:cs="Times New Roman"/>
                <w:b w:val="0"/>
                <w:bCs/>
                <w:color w:val="auto"/>
                <w:sz w:val="21"/>
                <w:szCs w:val="21"/>
              </w:rPr>
            </w:pPr>
          </w:p>
        </w:tc>
        <w:tc>
          <w:tcPr>
            <w:tcW w:w="1407" w:type="dxa"/>
            <w:vMerge w:val="continue"/>
            <w:noWrap w:val="0"/>
            <w:vAlign w:val="center"/>
          </w:tcPr>
          <w:p>
            <w:pPr>
              <w:spacing w:line="0" w:lineRule="atLeast"/>
              <w:jc w:val="center"/>
              <w:rPr>
                <w:rFonts w:hint="default" w:ascii="Times New Roman" w:hAnsi="Times New Roman" w:cs="Times New Roman"/>
                <w:b w:val="0"/>
                <w:bCs/>
                <w:color w:val="auto"/>
                <w:spacing w:val="-6"/>
                <w:sz w:val="21"/>
                <w:szCs w:val="21"/>
              </w:rPr>
            </w:pPr>
          </w:p>
        </w:tc>
        <w:tc>
          <w:tcPr>
            <w:tcW w:w="1735" w:type="dxa"/>
            <w:noWrap w:val="0"/>
            <w:vAlign w:val="center"/>
          </w:tcPr>
          <w:p>
            <w:pPr>
              <w:spacing w:line="0" w:lineRule="atLeast"/>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08:00～09:00</w:t>
            </w:r>
          </w:p>
        </w:tc>
        <w:tc>
          <w:tcPr>
            <w:tcW w:w="3224" w:type="dxa"/>
            <w:noWrap w:val="0"/>
            <w:vAlign w:val="center"/>
          </w:tcPr>
          <w:p>
            <w:pPr>
              <w:spacing w:line="0" w:lineRule="atLeast"/>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704" w:type="dxa"/>
            <w:vMerge w:val="continue"/>
            <w:noWrap w:val="0"/>
            <w:vAlign w:val="center"/>
          </w:tcPr>
          <w:p>
            <w:pPr>
              <w:adjustRightInd w:val="0"/>
              <w:spacing w:line="0" w:lineRule="atLeast"/>
              <w:jc w:val="center"/>
              <w:rPr>
                <w:rFonts w:hint="default" w:ascii="Times New Roman" w:hAnsi="Times New Roman" w:cs="Times New Roman"/>
                <w:b w:val="0"/>
                <w:bCs/>
                <w:color w:val="auto"/>
                <w:sz w:val="21"/>
                <w:szCs w:val="21"/>
              </w:rPr>
            </w:pPr>
          </w:p>
        </w:tc>
        <w:tc>
          <w:tcPr>
            <w:tcW w:w="1407" w:type="dxa"/>
            <w:vMerge w:val="continue"/>
            <w:noWrap w:val="0"/>
            <w:vAlign w:val="center"/>
          </w:tcPr>
          <w:p>
            <w:pPr>
              <w:spacing w:line="0" w:lineRule="atLeast"/>
              <w:jc w:val="center"/>
              <w:rPr>
                <w:rFonts w:hint="default" w:ascii="Times New Roman" w:hAnsi="Times New Roman" w:cs="Times New Roman"/>
                <w:b w:val="0"/>
                <w:bCs/>
                <w:color w:val="auto"/>
                <w:spacing w:val="-6"/>
                <w:sz w:val="21"/>
                <w:szCs w:val="21"/>
              </w:rPr>
            </w:pPr>
          </w:p>
        </w:tc>
        <w:tc>
          <w:tcPr>
            <w:tcW w:w="1735" w:type="dxa"/>
            <w:noWrap w:val="0"/>
            <w:vAlign w:val="center"/>
          </w:tcPr>
          <w:p>
            <w:pPr>
              <w:spacing w:line="0" w:lineRule="atLeast"/>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14:00～15:00</w:t>
            </w:r>
          </w:p>
        </w:tc>
        <w:tc>
          <w:tcPr>
            <w:tcW w:w="3224" w:type="dxa"/>
            <w:noWrap w:val="0"/>
            <w:vAlign w:val="center"/>
          </w:tcPr>
          <w:p>
            <w:pPr>
              <w:spacing w:line="0" w:lineRule="atLeast"/>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704" w:type="dxa"/>
            <w:vMerge w:val="continue"/>
            <w:noWrap w:val="0"/>
            <w:vAlign w:val="center"/>
          </w:tcPr>
          <w:p>
            <w:pPr>
              <w:adjustRightInd w:val="0"/>
              <w:spacing w:line="0" w:lineRule="atLeast"/>
              <w:jc w:val="center"/>
              <w:rPr>
                <w:rFonts w:hint="default" w:ascii="Times New Roman" w:hAnsi="Times New Roman" w:cs="Times New Roman"/>
                <w:b w:val="0"/>
                <w:bCs/>
                <w:color w:val="auto"/>
                <w:sz w:val="21"/>
                <w:szCs w:val="21"/>
              </w:rPr>
            </w:pPr>
          </w:p>
        </w:tc>
        <w:tc>
          <w:tcPr>
            <w:tcW w:w="1407" w:type="dxa"/>
            <w:vMerge w:val="continue"/>
            <w:noWrap w:val="0"/>
            <w:vAlign w:val="center"/>
          </w:tcPr>
          <w:p>
            <w:pPr>
              <w:spacing w:line="0" w:lineRule="atLeast"/>
              <w:jc w:val="center"/>
              <w:rPr>
                <w:rFonts w:hint="default" w:ascii="Times New Roman" w:hAnsi="Times New Roman" w:cs="Times New Roman"/>
                <w:b w:val="0"/>
                <w:bCs/>
                <w:color w:val="auto"/>
                <w:spacing w:val="-6"/>
                <w:sz w:val="21"/>
                <w:szCs w:val="21"/>
              </w:rPr>
            </w:pPr>
          </w:p>
        </w:tc>
        <w:tc>
          <w:tcPr>
            <w:tcW w:w="1735" w:type="dxa"/>
            <w:noWrap w:val="0"/>
            <w:vAlign w:val="center"/>
          </w:tcPr>
          <w:p>
            <w:pPr>
              <w:spacing w:line="0" w:lineRule="atLeast"/>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20:00～21:00</w:t>
            </w:r>
          </w:p>
        </w:tc>
        <w:tc>
          <w:tcPr>
            <w:tcW w:w="3224" w:type="dxa"/>
            <w:noWrap w:val="0"/>
            <w:vAlign w:val="center"/>
          </w:tcPr>
          <w:p>
            <w:pPr>
              <w:spacing w:line="0" w:lineRule="atLeast"/>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704" w:type="dxa"/>
            <w:vMerge w:val="continue"/>
            <w:noWrap w:val="0"/>
            <w:vAlign w:val="center"/>
          </w:tcPr>
          <w:p>
            <w:pPr>
              <w:adjustRightInd w:val="0"/>
              <w:spacing w:line="0" w:lineRule="atLeast"/>
              <w:jc w:val="center"/>
              <w:rPr>
                <w:rFonts w:hint="default" w:ascii="Times New Roman" w:hAnsi="Times New Roman" w:cs="Times New Roman"/>
                <w:b w:val="0"/>
                <w:bCs/>
                <w:color w:val="auto"/>
                <w:sz w:val="21"/>
                <w:szCs w:val="21"/>
              </w:rPr>
            </w:pPr>
          </w:p>
        </w:tc>
        <w:tc>
          <w:tcPr>
            <w:tcW w:w="1407" w:type="dxa"/>
            <w:vMerge w:val="restart"/>
            <w:tcBorders>
              <w:top w:val="single" w:color="auto" w:sz="4" w:space="0"/>
              <w:left w:val="single" w:color="auto" w:sz="4" w:space="0"/>
              <w:right w:val="single" w:color="auto" w:sz="4" w:space="0"/>
            </w:tcBorders>
            <w:noWrap w:val="0"/>
            <w:vAlign w:val="center"/>
          </w:tcPr>
          <w:p>
            <w:pPr>
              <w:jc w:val="center"/>
              <w:rPr>
                <w:rFonts w:hint="default" w:ascii="Times New Roman" w:hAnsi="Times New Roman" w:cs="Times New Roman"/>
                <w:b w:val="0"/>
                <w:bCs/>
                <w:color w:val="auto"/>
                <w:spacing w:val="-6"/>
                <w:sz w:val="21"/>
                <w:szCs w:val="21"/>
              </w:rPr>
            </w:pPr>
            <w:r>
              <w:rPr>
                <w:rFonts w:hint="default" w:ascii="Times New Roman" w:hAnsi="Times New Roman" w:cs="Times New Roman"/>
                <w:b w:val="0"/>
                <w:bCs/>
                <w:color w:val="auto"/>
                <w:spacing w:val="-6"/>
                <w:sz w:val="21"/>
                <w:szCs w:val="21"/>
              </w:rPr>
              <w:t>10月28日</w:t>
            </w:r>
          </w:p>
        </w:tc>
        <w:tc>
          <w:tcPr>
            <w:tcW w:w="1735" w:type="dxa"/>
            <w:tcBorders>
              <w:top w:val="single" w:color="auto" w:sz="4" w:space="0"/>
              <w:left w:val="single" w:color="auto" w:sz="4" w:space="0"/>
              <w:bottom w:val="single" w:color="auto" w:sz="4" w:space="0"/>
              <w:right w:val="single" w:color="auto" w:sz="4" w:space="0"/>
            </w:tcBorders>
            <w:noWrap w:val="0"/>
            <w:vAlign w:val="center"/>
          </w:tcPr>
          <w:p>
            <w:pPr>
              <w:spacing w:line="0" w:lineRule="atLeast"/>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02:00～03:00</w:t>
            </w:r>
          </w:p>
        </w:tc>
        <w:tc>
          <w:tcPr>
            <w:tcW w:w="3224" w:type="dxa"/>
            <w:tcBorders>
              <w:top w:val="single" w:color="auto" w:sz="4" w:space="0"/>
              <w:left w:val="single" w:color="auto" w:sz="4" w:space="0"/>
              <w:bottom w:val="single" w:color="auto" w:sz="4" w:space="0"/>
              <w:right w:val="single" w:color="auto" w:sz="4" w:space="0"/>
            </w:tcBorders>
            <w:noWrap w:val="0"/>
            <w:vAlign w:val="center"/>
          </w:tcPr>
          <w:p>
            <w:pPr>
              <w:spacing w:line="0" w:lineRule="atLeast"/>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704" w:type="dxa"/>
            <w:vMerge w:val="continue"/>
            <w:noWrap w:val="0"/>
            <w:vAlign w:val="center"/>
          </w:tcPr>
          <w:p>
            <w:pPr>
              <w:adjustRightInd w:val="0"/>
              <w:spacing w:line="0" w:lineRule="atLeast"/>
              <w:jc w:val="center"/>
              <w:rPr>
                <w:rFonts w:hint="default" w:ascii="Times New Roman" w:hAnsi="Times New Roman" w:cs="Times New Roman"/>
                <w:b w:val="0"/>
                <w:bCs/>
                <w:color w:val="auto"/>
                <w:sz w:val="21"/>
                <w:szCs w:val="21"/>
              </w:rPr>
            </w:pPr>
          </w:p>
        </w:tc>
        <w:tc>
          <w:tcPr>
            <w:tcW w:w="1407" w:type="dxa"/>
            <w:vMerge w:val="continue"/>
            <w:tcBorders>
              <w:left w:val="single" w:color="auto" w:sz="4" w:space="0"/>
              <w:right w:val="single" w:color="auto" w:sz="4" w:space="0"/>
            </w:tcBorders>
            <w:noWrap w:val="0"/>
            <w:vAlign w:val="center"/>
          </w:tcPr>
          <w:p>
            <w:pPr>
              <w:spacing w:line="0" w:lineRule="atLeast"/>
              <w:jc w:val="center"/>
              <w:rPr>
                <w:rFonts w:hint="default" w:ascii="Times New Roman" w:hAnsi="Times New Roman" w:cs="Times New Roman"/>
                <w:b w:val="0"/>
                <w:bCs/>
                <w:color w:val="auto"/>
                <w:spacing w:val="-6"/>
                <w:sz w:val="21"/>
                <w:szCs w:val="21"/>
              </w:rPr>
            </w:pPr>
          </w:p>
        </w:tc>
        <w:tc>
          <w:tcPr>
            <w:tcW w:w="1735" w:type="dxa"/>
            <w:tcBorders>
              <w:top w:val="single" w:color="auto" w:sz="4" w:space="0"/>
              <w:left w:val="single" w:color="auto" w:sz="4" w:space="0"/>
              <w:bottom w:val="single" w:color="auto" w:sz="4" w:space="0"/>
              <w:right w:val="single" w:color="auto" w:sz="4" w:space="0"/>
            </w:tcBorders>
            <w:noWrap w:val="0"/>
            <w:vAlign w:val="center"/>
          </w:tcPr>
          <w:p>
            <w:pPr>
              <w:spacing w:line="0" w:lineRule="atLeast"/>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08:00～09:00</w:t>
            </w:r>
          </w:p>
        </w:tc>
        <w:tc>
          <w:tcPr>
            <w:tcW w:w="3224" w:type="dxa"/>
            <w:tcBorders>
              <w:top w:val="single" w:color="auto" w:sz="4" w:space="0"/>
              <w:left w:val="single" w:color="auto" w:sz="4" w:space="0"/>
              <w:bottom w:val="single" w:color="auto" w:sz="4" w:space="0"/>
              <w:right w:val="single" w:color="auto" w:sz="4" w:space="0"/>
            </w:tcBorders>
            <w:noWrap w:val="0"/>
            <w:vAlign w:val="center"/>
          </w:tcPr>
          <w:p>
            <w:pPr>
              <w:spacing w:line="0" w:lineRule="atLeast"/>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704" w:type="dxa"/>
            <w:vMerge w:val="continue"/>
            <w:noWrap w:val="0"/>
            <w:vAlign w:val="center"/>
          </w:tcPr>
          <w:p>
            <w:pPr>
              <w:adjustRightInd w:val="0"/>
              <w:spacing w:line="0" w:lineRule="atLeast"/>
              <w:jc w:val="center"/>
              <w:rPr>
                <w:rFonts w:hint="default" w:ascii="Times New Roman" w:hAnsi="Times New Roman" w:cs="Times New Roman"/>
                <w:b w:val="0"/>
                <w:bCs/>
                <w:color w:val="auto"/>
                <w:sz w:val="21"/>
                <w:szCs w:val="21"/>
              </w:rPr>
            </w:pPr>
          </w:p>
        </w:tc>
        <w:tc>
          <w:tcPr>
            <w:tcW w:w="1407" w:type="dxa"/>
            <w:vMerge w:val="continue"/>
            <w:tcBorders>
              <w:left w:val="single" w:color="auto" w:sz="4" w:space="0"/>
              <w:right w:val="single" w:color="auto" w:sz="4" w:space="0"/>
            </w:tcBorders>
            <w:noWrap w:val="0"/>
            <w:vAlign w:val="center"/>
          </w:tcPr>
          <w:p>
            <w:pPr>
              <w:spacing w:line="0" w:lineRule="atLeast"/>
              <w:jc w:val="center"/>
              <w:rPr>
                <w:rFonts w:hint="default" w:ascii="Times New Roman" w:hAnsi="Times New Roman" w:cs="Times New Roman"/>
                <w:b w:val="0"/>
                <w:bCs/>
                <w:color w:val="auto"/>
                <w:spacing w:val="-6"/>
                <w:sz w:val="21"/>
                <w:szCs w:val="21"/>
              </w:rPr>
            </w:pPr>
          </w:p>
        </w:tc>
        <w:tc>
          <w:tcPr>
            <w:tcW w:w="1735" w:type="dxa"/>
            <w:tcBorders>
              <w:top w:val="single" w:color="auto" w:sz="4" w:space="0"/>
              <w:left w:val="single" w:color="auto" w:sz="4" w:space="0"/>
              <w:bottom w:val="single" w:color="auto" w:sz="4" w:space="0"/>
              <w:right w:val="single" w:color="auto" w:sz="4" w:space="0"/>
            </w:tcBorders>
            <w:noWrap w:val="0"/>
            <w:vAlign w:val="center"/>
          </w:tcPr>
          <w:p>
            <w:pPr>
              <w:spacing w:line="0" w:lineRule="atLeast"/>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14:00～15:00</w:t>
            </w:r>
          </w:p>
        </w:tc>
        <w:tc>
          <w:tcPr>
            <w:tcW w:w="3224" w:type="dxa"/>
            <w:tcBorders>
              <w:top w:val="single" w:color="auto" w:sz="4" w:space="0"/>
              <w:left w:val="single" w:color="auto" w:sz="4" w:space="0"/>
              <w:bottom w:val="single" w:color="auto" w:sz="4" w:space="0"/>
              <w:right w:val="single" w:color="auto" w:sz="4" w:space="0"/>
            </w:tcBorders>
            <w:noWrap w:val="0"/>
            <w:vAlign w:val="center"/>
          </w:tcPr>
          <w:p>
            <w:pPr>
              <w:spacing w:line="0" w:lineRule="atLeast"/>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704" w:type="dxa"/>
            <w:vMerge w:val="continue"/>
            <w:noWrap w:val="0"/>
            <w:vAlign w:val="center"/>
          </w:tcPr>
          <w:p>
            <w:pPr>
              <w:adjustRightInd w:val="0"/>
              <w:spacing w:line="0" w:lineRule="atLeast"/>
              <w:jc w:val="center"/>
              <w:rPr>
                <w:rFonts w:hint="default" w:ascii="Times New Roman" w:hAnsi="Times New Roman" w:cs="Times New Roman"/>
                <w:b w:val="0"/>
                <w:bCs/>
                <w:color w:val="auto"/>
                <w:sz w:val="21"/>
                <w:szCs w:val="21"/>
              </w:rPr>
            </w:pPr>
          </w:p>
        </w:tc>
        <w:tc>
          <w:tcPr>
            <w:tcW w:w="1407" w:type="dxa"/>
            <w:vMerge w:val="continue"/>
            <w:tcBorders>
              <w:left w:val="single" w:color="auto" w:sz="4" w:space="0"/>
              <w:right w:val="single" w:color="auto" w:sz="4" w:space="0"/>
            </w:tcBorders>
            <w:noWrap w:val="0"/>
            <w:vAlign w:val="center"/>
          </w:tcPr>
          <w:p>
            <w:pPr>
              <w:spacing w:line="0" w:lineRule="atLeast"/>
              <w:jc w:val="center"/>
              <w:rPr>
                <w:rFonts w:hint="default" w:ascii="Times New Roman" w:hAnsi="Times New Roman" w:cs="Times New Roman"/>
                <w:b w:val="0"/>
                <w:bCs/>
                <w:color w:val="auto"/>
                <w:spacing w:val="-6"/>
                <w:sz w:val="21"/>
                <w:szCs w:val="21"/>
              </w:rPr>
            </w:pPr>
          </w:p>
        </w:tc>
        <w:tc>
          <w:tcPr>
            <w:tcW w:w="1735" w:type="dxa"/>
            <w:tcBorders>
              <w:top w:val="single" w:color="auto" w:sz="4" w:space="0"/>
              <w:left w:val="single" w:color="auto" w:sz="4" w:space="0"/>
              <w:bottom w:val="single" w:color="auto" w:sz="4" w:space="0"/>
              <w:right w:val="single" w:color="auto" w:sz="4" w:space="0"/>
            </w:tcBorders>
            <w:noWrap w:val="0"/>
            <w:vAlign w:val="center"/>
          </w:tcPr>
          <w:p>
            <w:pPr>
              <w:spacing w:line="0" w:lineRule="atLeast"/>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20:00～21:00</w:t>
            </w:r>
          </w:p>
        </w:tc>
        <w:tc>
          <w:tcPr>
            <w:tcW w:w="3224" w:type="dxa"/>
            <w:tcBorders>
              <w:top w:val="single" w:color="auto" w:sz="4" w:space="0"/>
              <w:left w:val="single" w:color="auto" w:sz="4" w:space="0"/>
              <w:bottom w:val="single" w:color="auto" w:sz="4" w:space="0"/>
              <w:right w:val="single" w:color="auto" w:sz="4" w:space="0"/>
            </w:tcBorders>
            <w:noWrap w:val="0"/>
            <w:vAlign w:val="center"/>
          </w:tcPr>
          <w:p>
            <w:pPr>
              <w:spacing w:line="0" w:lineRule="atLeast"/>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846" w:type="dxa"/>
            <w:gridSpan w:val="3"/>
            <w:tcBorders>
              <w:right w:val="single" w:color="auto" w:sz="4" w:space="0"/>
            </w:tcBorders>
            <w:noWrap w:val="0"/>
            <w:vAlign w:val="center"/>
          </w:tcPr>
          <w:p>
            <w:pPr>
              <w:spacing w:line="0" w:lineRule="atLeast"/>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标准值</w:t>
            </w:r>
          </w:p>
        </w:tc>
        <w:tc>
          <w:tcPr>
            <w:tcW w:w="3224" w:type="dxa"/>
            <w:tcBorders>
              <w:top w:val="single" w:color="auto" w:sz="4" w:space="0"/>
              <w:left w:val="single" w:color="auto" w:sz="4" w:space="0"/>
              <w:bottom w:val="single" w:color="auto" w:sz="4" w:space="0"/>
              <w:right w:val="single" w:color="auto" w:sz="4" w:space="0"/>
            </w:tcBorders>
            <w:noWrap w:val="0"/>
            <w:vAlign w:val="center"/>
          </w:tcPr>
          <w:p>
            <w:pPr>
              <w:spacing w:line="0" w:lineRule="atLeast"/>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95" w:hRule="atLeast"/>
          <w:jc w:val="center"/>
        </w:trPr>
        <w:tc>
          <w:tcPr>
            <w:tcW w:w="4846" w:type="dxa"/>
            <w:gridSpan w:val="3"/>
            <w:tcBorders>
              <w:right w:val="single" w:color="auto" w:sz="4" w:space="0"/>
            </w:tcBorders>
            <w:noWrap w:val="0"/>
            <w:vAlign w:val="center"/>
          </w:tcPr>
          <w:p>
            <w:pPr>
              <w:spacing w:line="0" w:lineRule="atLeast"/>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是否达标</w:t>
            </w:r>
          </w:p>
        </w:tc>
        <w:tc>
          <w:tcPr>
            <w:tcW w:w="3224" w:type="dxa"/>
            <w:tcBorders>
              <w:top w:val="single" w:color="auto" w:sz="4" w:space="0"/>
              <w:left w:val="single" w:color="auto" w:sz="4" w:space="0"/>
              <w:bottom w:val="single" w:color="auto" w:sz="4" w:space="0"/>
              <w:right w:val="single" w:color="auto" w:sz="4" w:space="0"/>
            </w:tcBorders>
            <w:noWrap w:val="0"/>
            <w:vAlign w:val="center"/>
          </w:tcPr>
          <w:p>
            <w:pPr>
              <w:spacing w:line="0" w:lineRule="atLeast"/>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达标</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hint="default" w:ascii="Times New Roman" w:hAnsi="Times New Roman" w:cs="Times New Roman"/>
          <w:color w:val="auto"/>
          <w:kern w:val="21"/>
          <w:lang w:eastAsia="zh-CN" w:bidi="ar"/>
        </w:rPr>
      </w:pPr>
      <w:r>
        <w:rPr>
          <w:rFonts w:hint="default" w:ascii="Times New Roman" w:hAnsi="Times New Roman" w:cs="Times New Roman"/>
          <w:color w:val="auto"/>
          <w:kern w:val="21"/>
          <w:lang w:eastAsia="zh-CN" w:bidi="ar"/>
        </w:rPr>
        <w:t>（</w:t>
      </w:r>
      <w:r>
        <w:rPr>
          <w:rFonts w:hint="default" w:ascii="Times New Roman" w:hAnsi="Times New Roman" w:cs="Times New Roman"/>
          <w:color w:val="auto"/>
          <w:kern w:val="21"/>
          <w:lang w:val="en-US" w:eastAsia="zh-CN" w:bidi="ar"/>
        </w:rPr>
        <w:t>3</w:t>
      </w:r>
      <w:r>
        <w:rPr>
          <w:rFonts w:hint="default" w:ascii="Times New Roman" w:hAnsi="Times New Roman" w:cs="Times New Roman"/>
          <w:color w:val="auto"/>
          <w:kern w:val="21"/>
          <w:lang w:eastAsia="zh-CN" w:bidi="ar"/>
        </w:rPr>
        <w:t>）氨、硫化氢</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21"/>
          <w:lang w:val="en-US" w:eastAsia="zh-CN" w:bidi="ar"/>
        </w:rPr>
      </w:pPr>
      <w:r>
        <w:rPr>
          <w:rFonts w:hint="default" w:ascii="Times New Roman" w:hAnsi="Times New Roman" w:cs="Times New Roman"/>
          <w:color w:val="auto"/>
          <w:kern w:val="21"/>
          <w:lang w:eastAsia="zh-CN" w:bidi="ar"/>
        </w:rPr>
        <w:t>氨、硫化氢引用《年产</w:t>
      </w:r>
      <w:r>
        <w:rPr>
          <w:rFonts w:hint="default" w:ascii="Times New Roman" w:hAnsi="Times New Roman" w:cs="Times New Roman"/>
          <w:color w:val="auto"/>
          <w:kern w:val="21"/>
          <w:lang w:val="en-US" w:eastAsia="zh-CN" w:bidi="ar"/>
        </w:rPr>
        <w:t>22GW单晶硅片建设项目环境质量现状检测报告</w:t>
      </w:r>
      <w:r>
        <w:rPr>
          <w:rFonts w:hint="default" w:ascii="Times New Roman" w:hAnsi="Times New Roman" w:cs="Times New Roman"/>
          <w:color w:val="auto"/>
          <w:kern w:val="21"/>
          <w:lang w:eastAsia="zh-CN" w:bidi="ar"/>
        </w:rPr>
        <w:t>》检测结果，该项目位于本项目厂区北侧</w:t>
      </w:r>
      <w:r>
        <w:rPr>
          <w:rFonts w:hint="default" w:ascii="Times New Roman" w:hAnsi="Times New Roman" w:cs="Times New Roman"/>
          <w:color w:val="auto"/>
          <w:kern w:val="21"/>
          <w:lang w:val="en-US" w:eastAsia="zh-CN" w:bidi="ar"/>
        </w:rPr>
        <w:t>100m处，监测时间为</w:t>
      </w:r>
      <w:r>
        <w:rPr>
          <w:rFonts w:hint="default" w:ascii="Times New Roman" w:hAnsi="Times New Roman" w:cs="Times New Roman"/>
          <w:color w:val="auto"/>
          <w:kern w:val="21"/>
        </w:rPr>
        <w:t>202</w:t>
      </w:r>
      <w:r>
        <w:rPr>
          <w:rFonts w:hint="default" w:ascii="Times New Roman" w:hAnsi="Times New Roman" w:cs="Times New Roman"/>
          <w:color w:val="auto"/>
          <w:kern w:val="21"/>
          <w:lang w:val="en-US" w:eastAsia="zh-CN"/>
        </w:rPr>
        <w:t>3</w:t>
      </w:r>
      <w:r>
        <w:rPr>
          <w:rFonts w:hint="default" w:ascii="Times New Roman" w:hAnsi="Times New Roman" w:cs="Times New Roman"/>
          <w:color w:val="auto"/>
          <w:kern w:val="21"/>
        </w:rPr>
        <w:t>年</w:t>
      </w:r>
      <w:r>
        <w:rPr>
          <w:rFonts w:hint="default" w:ascii="Times New Roman" w:hAnsi="Times New Roman" w:cs="Times New Roman"/>
          <w:color w:val="auto"/>
          <w:kern w:val="21"/>
          <w:lang w:val="en-US" w:eastAsia="zh-CN"/>
        </w:rPr>
        <w:t>3</w:t>
      </w:r>
      <w:r>
        <w:rPr>
          <w:rFonts w:hint="default" w:ascii="Times New Roman" w:hAnsi="Times New Roman" w:cs="Times New Roman"/>
          <w:color w:val="auto"/>
          <w:kern w:val="21"/>
        </w:rPr>
        <w:t>月</w:t>
      </w:r>
      <w:r>
        <w:rPr>
          <w:rFonts w:hint="default" w:ascii="Times New Roman" w:hAnsi="Times New Roman" w:cs="Times New Roman"/>
          <w:color w:val="auto"/>
          <w:kern w:val="21"/>
          <w:lang w:val="en-US" w:eastAsia="zh-CN"/>
        </w:rPr>
        <w:t>20</w:t>
      </w:r>
      <w:r>
        <w:rPr>
          <w:rFonts w:hint="default" w:ascii="Times New Roman" w:hAnsi="Times New Roman" w:cs="Times New Roman"/>
          <w:color w:val="auto"/>
          <w:kern w:val="21"/>
        </w:rPr>
        <w:t>日~</w:t>
      </w:r>
      <w:r>
        <w:rPr>
          <w:rFonts w:hint="default" w:ascii="Times New Roman" w:hAnsi="Times New Roman" w:cs="Times New Roman"/>
          <w:color w:val="auto"/>
          <w:kern w:val="21"/>
          <w:lang w:val="en-US" w:eastAsia="zh-CN"/>
        </w:rPr>
        <w:t>3</w:t>
      </w:r>
      <w:r>
        <w:rPr>
          <w:rFonts w:hint="default" w:ascii="Times New Roman" w:hAnsi="Times New Roman" w:cs="Times New Roman"/>
          <w:color w:val="auto"/>
          <w:kern w:val="21"/>
        </w:rPr>
        <w:t>月</w:t>
      </w:r>
      <w:r>
        <w:rPr>
          <w:rFonts w:hint="default" w:ascii="Times New Roman" w:hAnsi="Times New Roman" w:cs="Times New Roman"/>
          <w:color w:val="auto"/>
          <w:kern w:val="21"/>
          <w:lang w:val="en-US" w:eastAsia="zh-CN"/>
        </w:rPr>
        <w:t>26</w:t>
      </w:r>
      <w:r>
        <w:rPr>
          <w:rFonts w:hint="default" w:ascii="Times New Roman" w:hAnsi="Times New Roman" w:cs="Times New Roman"/>
          <w:color w:val="auto"/>
          <w:kern w:val="21"/>
        </w:rPr>
        <w:t>日</w:t>
      </w:r>
      <w:r>
        <w:rPr>
          <w:rFonts w:hint="default" w:ascii="Times New Roman" w:hAnsi="Times New Roman" w:cs="Times New Roman"/>
          <w:color w:val="auto"/>
          <w:kern w:val="21"/>
          <w:lang w:eastAsia="zh-CN"/>
        </w:rPr>
        <w:t>，监测点位为“</w:t>
      </w:r>
      <w:r>
        <w:rPr>
          <w:rFonts w:hint="default" w:ascii="Times New Roman" w:hAnsi="Times New Roman" w:cs="Times New Roman"/>
          <w:color w:val="auto"/>
          <w:kern w:val="21"/>
          <w:lang w:eastAsia="zh-CN" w:bidi="ar"/>
        </w:rPr>
        <w:t>年产</w:t>
      </w:r>
      <w:r>
        <w:rPr>
          <w:rFonts w:hint="default" w:ascii="Times New Roman" w:hAnsi="Times New Roman" w:cs="Times New Roman"/>
          <w:color w:val="auto"/>
          <w:kern w:val="21"/>
          <w:lang w:val="en-US" w:eastAsia="zh-CN" w:bidi="ar"/>
        </w:rPr>
        <w:t>22GW单晶硅片建设项目</w:t>
      </w:r>
      <w:r>
        <w:rPr>
          <w:rFonts w:hint="default" w:ascii="Times New Roman" w:hAnsi="Times New Roman" w:cs="Times New Roman"/>
          <w:color w:val="auto"/>
          <w:kern w:val="21"/>
          <w:lang w:eastAsia="zh-CN"/>
        </w:rPr>
        <w:t>”</w:t>
      </w:r>
      <w:r>
        <w:rPr>
          <w:rFonts w:hint="default" w:ascii="Times New Roman" w:hAnsi="Times New Roman" w:cs="Times New Roman"/>
          <w:color w:val="auto"/>
          <w:kern w:val="21"/>
          <w:lang w:val="en-US" w:eastAsia="zh-CN" w:bidi="ar"/>
        </w:rPr>
        <w:t>切片废水站（本项目下风向350m）、朱瓜冲居民点（本项目下风向1480m），</w:t>
      </w:r>
      <w:r>
        <w:rPr>
          <w:rFonts w:hint="default" w:ascii="Times New Roman" w:hAnsi="Times New Roman" w:cs="Times New Roman"/>
          <w:color w:val="auto"/>
        </w:rPr>
        <w:t>检测</w:t>
      </w:r>
      <w:r>
        <w:rPr>
          <w:rFonts w:hint="default" w:ascii="Times New Roman" w:hAnsi="Times New Roman" w:cs="Times New Roman"/>
          <w:color w:val="auto"/>
          <w:lang w:val="en-US" w:eastAsia="zh-CN"/>
        </w:rPr>
        <w:t>结果可满足本项目要求。</w:t>
      </w:r>
    </w:p>
    <w:p>
      <w:pPr>
        <w:keepNext w:val="0"/>
        <w:keepLines w:val="0"/>
        <w:pageBreakBefore w:val="0"/>
        <w:widowControl w:val="0"/>
        <w:tabs>
          <w:tab w:val="left" w:pos="1070"/>
        </w:tabs>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kern w:val="21"/>
        </w:rPr>
      </w:pPr>
      <w:r>
        <w:rPr>
          <w:rFonts w:hint="default" w:ascii="Times New Roman" w:hAnsi="Times New Roman" w:cs="Times New Roman"/>
          <w:color w:val="auto"/>
          <w:kern w:val="21"/>
          <w:lang w:eastAsia="zh-CN"/>
        </w:rPr>
        <w:t>①</w:t>
      </w:r>
      <w:r>
        <w:rPr>
          <w:rFonts w:hint="default" w:ascii="Times New Roman" w:hAnsi="Times New Roman" w:cs="Times New Roman"/>
          <w:color w:val="auto"/>
          <w:kern w:val="21"/>
        </w:rPr>
        <w:t>监测点布设</w:t>
      </w:r>
      <w:r>
        <w:rPr>
          <w:rFonts w:hint="default" w:ascii="Times New Roman" w:hAnsi="Times New Roman" w:cs="Times New Roman"/>
          <w:color w:val="auto"/>
          <w:kern w:val="21"/>
          <w:lang w:eastAsia="zh-CN"/>
        </w:rPr>
        <w:t>：“</w:t>
      </w:r>
      <w:r>
        <w:rPr>
          <w:rFonts w:hint="default" w:ascii="Times New Roman" w:hAnsi="Times New Roman" w:cs="Times New Roman"/>
          <w:color w:val="auto"/>
          <w:kern w:val="21"/>
          <w:lang w:eastAsia="zh-CN" w:bidi="ar"/>
        </w:rPr>
        <w:t>年产</w:t>
      </w:r>
      <w:r>
        <w:rPr>
          <w:rFonts w:hint="default" w:ascii="Times New Roman" w:hAnsi="Times New Roman" w:cs="Times New Roman"/>
          <w:color w:val="auto"/>
          <w:kern w:val="21"/>
          <w:lang w:val="en-US" w:eastAsia="zh-CN" w:bidi="ar"/>
        </w:rPr>
        <w:t>22GW单晶硅片建设项目</w:t>
      </w:r>
      <w:r>
        <w:rPr>
          <w:rFonts w:hint="default" w:ascii="Times New Roman" w:hAnsi="Times New Roman" w:cs="Times New Roman"/>
          <w:color w:val="auto"/>
          <w:kern w:val="21"/>
          <w:lang w:eastAsia="zh-CN"/>
        </w:rPr>
        <w:t>”</w:t>
      </w:r>
      <w:r>
        <w:rPr>
          <w:rFonts w:hint="default" w:ascii="Times New Roman" w:hAnsi="Times New Roman" w:cs="Times New Roman"/>
          <w:color w:val="auto"/>
          <w:kern w:val="21"/>
          <w:lang w:val="en-US" w:eastAsia="zh-CN" w:bidi="ar"/>
        </w:rPr>
        <w:t>切片废水站（本项目下风向350m）、朱瓜冲居民点（本项目下风向1480m）</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kern w:val="21"/>
          <w:lang w:eastAsia="zh-CN"/>
        </w:rPr>
      </w:pPr>
      <w:r>
        <w:rPr>
          <w:rFonts w:hint="default" w:ascii="Times New Roman" w:hAnsi="Times New Roman" w:cs="Times New Roman"/>
          <w:bCs/>
          <w:color w:val="auto"/>
          <w:kern w:val="21"/>
          <w:lang w:eastAsia="zh-CN"/>
        </w:rPr>
        <w:t>②</w:t>
      </w:r>
      <w:r>
        <w:rPr>
          <w:rFonts w:hint="default" w:ascii="Times New Roman" w:hAnsi="Times New Roman" w:cs="Times New Roman"/>
          <w:bCs/>
          <w:color w:val="auto"/>
          <w:kern w:val="21"/>
        </w:rPr>
        <w:t>监测因子：</w:t>
      </w:r>
      <w:r>
        <w:rPr>
          <w:rFonts w:hint="default" w:ascii="Times New Roman" w:hAnsi="Times New Roman" w:cs="Times New Roman"/>
          <w:bCs/>
          <w:color w:val="auto"/>
          <w:kern w:val="21"/>
          <w:lang w:eastAsia="zh-CN"/>
        </w:rPr>
        <w:t>氨、硫化氢</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kern w:val="21"/>
        </w:rPr>
      </w:pPr>
      <w:r>
        <w:rPr>
          <w:rFonts w:hint="default" w:ascii="Times New Roman" w:hAnsi="Times New Roman" w:cs="Times New Roman"/>
          <w:bCs/>
          <w:color w:val="auto"/>
          <w:kern w:val="21"/>
          <w:lang w:eastAsia="zh-CN"/>
        </w:rPr>
        <w:t>③</w:t>
      </w:r>
      <w:r>
        <w:rPr>
          <w:rFonts w:hint="default" w:ascii="Times New Roman" w:hAnsi="Times New Roman" w:cs="Times New Roman"/>
          <w:bCs/>
          <w:color w:val="auto"/>
          <w:kern w:val="21"/>
        </w:rPr>
        <w:t>监测时间</w:t>
      </w:r>
      <w:r>
        <w:rPr>
          <w:rFonts w:hint="default" w:ascii="Times New Roman" w:hAnsi="Times New Roman" w:cs="Times New Roman"/>
          <w:bCs/>
          <w:color w:val="auto"/>
          <w:kern w:val="21"/>
          <w:lang w:eastAsia="zh-CN"/>
        </w:rPr>
        <w:t>：</w:t>
      </w:r>
      <w:r>
        <w:rPr>
          <w:rFonts w:hint="default" w:ascii="Times New Roman" w:hAnsi="Times New Roman" w:cs="Times New Roman"/>
          <w:color w:val="auto"/>
          <w:kern w:val="21"/>
        </w:rPr>
        <w:t>监测时间为202</w:t>
      </w:r>
      <w:r>
        <w:rPr>
          <w:rFonts w:hint="default" w:ascii="Times New Roman" w:hAnsi="Times New Roman" w:cs="Times New Roman"/>
          <w:color w:val="auto"/>
          <w:kern w:val="21"/>
          <w:lang w:val="en-US" w:eastAsia="zh-CN"/>
        </w:rPr>
        <w:t>3</w:t>
      </w:r>
      <w:r>
        <w:rPr>
          <w:rFonts w:hint="default" w:ascii="Times New Roman" w:hAnsi="Times New Roman" w:cs="Times New Roman"/>
          <w:color w:val="auto"/>
          <w:kern w:val="21"/>
        </w:rPr>
        <w:t>年</w:t>
      </w:r>
      <w:r>
        <w:rPr>
          <w:rFonts w:hint="default" w:ascii="Times New Roman" w:hAnsi="Times New Roman" w:cs="Times New Roman"/>
          <w:color w:val="auto"/>
          <w:kern w:val="21"/>
          <w:lang w:val="en-US" w:eastAsia="zh-CN"/>
        </w:rPr>
        <w:t>3</w:t>
      </w:r>
      <w:r>
        <w:rPr>
          <w:rFonts w:hint="default" w:ascii="Times New Roman" w:hAnsi="Times New Roman" w:cs="Times New Roman"/>
          <w:color w:val="auto"/>
          <w:kern w:val="21"/>
        </w:rPr>
        <w:t>月</w:t>
      </w:r>
      <w:r>
        <w:rPr>
          <w:rFonts w:hint="default" w:ascii="Times New Roman" w:hAnsi="Times New Roman" w:cs="Times New Roman"/>
          <w:color w:val="auto"/>
          <w:kern w:val="21"/>
          <w:lang w:val="en-US" w:eastAsia="zh-CN"/>
        </w:rPr>
        <w:t>20</w:t>
      </w:r>
      <w:r>
        <w:rPr>
          <w:rFonts w:hint="default" w:ascii="Times New Roman" w:hAnsi="Times New Roman" w:cs="Times New Roman"/>
          <w:color w:val="auto"/>
          <w:kern w:val="21"/>
        </w:rPr>
        <w:t>日~</w:t>
      </w:r>
      <w:r>
        <w:rPr>
          <w:rFonts w:hint="default" w:ascii="Times New Roman" w:hAnsi="Times New Roman" w:cs="Times New Roman"/>
          <w:color w:val="auto"/>
          <w:kern w:val="21"/>
          <w:lang w:val="en-US" w:eastAsia="zh-CN"/>
        </w:rPr>
        <w:t>3</w:t>
      </w:r>
      <w:r>
        <w:rPr>
          <w:rFonts w:hint="default" w:ascii="Times New Roman" w:hAnsi="Times New Roman" w:cs="Times New Roman"/>
          <w:color w:val="auto"/>
          <w:kern w:val="21"/>
        </w:rPr>
        <w:t>月</w:t>
      </w:r>
      <w:r>
        <w:rPr>
          <w:rFonts w:hint="default" w:ascii="Times New Roman" w:hAnsi="Times New Roman" w:cs="Times New Roman"/>
          <w:color w:val="auto"/>
          <w:kern w:val="21"/>
          <w:lang w:val="en-US" w:eastAsia="zh-CN"/>
        </w:rPr>
        <w:t>26</w:t>
      </w:r>
      <w:r>
        <w:rPr>
          <w:rFonts w:hint="default" w:ascii="Times New Roman" w:hAnsi="Times New Roman" w:cs="Times New Roman"/>
          <w:color w:val="auto"/>
          <w:kern w:val="21"/>
        </w:rPr>
        <w:t>日，均连续采样7天</w:t>
      </w:r>
    </w:p>
    <w:p>
      <w:pPr>
        <w:spacing w:line="360" w:lineRule="auto"/>
        <w:ind w:firstLine="480" w:firstLineChars="200"/>
        <w:rPr>
          <w:rFonts w:hint="default" w:ascii="Times New Roman" w:hAnsi="Times New Roman" w:eastAsia="宋体" w:cs="Times New Roman"/>
          <w:color w:val="auto"/>
          <w:lang w:val="en-US" w:eastAsia="zh-CN"/>
        </w:rPr>
      </w:pPr>
      <w:r>
        <w:rPr>
          <w:rFonts w:hint="default" w:ascii="Times New Roman" w:hAnsi="Times New Roman" w:cs="Times New Roman"/>
          <w:color w:val="auto"/>
          <w:lang w:eastAsia="zh-CN"/>
        </w:rPr>
        <w:t>④监测频率：氨、硫化氢均为</w:t>
      </w:r>
      <w:r>
        <w:rPr>
          <w:rFonts w:hint="default" w:ascii="Times New Roman" w:hAnsi="Times New Roman" w:cs="Times New Roman"/>
          <w:color w:val="auto"/>
        </w:rPr>
        <w:t>检测</w:t>
      </w:r>
      <w:r>
        <w:rPr>
          <w:rFonts w:hint="default" w:ascii="Times New Roman" w:hAnsi="Times New Roman" w:cs="Times New Roman"/>
          <w:color w:val="auto"/>
          <w:lang w:val="en-US" w:eastAsia="zh-CN"/>
        </w:rPr>
        <w:t>1小时均值</w:t>
      </w:r>
    </w:p>
    <w:p>
      <w:pPr>
        <w:pStyle w:val="96"/>
        <w:ind w:firstLine="488"/>
        <w:rPr>
          <w:rFonts w:hint="default" w:ascii="Times New Roman" w:hAnsi="Times New Roman" w:cs="Times New Roman"/>
          <w:b w:val="0"/>
          <w:color w:val="auto"/>
        </w:rPr>
      </w:pPr>
      <w:r>
        <w:rPr>
          <w:rFonts w:hint="default" w:ascii="Times New Roman" w:hAnsi="Times New Roman" w:cs="Times New Roman"/>
          <w:b w:val="0"/>
          <w:color w:val="auto"/>
          <w:lang w:eastAsia="zh-CN"/>
        </w:rPr>
        <w:t>⑤</w:t>
      </w:r>
      <w:r>
        <w:rPr>
          <w:rFonts w:hint="default" w:ascii="Times New Roman" w:hAnsi="Times New Roman" w:cs="Times New Roman"/>
          <w:b w:val="0"/>
          <w:color w:val="auto"/>
        </w:rPr>
        <w:t>现状监测结果</w:t>
      </w:r>
    </w:p>
    <w:p>
      <w:pPr>
        <w:pStyle w:val="133"/>
        <w:keepNext w:val="0"/>
        <w:keepLines w:val="0"/>
        <w:pageBreakBefore w:val="0"/>
        <w:widowControl w:val="0"/>
        <w:numPr>
          <w:ilvl w:val="0"/>
          <w:numId w:val="15"/>
        </w:numPr>
        <w:tabs>
          <w:tab w:val="left" w:pos="1020"/>
        </w:tabs>
        <w:kinsoku/>
        <w:wordWrap/>
        <w:overflowPunct/>
        <w:topLinePunct w:val="0"/>
        <w:autoSpaceDE/>
        <w:autoSpaceDN/>
        <w:bidi w:val="0"/>
        <w:adjustRightInd/>
        <w:snapToGrid/>
        <w:spacing w:line="360" w:lineRule="auto"/>
        <w:ind w:left="840" w:leftChars="0" w:hanging="420" w:firstLineChars="0"/>
        <w:jc w:val="center"/>
        <w:textAlignment w:val="auto"/>
        <w:rPr>
          <w:rFonts w:hint="default" w:ascii="Times New Roman" w:hAnsi="Times New Roman" w:eastAsia="宋体" w:cs="Times New Roman"/>
          <w:b/>
          <w:bCs/>
          <w:color w:val="auto"/>
        </w:rPr>
      </w:pPr>
      <w:r>
        <w:rPr>
          <w:rFonts w:hint="default" w:ascii="Times New Roman" w:hAnsi="Times New Roman" w:eastAsia="宋体" w:cs="Times New Roman"/>
          <w:b/>
          <w:bCs/>
          <w:color w:val="auto"/>
          <w:lang w:eastAsia="zh-CN"/>
        </w:rPr>
        <w:t>氨</w:t>
      </w:r>
      <w:r>
        <w:rPr>
          <w:rFonts w:hint="default" w:ascii="Times New Roman" w:hAnsi="Times New Roman" w:eastAsia="宋体" w:cs="Times New Roman"/>
          <w:b/>
          <w:bCs/>
          <w:color w:val="auto"/>
        </w:rPr>
        <w:t>、</w:t>
      </w:r>
      <w:r>
        <w:rPr>
          <w:rFonts w:hint="default" w:ascii="Times New Roman" w:hAnsi="Times New Roman" w:eastAsia="宋体" w:cs="Times New Roman"/>
          <w:b/>
          <w:bCs/>
          <w:color w:val="auto"/>
          <w:lang w:eastAsia="zh-CN"/>
        </w:rPr>
        <w:t>硫化氢</w:t>
      </w:r>
      <w:r>
        <w:rPr>
          <w:rFonts w:hint="default" w:ascii="Times New Roman" w:hAnsi="Times New Roman" w:eastAsia="宋体" w:cs="Times New Roman"/>
          <w:b/>
          <w:bCs/>
          <w:color w:val="auto"/>
          <w:lang w:val="en-US" w:eastAsia="zh-CN"/>
        </w:rPr>
        <w:t>1小时均值</w:t>
      </w:r>
      <w:r>
        <w:rPr>
          <w:rFonts w:hint="default" w:ascii="Times New Roman" w:hAnsi="Times New Roman" w:eastAsia="宋体" w:cs="Times New Roman"/>
          <w:b/>
          <w:bCs/>
          <w:color w:val="auto"/>
        </w:rPr>
        <w:t>浓度检测值</w:t>
      </w:r>
    </w:p>
    <w:tbl>
      <w:tblPr>
        <w:tblStyle w:val="44"/>
        <w:tblW w:w="507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3"/>
        <w:gridCol w:w="1341"/>
        <w:gridCol w:w="2093"/>
        <w:gridCol w:w="1665"/>
        <w:gridCol w:w="18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006" w:type="pct"/>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z w:val="21"/>
                <w:szCs w:val="21"/>
                <w:lang w:eastAsia="zh-CN"/>
              </w:rPr>
            </w:pPr>
            <w:r>
              <w:rPr>
                <w:rFonts w:hint="default" w:ascii="Times New Roman" w:hAnsi="Times New Roman" w:cs="Times New Roman"/>
                <w:b w:val="0"/>
                <w:bCs/>
                <w:color w:val="auto"/>
                <w:sz w:val="21"/>
                <w:szCs w:val="21"/>
                <w:lang w:eastAsia="zh-CN"/>
              </w:rPr>
              <w:t>检测点位</w:t>
            </w:r>
          </w:p>
        </w:tc>
        <w:tc>
          <w:tcPr>
            <w:tcW w:w="774" w:type="pct"/>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eastAsia="zh-CN"/>
              </w:rPr>
              <w:t>检测</w:t>
            </w:r>
            <w:r>
              <w:rPr>
                <w:rFonts w:hint="default" w:ascii="Times New Roman" w:hAnsi="Times New Roman" w:eastAsia="宋体" w:cs="Times New Roman"/>
                <w:b w:val="0"/>
                <w:bCs/>
                <w:color w:val="auto"/>
                <w:sz w:val="21"/>
                <w:szCs w:val="21"/>
              </w:rPr>
              <w:t>日期</w:t>
            </w:r>
          </w:p>
        </w:tc>
        <w:tc>
          <w:tcPr>
            <w:tcW w:w="1208" w:type="pct"/>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采样时段</w:t>
            </w:r>
          </w:p>
        </w:tc>
        <w:tc>
          <w:tcPr>
            <w:tcW w:w="961" w:type="pct"/>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cs="Times New Roman"/>
                <w:b w:val="0"/>
                <w:bCs/>
                <w:color w:val="auto"/>
                <w:sz w:val="21"/>
                <w:szCs w:val="21"/>
                <w:lang w:eastAsia="zh-CN"/>
              </w:rPr>
            </w:pPr>
            <w:r>
              <w:rPr>
                <w:rFonts w:hint="default" w:ascii="Times New Roman" w:hAnsi="Times New Roman" w:cs="Times New Roman"/>
                <w:b w:val="0"/>
                <w:bCs/>
                <w:color w:val="auto"/>
                <w:sz w:val="21"/>
                <w:szCs w:val="21"/>
                <w:lang w:val="en-US" w:eastAsia="zh-CN"/>
              </w:rPr>
              <w:t>氨（</w:t>
            </w:r>
            <w:r>
              <w:rPr>
                <w:rFonts w:hint="default" w:ascii="Times New Roman" w:hAnsi="Times New Roman" w:eastAsia="宋体" w:cs="Times New Roman"/>
                <w:b w:val="0"/>
                <w:bCs/>
                <w:color w:val="auto"/>
                <w:sz w:val="21"/>
                <w:szCs w:val="21"/>
                <w:lang w:val="en-US" w:eastAsia="zh-CN"/>
              </w:rPr>
              <w:t>m</w:t>
            </w:r>
            <w:r>
              <w:rPr>
                <w:rFonts w:hint="default" w:ascii="Times New Roman" w:hAnsi="Times New Roman" w:eastAsia="宋体" w:cs="Times New Roman"/>
                <w:b w:val="0"/>
                <w:bCs/>
                <w:color w:val="auto"/>
                <w:sz w:val="21"/>
                <w:szCs w:val="21"/>
              </w:rPr>
              <w:t>g/m</w:t>
            </w:r>
            <w:r>
              <w:rPr>
                <w:rFonts w:hint="default" w:ascii="Times New Roman" w:hAnsi="Times New Roman" w:eastAsia="宋体" w:cs="Times New Roman"/>
                <w:b w:val="0"/>
                <w:bCs/>
                <w:color w:val="auto"/>
                <w:sz w:val="21"/>
                <w:szCs w:val="21"/>
                <w:vertAlign w:val="superscript"/>
              </w:rPr>
              <w:t>3</w:t>
            </w:r>
            <w:r>
              <w:rPr>
                <w:rFonts w:hint="default" w:ascii="Times New Roman" w:hAnsi="Times New Roman" w:cs="Times New Roman"/>
                <w:b w:val="0"/>
                <w:bCs/>
                <w:color w:val="auto"/>
                <w:sz w:val="21"/>
                <w:szCs w:val="21"/>
                <w:lang w:val="en-US" w:eastAsia="zh-CN"/>
              </w:rPr>
              <w:t>）</w:t>
            </w:r>
          </w:p>
        </w:tc>
        <w:tc>
          <w:tcPr>
            <w:tcW w:w="1048" w:type="pct"/>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硫化氢（mg/m</w:t>
            </w:r>
            <w:r>
              <w:rPr>
                <w:rFonts w:hint="default" w:ascii="Times New Roman" w:hAnsi="Times New Roman" w:cs="Times New Roman"/>
                <w:b w:val="0"/>
                <w:bCs/>
                <w:color w:val="auto"/>
                <w:sz w:val="21"/>
                <w:szCs w:val="21"/>
                <w:vertAlign w:val="superscript"/>
                <w:lang w:val="en-US" w:eastAsia="zh-CN"/>
              </w:rPr>
              <w:t>3</w:t>
            </w:r>
            <w:r>
              <w:rPr>
                <w:rFonts w:hint="default" w:ascii="Times New Roman" w:hAnsi="Times New Roman" w:cs="Times New Roman"/>
                <w:b w:val="0"/>
                <w:bCs/>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006" w:type="pct"/>
            <w:vMerge w:val="restart"/>
            <w:noWrap w:val="0"/>
            <w:vAlign w:val="center"/>
          </w:tcPr>
          <w:p>
            <w:pPr>
              <w:keepNext w:val="0"/>
              <w:keepLines w:val="0"/>
              <w:pageBreakBefore w:val="0"/>
              <w:kinsoku/>
              <w:wordWrap/>
              <w:overflowPunct/>
              <w:topLinePunct w:val="0"/>
              <w:autoSpaceDE/>
              <w:autoSpaceDN/>
              <w:bidi w:val="0"/>
              <w:adjustRightInd w:val="0"/>
              <w:snapToGrid/>
              <w:spacing w:line="0" w:lineRule="atLeast"/>
              <w:jc w:val="center"/>
              <w:rPr>
                <w:rFonts w:hint="default" w:ascii="Times New Roman" w:hAnsi="Times New Roman" w:eastAsia="宋体" w:cs="Times New Roman"/>
                <w:b w:val="0"/>
                <w:bCs/>
                <w:color w:val="auto"/>
                <w:sz w:val="21"/>
                <w:szCs w:val="21"/>
                <w:lang w:eastAsia="zh-CN"/>
              </w:rPr>
            </w:pPr>
            <w:r>
              <w:rPr>
                <w:rFonts w:hint="default" w:ascii="Times New Roman" w:hAnsi="Times New Roman" w:cs="Times New Roman"/>
                <w:b w:val="0"/>
                <w:bCs/>
                <w:color w:val="auto"/>
                <w:kern w:val="21"/>
                <w:sz w:val="21"/>
                <w:szCs w:val="21"/>
                <w:lang w:eastAsia="zh-CN"/>
              </w:rPr>
              <w:t>“</w:t>
            </w:r>
            <w:r>
              <w:rPr>
                <w:rFonts w:hint="default" w:ascii="Times New Roman" w:hAnsi="Times New Roman" w:cs="Times New Roman"/>
                <w:b w:val="0"/>
                <w:bCs/>
                <w:color w:val="auto"/>
                <w:kern w:val="21"/>
                <w:sz w:val="21"/>
                <w:szCs w:val="21"/>
                <w:lang w:eastAsia="zh-CN" w:bidi="ar"/>
              </w:rPr>
              <w:t>年产</w:t>
            </w:r>
            <w:r>
              <w:rPr>
                <w:rFonts w:hint="default" w:ascii="Times New Roman" w:hAnsi="Times New Roman" w:cs="Times New Roman"/>
                <w:b w:val="0"/>
                <w:bCs/>
                <w:color w:val="auto"/>
                <w:kern w:val="21"/>
                <w:sz w:val="21"/>
                <w:szCs w:val="21"/>
                <w:lang w:val="en-US" w:eastAsia="zh-CN" w:bidi="ar"/>
              </w:rPr>
              <w:t>22GW单晶硅片建设项目</w:t>
            </w:r>
            <w:r>
              <w:rPr>
                <w:rFonts w:hint="default" w:ascii="Times New Roman" w:hAnsi="Times New Roman" w:cs="Times New Roman"/>
                <w:b w:val="0"/>
                <w:bCs/>
                <w:color w:val="auto"/>
                <w:kern w:val="21"/>
                <w:sz w:val="21"/>
                <w:szCs w:val="21"/>
                <w:lang w:eastAsia="zh-CN"/>
              </w:rPr>
              <w:t>”</w:t>
            </w:r>
            <w:r>
              <w:rPr>
                <w:rFonts w:hint="default" w:ascii="Times New Roman" w:hAnsi="Times New Roman" w:cs="Times New Roman"/>
                <w:b w:val="0"/>
                <w:bCs/>
                <w:color w:val="auto"/>
                <w:kern w:val="21"/>
                <w:sz w:val="21"/>
                <w:szCs w:val="21"/>
                <w:lang w:val="en-US" w:eastAsia="zh-CN" w:bidi="ar"/>
              </w:rPr>
              <w:t>切片废水站（本项目下风向350m）</w:t>
            </w:r>
          </w:p>
        </w:tc>
        <w:tc>
          <w:tcPr>
            <w:tcW w:w="774" w:type="pct"/>
            <w:vMerge w:val="restart"/>
            <w:noWrap w:val="0"/>
            <w:vAlign w:val="center"/>
          </w:tcPr>
          <w:p>
            <w:pPr>
              <w:pStyle w:val="143"/>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3月20日</w:t>
            </w:r>
          </w:p>
        </w:tc>
        <w:tc>
          <w:tcPr>
            <w:tcW w:w="1208" w:type="pct"/>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2：00~3：00</w:t>
            </w:r>
          </w:p>
        </w:tc>
        <w:tc>
          <w:tcPr>
            <w:tcW w:w="1665" w:type="dxa"/>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0.13</w:t>
            </w:r>
          </w:p>
        </w:tc>
        <w:tc>
          <w:tcPr>
            <w:tcW w:w="1815" w:type="dxa"/>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006" w:type="pct"/>
            <w:vMerge w:val="continue"/>
            <w:noWrap w:val="0"/>
            <w:vAlign w:val="center"/>
          </w:tcPr>
          <w:p>
            <w:pPr>
              <w:keepNext w:val="0"/>
              <w:keepLines w:val="0"/>
              <w:pageBreakBefore w:val="0"/>
              <w:kinsoku/>
              <w:wordWrap/>
              <w:overflowPunct/>
              <w:topLinePunct w:val="0"/>
              <w:autoSpaceDE/>
              <w:autoSpaceDN/>
              <w:bidi w:val="0"/>
              <w:adjustRightInd w:val="0"/>
              <w:snapToGrid/>
              <w:spacing w:line="0" w:lineRule="atLeast"/>
              <w:jc w:val="center"/>
              <w:rPr>
                <w:rFonts w:hint="default" w:ascii="Times New Roman" w:hAnsi="Times New Roman" w:cs="Times New Roman"/>
                <w:b w:val="0"/>
                <w:bCs/>
                <w:color w:val="auto"/>
                <w:sz w:val="21"/>
                <w:szCs w:val="21"/>
              </w:rPr>
            </w:pPr>
          </w:p>
        </w:tc>
        <w:tc>
          <w:tcPr>
            <w:tcW w:w="774" w:type="pct"/>
            <w:vMerge w:val="continue"/>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pacing w:val="-6"/>
                <w:sz w:val="21"/>
                <w:szCs w:val="21"/>
                <w:lang w:val="en-US" w:eastAsia="zh-CN"/>
              </w:rPr>
            </w:pPr>
          </w:p>
        </w:tc>
        <w:tc>
          <w:tcPr>
            <w:tcW w:w="1208" w:type="pct"/>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8：00~9：00</w:t>
            </w:r>
          </w:p>
        </w:tc>
        <w:tc>
          <w:tcPr>
            <w:tcW w:w="1665" w:type="dxa"/>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0.15</w:t>
            </w:r>
          </w:p>
        </w:tc>
        <w:tc>
          <w:tcPr>
            <w:tcW w:w="1815" w:type="dxa"/>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006" w:type="pct"/>
            <w:vMerge w:val="continue"/>
            <w:noWrap w:val="0"/>
            <w:vAlign w:val="center"/>
          </w:tcPr>
          <w:p>
            <w:pPr>
              <w:keepNext w:val="0"/>
              <w:keepLines w:val="0"/>
              <w:pageBreakBefore w:val="0"/>
              <w:kinsoku/>
              <w:wordWrap/>
              <w:overflowPunct/>
              <w:topLinePunct w:val="0"/>
              <w:autoSpaceDE/>
              <w:autoSpaceDN/>
              <w:bidi w:val="0"/>
              <w:adjustRightInd w:val="0"/>
              <w:snapToGrid/>
              <w:spacing w:line="0" w:lineRule="atLeast"/>
              <w:jc w:val="center"/>
              <w:rPr>
                <w:rFonts w:hint="default" w:ascii="Times New Roman" w:hAnsi="Times New Roman" w:cs="Times New Roman"/>
                <w:b w:val="0"/>
                <w:bCs/>
                <w:color w:val="auto"/>
                <w:sz w:val="21"/>
                <w:szCs w:val="21"/>
              </w:rPr>
            </w:pPr>
          </w:p>
        </w:tc>
        <w:tc>
          <w:tcPr>
            <w:tcW w:w="774" w:type="pct"/>
            <w:vMerge w:val="continue"/>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pacing w:val="-6"/>
                <w:sz w:val="21"/>
                <w:szCs w:val="21"/>
                <w:lang w:val="en-US" w:eastAsia="zh-CN"/>
              </w:rPr>
            </w:pPr>
          </w:p>
        </w:tc>
        <w:tc>
          <w:tcPr>
            <w:tcW w:w="1208" w:type="pct"/>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14：00~15：00</w:t>
            </w:r>
          </w:p>
        </w:tc>
        <w:tc>
          <w:tcPr>
            <w:tcW w:w="1665" w:type="dxa"/>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0.16</w:t>
            </w:r>
          </w:p>
        </w:tc>
        <w:tc>
          <w:tcPr>
            <w:tcW w:w="1815" w:type="dxa"/>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006" w:type="pct"/>
            <w:vMerge w:val="continue"/>
            <w:noWrap w:val="0"/>
            <w:vAlign w:val="center"/>
          </w:tcPr>
          <w:p>
            <w:pPr>
              <w:keepNext w:val="0"/>
              <w:keepLines w:val="0"/>
              <w:pageBreakBefore w:val="0"/>
              <w:kinsoku/>
              <w:wordWrap/>
              <w:overflowPunct/>
              <w:topLinePunct w:val="0"/>
              <w:autoSpaceDE/>
              <w:autoSpaceDN/>
              <w:bidi w:val="0"/>
              <w:adjustRightInd w:val="0"/>
              <w:snapToGrid/>
              <w:spacing w:line="0" w:lineRule="atLeast"/>
              <w:jc w:val="center"/>
              <w:rPr>
                <w:rFonts w:hint="default" w:ascii="Times New Roman" w:hAnsi="Times New Roman" w:cs="Times New Roman"/>
                <w:b w:val="0"/>
                <w:bCs/>
                <w:color w:val="auto"/>
                <w:sz w:val="21"/>
                <w:szCs w:val="21"/>
              </w:rPr>
            </w:pPr>
          </w:p>
        </w:tc>
        <w:tc>
          <w:tcPr>
            <w:tcW w:w="774" w:type="pct"/>
            <w:vMerge w:val="continue"/>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pacing w:val="-6"/>
                <w:sz w:val="21"/>
                <w:szCs w:val="21"/>
                <w:lang w:val="en-US" w:eastAsia="zh-CN"/>
              </w:rPr>
            </w:pPr>
          </w:p>
        </w:tc>
        <w:tc>
          <w:tcPr>
            <w:tcW w:w="1208" w:type="pct"/>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kern w:val="2"/>
                <w:sz w:val="21"/>
                <w:szCs w:val="21"/>
                <w:lang w:val="en-US" w:eastAsia="zh-CN" w:bidi="ar-SA"/>
              </w:rPr>
              <w:t>20：00~21：00</w:t>
            </w:r>
          </w:p>
        </w:tc>
        <w:tc>
          <w:tcPr>
            <w:tcW w:w="1665" w:type="dxa"/>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0.17</w:t>
            </w:r>
          </w:p>
        </w:tc>
        <w:tc>
          <w:tcPr>
            <w:tcW w:w="1815" w:type="dxa"/>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006" w:type="pct"/>
            <w:vMerge w:val="continue"/>
            <w:noWrap w:val="0"/>
            <w:vAlign w:val="center"/>
          </w:tcPr>
          <w:p>
            <w:pPr>
              <w:keepNext w:val="0"/>
              <w:keepLines w:val="0"/>
              <w:pageBreakBefore w:val="0"/>
              <w:kinsoku/>
              <w:wordWrap/>
              <w:overflowPunct/>
              <w:topLinePunct w:val="0"/>
              <w:autoSpaceDE/>
              <w:autoSpaceDN/>
              <w:bidi w:val="0"/>
              <w:adjustRightInd w:val="0"/>
              <w:snapToGrid/>
              <w:spacing w:line="0" w:lineRule="atLeast"/>
              <w:jc w:val="center"/>
              <w:rPr>
                <w:rFonts w:hint="default" w:ascii="Times New Roman" w:hAnsi="Times New Roman" w:cs="Times New Roman"/>
                <w:b w:val="0"/>
                <w:bCs/>
                <w:color w:val="auto"/>
                <w:sz w:val="21"/>
                <w:szCs w:val="21"/>
              </w:rPr>
            </w:pPr>
          </w:p>
        </w:tc>
        <w:tc>
          <w:tcPr>
            <w:tcW w:w="774" w:type="pct"/>
            <w:vMerge w:val="restart"/>
            <w:noWrap w:val="0"/>
            <w:vAlign w:val="center"/>
          </w:tcPr>
          <w:p>
            <w:pPr>
              <w:jc w:val="center"/>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3月21日</w:t>
            </w:r>
          </w:p>
        </w:tc>
        <w:tc>
          <w:tcPr>
            <w:tcW w:w="1208" w:type="pct"/>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kern w:val="2"/>
                <w:sz w:val="21"/>
                <w:szCs w:val="21"/>
                <w:lang w:val="en-US" w:eastAsia="zh-CN" w:bidi="ar-SA"/>
              </w:rPr>
              <w:t>2：00~3：00</w:t>
            </w:r>
          </w:p>
        </w:tc>
        <w:tc>
          <w:tcPr>
            <w:tcW w:w="1665" w:type="dxa"/>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color w:val="auto"/>
                <w:sz w:val="21"/>
                <w:szCs w:val="21"/>
                <w:lang w:val="en-US" w:eastAsia="zh-CN"/>
              </w:rPr>
              <w:t>0.15</w:t>
            </w:r>
          </w:p>
        </w:tc>
        <w:tc>
          <w:tcPr>
            <w:tcW w:w="1815" w:type="dxa"/>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color w:val="auto"/>
                <w:sz w:val="21"/>
                <w:szCs w:val="21"/>
                <w:lang w:val="en-US" w:eastAsia="zh-CN"/>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006" w:type="pct"/>
            <w:vMerge w:val="continue"/>
            <w:noWrap w:val="0"/>
            <w:vAlign w:val="center"/>
          </w:tcPr>
          <w:p>
            <w:pPr>
              <w:keepNext w:val="0"/>
              <w:keepLines w:val="0"/>
              <w:pageBreakBefore w:val="0"/>
              <w:kinsoku/>
              <w:wordWrap/>
              <w:overflowPunct/>
              <w:topLinePunct w:val="0"/>
              <w:autoSpaceDE/>
              <w:autoSpaceDN/>
              <w:bidi w:val="0"/>
              <w:adjustRightInd w:val="0"/>
              <w:snapToGrid/>
              <w:spacing w:line="0" w:lineRule="atLeast"/>
              <w:jc w:val="center"/>
              <w:rPr>
                <w:rFonts w:hint="default" w:ascii="Times New Roman" w:hAnsi="Times New Roman" w:cs="Times New Roman"/>
                <w:b w:val="0"/>
                <w:bCs/>
                <w:color w:val="auto"/>
                <w:sz w:val="21"/>
                <w:szCs w:val="21"/>
              </w:rPr>
            </w:pPr>
          </w:p>
        </w:tc>
        <w:tc>
          <w:tcPr>
            <w:tcW w:w="774" w:type="pct"/>
            <w:vMerge w:val="continue"/>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pacing w:val="-6"/>
                <w:sz w:val="21"/>
                <w:szCs w:val="21"/>
                <w:lang w:val="en-US" w:eastAsia="zh-CN"/>
              </w:rPr>
            </w:pPr>
          </w:p>
        </w:tc>
        <w:tc>
          <w:tcPr>
            <w:tcW w:w="1208" w:type="pct"/>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kern w:val="2"/>
                <w:sz w:val="21"/>
                <w:szCs w:val="21"/>
                <w:lang w:val="en-US" w:eastAsia="zh-CN" w:bidi="ar-SA"/>
              </w:rPr>
              <w:t>8：00~9：00</w:t>
            </w:r>
          </w:p>
        </w:tc>
        <w:tc>
          <w:tcPr>
            <w:tcW w:w="1665" w:type="dxa"/>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color w:val="auto"/>
                <w:sz w:val="21"/>
                <w:szCs w:val="21"/>
                <w:lang w:val="en-US" w:eastAsia="zh-CN"/>
              </w:rPr>
              <w:t>0.17</w:t>
            </w:r>
          </w:p>
        </w:tc>
        <w:tc>
          <w:tcPr>
            <w:tcW w:w="1815" w:type="dxa"/>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color w:val="auto"/>
                <w:sz w:val="21"/>
                <w:szCs w:val="21"/>
                <w:lang w:val="en-US" w:eastAsia="zh-CN"/>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006" w:type="pct"/>
            <w:vMerge w:val="continue"/>
            <w:noWrap w:val="0"/>
            <w:vAlign w:val="center"/>
          </w:tcPr>
          <w:p>
            <w:pPr>
              <w:keepNext w:val="0"/>
              <w:keepLines w:val="0"/>
              <w:pageBreakBefore w:val="0"/>
              <w:kinsoku/>
              <w:wordWrap/>
              <w:overflowPunct/>
              <w:topLinePunct w:val="0"/>
              <w:autoSpaceDE/>
              <w:autoSpaceDN/>
              <w:bidi w:val="0"/>
              <w:adjustRightInd w:val="0"/>
              <w:snapToGrid/>
              <w:spacing w:line="0" w:lineRule="atLeast"/>
              <w:jc w:val="center"/>
              <w:rPr>
                <w:rFonts w:hint="default" w:ascii="Times New Roman" w:hAnsi="Times New Roman" w:cs="Times New Roman"/>
                <w:b w:val="0"/>
                <w:bCs/>
                <w:color w:val="auto"/>
                <w:sz w:val="21"/>
                <w:szCs w:val="21"/>
              </w:rPr>
            </w:pPr>
          </w:p>
        </w:tc>
        <w:tc>
          <w:tcPr>
            <w:tcW w:w="774" w:type="pct"/>
            <w:vMerge w:val="continue"/>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pacing w:val="-6"/>
                <w:sz w:val="21"/>
                <w:szCs w:val="21"/>
                <w:lang w:val="en-US" w:eastAsia="zh-CN"/>
              </w:rPr>
            </w:pPr>
          </w:p>
        </w:tc>
        <w:tc>
          <w:tcPr>
            <w:tcW w:w="1208" w:type="pct"/>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kern w:val="2"/>
                <w:sz w:val="21"/>
                <w:szCs w:val="21"/>
                <w:lang w:val="en-US" w:eastAsia="zh-CN" w:bidi="ar-SA"/>
              </w:rPr>
              <w:t>14：00~15：00</w:t>
            </w:r>
          </w:p>
        </w:tc>
        <w:tc>
          <w:tcPr>
            <w:tcW w:w="1665" w:type="dxa"/>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color w:val="auto"/>
                <w:sz w:val="21"/>
                <w:szCs w:val="21"/>
                <w:lang w:val="en-US" w:eastAsia="zh-CN"/>
              </w:rPr>
              <w:t>0.18</w:t>
            </w:r>
          </w:p>
        </w:tc>
        <w:tc>
          <w:tcPr>
            <w:tcW w:w="1815" w:type="dxa"/>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color w:val="auto"/>
                <w:sz w:val="21"/>
                <w:szCs w:val="21"/>
                <w:lang w:val="en-US" w:eastAsia="zh-CN"/>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006" w:type="pct"/>
            <w:vMerge w:val="continue"/>
            <w:noWrap w:val="0"/>
            <w:vAlign w:val="center"/>
          </w:tcPr>
          <w:p>
            <w:pPr>
              <w:keepNext w:val="0"/>
              <w:keepLines w:val="0"/>
              <w:pageBreakBefore w:val="0"/>
              <w:kinsoku/>
              <w:wordWrap/>
              <w:overflowPunct/>
              <w:topLinePunct w:val="0"/>
              <w:autoSpaceDE/>
              <w:autoSpaceDN/>
              <w:bidi w:val="0"/>
              <w:adjustRightInd w:val="0"/>
              <w:snapToGrid/>
              <w:spacing w:line="0" w:lineRule="atLeast"/>
              <w:jc w:val="center"/>
              <w:rPr>
                <w:rFonts w:hint="default" w:ascii="Times New Roman" w:hAnsi="Times New Roman" w:cs="Times New Roman"/>
                <w:b w:val="0"/>
                <w:bCs/>
                <w:color w:val="auto"/>
                <w:sz w:val="21"/>
                <w:szCs w:val="21"/>
              </w:rPr>
            </w:pPr>
          </w:p>
        </w:tc>
        <w:tc>
          <w:tcPr>
            <w:tcW w:w="774" w:type="pct"/>
            <w:vMerge w:val="continue"/>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pacing w:val="-6"/>
                <w:sz w:val="21"/>
                <w:szCs w:val="21"/>
                <w:lang w:val="en-US" w:eastAsia="zh-CN"/>
              </w:rPr>
            </w:pPr>
          </w:p>
        </w:tc>
        <w:tc>
          <w:tcPr>
            <w:tcW w:w="1208" w:type="pct"/>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kern w:val="2"/>
                <w:sz w:val="21"/>
                <w:szCs w:val="21"/>
                <w:lang w:val="en-US" w:eastAsia="zh-CN" w:bidi="ar-SA"/>
              </w:rPr>
              <w:t>20：00~21：00</w:t>
            </w:r>
          </w:p>
        </w:tc>
        <w:tc>
          <w:tcPr>
            <w:tcW w:w="1665" w:type="dxa"/>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color w:val="auto"/>
                <w:sz w:val="21"/>
                <w:szCs w:val="21"/>
                <w:lang w:val="en-US" w:eastAsia="zh-CN"/>
              </w:rPr>
              <w:t>0.19</w:t>
            </w:r>
          </w:p>
        </w:tc>
        <w:tc>
          <w:tcPr>
            <w:tcW w:w="1815" w:type="dxa"/>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color w:val="auto"/>
                <w:sz w:val="21"/>
                <w:szCs w:val="21"/>
                <w:lang w:val="en-US" w:eastAsia="zh-CN"/>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006" w:type="pct"/>
            <w:vMerge w:val="continue"/>
            <w:noWrap w:val="0"/>
            <w:vAlign w:val="center"/>
          </w:tcPr>
          <w:p>
            <w:pPr>
              <w:keepNext w:val="0"/>
              <w:keepLines w:val="0"/>
              <w:pageBreakBefore w:val="0"/>
              <w:kinsoku/>
              <w:wordWrap/>
              <w:overflowPunct/>
              <w:topLinePunct w:val="0"/>
              <w:autoSpaceDE/>
              <w:autoSpaceDN/>
              <w:bidi w:val="0"/>
              <w:adjustRightInd w:val="0"/>
              <w:snapToGrid/>
              <w:spacing w:line="0" w:lineRule="atLeast"/>
              <w:jc w:val="center"/>
              <w:rPr>
                <w:rFonts w:hint="default" w:ascii="Times New Roman" w:hAnsi="Times New Roman" w:eastAsia="宋体" w:cs="Times New Roman"/>
                <w:b w:val="0"/>
                <w:bCs/>
                <w:color w:val="auto"/>
                <w:sz w:val="21"/>
                <w:szCs w:val="21"/>
                <w:lang w:eastAsia="zh-CN"/>
              </w:rPr>
            </w:pPr>
          </w:p>
        </w:tc>
        <w:tc>
          <w:tcPr>
            <w:tcW w:w="774" w:type="pct"/>
            <w:vMerge w:val="restart"/>
            <w:tcBorders>
              <w:top w:val="single" w:color="auto" w:sz="4" w:space="0"/>
              <w:left w:val="single" w:color="auto" w:sz="4" w:space="0"/>
              <w:right w:val="single" w:color="auto" w:sz="4" w:space="0"/>
            </w:tcBorders>
            <w:noWrap w:val="0"/>
            <w:vAlign w:val="center"/>
          </w:tcPr>
          <w:p>
            <w:pPr>
              <w:jc w:val="center"/>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3月22日</w:t>
            </w:r>
          </w:p>
        </w:tc>
        <w:tc>
          <w:tcPr>
            <w:tcW w:w="120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kern w:val="2"/>
                <w:sz w:val="21"/>
                <w:szCs w:val="21"/>
                <w:lang w:val="en-US" w:eastAsia="zh-CN" w:bidi="ar-SA"/>
              </w:rPr>
              <w:t>2：00~3：00</w:t>
            </w:r>
          </w:p>
        </w:tc>
        <w:tc>
          <w:tcPr>
            <w:tcW w:w="166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0.12</w:t>
            </w:r>
          </w:p>
        </w:tc>
        <w:tc>
          <w:tcPr>
            <w:tcW w:w="18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006" w:type="pct"/>
            <w:vMerge w:val="continue"/>
            <w:noWrap w:val="0"/>
            <w:vAlign w:val="center"/>
          </w:tcPr>
          <w:p>
            <w:pPr>
              <w:keepNext w:val="0"/>
              <w:keepLines w:val="0"/>
              <w:pageBreakBefore w:val="0"/>
              <w:kinsoku/>
              <w:wordWrap/>
              <w:overflowPunct/>
              <w:topLinePunct w:val="0"/>
              <w:autoSpaceDE/>
              <w:autoSpaceDN/>
              <w:bidi w:val="0"/>
              <w:adjustRightInd w:val="0"/>
              <w:snapToGrid/>
              <w:spacing w:line="0" w:lineRule="atLeast"/>
              <w:jc w:val="center"/>
              <w:rPr>
                <w:rFonts w:hint="default" w:ascii="Times New Roman" w:hAnsi="Times New Roman" w:cs="Times New Roman"/>
                <w:b w:val="0"/>
                <w:bCs/>
                <w:color w:val="auto"/>
                <w:sz w:val="21"/>
                <w:szCs w:val="21"/>
              </w:rPr>
            </w:pPr>
          </w:p>
        </w:tc>
        <w:tc>
          <w:tcPr>
            <w:tcW w:w="774" w:type="pct"/>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pacing w:val="-6"/>
                <w:sz w:val="21"/>
                <w:szCs w:val="21"/>
                <w:lang w:val="en-US" w:eastAsia="zh-CN"/>
              </w:rPr>
            </w:pPr>
          </w:p>
        </w:tc>
        <w:tc>
          <w:tcPr>
            <w:tcW w:w="120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kern w:val="2"/>
                <w:sz w:val="21"/>
                <w:szCs w:val="21"/>
                <w:lang w:val="en-US" w:eastAsia="zh-CN" w:bidi="ar-SA"/>
              </w:rPr>
              <w:t>8：00~9：00</w:t>
            </w:r>
          </w:p>
        </w:tc>
        <w:tc>
          <w:tcPr>
            <w:tcW w:w="166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0.13</w:t>
            </w:r>
          </w:p>
        </w:tc>
        <w:tc>
          <w:tcPr>
            <w:tcW w:w="18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006" w:type="pct"/>
            <w:vMerge w:val="continue"/>
            <w:noWrap w:val="0"/>
            <w:vAlign w:val="center"/>
          </w:tcPr>
          <w:p>
            <w:pPr>
              <w:keepNext w:val="0"/>
              <w:keepLines w:val="0"/>
              <w:pageBreakBefore w:val="0"/>
              <w:kinsoku/>
              <w:wordWrap/>
              <w:overflowPunct/>
              <w:topLinePunct w:val="0"/>
              <w:autoSpaceDE/>
              <w:autoSpaceDN/>
              <w:bidi w:val="0"/>
              <w:adjustRightInd w:val="0"/>
              <w:snapToGrid/>
              <w:spacing w:line="0" w:lineRule="atLeast"/>
              <w:jc w:val="center"/>
              <w:rPr>
                <w:rFonts w:hint="default" w:ascii="Times New Roman" w:hAnsi="Times New Roman" w:cs="Times New Roman"/>
                <w:b w:val="0"/>
                <w:bCs/>
                <w:color w:val="auto"/>
                <w:sz w:val="21"/>
                <w:szCs w:val="21"/>
              </w:rPr>
            </w:pPr>
          </w:p>
        </w:tc>
        <w:tc>
          <w:tcPr>
            <w:tcW w:w="774" w:type="pct"/>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pacing w:val="-6"/>
                <w:sz w:val="21"/>
                <w:szCs w:val="21"/>
                <w:lang w:val="en-US" w:eastAsia="zh-CN"/>
              </w:rPr>
            </w:pPr>
          </w:p>
        </w:tc>
        <w:tc>
          <w:tcPr>
            <w:tcW w:w="120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kern w:val="2"/>
                <w:sz w:val="21"/>
                <w:szCs w:val="21"/>
                <w:lang w:val="en-US" w:eastAsia="zh-CN" w:bidi="ar-SA"/>
              </w:rPr>
              <w:t>14：00~15：00</w:t>
            </w:r>
          </w:p>
        </w:tc>
        <w:tc>
          <w:tcPr>
            <w:tcW w:w="166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0.14</w:t>
            </w:r>
          </w:p>
        </w:tc>
        <w:tc>
          <w:tcPr>
            <w:tcW w:w="18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006" w:type="pct"/>
            <w:vMerge w:val="continue"/>
            <w:noWrap w:val="0"/>
            <w:vAlign w:val="center"/>
          </w:tcPr>
          <w:p>
            <w:pPr>
              <w:keepNext w:val="0"/>
              <w:keepLines w:val="0"/>
              <w:pageBreakBefore w:val="0"/>
              <w:kinsoku/>
              <w:wordWrap/>
              <w:overflowPunct/>
              <w:topLinePunct w:val="0"/>
              <w:autoSpaceDE/>
              <w:autoSpaceDN/>
              <w:bidi w:val="0"/>
              <w:adjustRightInd w:val="0"/>
              <w:snapToGrid/>
              <w:spacing w:line="0" w:lineRule="atLeast"/>
              <w:jc w:val="center"/>
              <w:rPr>
                <w:rFonts w:hint="default" w:ascii="Times New Roman" w:hAnsi="Times New Roman" w:cs="Times New Roman"/>
                <w:b w:val="0"/>
                <w:bCs/>
                <w:color w:val="auto"/>
                <w:sz w:val="21"/>
                <w:szCs w:val="21"/>
              </w:rPr>
            </w:pPr>
          </w:p>
        </w:tc>
        <w:tc>
          <w:tcPr>
            <w:tcW w:w="774" w:type="pct"/>
            <w:vMerge w:val="continue"/>
            <w:tcBorders>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pacing w:val="-6"/>
                <w:sz w:val="21"/>
                <w:szCs w:val="21"/>
                <w:lang w:val="en-US" w:eastAsia="zh-CN"/>
              </w:rPr>
            </w:pPr>
          </w:p>
        </w:tc>
        <w:tc>
          <w:tcPr>
            <w:tcW w:w="120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kern w:val="2"/>
                <w:sz w:val="21"/>
                <w:szCs w:val="21"/>
                <w:lang w:val="en-US" w:eastAsia="zh-CN" w:bidi="ar-SA"/>
              </w:rPr>
              <w:t>20：00~21：00</w:t>
            </w:r>
          </w:p>
        </w:tc>
        <w:tc>
          <w:tcPr>
            <w:tcW w:w="166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0.17</w:t>
            </w:r>
          </w:p>
        </w:tc>
        <w:tc>
          <w:tcPr>
            <w:tcW w:w="18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006" w:type="pct"/>
            <w:vMerge w:val="continue"/>
            <w:noWrap w:val="0"/>
            <w:vAlign w:val="center"/>
          </w:tcPr>
          <w:p>
            <w:pPr>
              <w:keepNext w:val="0"/>
              <w:keepLines w:val="0"/>
              <w:pageBreakBefore w:val="0"/>
              <w:kinsoku/>
              <w:wordWrap/>
              <w:overflowPunct/>
              <w:topLinePunct w:val="0"/>
              <w:autoSpaceDE/>
              <w:autoSpaceDN/>
              <w:bidi w:val="0"/>
              <w:adjustRightInd w:val="0"/>
              <w:snapToGrid/>
              <w:spacing w:line="0" w:lineRule="atLeast"/>
              <w:jc w:val="center"/>
              <w:rPr>
                <w:rFonts w:hint="default" w:ascii="Times New Roman" w:hAnsi="Times New Roman" w:cs="Times New Roman"/>
                <w:b w:val="0"/>
                <w:bCs/>
                <w:color w:val="auto"/>
                <w:sz w:val="21"/>
                <w:szCs w:val="21"/>
              </w:rPr>
            </w:pPr>
          </w:p>
        </w:tc>
        <w:tc>
          <w:tcPr>
            <w:tcW w:w="774" w:type="pct"/>
            <w:vMerge w:val="restart"/>
            <w:tcBorders>
              <w:top w:val="single" w:color="auto" w:sz="4" w:space="0"/>
              <w:left w:val="single" w:color="auto" w:sz="4" w:space="0"/>
              <w:right w:val="single" w:color="auto" w:sz="4" w:space="0"/>
            </w:tcBorders>
            <w:noWrap w:val="0"/>
            <w:vAlign w:val="center"/>
          </w:tcPr>
          <w:p>
            <w:pPr>
              <w:jc w:val="center"/>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3月23日</w:t>
            </w:r>
          </w:p>
        </w:tc>
        <w:tc>
          <w:tcPr>
            <w:tcW w:w="120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kern w:val="2"/>
                <w:sz w:val="21"/>
                <w:szCs w:val="21"/>
                <w:lang w:val="en-US" w:eastAsia="zh-CN" w:bidi="ar-SA"/>
              </w:rPr>
              <w:t>2：00~3：00</w:t>
            </w:r>
          </w:p>
        </w:tc>
        <w:tc>
          <w:tcPr>
            <w:tcW w:w="166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color w:val="auto"/>
                <w:sz w:val="21"/>
                <w:szCs w:val="21"/>
                <w:lang w:val="en-US" w:eastAsia="zh-CN"/>
              </w:rPr>
              <w:t>0.12</w:t>
            </w:r>
          </w:p>
        </w:tc>
        <w:tc>
          <w:tcPr>
            <w:tcW w:w="18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color w:val="auto"/>
                <w:sz w:val="21"/>
                <w:szCs w:val="21"/>
                <w:lang w:val="en-US" w:eastAsia="zh-CN"/>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006" w:type="pct"/>
            <w:vMerge w:val="continue"/>
            <w:noWrap w:val="0"/>
            <w:vAlign w:val="center"/>
          </w:tcPr>
          <w:p>
            <w:pPr>
              <w:keepNext w:val="0"/>
              <w:keepLines w:val="0"/>
              <w:pageBreakBefore w:val="0"/>
              <w:kinsoku/>
              <w:wordWrap/>
              <w:overflowPunct/>
              <w:topLinePunct w:val="0"/>
              <w:autoSpaceDE/>
              <w:autoSpaceDN/>
              <w:bidi w:val="0"/>
              <w:adjustRightInd w:val="0"/>
              <w:snapToGrid/>
              <w:spacing w:line="0" w:lineRule="atLeast"/>
              <w:jc w:val="center"/>
              <w:rPr>
                <w:rFonts w:hint="default" w:ascii="Times New Roman" w:hAnsi="Times New Roman" w:cs="Times New Roman"/>
                <w:b w:val="0"/>
                <w:bCs/>
                <w:color w:val="auto"/>
                <w:sz w:val="21"/>
                <w:szCs w:val="21"/>
              </w:rPr>
            </w:pPr>
          </w:p>
        </w:tc>
        <w:tc>
          <w:tcPr>
            <w:tcW w:w="774" w:type="pct"/>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z w:val="21"/>
                <w:szCs w:val="21"/>
                <w:lang w:val="en-US" w:eastAsia="zh-CN"/>
              </w:rPr>
            </w:pPr>
          </w:p>
        </w:tc>
        <w:tc>
          <w:tcPr>
            <w:tcW w:w="120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kern w:val="2"/>
                <w:sz w:val="21"/>
                <w:szCs w:val="21"/>
                <w:lang w:val="en-US" w:eastAsia="zh-CN" w:bidi="ar-SA"/>
              </w:rPr>
              <w:t>8：00~9：00</w:t>
            </w:r>
          </w:p>
        </w:tc>
        <w:tc>
          <w:tcPr>
            <w:tcW w:w="166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color w:val="auto"/>
                <w:sz w:val="21"/>
                <w:szCs w:val="21"/>
                <w:lang w:val="en-US" w:eastAsia="zh-CN"/>
              </w:rPr>
              <w:t>0.14</w:t>
            </w:r>
          </w:p>
        </w:tc>
        <w:tc>
          <w:tcPr>
            <w:tcW w:w="18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color w:val="auto"/>
                <w:sz w:val="21"/>
                <w:szCs w:val="21"/>
                <w:lang w:val="en-US" w:eastAsia="zh-CN"/>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006" w:type="pct"/>
            <w:vMerge w:val="continue"/>
            <w:noWrap w:val="0"/>
            <w:vAlign w:val="center"/>
          </w:tcPr>
          <w:p>
            <w:pPr>
              <w:keepNext w:val="0"/>
              <w:keepLines w:val="0"/>
              <w:pageBreakBefore w:val="0"/>
              <w:kinsoku/>
              <w:wordWrap/>
              <w:overflowPunct/>
              <w:topLinePunct w:val="0"/>
              <w:autoSpaceDE/>
              <w:autoSpaceDN/>
              <w:bidi w:val="0"/>
              <w:adjustRightInd w:val="0"/>
              <w:snapToGrid/>
              <w:spacing w:line="0" w:lineRule="atLeast"/>
              <w:jc w:val="center"/>
              <w:rPr>
                <w:rFonts w:hint="default" w:ascii="Times New Roman" w:hAnsi="Times New Roman" w:cs="Times New Roman"/>
                <w:b w:val="0"/>
                <w:bCs/>
                <w:color w:val="auto"/>
                <w:sz w:val="21"/>
                <w:szCs w:val="21"/>
              </w:rPr>
            </w:pPr>
          </w:p>
        </w:tc>
        <w:tc>
          <w:tcPr>
            <w:tcW w:w="774" w:type="pct"/>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z w:val="21"/>
                <w:szCs w:val="21"/>
                <w:lang w:val="en-US" w:eastAsia="zh-CN"/>
              </w:rPr>
            </w:pPr>
          </w:p>
        </w:tc>
        <w:tc>
          <w:tcPr>
            <w:tcW w:w="120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kern w:val="2"/>
                <w:sz w:val="21"/>
                <w:szCs w:val="21"/>
                <w:lang w:val="en-US" w:eastAsia="zh-CN" w:bidi="ar-SA"/>
              </w:rPr>
              <w:t>14：00~15：00</w:t>
            </w:r>
          </w:p>
        </w:tc>
        <w:tc>
          <w:tcPr>
            <w:tcW w:w="166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color w:val="auto"/>
                <w:sz w:val="21"/>
                <w:szCs w:val="21"/>
                <w:lang w:val="en-US" w:eastAsia="zh-CN"/>
              </w:rPr>
              <w:t>0.17</w:t>
            </w:r>
          </w:p>
        </w:tc>
        <w:tc>
          <w:tcPr>
            <w:tcW w:w="18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color w:val="auto"/>
                <w:sz w:val="21"/>
                <w:szCs w:val="21"/>
                <w:lang w:val="en-US" w:eastAsia="zh-CN"/>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006" w:type="pct"/>
            <w:vMerge w:val="continue"/>
            <w:noWrap w:val="0"/>
            <w:vAlign w:val="center"/>
          </w:tcPr>
          <w:p>
            <w:pPr>
              <w:keepNext w:val="0"/>
              <w:keepLines w:val="0"/>
              <w:pageBreakBefore w:val="0"/>
              <w:kinsoku/>
              <w:wordWrap/>
              <w:overflowPunct/>
              <w:topLinePunct w:val="0"/>
              <w:autoSpaceDE/>
              <w:autoSpaceDN/>
              <w:bidi w:val="0"/>
              <w:adjustRightInd w:val="0"/>
              <w:snapToGrid/>
              <w:spacing w:line="0" w:lineRule="atLeast"/>
              <w:jc w:val="center"/>
              <w:rPr>
                <w:rFonts w:hint="default" w:ascii="Times New Roman" w:hAnsi="Times New Roman" w:cs="Times New Roman"/>
                <w:b w:val="0"/>
                <w:bCs/>
                <w:color w:val="auto"/>
                <w:sz w:val="21"/>
                <w:szCs w:val="21"/>
              </w:rPr>
            </w:pPr>
          </w:p>
        </w:tc>
        <w:tc>
          <w:tcPr>
            <w:tcW w:w="774" w:type="pct"/>
            <w:vMerge w:val="continue"/>
            <w:tcBorders>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z w:val="21"/>
                <w:szCs w:val="21"/>
                <w:lang w:val="en-US" w:eastAsia="zh-CN"/>
              </w:rPr>
            </w:pPr>
          </w:p>
        </w:tc>
        <w:tc>
          <w:tcPr>
            <w:tcW w:w="120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kern w:val="2"/>
                <w:sz w:val="21"/>
                <w:szCs w:val="21"/>
                <w:lang w:val="en-US" w:eastAsia="zh-CN" w:bidi="ar-SA"/>
              </w:rPr>
              <w:t>20：00~21：00</w:t>
            </w:r>
          </w:p>
        </w:tc>
        <w:tc>
          <w:tcPr>
            <w:tcW w:w="166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color w:val="auto"/>
                <w:sz w:val="21"/>
                <w:szCs w:val="21"/>
                <w:lang w:val="en-US" w:eastAsia="zh-CN"/>
              </w:rPr>
              <w:t>0.16</w:t>
            </w:r>
          </w:p>
        </w:tc>
        <w:tc>
          <w:tcPr>
            <w:tcW w:w="18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color w:val="auto"/>
                <w:sz w:val="21"/>
                <w:szCs w:val="21"/>
                <w:lang w:val="en-US" w:eastAsia="zh-CN"/>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006" w:type="pct"/>
            <w:vMerge w:val="continue"/>
            <w:noWrap w:val="0"/>
            <w:vAlign w:val="center"/>
          </w:tcPr>
          <w:p>
            <w:pPr>
              <w:keepNext w:val="0"/>
              <w:keepLines w:val="0"/>
              <w:pageBreakBefore w:val="0"/>
              <w:kinsoku/>
              <w:wordWrap/>
              <w:overflowPunct/>
              <w:topLinePunct w:val="0"/>
              <w:autoSpaceDE/>
              <w:autoSpaceDN/>
              <w:bidi w:val="0"/>
              <w:adjustRightInd w:val="0"/>
              <w:snapToGrid/>
              <w:spacing w:line="0" w:lineRule="atLeast"/>
              <w:jc w:val="center"/>
              <w:rPr>
                <w:rFonts w:hint="default" w:ascii="Times New Roman" w:hAnsi="Times New Roman" w:cs="Times New Roman"/>
                <w:b w:val="0"/>
                <w:bCs/>
                <w:color w:val="auto"/>
                <w:sz w:val="21"/>
                <w:szCs w:val="21"/>
              </w:rPr>
            </w:pPr>
          </w:p>
        </w:tc>
        <w:tc>
          <w:tcPr>
            <w:tcW w:w="774" w:type="pct"/>
            <w:vMerge w:val="restart"/>
            <w:tcBorders>
              <w:top w:val="single" w:color="auto" w:sz="4" w:space="0"/>
              <w:left w:val="single" w:color="auto" w:sz="4" w:space="0"/>
              <w:right w:val="single" w:color="auto" w:sz="4" w:space="0"/>
            </w:tcBorders>
            <w:noWrap w:val="0"/>
            <w:vAlign w:val="center"/>
          </w:tcPr>
          <w:p>
            <w:pPr>
              <w:jc w:val="center"/>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3月24日</w:t>
            </w:r>
          </w:p>
        </w:tc>
        <w:tc>
          <w:tcPr>
            <w:tcW w:w="120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kern w:val="2"/>
                <w:sz w:val="21"/>
                <w:szCs w:val="21"/>
                <w:lang w:val="en-US" w:eastAsia="zh-CN" w:bidi="ar-SA"/>
              </w:rPr>
              <w:t>2：00~3：00</w:t>
            </w:r>
          </w:p>
        </w:tc>
        <w:tc>
          <w:tcPr>
            <w:tcW w:w="166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0.14</w:t>
            </w:r>
          </w:p>
        </w:tc>
        <w:tc>
          <w:tcPr>
            <w:tcW w:w="18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006" w:type="pct"/>
            <w:vMerge w:val="continue"/>
            <w:noWrap w:val="0"/>
            <w:vAlign w:val="center"/>
          </w:tcPr>
          <w:p>
            <w:pPr>
              <w:keepNext w:val="0"/>
              <w:keepLines w:val="0"/>
              <w:pageBreakBefore w:val="0"/>
              <w:kinsoku/>
              <w:wordWrap/>
              <w:overflowPunct/>
              <w:topLinePunct w:val="0"/>
              <w:autoSpaceDE/>
              <w:autoSpaceDN/>
              <w:bidi w:val="0"/>
              <w:adjustRightInd w:val="0"/>
              <w:snapToGrid/>
              <w:spacing w:line="0" w:lineRule="atLeast"/>
              <w:jc w:val="center"/>
              <w:rPr>
                <w:rFonts w:hint="default" w:ascii="Times New Roman" w:hAnsi="Times New Roman" w:cs="Times New Roman"/>
                <w:b w:val="0"/>
                <w:bCs/>
                <w:color w:val="auto"/>
                <w:sz w:val="21"/>
                <w:szCs w:val="21"/>
              </w:rPr>
            </w:pPr>
          </w:p>
        </w:tc>
        <w:tc>
          <w:tcPr>
            <w:tcW w:w="774" w:type="pct"/>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z w:val="21"/>
                <w:szCs w:val="21"/>
                <w:lang w:val="en-US" w:eastAsia="zh-CN"/>
              </w:rPr>
            </w:pPr>
          </w:p>
        </w:tc>
        <w:tc>
          <w:tcPr>
            <w:tcW w:w="120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kern w:val="2"/>
                <w:sz w:val="21"/>
                <w:szCs w:val="21"/>
                <w:lang w:val="en-US" w:eastAsia="zh-CN" w:bidi="ar-SA"/>
              </w:rPr>
              <w:t>8：00~9：00</w:t>
            </w:r>
          </w:p>
        </w:tc>
        <w:tc>
          <w:tcPr>
            <w:tcW w:w="166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0.16</w:t>
            </w:r>
          </w:p>
        </w:tc>
        <w:tc>
          <w:tcPr>
            <w:tcW w:w="18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006" w:type="pct"/>
            <w:vMerge w:val="continue"/>
            <w:noWrap w:val="0"/>
            <w:vAlign w:val="center"/>
          </w:tcPr>
          <w:p>
            <w:pPr>
              <w:keepNext w:val="0"/>
              <w:keepLines w:val="0"/>
              <w:pageBreakBefore w:val="0"/>
              <w:kinsoku/>
              <w:wordWrap/>
              <w:overflowPunct/>
              <w:topLinePunct w:val="0"/>
              <w:autoSpaceDE/>
              <w:autoSpaceDN/>
              <w:bidi w:val="0"/>
              <w:adjustRightInd w:val="0"/>
              <w:snapToGrid/>
              <w:spacing w:line="0" w:lineRule="atLeast"/>
              <w:jc w:val="center"/>
              <w:rPr>
                <w:rFonts w:hint="default" w:ascii="Times New Roman" w:hAnsi="Times New Roman" w:cs="Times New Roman"/>
                <w:b w:val="0"/>
                <w:bCs/>
                <w:color w:val="auto"/>
                <w:sz w:val="21"/>
                <w:szCs w:val="21"/>
              </w:rPr>
            </w:pPr>
          </w:p>
        </w:tc>
        <w:tc>
          <w:tcPr>
            <w:tcW w:w="774" w:type="pct"/>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z w:val="21"/>
                <w:szCs w:val="21"/>
                <w:lang w:val="en-US" w:eastAsia="zh-CN"/>
              </w:rPr>
            </w:pPr>
          </w:p>
        </w:tc>
        <w:tc>
          <w:tcPr>
            <w:tcW w:w="120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kern w:val="2"/>
                <w:sz w:val="21"/>
                <w:szCs w:val="21"/>
                <w:lang w:val="en-US" w:eastAsia="zh-CN" w:bidi="ar-SA"/>
              </w:rPr>
              <w:t>14：00~15：00</w:t>
            </w:r>
          </w:p>
        </w:tc>
        <w:tc>
          <w:tcPr>
            <w:tcW w:w="166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0.19</w:t>
            </w:r>
          </w:p>
        </w:tc>
        <w:tc>
          <w:tcPr>
            <w:tcW w:w="18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006" w:type="pct"/>
            <w:vMerge w:val="continue"/>
            <w:noWrap w:val="0"/>
            <w:vAlign w:val="center"/>
          </w:tcPr>
          <w:p>
            <w:pPr>
              <w:keepNext w:val="0"/>
              <w:keepLines w:val="0"/>
              <w:pageBreakBefore w:val="0"/>
              <w:kinsoku/>
              <w:wordWrap/>
              <w:overflowPunct/>
              <w:topLinePunct w:val="0"/>
              <w:autoSpaceDE/>
              <w:autoSpaceDN/>
              <w:bidi w:val="0"/>
              <w:adjustRightInd w:val="0"/>
              <w:snapToGrid/>
              <w:spacing w:line="0" w:lineRule="atLeast"/>
              <w:jc w:val="center"/>
              <w:rPr>
                <w:rFonts w:hint="default" w:ascii="Times New Roman" w:hAnsi="Times New Roman" w:cs="Times New Roman"/>
                <w:b w:val="0"/>
                <w:bCs/>
                <w:color w:val="auto"/>
                <w:sz w:val="21"/>
                <w:szCs w:val="21"/>
              </w:rPr>
            </w:pPr>
          </w:p>
        </w:tc>
        <w:tc>
          <w:tcPr>
            <w:tcW w:w="774" w:type="pct"/>
            <w:vMerge w:val="continue"/>
            <w:tcBorders>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z w:val="21"/>
                <w:szCs w:val="21"/>
                <w:lang w:val="en-US" w:eastAsia="zh-CN"/>
              </w:rPr>
            </w:pPr>
          </w:p>
        </w:tc>
        <w:tc>
          <w:tcPr>
            <w:tcW w:w="120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kern w:val="2"/>
                <w:sz w:val="21"/>
                <w:szCs w:val="21"/>
                <w:lang w:val="en-US" w:eastAsia="zh-CN" w:bidi="ar-SA"/>
              </w:rPr>
              <w:t>20：00~21：00</w:t>
            </w:r>
          </w:p>
        </w:tc>
        <w:tc>
          <w:tcPr>
            <w:tcW w:w="166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0.17</w:t>
            </w:r>
          </w:p>
        </w:tc>
        <w:tc>
          <w:tcPr>
            <w:tcW w:w="18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006" w:type="pct"/>
            <w:vMerge w:val="continue"/>
            <w:noWrap w:val="0"/>
            <w:vAlign w:val="center"/>
          </w:tcPr>
          <w:p>
            <w:pPr>
              <w:keepNext w:val="0"/>
              <w:keepLines w:val="0"/>
              <w:pageBreakBefore w:val="0"/>
              <w:kinsoku/>
              <w:wordWrap/>
              <w:overflowPunct/>
              <w:topLinePunct w:val="0"/>
              <w:autoSpaceDE/>
              <w:autoSpaceDN/>
              <w:bidi w:val="0"/>
              <w:adjustRightInd w:val="0"/>
              <w:snapToGrid/>
              <w:spacing w:line="0" w:lineRule="atLeast"/>
              <w:jc w:val="center"/>
              <w:rPr>
                <w:rFonts w:hint="default" w:ascii="Times New Roman" w:hAnsi="Times New Roman" w:cs="Times New Roman"/>
                <w:b w:val="0"/>
                <w:bCs/>
                <w:color w:val="auto"/>
                <w:sz w:val="21"/>
                <w:szCs w:val="21"/>
              </w:rPr>
            </w:pPr>
          </w:p>
        </w:tc>
        <w:tc>
          <w:tcPr>
            <w:tcW w:w="774" w:type="pct"/>
            <w:vMerge w:val="restart"/>
            <w:tcBorders>
              <w:top w:val="single" w:color="auto" w:sz="4" w:space="0"/>
              <w:left w:val="single" w:color="auto" w:sz="4" w:space="0"/>
              <w:right w:val="single" w:color="auto" w:sz="4" w:space="0"/>
            </w:tcBorders>
            <w:noWrap w:val="0"/>
            <w:vAlign w:val="center"/>
          </w:tcPr>
          <w:p>
            <w:pPr>
              <w:jc w:val="center"/>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3月25日</w:t>
            </w:r>
          </w:p>
        </w:tc>
        <w:tc>
          <w:tcPr>
            <w:tcW w:w="120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kern w:val="2"/>
                <w:sz w:val="21"/>
                <w:szCs w:val="21"/>
                <w:lang w:val="en-US" w:eastAsia="zh-CN" w:bidi="ar-SA"/>
              </w:rPr>
              <w:t>2：00~3：00</w:t>
            </w:r>
          </w:p>
        </w:tc>
        <w:tc>
          <w:tcPr>
            <w:tcW w:w="166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color w:val="auto"/>
                <w:sz w:val="21"/>
                <w:szCs w:val="21"/>
                <w:lang w:val="en-US" w:eastAsia="zh-CN"/>
              </w:rPr>
              <w:t>0.14</w:t>
            </w:r>
          </w:p>
        </w:tc>
        <w:tc>
          <w:tcPr>
            <w:tcW w:w="18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color w:val="auto"/>
                <w:sz w:val="21"/>
                <w:szCs w:val="21"/>
                <w:lang w:val="en-US" w:eastAsia="zh-CN"/>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006" w:type="pct"/>
            <w:vMerge w:val="continue"/>
            <w:noWrap w:val="0"/>
            <w:vAlign w:val="center"/>
          </w:tcPr>
          <w:p>
            <w:pPr>
              <w:keepNext w:val="0"/>
              <w:keepLines w:val="0"/>
              <w:pageBreakBefore w:val="0"/>
              <w:kinsoku/>
              <w:wordWrap/>
              <w:overflowPunct/>
              <w:topLinePunct w:val="0"/>
              <w:autoSpaceDE/>
              <w:autoSpaceDN/>
              <w:bidi w:val="0"/>
              <w:adjustRightInd w:val="0"/>
              <w:snapToGrid/>
              <w:spacing w:line="0" w:lineRule="atLeast"/>
              <w:jc w:val="center"/>
              <w:rPr>
                <w:rFonts w:hint="default" w:ascii="Times New Roman" w:hAnsi="Times New Roman" w:cs="Times New Roman"/>
                <w:b w:val="0"/>
                <w:bCs/>
                <w:color w:val="auto"/>
                <w:sz w:val="21"/>
                <w:szCs w:val="21"/>
              </w:rPr>
            </w:pPr>
          </w:p>
        </w:tc>
        <w:tc>
          <w:tcPr>
            <w:tcW w:w="774" w:type="pct"/>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z w:val="21"/>
                <w:szCs w:val="21"/>
                <w:lang w:val="en-US" w:eastAsia="zh-CN"/>
              </w:rPr>
            </w:pPr>
          </w:p>
        </w:tc>
        <w:tc>
          <w:tcPr>
            <w:tcW w:w="120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kern w:val="2"/>
                <w:sz w:val="21"/>
                <w:szCs w:val="21"/>
                <w:lang w:val="en-US" w:eastAsia="zh-CN" w:bidi="ar-SA"/>
              </w:rPr>
              <w:t>8：00~9：00</w:t>
            </w:r>
          </w:p>
        </w:tc>
        <w:tc>
          <w:tcPr>
            <w:tcW w:w="166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color w:val="auto"/>
                <w:sz w:val="21"/>
                <w:szCs w:val="21"/>
                <w:lang w:val="en-US" w:eastAsia="zh-CN"/>
              </w:rPr>
              <w:t>0.16</w:t>
            </w:r>
          </w:p>
        </w:tc>
        <w:tc>
          <w:tcPr>
            <w:tcW w:w="18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color w:val="auto"/>
                <w:sz w:val="21"/>
                <w:szCs w:val="21"/>
                <w:lang w:val="en-US" w:eastAsia="zh-CN"/>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006" w:type="pct"/>
            <w:vMerge w:val="continue"/>
            <w:noWrap w:val="0"/>
            <w:vAlign w:val="center"/>
          </w:tcPr>
          <w:p>
            <w:pPr>
              <w:keepNext w:val="0"/>
              <w:keepLines w:val="0"/>
              <w:pageBreakBefore w:val="0"/>
              <w:kinsoku/>
              <w:wordWrap/>
              <w:overflowPunct/>
              <w:topLinePunct w:val="0"/>
              <w:autoSpaceDE/>
              <w:autoSpaceDN/>
              <w:bidi w:val="0"/>
              <w:adjustRightInd w:val="0"/>
              <w:snapToGrid/>
              <w:spacing w:line="0" w:lineRule="atLeast"/>
              <w:jc w:val="center"/>
              <w:rPr>
                <w:rFonts w:hint="default" w:ascii="Times New Roman" w:hAnsi="Times New Roman" w:cs="Times New Roman"/>
                <w:b w:val="0"/>
                <w:bCs/>
                <w:color w:val="auto"/>
                <w:sz w:val="21"/>
                <w:szCs w:val="21"/>
              </w:rPr>
            </w:pPr>
          </w:p>
        </w:tc>
        <w:tc>
          <w:tcPr>
            <w:tcW w:w="774" w:type="pct"/>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z w:val="21"/>
                <w:szCs w:val="21"/>
                <w:lang w:val="en-US" w:eastAsia="zh-CN"/>
              </w:rPr>
            </w:pPr>
          </w:p>
        </w:tc>
        <w:tc>
          <w:tcPr>
            <w:tcW w:w="120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kern w:val="2"/>
                <w:sz w:val="21"/>
                <w:szCs w:val="21"/>
                <w:lang w:val="en-US" w:eastAsia="zh-CN" w:bidi="ar-SA"/>
              </w:rPr>
              <w:t>14：00~15：00</w:t>
            </w:r>
          </w:p>
        </w:tc>
        <w:tc>
          <w:tcPr>
            <w:tcW w:w="166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color w:val="auto"/>
                <w:sz w:val="21"/>
                <w:szCs w:val="21"/>
                <w:lang w:val="en-US" w:eastAsia="zh-CN"/>
              </w:rPr>
              <w:t>0.15</w:t>
            </w:r>
          </w:p>
        </w:tc>
        <w:tc>
          <w:tcPr>
            <w:tcW w:w="18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color w:val="auto"/>
                <w:sz w:val="21"/>
                <w:szCs w:val="21"/>
                <w:lang w:val="en-US" w:eastAsia="zh-CN"/>
              </w:rPr>
              <w:t>0.007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006" w:type="pct"/>
            <w:vMerge w:val="continue"/>
            <w:noWrap w:val="0"/>
            <w:vAlign w:val="center"/>
          </w:tcPr>
          <w:p>
            <w:pPr>
              <w:keepNext w:val="0"/>
              <w:keepLines w:val="0"/>
              <w:pageBreakBefore w:val="0"/>
              <w:kinsoku/>
              <w:wordWrap/>
              <w:overflowPunct/>
              <w:topLinePunct w:val="0"/>
              <w:autoSpaceDE/>
              <w:autoSpaceDN/>
              <w:bidi w:val="0"/>
              <w:adjustRightInd w:val="0"/>
              <w:snapToGrid/>
              <w:spacing w:line="0" w:lineRule="atLeast"/>
              <w:jc w:val="center"/>
              <w:rPr>
                <w:rFonts w:hint="default" w:ascii="Times New Roman" w:hAnsi="Times New Roman" w:cs="Times New Roman"/>
                <w:b w:val="0"/>
                <w:bCs/>
                <w:color w:val="auto"/>
                <w:sz w:val="21"/>
                <w:szCs w:val="21"/>
              </w:rPr>
            </w:pPr>
          </w:p>
        </w:tc>
        <w:tc>
          <w:tcPr>
            <w:tcW w:w="774" w:type="pct"/>
            <w:vMerge w:val="continue"/>
            <w:tcBorders>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z w:val="21"/>
                <w:szCs w:val="21"/>
                <w:lang w:val="en-US" w:eastAsia="zh-CN"/>
              </w:rPr>
            </w:pPr>
          </w:p>
        </w:tc>
        <w:tc>
          <w:tcPr>
            <w:tcW w:w="120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kern w:val="2"/>
                <w:sz w:val="21"/>
                <w:szCs w:val="21"/>
                <w:lang w:val="en-US" w:eastAsia="zh-CN" w:bidi="ar-SA"/>
              </w:rPr>
              <w:t>20：00~21：00</w:t>
            </w:r>
          </w:p>
        </w:tc>
        <w:tc>
          <w:tcPr>
            <w:tcW w:w="166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color w:val="auto"/>
                <w:sz w:val="21"/>
                <w:szCs w:val="21"/>
                <w:lang w:val="en-US" w:eastAsia="zh-CN"/>
              </w:rPr>
              <w:t>0.12</w:t>
            </w:r>
          </w:p>
        </w:tc>
        <w:tc>
          <w:tcPr>
            <w:tcW w:w="18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color w:val="auto"/>
                <w:sz w:val="21"/>
                <w:szCs w:val="21"/>
                <w:lang w:val="en-US" w:eastAsia="zh-CN"/>
              </w:rPr>
              <w:t>0.007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006" w:type="pct"/>
            <w:vMerge w:val="continue"/>
            <w:noWrap w:val="0"/>
            <w:vAlign w:val="center"/>
          </w:tcPr>
          <w:p>
            <w:pPr>
              <w:keepNext w:val="0"/>
              <w:keepLines w:val="0"/>
              <w:pageBreakBefore w:val="0"/>
              <w:kinsoku/>
              <w:wordWrap/>
              <w:overflowPunct/>
              <w:topLinePunct w:val="0"/>
              <w:autoSpaceDE/>
              <w:autoSpaceDN/>
              <w:bidi w:val="0"/>
              <w:adjustRightInd w:val="0"/>
              <w:snapToGrid/>
              <w:spacing w:line="0" w:lineRule="atLeast"/>
              <w:jc w:val="center"/>
              <w:rPr>
                <w:rFonts w:hint="default" w:ascii="Times New Roman" w:hAnsi="Times New Roman" w:cs="Times New Roman"/>
                <w:b w:val="0"/>
                <w:bCs/>
                <w:color w:val="auto"/>
                <w:sz w:val="21"/>
                <w:szCs w:val="21"/>
              </w:rPr>
            </w:pPr>
          </w:p>
        </w:tc>
        <w:tc>
          <w:tcPr>
            <w:tcW w:w="774"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3月26日</w:t>
            </w:r>
          </w:p>
        </w:tc>
        <w:tc>
          <w:tcPr>
            <w:tcW w:w="120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kern w:val="2"/>
                <w:sz w:val="21"/>
                <w:szCs w:val="21"/>
                <w:lang w:val="en-US" w:eastAsia="zh-CN" w:bidi="ar-SA"/>
              </w:rPr>
              <w:t>2：00~3：00</w:t>
            </w:r>
          </w:p>
        </w:tc>
        <w:tc>
          <w:tcPr>
            <w:tcW w:w="166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0.13</w:t>
            </w:r>
          </w:p>
        </w:tc>
        <w:tc>
          <w:tcPr>
            <w:tcW w:w="18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006" w:type="pct"/>
            <w:vMerge w:val="continue"/>
            <w:noWrap w:val="0"/>
            <w:vAlign w:val="center"/>
          </w:tcPr>
          <w:p>
            <w:pPr>
              <w:keepNext w:val="0"/>
              <w:keepLines w:val="0"/>
              <w:pageBreakBefore w:val="0"/>
              <w:kinsoku/>
              <w:wordWrap/>
              <w:overflowPunct/>
              <w:topLinePunct w:val="0"/>
              <w:autoSpaceDE/>
              <w:autoSpaceDN/>
              <w:bidi w:val="0"/>
              <w:adjustRightInd w:val="0"/>
              <w:snapToGrid/>
              <w:spacing w:line="0" w:lineRule="atLeast"/>
              <w:jc w:val="center"/>
              <w:rPr>
                <w:rFonts w:hint="default" w:ascii="Times New Roman" w:hAnsi="Times New Roman" w:cs="Times New Roman"/>
                <w:b w:val="0"/>
                <w:bCs/>
                <w:color w:val="auto"/>
                <w:sz w:val="21"/>
                <w:szCs w:val="21"/>
              </w:rPr>
            </w:pPr>
          </w:p>
        </w:tc>
        <w:tc>
          <w:tcPr>
            <w:tcW w:w="774" w:type="pct"/>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z w:val="21"/>
                <w:szCs w:val="21"/>
                <w:lang w:val="en-US" w:eastAsia="zh-CN"/>
              </w:rPr>
            </w:pPr>
          </w:p>
        </w:tc>
        <w:tc>
          <w:tcPr>
            <w:tcW w:w="120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kern w:val="2"/>
                <w:sz w:val="21"/>
                <w:szCs w:val="21"/>
                <w:lang w:val="en-US" w:eastAsia="zh-CN" w:bidi="ar-SA"/>
              </w:rPr>
              <w:t>8：00~9：00</w:t>
            </w:r>
          </w:p>
        </w:tc>
        <w:tc>
          <w:tcPr>
            <w:tcW w:w="166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0.15</w:t>
            </w:r>
          </w:p>
        </w:tc>
        <w:tc>
          <w:tcPr>
            <w:tcW w:w="18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006" w:type="pct"/>
            <w:vMerge w:val="continue"/>
            <w:noWrap w:val="0"/>
            <w:vAlign w:val="center"/>
          </w:tcPr>
          <w:p>
            <w:pPr>
              <w:keepNext w:val="0"/>
              <w:keepLines w:val="0"/>
              <w:pageBreakBefore w:val="0"/>
              <w:kinsoku/>
              <w:wordWrap/>
              <w:overflowPunct/>
              <w:topLinePunct w:val="0"/>
              <w:autoSpaceDE/>
              <w:autoSpaceDN/>
              <w:bidi w:val="0"/>
              <w:adjustRightInd w:val="0"/>
              <w:snapToGrid/>
              <w:spacing w:line="0" w:lineRule="atLeast"/>
              <w:jc w:val="center"/>
              <w:rPr>
                <w:rFonts w:hint="default" w:ascii="Times New Roman" w:hAnsi="Times New Roman" w:cs="Times New Roman"/>
                <w:b w:val="0"/>
                <w:bCs/>
                <w:color w:val="auto"/>
                <w:sz w:val="21"/>
                <w:szCs w:val="21"/>
              </w:rPr>
            </w:pPr>
          </w:p>
        </w:tc>
        <w:tc>
          <w:tcPr>
            <w:tcW w:w="774" w:type="pct"/>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z w:val="21"/>
                <w:szCs w:val="21"/>
                <w:lang w:val="en-US" w:eastAsia="zh-CN"/>
              </w:rPr>
            </w:pPr>
          </w:p>
        </w:tc>
        <w:tc>
          <w:tcPr>
            <w:tcW w:w="120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kern w:val="2"/>
                <w:sz w:val="21"/>
                <w:szCs w:val="21"/>
                <w:lang w:val="en-US" w:eastAsia="zh-CN" w:bidi="ar-SA"/>
              </w:rPr>
              <w:t>14：00~15：00</w:t>
            </w:r>
          </w:p>
        </w:tc>
        <w:tc>
          <w:tcPr>
            <w:tcW w:w="166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0.17</w:t>
            </w:r>
          </w:p>
        </w:tc>
        <w:tc>
          <w:tcPr>
            <w:tcW w:w="18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006" w:type="pct"/>
            <w:vMerge w:val="continue"/>
            <w:noWrap w:val="0"/>
            <w:vAlign w:val="center"/>
          </w:tcPr>
          <w:p>
            <w:pPr>
              <w:keepNext w:val="0"/>
              <w:keepLines w:val="0"/>
              <w:pageBreakBefore w:val="0"/>
              <w:kinsoku/>
              <w:wordWrap/>
              <w:overflowPunct/>
              <w:topLinePunct w:val="0"/>
              <w:autoSpaceDE/>
              <w:autoSpaceDN/>
              <w:bidi w:val="0"/>
              <w:adjustRightInd w:val="0"/>
              <w:snapToGrid/>
              <w:spacing w:line="0" w:lineRule="atLeast"/>
              <w:jc w:val="center"/>
              <w:rPr>
                <w:rFonts w:hint="default" w:ascii="Times New Roman" w:hAnsi="Times New Roman" w:cs="Times New Roman"/>
                <w:b w:val="0"/>
                <w:bCs/>
                <w:color w:val="auto"/>
                <w:sz w:val="21"/>
                <w:szCs w:val="21"/>
              </w:rPr>
            </w:pPr>
          </w:p>
        </w:tc>
        <w:tc>
          <w:tcPr>
            <w:tcW w:w="774" w:type="pct"/>
            <w:vMerge w:val="continue"/>
            <w:tcBorders>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z w:val="21"/>
                <w:szCs w:val="21"/>
                <w:lang w:val="en-US" w:eastAsia="zh-CN"/>
              </w:rPr>
            </w:pPr>
          </w:p>
        </w:tc>
        <w:tc>
          <w:tcPr>
            <w:tcW w:w="120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kern w:val="2"/>
                <w:sz w:val="21"/>
                <w:szCs w:val="21"/>
                <w:lang w:val="en-US" w:eastAsia="zh-CN" w:bidi="ar-SA"/>
              </w:rPr>
              <w:t>20：00~21：00</w:t>
            </w:r>
          </w:p>
        </w:tc>
        <w:tc>
          <w:tcPr>
            <w:tcW w:w="166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0.16</w:t>
            </w:r>
          </w:p>
        </w:tc>
        <w:tc>
          <w:tcPr>
            <w:tcW w:w="18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006" w:type="pct"/>
            <w:vMerge w:val="restart"/>
            <w:noWrap w:val="0"/>
            <w:vAlign w:val="center"/>
          </w:tcPr>
          <w:p>
            <w:pPr>
              <w:keepNext w:val="0"/>
              <w:keepLines w:val="0"/>
              <w:pageBreakBefore w:val="0"/>
              <w:kinsoku/>
              <w:wordWrap/>
              <w:overflowPunct/>
              <w:topLinePunct w:val="0"/>
              <w:autoSpaceDE/>
              <w:autoSpaceDN/>
              <w:bidi w:val="0"/>
              <w:adjustRightInd w:val="0"/>
              <w:snapToGrid/>
              <w:spacing w:line="0" w:lineRule="atLeast"/>
              <w:jc w:val="center"/>
              <w:rPr>
                <w:rFonts w:hint="default" w:ascii="Times New Roman" w:hAnsi="Times New Roman" w:eastAsia="宋体" w:cs="Times New Roman"/>
                <w:b w:val="0"/>
                <w:bCs/>
                <w:color w:val="auto"/>
                <w:sz w:val="21"/>
                <w:szCs w:val="21"/>
                <w:lang w:eastAsia="zh-CN"/>
              </w:rPr>
            </w:pPr>
            <w:r>
              <w:rPr>
                <w:rFonts w:hint="default" w:ascii="Times New Roman" w:hAnsi="Times New Roman" w:cs="Times New Roman"/>
                <w:b w:val="0"/>
                <w:bCs/>
                <w:color w:val="auto"/>
                <w:kern w:val="21"/>
                <w:sz w:val="21"/>
                <w:szCs w:val="21"/>
                <w:lang w:val="en-US" w:eastAsia="zh-CN" w:bidi="ar"/>
              </w:rPr>
              <w:t>朱瓜冲居民点（本项目下风向1480m）</w:t>
            </w:r>
          </w:p>
        </w:tc>
        <w:tc>
          <w:tcPr>
            <w:tcW w:w="774" w:type="pct"/>
            <w:vMerge w:val="restart"/>
            <w:noWrap w:val="0"/>
            <w:vAlign w:val="center"/>
          </w:tcPr>
          <w:p>
            <w:pPr>
              <w:pStyle w:val="143"/>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3月20日</w:t>
            </w:r>
          </w:p>
        </w:tc>
        <w:tc>
          <w:tcPr>
            <w:tcW w:w="1208" w:type="pct"/>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2：00~3：00</w:t>
            </w:r>
          </w:p>
        </w:tc>
        <w:tc>
          <w:tcPr>
            <w:tcW w:w="1665" w:type="dxa"/>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0.11</w:t>
            </w:r>
          </w:p>
        </w:tc>
        <w:tc>
          <w:tcPr>
            <w:tcW w:w="1815" w:type="dxa"/>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006" w:type="pct"/>
            <w:vMerge w:val="continue"/>
            <w:noWrap w:val="0"/>
            <w:vAlign w:val="center"/>
          </w:tcPr>
          <w:p>
            <w:pPr>
              <w:keepNext w:val="0"/>
              <w:keepLines w:val="0"/>
              <w:pageBreakBefore w:val="0"/>
              <w:kinsoku/>
              <w:wordWrap/>
              <w:overflowPunct/>
              <w:topLinePunct w:val="0"/>
              <w:autoSpaceDE/>
              <w:autoSpaceDN/>
              <w:bidi w:val="0"/>
              <w:adjustRightInd w:val="0"/>
              <w:snapToGrid/>
              <w:spacing w:line="0" w:lineRule="atLeast"/>
              <w:jc w:val="center"/>
              <w:rPr>
                <w:rFonts w:hint="default" w:ascii="Times New Roman" w:hAnsi="Times New Roman" w:cs="Times New Roman"/>
                <w:b w:val="0"/>
                <w:bCs/>
                <w:color w:val="auto"/>
                <w:sz w:val="21"/>
                <w:szCs w:val="21"/>
              </w:rPr>
            </w:pPr>
          </w:p>
        </w:tc>
        <w:tc>
          <w:tcPr>
            <w:tcW w:w="774" w:type="pct"/>
            <w:vMerge w:val="continue"/>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pacing w:val="-6"/>
                <w:sz w:val="21"/>
                <w:szCs w:val="21"/>
                <w:lang w:val="en-US" w:eastAsia="zh-CN"/>
              </w:rPr>
            </w:pPr>
          </w:p>
        </w:tc>
        <w:tc>
          <w:tcPr>
            <w:tcW w:w="1208" w:type="pct"/>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8：00~9：00</w:t>
            </w:r>
          </w:p>
        </w:tc>
        <w:tc>
          <w:tcPr>
            <w:tcW w:w="1665" w:type="dxa"/>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0.12</w:t>
            </w:r>
          </w:p>
        </w:tc>
        <w:tc>
          <w:tcPr>
            <w:tcW w:w="1815" w:type="dxa"/>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006" w:type="pct"/>
            <w:vMerge w:val="continue"/>
            <w:noWrap w:val="0"/>
            <w:vAlign w:val="center"/>
          </w:tcPr>
          <w:p>
            <w:pPr>
              <w:keepNext w:val="0"/>
              <w:keepLines w:val="0"/>
              <w:pageBreakBefore w:val="0"/>
              <w:kinsoku/>
              <w:wordWrap/>
              <w:overflowPunct/>
              <w:topLinePunct w:val="0"/>
              <w:autoSpaceDE/>
              <w:autoSpaceDN/>
              <w:bidi w:val="0"/>
              <w:adjustRightInd w:val="0"/>
              <w:snapToGrid/>
              <w:spacing w:line="0" w:lineRule="atLeast"/>
              <w:jc w:val="center"/>
              <w:rPr>
                <w:rFonts w:hint="default" w:ascii="Times New Roman" w:hAnsi="Times New Roman" w:cs="Times New Roman"/>
                <w:b w:val="0"/>
                <w:bCs/>
                <w:color w:val="auto"/>
                <w:sz w:val="21"/>
                <w:szCs w:val="21"/>
              </w:rPr>
            </w:pPr>
          </w:p>
        </w:tc>
        <w:tc>
          <w:tcPr>
            <w:tcW w:w="774" w:type="pct"/>
            <w:vMerge w:val="continue"/>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pacing w:val="-6"/>
                <w:sz w:val="21"/>
                <w:szCs w:val="21"/>
                <w:lang w:val="en-US" w:eastAsia="zh-CN"/>
              </w:rPr>
            </w:pPr>
          </w:p>
        </w:tc>
        <w:tc>
          <w:tcPr>
            <w:tcW w:w="1208" w:type="pct"/>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14：00~15：00</w:t>
            </w:r>
          </w:p>
        </w:tc>
        <w:tc>
          <w:tcPr>
            <w:tcW w:w="1665" w:type="dxa"/>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0.12</w:t>
            </w:r>
          </w:p>
        </w:tc>
        <w:tc>
          <w:tcPr>
            <w:tcW w:w="1815" w:type="dxa"/>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006" w:type="pct"/>
            <w:vMerge w:val="continue"/>
            <w:noWrap w:val="0"/>
            <w:vAlign w:val="center"/>
          </w:tcPr>
          <w:p>
            <w:pPr>
              <w:keepNext w:val="0"/>
              <w:keepLines w:val="0"/>
              <w:pageBreakBefore w:val="0"/>
              <w:kinsoku/>
              <w:wordWrap/>
              <w:overflowPunct/>
              <w:topLinePunct w:val="0"/>
              <w:autoSpaceDE/>
              <w:autoSpaceDN/>
              <w:bidi w:val="0"/>
              <w:adjustRightInd w:val="0"/>
              <w:snapToGrid/>
              <w:spacing w:line="0" w:lineRule="atLeast"/>
              <w:jc w:val="center"/>
              <w:rPr>
                <w:rFonts w:hint="default" w:ascii="Times New Roman" w:hAnsi="Times New Roman" w:cs="Times New Roman"/>
                <w:b w:val="0"/>
                <w:bCs/>
                <w:color w:val="auto"/>
                <w:sz w:val="21"/>
                <w:szCs w:val="21"/>
              </w:rPr>
            </w:pPr>
          </w:p>
        </w:tc>
        <w:tc>
          <w:tcPr>
            <w:tcW w:w="774" w:type="pct"/>
            <w:vMerge w:val="continue"/>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pacing w:val="-6"/>
                <w:sz w:val="21"/>
                <w:szCs w:val="21"/>
                <w:lang w:val="en-US" w:eastAsia="zh-CN"/>
              </w:rPr>
            </w:pPr>
          </w:p>
        </w:tc>
        <w:tc>
          <w:tcPr>
            <w:tcW w:w="1208" w:type="pct"/>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kern w:val="2"/>
                <w:sz w:val="21"/>
                <w:szCs w:val="21"/>
                <w:lang w:val="en-US" w:eastAsia="zh-CN" w:bidi="ar-SA"/>
              </w:rPr>
              <w:t>20：00~21：00</w:t>
            </w:r>
          </w:p>
        </w:tc>
        <w:tc>
          <w:tcPr>
            <w:tcW w:w="1665" w:type="dxa"/>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0.14</w:t>
            </w:r>
          </w:p>
        </w:tc>
        <w:tc>
          <w:tcPr>
            <w:tcW w:w="1815" w:type="dxa"/>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006" w:type="pct"/>
            <w:vMerge w:val="continue"/>
            <w:noWrap w:val="0"/>
            <w:vAlign w:val="center"/>
          </w:tcPr>
          <w:p>
            <w:pPr>
              <w:keepNext w:val="0"/>
              <w:keepLines w:val="0"/>
              <w:pageBreakBefore w:val="0"/>
              <w:kinsoku/>
              <w:wordWrap/>
              <w:overflowPunct/>
              <w:topLinePunct w:val="0"/>
              <w:autoSpaceDE/>
              <w:autoSpaceDN/>
              <w:bidi w:val="0"/>
              <w:adjustRightInd w:val="0"/>
              <w:snapToGrid/>
              <w:spacing w:line="0" w:lineRule="atLeast"/>
              <w:jc w:val="center"/>
              <w:rPr>
                <w:rFonts w:hint="default" w:ascii="Times New Roman" w:hAnsi="Times New Roman" w:cs="Times New Roman"/>
                <w:b w:val="0"/>
                <w:bCs/>
                <w:color w:val="auto"/>
                <w:sz w:val="21"/>
                <w:szCs w:val="21"/>
              </w:rPr>
            </w:pPr>
          </w:p>
        </w:tc>
        <w:tc>
          <w:tcPr>
            <w:tcW w:w="774" w:type="pct"/>
            <w:vMerge w:val="restart"/>
            <w:noWrap w:val="0"/>
            <w:vAlign w:val="center"/>
          </w:tcPr>
          <w:p>
            <w:pPr>
              <w:jc w:val="center"/>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3月21日</w:t>
            </w:r>
          </w:p>
        </w:tc>
        <w:tc>
          <w:tcPr>
            <w:tcW w:w="1208" w:type="pct"/>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kern w:val="2"/>
                <w:sz w:val="21"/>
                <w:szCs w:val="21"/>
                <w:lang w:val="en-US" w:eastAsia="zh-CN" w:bidi="ar-SA"/>
              </w:rPr>
              <w:t>2：00~3：00</w:t>
            </w:r>
          </w:p>
        </w:tc>
        <w:tc>
          <w:tcPr>
            <w:tcW w:w="1665" w:type="dxa"/>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color w:val="auto"/>
                <w:sz w:val="21"/>
                <w:szCs w:val="21"/>
                <w:lang w:val="en-US" w:eastAsia="zh-CN"/>
              </w:rPr>
              <w:t>0.13</w:t>
            </w:r>
          </w:p>
        </w:tc>
        <w:tc>
          <w:tcPr>
            <w:tcW w:w="1815" w:type="dxa"/>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color w:val="auto"/>
                <w:sz w:val="21"/>
                <w:szCs w:val="21"/>
                <w:lang w:val="en-US" w:eastAsia="zh-CN"/>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006" w:type="pct"/>
            <w:vMerge w:val="continue"/>
            <w:noWrap w:val="0"/>
            <w:vAlign w:val="center"/>
          </w:tcPr>
          <w:p>
            <w:pPr>
              <w:keepNext w:val="0"/>
              <w:keepLines w:val="0"/>
              <w:pageBreakBefore w:val="0"/>
              <w:kinsoku/>
              <w:wordWrap/>
              <w:overflowPunct/>
              <w:topLinePunct w:val="0"/>
              <w:autoSpaceDE/>
              <w:autoSpaceDN/>
              <w:bidi w:val="0"/>
              <w:adjustRightInd w:val="0"/>
              <w:snapToGrid/>
              <w:spacing w:line="0" w:lineRule="atLeast"/>
              <w:jc w:val="center"/>
              <w:rPr>
                <w:rFonts w:hint="default" w:ascii="Times New Roman" w:hAnsi="Times New Roman" w:cs="Times New Roman"/>
                <w:b w:val="0"/>
                <w:bCs/>
                <w:color w:val="auto"/>
                <w:sz w:val="21"/>
                <w:szCs w:val="21"/>
              </w:rPr>
            </w:pPr>
          </w:p>
        </w:tc>
        <w:tc>
          <w:tcPr>
            <w:tcW w:w="774" w:type="pct"/>
            <w:vMerge w:val="continue"/>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pacing w:val="-6"/>
                <w:sz w:val="21"/>
                <w:szCs w:val="21"/>
                <w:lang w:val="en-US" w:eastAsia="zh-CN"/>
              </w:rPr>
            </w:pPr>
          </w:p>
        </w:tc>
        <w:tc>
          <w:tcPr>
            <w:tcW w:w="1208" w:type="pct"/>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kern w:val="2"/>
                <w:sz w:val="21"/>
                <w:szCs w:val="21"/>
                <w:lang w:val="en-US" w:eastAsia="zh-CN" w:bidi="ar-SA"/>
              </w:rPr>
              <w:t>8：00~9：00</w:t>
            </w:r>
          </w:p>
        </w:tc>
        <w:tc>
          <w:tcPr>
            <w:tcW w:w="1665" w:type="dxa"/>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color w:val="auto"/>
                <w:sz w:val="21"/>
                <w:szCs w:val="21"/>
                <w:lang w:val="en-US" w:eastAsia="zh-CN"/>
              </w:rPr>
              <w:t>0.16</w:t>
            </w:r>
          </w:p>
        </w:tc>
        <w:tc>
          <w:tcPr>
            <w:tcW w:w="1815" w:type="dxa"/>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color w:val="auto"/>
                <w:sz w:val="21"/>
                <w:szCs w:val="21"/>
                <w:lang w:val="en-US" w:eastAsia="zh-CN"/>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006" w:type="pct"/>
            <w:vMerge w:val="continue"/>
            <w:noWrap w:val="0"/>
            <w:vAlign w:val="center"/>
          </w:tcPr>
          <w:p>
            <w:pPr>
              <w:keepNext w:val="0"/>
              <w:keepLines w:val="0"/>
              <w:pageBreakBefore w:val="0"/>
              <w:kinsoku/>
              <w:wordWrap/>
              <w:overflowPunct/>
              <w:topLinePunct w:val="0"/>
              <w:autoSpaceDE/>
              <w:autoSpaceDN/>
              <w:bidi w:val="0"/>
              <w:adjustRightInd w:val="0"/>
              <w:snapToGrid/>
              <w:spacing w:line="0" w:lineRule="atLeast"/>
              <w:jc w:val="center"/>
              <w:rPr>
                <w:rFonts w:hint="default" w:ascii="Times New Roman" w:hAnsi="Times New Roman" w:cs="Times New Roman"/>
                <w:b w:val="0"/>
                <w:bCs/>
                <w:color w:val="auto"/>
                <w:sz w:val="21"/>
                <w:szCs w:val="21"/>
              </w:rPr>
            </w:pPr>
          </w:p>
        </w:tc>
        <w:tc>
          <w:tcPr>
            <w:tcW w:w="774" w:type="pct"/>
            <w:vMerge w:val="continue"/>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pacing w:val="-6"/>
                <w:sz w:val="21"/>
                <w:szCs w:val="21"/>
                <w:lang w:val="en-US" w:eastAsia="zh-CN"/>
              </w:rPr>
            </w:pPr>
          </w:p>
        </w:tc>
        <w:tc>
          <w:tcPr>
            <w:tcW w:w="1208" w:type="pct"/>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kern w:val="2"/>
                <w:sz w:val="21"/>
                <w:szCs w:val="21"/>
                <w:lang w:val="en-US" w:eastAsia="zh-CN" w:bidi="ar-SA"/>
              </w:rPr>
              <w:t>14：00~15：00</w:t>
            </w:r>
          </w:p>
        </w:tc>
        <w:tc>
          <w:tcPr>
            <w:tcW w:w="1665" w:type="dxa"/>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color w:val="auto"/>
                <w:sz w:val="21"/>
                <w:szCs w:val="21"/>
                <w:lang w:val="en-US" w:eastAsia="zh-CN"/>
              </w:rPr>
              <w:t>0.18</w:t>
            </w:r>
          </w:p>
        </w:tc>
        <w:tc>
          <w:tcPr>
            <w:tcW w:w="1815" w:type="dxa"/>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color w:val="auto"/>
                <w:sz w:val="21"/>
                <w:szCs w:val="21"/>
                <w:lang w:val="en-US" w:eastAsia="zh-CN"/>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006" w:type="pct"/>
            <w:vMerge w:val="continue"/>
            <w:noWrap w:val="0"/>
            <w:vAlign w:val="center"/>
          </w:tcPr>
          <w:p>
            <w:pPr>
              <w:keepNext w:val="0"/>
              <w:keepLines w:val="0"/>
              <w:pageBreakBefore w:val="0"/>
              <w:kinsoku/>
              <w:wordWrap/>
              <w:overflowPunct/>
              <w:topLinePunct w:val="0"/>
              <w:autoSpaceDE/>
              <w:autoSpaceDN/>
              <w:bidi w:val="0"/>
              <w:adjustRightInd w:val="0"/>
              <w:snapToGrid/>
              <w:spacing w:line="0" w:lineRule="atLeast"/>
              <w:jc w:val="center"/>
              <w:rPr>
                <w:rFonts w:hint="default" w:ascii="Times New Roman" w:hAnsi="Times New Roman" w:cs="Times New Roman"/>
                <w:b w:val="0"/>
                <w:bCs/>
                <w:color w:val="auto"/>
                <w:sz w:val="21"/>
                <w:szCs w:val="21"/>
              </w:rPr>
            </w:pPr>
          </w:p>
        </w:tc>
        <w:tc>
          <w:tcPr>
            <w:tcW w:w="774" w:type="pct"/>
            <w:vMerge w:val="continue"/>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pacing w:val="-6"/>
                <w:sz w:val="21"/>
                <w:szCs w:val="21"/>
                <w:lang w:val="en-US" w:eastAsia="zh-CN"/>
              </w:rPr>
            </w:pPr>
          </w:p>
        </w:tc>
        <w:tc>
          <w:tcPr>
            <w:tcW w:w="1208" w:type="pct"/>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kern w:val="2"/>
                <w:sz w:val="21"/>
                <w:szCs w:val="21"/>
                <w:lang w:val="en-US" w:eastAsia="zh-CN" w:bidi="ar-SA"/>
              </w:rPr>
              <w:t>20：00~21：00</w:t>
            </w:r>
          </w:p>
        </w:tc>
        <w:tc>
          <w:tcPr>
            <w:tcW w:w="1665" w:type="dxa"/>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color w:val="auto"/>
                <w:sz w:val="21"/>
                <w:szCs w:val="21"/>
                <w:lang w:val="en-US" w:eastAsia="zh-CN"/>
              </w:rPr>
              <w:t>0.14</w:t>
            </w:r>
          </w:p>
        </w:tc>
        <w:tc>
          <w:tcPr>
            <w:tcW w:w="1815" w:type="dxa"/>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color w:val="auto"/>
                <w:sz w:val="21"/>
                <w:szCs w:val="21"/>
                <w:lang w:val="en-US" w:eastAsia="zh-CN"/>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006" w:type="pct"/>
            <w:vMerge w:val="continue"/>
            <w:noWrap w:val="0"/>
            <w:vAlign w:val="center"/>
          </w:tcPr>
          <w:p>
            <w:pPr>
              <w:keepNext w:val="0"/>
              <w:keepLines w:val="0"/>
              <w:pageBreakBefore w:val="0"/>
              <w:kinsoku/>
              <w:wordWrap/>
              <w:overflowPunct/>
              <w:topLinePunct w:val="0"/>
              <w:autoSpaceDE/>
              <w:autoSpaceDN/>
              <w:bidi w:val="0"/>
              <w:adjustRightInd w:val="0"/>
              <w:snapToGrid/>
              <w:spacing w:line="0" w:lineRule="atLeast"/>
              <w:jc w:val="center"/>
              <w:rPr>
                <w:rFonts w:hint="default" w:ascii="Times New Roman" w:hAnsi="Times New Roman" w:eastAsia="宋体" w:cs="Times New Roman"/>
                <w:b w:val="0"/>
                <w:bCs/>
                <w:color w:val="auto"/>
                <w:sz w:val="21"/>
                <w:szCs w:val="21"/>
                <w:lang w:eastAsia="zh-CN"/>
              </w:rPr>
            </w:pPr>
          </w:p>
        </w:tc>
        <w:tc>
          <w:tcPr>
            <w:tcW w:w="774" w:type="pct"/>
            <w:vMerge w:val="restart"/>
            <w:tcBorders>
              <w:top w:val="single" w:color="auto" w:sz="4" w:space="0"/>
              <w:left w:val="single" w:color="auto" w:sz="4" w:space="0"/>
              <w:right w:val="single" w:color="auto" w:sz="4" w:space="0"/>
            </w:tcBorders>
            <w:noWrap w:val="0"/>
            <w:vAlign w:val="center"/>
          </w:tcPr>
          <w:p>
            <w:pPr>
              <w:jc w:val="center"/>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3月22日</w:t>
            </w:r>
          </w:p>
        </w:tc>
        <w:tc>
          <w:tcPr>
            <w:tcW w:w="120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kern w:val="2"/>
                <w:sz w:val="21"/>
                <w:szCs w:val="21"/>
                <w:lang w:val="en-US" w:eastAsia="zh-CN" w:bidi="ar-SA"/>
              </w:rPr>
              <w:t>2：00~3：00</w:t>
            </w:r>
          </w:p>
        </w:tc>
        <w:tc>
          <w:tcPr>
            <w:tcW w:w="166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0.12</w:t>
            </w:r>
          </w:p>
        </w:tc>
        <w:tc>
          <w:tcPr>
            <w:tcW w:w="18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006" w:type="pct"/>
            <w:vMerge w:val="continue"/>
            <w:noWrap w:val="0"/>
            <w:vAlign w:val="center"/>
          </w:tcPr>
          <w:p>
            <w:pPr>
              <w:keepNext w:val="0"/>
              <w:keepLines w:val="0"/>
              <w:pageBreakBefore w:val="0"/>
              <w:kinsoku/>
              <w:wordWrap/>
              <w:overflowPunct/>
              <w:topLinePunct w:val="0"/>
              <w:autoSpaceDE/>
              <w:autoSpaceDN/>
              <w:bidi w:val="0"/>
              <w:adjustRightInd w:val="0"/>
              <w:snapToGrid/>
              <w:spacing w:line="0" w:lineRule="atLeast"/>
              <w:jc w:val="center"/>
              <w:rPr>
                <w:rFonts w:hint="default" w:ascii="Times New Roman" w:hAnsi="Times New Roman" w:cs="Times New Roman"/>
                <w:b w:val="0"/>
                <w:bCs/>
                <w:color w:val="auto"/>
                <w:sz w:val="21"/>
                <w:szCs w:val="21"/>
              </w:rPr>
            </w:pPr>
          </w:p>
        </w:tc>
        <w:tc>
          <w:tcPr>
            <w:tcW w:w="774" w:type="pct"/>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pacing w:val="-6"/>
                <w:sz w:val="21"/>
                <w:szCs w:val="21"/>
                <w:lang w:val="en-US" w:eastAsia="zh-CN"/>
              </w:rPr>
            </w:pPr>
          </w:p>
        </w:tc>
        <w:tc>
          <w:tcPr>
            <w:tcW w:w="120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kern w:val="2"/>
                <w:sz w:val="21"/>
                <w:szCs w:val="21"/>
                <w:lang w:val="en-US" w:eastAsia="zh-CN" w:bidi="ar-SA"/>
              </w:rPr>
              <w:t>8：00~9：00</w:t>
            </w:r>
          </w:p>
        </w:tc>
        <w:tc>
          <w:tcPr>
            <w:tcW w:w="166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0.14</w:t>
            </w:r>
          </w:p>
        </w:tc>
        <w:tc>
          <w:tcPr>
            <w:tcW w:w="18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006" w:type="pct"/>
            <w:vMerge w:val="continue"/>
            <w:noWrap w:val="0"/>
            <w:vAlign w:val="center"/>
          </w:tcPr>
          <w:p>
            <w:pPr>
              <w:keepNext w:val="0"/>
              <w:keepLines w:val="0"/>
              <w:pageBreakBefore w:val="0"/>
              <w:kinsoku/>
              <w:wordWrap/>
              <w:overflowPunct/>
              <w:topLinePunct w:val="0"/>
              <w:autoSpaceDE/>
              <w:autoSpaceDN/>
              <w:bidi w:val="0"/>
              <w:adjustRightInd w:val="0"/>
              <w:snapToGrid/>
              <w:spacing w:line="0" w:lineRule="atLeast"/>
              <w:jc w:val="center"/>
              <w:rPr>
                <w:rFonts w:hint="default" w:ascii="Times New Roman" w:hAnsi="Times New Roman" w:cs="Times New Roman"/>
                <w:b w:val="0"/>
                <w:bCs/>
                <w:color w:val="auto"/>
                <w:sz w:val="21"/>
                <w:szCs w:val="21"/>
              </w:rPr>
            </w:pPr>
          </w:p>
        </w:tc>
        <w:tc>
          <w:tcPr>
            <w:tcW w:w="774" w:type="pct"/>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pacing w:val="-6"/>
                <w:sz w:val="21"/>
                <w:szCs w:val="21"/>
                <w:lang w:val="en-US" w:eastAsia="zh-CN"/>
              </w:rPr>
            </w:pPr>
          </w:p>
        </w:tc>
        <w:tc>
          <w:tcPr>
            <w:tcW w:w="120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kern w:val="2"/>
                <w:sz w:val="21"/>
                <w:szCs w:val="21"/>
                <w:lang w:val="en-US" w:eastAsia="zh-CN" w:bidi="ar-SA"/>
              </w:rPr>
              <w:t>14：00~15：00</w:t>
            </w:r>
          </w:p>
        </w:tc>
        <w:tc>
          <w:tcPr>
            <w:tcW w:w="166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0.13</w:t>
            </w:r>
          </w:p>
        </w:tc>
        <w:tc>
          <w:tcPr>
            <w:tcW w:w="18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006" w:type="pct"/>
            <w:vMerge w:val="continue"/>
            <w:noWrap w:val="0"/>
            <w:vAlign w:val="center"/>
          </w:tcPr>
          <w:p>
            <w:pPr>
              <w:keepNext w:val="0"/>
              <w:keepLines w:val="0"/>
              <w:pageBreakBefore w:val="0"/>
              <w:kinsoku/>
              <w:wordWrap/>
              <w:overflowPunct/>
              <w:topLinePunct w:val="0"/>
              <w:autoSpaceDE/>
              <w:autoSpaceDN/>
              <w:bidi w:val="0"/>
              <w:adjustRightInd w:val="0"/>
              <w:snapToGrid/>
              <w:spacing w:line="0" w:lineRule="atLeast"/>
              <w:jc w:val="center"/>
              <w:rPr>
                <w:rFonts w:hint="default" w:ascii="Times New Roman" w:hAnsi="Times New Roman" w:cs="Times New Roman"/>
                <w:b w:val="0"/>
                <w:bCs/>
                <w:color w:val="auto"/>
                <w:sz w:val="21"/>
                <w:szCs w:val="21"/>
              </w:rPr>
            </w:pPr>
          </w:p>
        </w:tc>
        <w:tc>
          <w:tcPr>
            <w:tcW w:w="774" w:type="pct"/>
            <w:vMerge w:val="continue"/>
            <w:tcBorders>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pacing w:val="-6"/>
                <w:sz w:val="21"/>
                <w:szCs w:val="21"/>
                <w:lang w:val="en-US" w:eastAsia="zh-CN"/>
              </w:rPr>
            </w:pPr>
          </w:p>
        </w:tc>
        <w:tc>
          <w:tcPr>
            <w:tcW w:w="120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kern w:val="2"/>
                <w:sz w:val="21"/>
                <w:szCs w:val="21"/>
                <w:lang w:val="en-US" w:eastAsia="zh-CN" w:bidi="ar-SA"/>
              </w:rPr>
              <w:t>20：00~21：00</w:t>
            </w:r>
          </w:p>
        </w:tc>
        <w:tc>
          <w:tcPr>
            <w:tcW w:w="166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0.16</w:t>
            </w:r>
          </w:p>
        </w:tc>
        <w:tc>
          <w:tcPr>
            <w:tcW w:w="18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006" w:type="pct"/>
            <w:vMerge w:val="continue"/>
            <w:noWrap w:val="0"/>
            <w:vAlign w:val="center"/>
          </w:tcPr>
          <w:p>
            <w:pPr>
              <w:keepNext w:val="0"/>
              <w:keepLines w:val="0"/>
              <w:pageBreakBefore w:val="0"/>
              <w:kinsoku/>
              <w:wordWrap/>
              <w:overflowPunct/>
              <w:topLinePunct w:val="0"/>
              <w:autoSpaceDE/>
              <w:autoSpaceDN/>
              <w:bidi w:val="0"/>
              <w:adjustRightInd w:val="0"/>
              <w:snapToGrid/>
              <w:spacing w:line="0" w:lineRule="atLeast"/>
              <w:jc w:val="center"/>
              <w:rPr>
                <w:rFonts w:hint="default" w:ascii="Times New Roman" w:hAnsi="Times New Roman" w:cs="Times New Roman"/>
                <w:b w:val="0"/>
                <w:bCs/>
                <w:color w:val="auto"/>
                <w:sz w:val="21"/>
                <w:szCs w:val="21"/>
              </w:rPr>
            </w:pPr>
          </w:p>
        </w:tc>
        <w:tc>
          <w:tcPr>
            <w:tcW w:w="774" w:type="pct"/>
            <w:vMerge w:val="restart"/>
            <w:tcBorders>
              <w:top w:val="single" w:color="auto" w:sz="4" w:space="0"/>
              <w:left w:val="single" w:color="auto" w:sz="4" w:space="0"/>
              <w:right w:val="single" w:color="auto" w:sz="4" w:space="0"/>
            </w:tcBorders>
            <w:noWrap w:val="0"/>
            <w:vAlign w:val="center"/>
          </w:tcPr>
          <w:p>
            <w:pPr>
              <w:jc w:val="center"/>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3月23日</w:t>
            </w:r>
          </w:p>
        </w:tc>
        <w:tc>
          <w:tcPr>
            <w:tcW w:w="120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kern w:val="2"/>
                <w:sz w:val="21"/>
                <w:szCs w:val="21"/>
                <w:lang w:val="en-US" w:eastAsia="zh-CN" w:bidi="ar-SA"/>
              </w:rPr>
              <w:t>2：00~3：00</w:t>
            </w:r>
          </w:p>
        </w:tc>
        <w:tc>
          <w:tcPr>
            <w:tcW w:w="166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color w:val="auto"/>
                <w:sz w:val="21"/>
                <w:szCs w:val="21"/>
                <w:lang w:val="en-US" w:eastAsia="zh-CN"/>
              </w:rPr>
              <w:t>0.12</w:t>
            </w:r>
          </w:p>
        </w:tc>
        <w:tc>
          <w:tcPr>
            <w:tcW w:w="18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color w:val="auto"/>
                <w:sz w:val="21"/>
                <w:szCs w:val="21"/>
                <w:lang w:val="en-US" w:eastAsia="zh-CN"/>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006" w:type="pct"/>
            <w:vMerge w:val="continue"/>
            <w:noWrap w:val="0"/>
            <w:vAlign w:val="center"/>
          </w:tcPr>
          <w:p>
            <w:pPr>
              <w:keepNext w:val="0"/>
              <w:keepLines w:val="0"/>
              <w:pageBreakBefore w:val="0"/>
              <w:kinsoku/>
              <w:wordWrap/>
              <w:overflowPunct/>
              <w:topLinePunct w:val="0"/>
              <w:autoSpaceDE/>
              <w:autoSpaceDN/>
              <w:bidi w:val="0"/>
              <w:adjustRightInd w:val="0"/>
              <w:snapToGrid/>
              <w:spacing w:line="0" w:lineRule="atLeast"/>
              <w:jc w:val="center"/>
              <w:rPr>
                <w:rFonts w:hint="default" w:ascii="Times New Roman" w:hAnsi="Times New Roman" w:cs="Times New Roman"/>
                <w:b w:val="0"/>
                <w:bCs/>
                <w:color w:val="auto"/>
                <w:sz w:val="21"/>
                <w:szCs w:val="21"/>
              </w:rPr>
            </w:pPr>
          </w:p>
        </w:tc>
        <w:tc>
          <w:tcPr>
            <w:tcW w:w="774" w:type="pct"/>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z w:val="21"/>
                <w:szCs w:val="21"/>
                <w:lang w:val="en-US" w:eastAsia="zh-CN"/>
              </w:rPr>
            </w:pPr>
          </w:p>
        </w:tc>
        <w:tc>
          <w:tcPr>
            <w:tcW w:w="120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kern w:val="2"/>
                <w:sz w:val="21"/>
                <w:szCs w:val="21"/>
                <w:lang w:val="en-US" w:eastAsia="zh-CN" w:bidi="ar-SA"/>
              </w:rPr>
              <w:t>8：00~9：00</w:t>
            </w:r>
          </w:p>
        </w:tc>
        <w:tc>
          <w:tcPr>
            <w:tcW w:w="166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color w:val="auto"/>
                <w:sz w:val="21"/>
                <w:szCs w:val="21"/>
                <w:lang w:val="en-US" w:eastAsia="zh-CN"/>
              </w:rPr>
              <w:t>0.15</w:t>
            </w:r>
          </w:p>
        </w:tc>
        <w:tc>
          <w:tcPr>
            <w:tcW w:w="18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color w:val="auto"/>
                <w:sz w:val="21"/>
                <w:szCs w:val="21"/>
                <w:lang w:val="en-US" w:eastAsia="zh-CN"/>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006" w:type="pct"/>
            <w:vMerge w:val="continue"/>
            <w:noWrap w:val="0"/>
            <w:vAlign w:val="center"/>
          </w:tcPr>
          <w:p>
            <w:pPr>
              <w:keepNext w:val="0"/>
              <w:keepLines w:val="0"/>
              <w:pageBreakBefore w:val="0"/>
              <w:kinsoku/>
              <w:wordWrap/>
              <w:overflowPunct/>
              <w:topLinePunct w:val="0"/>
              <w:autoSpaceDE/>
              <w:autoSpaceDN/>
              <w:bidi w:val="0"/>
              <w:adjustRightInd w:val="0"/>
              <w:snapToGrid/>
              <w:spacing w:line="0" w:lineRule="atLeast"/>
              <w:jc w:val="center"/>
              <w:rPr>
                <w:rFonts w:hint="default" w:ascii="Times New Roman" w:hAnsi="Times New Roman" w:cs="Times New Roman"/>
                <w:b w:val="0"/>
                <w:bCs/>
                <w:color w:val="auto"/>
                <w:sz w:val="21"/>
                <w:szCs w:val="21"/>
              </w:rPr>
            </w:pPr>
          </w:p>
        </w:tc>
        <w:tc>
          <w:tcPr>
            <w:tcW w:w="774" w:type="pct"/>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z w:val="21"/>
                <w:szCs w:val="21"/>
                <w:lang w:val="en-US" w:eastAsia="zh-CN"/>
              </w:rPr>
            </w:pPr>
          </w:p>
        </w:tc>
        <w:tc>
          <w:tcPr>
            <w:tcW w:w="120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kern w:val="2"/>
                <w:sz w:val="21"/>
                <w:szCs w:val="21"/>
                <w:lang w:val="en-US" w:eastAsia="zh-CN" w:bidi="ar-SA"/>
              </w:rPr>
              <w:t>14：00~15：00</w:t>
            </w:r>
          </w:p>
        </w:tc>
        <w:tc>
          <w:tcPr>
            <w:tcW w:w="166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color w:val="auto"/>
                <w:sz w:val="21"/>
                <w:szCs w:val="21"/>
                <w:lang w:val="en-US" w:eastAsia="zh-CN"/>
              </w:rPr>
              <w:t>0.13</w:t>
            </w:r>
          </w:p>
        </w:tc>
        <w:tc>
          <w:tcPr>
            <w:tcW w:w="18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color w:val="auto"/>
                <w:sz w:val="21"/>
                <w:szCs w:val="21"/>
                <w:lang w:val="en-US" w:eastAsia="zh-CN"/>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006" w:type="pct"/>
            <w:vMerge w:val="continue"/>
            <w:noWrap w:val="0"/>
            <w:vAlign w:val="center"/>
          </w:tcPr>
          <w:p>
            <w:pPr>
              <w:keepNext w:val="0"/>
              <w:keepLines w:val="0"/>
              <w:pageBreakBefore w:val="0"/>
              <w:kinsoku/>
              <w:wordWrap/>
              <w:overflowPunct/>
              <w:topLinePunct w:val="0"/>
              <w:autoSpaceDE/>
              <w:autoSpaceDN/>
              <w:bidi w:val="0"/>
              <w:adjustRightInd w:val="0"/>
              <w:snapToGrid/>
              <w:spacing w:line="0" w:lineRule="atLeast"/>
              <w:jc w:val="center"/>
              <w:rPr>
                <w:rFonts w:hint="default" w:ascii="Times New Roman" w:hAnsi="Times New Roman" w:cs="Times New Roman"/>
                <w:b w:val="0"/>
                <w:bCs/>
                <w:color w:val="auto"/>
                <w:sz w:val="21"/>
                <w:szCs w:val="21"/>
              </w:rPr>
            </w:pPr>
          </w:p>
        </w:tc>
        <w:tc>
          <w:tcPr>
            <w:tcW w:w="774" w:type="pct"/>
            <w:vMerge w:val="continue"/>
            <w:tcBorders>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z w:val="21"/>
                <w:szCs w:val="21"/>
                <w:lang w:val="en-US" w:eastAsia="zh-CN"/>
              </w:rPr>
            </w:pPr>
          </w:p>
        </w:tc>
        <w:tc>
          <w:tcPr>
            <w:tcW w:w="120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kern w:val="2"/>
                <w:sz w:val="21"/>
                <w:szCs w:val="21"/>
                <w:lang w:val="en-US" w:eastAsia="zh-CN" w:bidi="ar-SA"/>
              </w:rPr>
              <w:t>20：00~21：00</w:t>
            </w:r>
          </w:p>
        </w:tc>
        <w:tc>
          <w:tcPr>
            <w:tcW w:w="166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color w:val="auto"/>
                <w:sz w:val="21"/>
                <w:szCs w:val="21"/>
                <w:lang w:val="en-US" w:eastAsia="zh-CN"/>
              </w:rPr>
              <w:t>0.16</w:t>
            </w:r>
          </w:p>
        </w:tc>
        <w:tc>
          <w:tcPr>
            <w:tcW w:w="18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color w:val="auto"/>
                <w:sz w:val="21"/>
                <w:szCs w:val="21"/>
                <w:lang w:val="en-US" w:eastAsia="zh-CN"/>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006" w:type="pct"/>
            <w:vMerge w:val="continue"/>
            <w:noWrap w:val="0"/>
            <w:vAlign w:val="center"/>
          </w:tcPr>
          <w:p>
            <w:pPr>
              <w:keepNext w:val="0"/>
              <w:keepLines w:val="0"/>
              <w:pageBreakBefore w:val="0"/>
              <w:kinsoku/>
              <w:wordWrap/>
              <w:overflowPunct/>
              <w:topLinePunct w:val="0"/>
              <w:autoSpaceDE/>
              <w:autoSpaceDN/>
              <w:bidi w:val="0"/>
              <w:adjustRightInd w:val="0"/>
              <w:snapToGrid/>
              <w:spacing w:line="0" w:lineRule="atLeast"/>
              <w:jc w:val="center"/>
              <w:rPr>
                <w:rFonts w:hint="default" w:ascii="Times New Roman" w:hAnsi="Times New Roman" w:cs="Times New Roman"/>
                <w:b w:val="0"/>
                <w:bCs/>
                <w:color w:val="auto"/>
                <w:sz w:val="21"/>
                <w:szCs w:val="21"/>
              </w:rPr>
            </w:pPr>
          </w:p>
        </w:tc>
        <w:tc>
          <w:tcPr>
            <w:tcW w:w="774" w:type="pct"/>
            <w:vMerge w:val="restart"/>
            <w:tcBorders>
              <w:top w:val="single" w:color="auto" w:sz="4" w:space="0"/>
              <w:left w:val="single" w:color="auto" w:sz="4" w:space="0"/>
              <w:right w:val="single" w:color="auto" w:sz="4" w:space="0"/>
            </w:tcBorders>
            <w:noWrap w:val="0"/>
            <w:vAlign w:val="center"/>
          </w:tcPr>
          <w:p>
            <w:pPr>
              <w:jc w:val="center"/>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3月24日</w:t>
            </w:r>
          </w:p>
        </w:tc>
        <w:tc>
          <w:tcPr>
            <w:tcW w:w="120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kern w:val="2"/>
                <w:sz w:val="21"/>
                <w:szCs w:val="21"/>
                <w:lang w:val="en-US" w:eastAsia="zh-CN" w:bidi="ar-SA"/>
              </w:rPr>
              <w:t>2：00~3：00</w:t>
            </w:r>
          </w:p>
        </w:tc>
        <w:tc>
          <w:tcPr>
            <w:tcW w:w="166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0.12</w:t>
            </w:r>
          </w:p>
        </w:tc>
        <w:tc>
          <w:tcPr>
            <w:tcW w:w="18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006" w:type="pct"/>
            <w:vMerge w:val="continue"/>
            <w:noWrap w:val="0"/>
            <w:vAlign w:val="center"/>
          </w:tcPr>
          <w:p>
            <w:pPr>
              <w:keepNext w:val="0"/>
              <w:keepLines w:val="0"/>
              <w:pageBreakBefore w:val="0"/>
              <w:kinsoku/>
              <w:wordWrap/>
              <w:overflowPunct/>
              <w:topLinePunct w:val="0"/>
              <w:autoSpaceDE/>
              <w:autoSpaceDN/>
              <w:bidi w:val="0"/>
              <w:adjustRightInd w:val="0"/>
              <w:snapToGrid/>
              <w:spacing w:line="0" w:lineRule="atLeast"/>
              <w:jc w:val="center"/>
              <w:rPr>
                <w:rFonts w:hint="default" w:ascii="Times New Roman" w:hAnsi="Times New Roman" w:cs="Times New Roman"/>
                <w:b w:val="0"/>
                <w:bCs/>
                <w:color w:val="auto"/>
                <w:sz w:val="21"/>
                <w:szCs w:val="21"/>
              </w:rPr>
            </w:pPr>
          </w:p>
        </w:tc>
        <w:tc>
          <w:tcPr>
            <w:tcW w:w="774" w:type="pct"/>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z w:val="21"/>
                <w:szCs w:val="21"/>
                <w:lang w:val="en-US" w:eastAsia="zh-CN"/>
              </w:rPr>
            </w:pPr>
          </w:p>
        </w:tc>
        <w:tc>
          <w:tcPr>
            <w:tcW w:w="120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kern w:val="2"/>
                <w:sz w:val="21"/>
                <w:szCs w:val="21"/>
                <w:lang w:val="en-US" w:eastAsia="zh-CN" w:bidi="ar-SA"/>
              </w:rPr>
              <w:t>8：00~9：00</w:t>
            </w:r>
          </w:p>
        </w:tc>
        <w:tc>
          <w:tcPr>
            <w:tcW w:w="166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0.17</w:t>
            </w:r>
          </w:p>
        </w:tc>
        <w:tc>
          <w:tcPr>
            <w:tcW w:w="18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006" w:type="pct"/>
            <w:vMerge w:val="continue"/>
            <w:noWrap w:val="0"/>
            <w:vAlign w:val="center"/>
          </w:tcPr>
          <w:p>
            <w:pPr>
              <w:keepNext w:val="0"/>
              <w:keepLines w:val="0"/>
              <w:pageBreakBefore w:val="0"/>
              <w:kinsoku/>
              <w:wordWrap/>
              <w:overflowPunct/>
              <w:topLinePunct w:val="0"/>
              <w:autoSpaceDE/>
              <w:autoSpaceDN/>
              <w:bidi w:val="0"/>
              <w:adjustRightInd w:val="0"/>
              <w:snapToGrid/>
              <w:spacing w:line="0" w:lineRule="atLeast"/>
              <w:jc w:val="center"/>
              <w:rPr>
                <w:rFonts w:hint="default" w:ascii="Times New Roman" w:hAnsi="Times New Roman" w:cs="Times New Roman"/>
                <w:b w:val="0"/>
                <w:bCs/>
                <w:color w:val="auto"/>
                <w:sz w:val="21"/>
                <w:szCs w:val="21"/>
              </w:rPr>
            </w:pPr>
          </w:p>
        </w:tc>
        <w:tc>
          <w:tcPr>
            <w:tcW w:w="774" w:type="pct"/>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z w:val="21"/>
                <w:szCs w:val="21"/>
                <w:lang w:val="en-US" w:eastAsia="zh-CN"/>
              </w:rPr>
            </w:pPr>
          </w:p>
        </w:tc>
        <w:tc>
          <w:tcPr>
            <w:tcW w:w="120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kern w:val="2"/>
                <w:sz w:val="21"/>
                <w:szCs w:val="21"/>
                <w:lang w:val="en-US" w:eastAsia="zh-CN" w:bidi="ar-SA"/>
              </w:rPr>
              <w:t>14：00~15：00</w:t>
            </w:r>
          </w:p>
        </w:tc>
        <w:tc>
          <w:tcPr>
            <w:tcW w:w="166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0.15</w:t>
            </w:r>
          </w:p>
        </w:tc>
        <w:tc>
          <w:tcPr>
            <w:tcW w:w="18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006" w:type="pct"/>
            <w:vMerge w:val="continue"/>
            <w:noWrap w:val="0"/>
            <w:vAlign w:val="center"/>
          </w:tcPr>
          <w:p>
            <w:pPr>
              <w:keepNext w:val="0"/>
              <w:keepLines w:val="0"/>
              <w:pageBreakBefore w:val="0"/>
              <w:kinsoku/>
              <w:wordWrap/>
              <w:overflowPunct/>
              <w:topLinePunct w:val="0"/>
              <w:autoSpaceDE/>
              <w:autoSpaceDN/>
              <w:bidi w:val="0"/>
              <w:adjustRightInd w:val="0"/>
              <w:snapToGrid/>
              <w:spacing w:line="0" w:lineRule="atLeast"/>
              <w:jc w:val="center"/>
              <w:rPr>
                <w:rFonts w:hint="default" w:ascii="Times New Roman" w:hAnsi="Times New Roman" w:cs="Times New Roman"/>
                <w:b w:val="0"/>
                <w:bCs/>
                <w:color w:val="auto"/>
                <w:sz w:val="21"/>
                <w:szCs w:val="21"/>
              </w:rPr>
            </w:pPr>
          </w:p>
        </w:tc>
        <w:tc>
          <w:tcPr>
            <w:tcW w:w="774" w:type="pct"/>
            <w:vMerge w:val="continue"/>
            <w:tcBorders>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z w:val="21"/>
                <w:szCs w:val="21"/>
                <w:lang w:val="en-US" w:eastAsia="zh-CN"/>
              </w:rPr>
            </w:pPr>
          </w:p>
        </w:tc>
        <w:tc>
          <w:tcPr>
            <w:tcW w:w="120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kern w:val="2"/>
                <w:sz w:val="21"/>
                <w:szCs w:val="21"/>
                <w:lang w:val="en-US" w:eastAsia="zh-CN" w:bidi="ar-SA"/>
              </w:rPr>
              <w:t>20：00~21：00</w:t>
            </w:r>
          </w:p>
        </w:tc>
        <w:tc>
          <w:tcPr>
            <w:tcW w:w="166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0.13</w:t>
            </w:r>
          </w:p>
        </w:tc>
        <w:tc>
          <w:tcPr>
            <w:tcW w:w="18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006" w:type="pct"/>
            <w:vMerge w:val="continue"/>
            <w:noWrap w:val="0"/>
            <w:vAlign w:val="center"/>
          </w:tcPr>
          <w:p>
            <w:pPr>
              <w:keepNext w:val="0"/>
              <w:keepLines w:val="0"/>
              <w:pageBreakBefore w:val="0"/>
              <w:kinsoku/>
              <w:wordWrap/>
              <w:overflowPunct/>
              <w:topLinePunct w:val="0"/>
              <w:autoSpaceDE/>
              <w:autoSpaceDN/>
              <w:bidi w:val="0"/>
              <w:adjustRightInd w:val="0"/>
              <w:snapToGrid/>
              <w:spacing w:line="0" w:lineRule="atLeast"/>
              <w:jc w:val="center"/>
              <w:rPr>
                <w:rFonts w:hint="default" w:ascii="Times New Roman" w:hAnsi="Times New Roman" w:cs="Times New Roman"/>
                <w:b w:val="0"/>
                <w:bCs/>
                <w:color w:val="auto"/>
                <w:sz w:val="21"/>
                <w:szCs w:val="21"/>
              </w:rPr>
            </w:pPr>
          </w:p>
        </w:tc>
        <w:tc>
          <w:tcPr>
            <w:tcW w:w="774" w:type="pct"/>
            <w:vMerge w:val="restart"/>
            <w:tcBorders>
              <w:top w:val="single" w:color="auto" w:sz="4" w:space="0"/>
              <w:left w:val="single" w:color="auto" w:sz="4" w:space="0"/>
              <w:right w:val="single" w:color="auto" w:sz="4" w:space="0"/>
            </w:tcBorders>
            <w:noWrap w:val="0"/>
            <w:vAlign w:val="center"/>
          </w:tcPr>
          <w:p>
            <w:pPr>
              <w:jc w:val="center"/>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3月25日</w:t>
            </w:r>
          </w:p>
        </w:tc>
        <w:tc>
          <w:tcPr>
            <w:tcW w:w="120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kern w:val="2"/>
                <w:sz w:val="21"/>
                <w:szCs w:val="21"/>
                <w:lang w:val="en-US" w:eastAsia="zh-CN" w:bidi="ar-SA"/>
              </w:rPr>
              <w:t>2：00~3：00</w:t>
            </w:r>
          </w:p>
        </w:tc>
        <w:tc>
          <w:tcPr>
            <w:tcW w:w="166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color w:val="auto"/>
                <w:sz w:val="21"/>
                <w:szCs w:val="21"/>
                <w:lang w:val="en-US" w:eastAsia="zh-CN"/>
              </w:rPr>
              <w:t>0.13</w:t>
            </w:r>
          </w:p>
        </w:tc>
        <w:tc>
          <w:tcPr>
            <w:tcW w:w="18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color w:val="auto"/>
                <w:sz w:val="21"/>
                <w:szCs w:val="21"/>
                <w:lang w:val="en-US" w:eastAsia="zh-CN"/>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006" w:type="pct"/>
            <w:vMerge w:val="continue"/>
            <w:noWrap w:val="0"/>
            <w:vAlign w:val="center"/>
          </w:tcPr>
          <w:p>
            <w:pPr>
              <w:keepNext w:val="0"/>
              <w:keepLines w:val="0"/>
              <w:pageBreakBefore w:val="0"/>
              <w:kinsoku/>
              <w:wordWrap/>
              <w:overflowPunct/>
              <w:topLinePunct w:val="0"/>
              <w:autoSpaceDE/>
              <w:autoSpaceDN/>
              <w:bidi w:val="0"/>
              <w:adjustRightInd w:val="0"/>
              <w:snapToGrid/>
              <w:spacing w:line="0" w:lineRule="atLeast"/>
              <w:jc w:val="center"/>
              <w:rPr>
                <w:rFonts w:hint="default" w:ascii="Times New Roman" w:hAnsi="Times New Roman" w:cs="Times New Roman"/>
                <w:b w:val="0"/>
                <w:bCs/>
                <w:color w:val="auto"/>
                <w:sz w:val="21"/>
                <w:szCs w:val="21"/>
              </w:rPr>
            </w:pPr>
          </w:p>
        </w:tc>
        <w:tc>
          <w:tcPr>
            <w:tcW w:w="774" w:type="pct"/>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z w:val="21"/>
                <w:szCs w:val="21"/>
                <w:lang w:val="en-US" w:eastAsia="zh-CN"/>
              </w:rPr>
            </w:pPr>
          </w:p>
        </w:tc>
        <w:tc>
          <w:tcPr>
            <w:tcW w:w="120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kern w:val="2"/>
                <w:sz w:val="21"/>
                <w:szCs w:val="21"/>
                <w:lang w:val="en-US" w:eastAsia="zh-CN" w:bidi="ar-SA"/>
              </w:rPr>
              <w:t>8：00~9：00</w:t>
            </w:r>
          </w:p>
        </w:tc>
        <w:tc>
          <w:tcPr>
            <w:tcW w:w="166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color w:val="auto"/>
                <w:sz w:val="21"/>
                <w:szCs w:val="21"/>
                <w:lang w:val="en-US" w:eastAsia="zh-CN"/>
              </w:rPr>
              <w:t>0.14</w:t>
            </w:r>
          </w:p>
        </w:tc>
        <w:tc>
          <w:tcPr>
            <w:tcW w:w="18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color w:val="auto"/>
                <w:sz w:val="21"/>
                <w:szCs w:val="21"/>
                <w:lang w:val="en-US" w:eastAsia="zh-CN"/>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006" w:type="pct"/>
            <w:vMerge w:val="continue"/>
            <w:noWrap w:val="0"/>
            <w:vAlign w:val="center"/>
          </w:tcPr>
          <w:p>
            <w:pPr>
              <w:keepNext w:val="0"/>
              <w:keepLines w:val="0"/>
              <w:pageBreakBefore w:val="0"/>
              <w:kinsoku/>
              <w:wordWrap/>
              <w:overflowPunct/>
              <w:topLinePunct w:val="0"/>
              <w:autoSpaceDE/>
              <w:autoSpaceDN/>
              <w:bidi w:val="0"/>
              <w:adjustRightInd w:val="0"/>
              <w:snapToGrid/>
              <w:spacing w:line="0" w:lineRule="atLeast"/>
              <w:jc w:val="center"/>
              <w:rPr>
                <w:rFonts w:hint="default" w:ascii="Times New Roman" w:hAnsi="Times New Roman" w:cs="Times New Roman"/>
                <w:b w:val="0"/>
                <w:bCs/>
                <w:color w:val="auto"/>
                <w:sz w:val="21"/>
                <w:szCs w:val="21"/>
              </w:rPr>
            </w:pPr>
          </w:p>
        </w:tc>
        <w:tc>
          <w:tcPr>
            <w:tcW w:w="774" w:type="pct"/>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z w:val="21"/>
                <w:szCs w:val="21"/>
                <w:lang w:val="en-US" w:eastAsia="zh-CN"/>
              </w:rPr>
            </w:pPr>
          </w:p>
        </w:tc>
        <w:tc>
          <w:tcPr>
            <w:tcW w:w="120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kern w:val="2"/>
                <w:sz w:val="21"/>
                <w:szCs w:val="21"/>
                <w:lang w:val="en-US" w:eastAsia="zh-CN" w:bidi="ar-SA"/>
              </w:rPr>
              <w:t>14：00~15：00</w:t>
            </w:r>
          </w:p>
        </w:tc>
        <w:tc>
          <w:tcPr>
            <w:tcW w:w="166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color w:val="auto"/>
                <w:sz w:val="21"/>
                <w:szCs w:val="21"/>
                <w:lang w:val="en-US" w:eastAsia="zh-CN"/>
              </w:rPr>
              <w:t>0.16</w:t>
            </w:r>
          </w:p>
        </w:tc>
        <w:tc>
          <w:tcPr>
            <w:tcW w:w="18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color w:val="auto"/>
                <w:sz w:val="21"/>
                <w:szCs w:val="21"/>
                <w:lang w:val="en-US" w:eastAsia="zh-CN"/>
              </w:rPr>
              <w:t>0.007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006" w:type="pct"/>
            <w:vMerge w:val="continue"/>
            <w:noWrap w:val="0"/>
            <w:vAlign w:val="center"/>
          </w:tcPr>
          <w:p>
            <w:pPr>
              <w:keepNext w:val="0"/>
              <w:keepLines w:val="0"/>
              <w:pageBreakBefore w:val="0"/>
              <w:kinsoku/>
              <w:wordWrap/>
              <w:overflowPunct/>
              <w:topLinePunct w:val="0"/>
              <w:autoSpaceDE/>
              <w:autoSpaceDN/>
              <w:bidi w:val="0"/>
              <w:adjustRightInd w:val="0"/>
              <w:snapToGrid/>
              <w:spacing w:line="0" w:lineRule="atLeast"/>
              <w:jc w:val="center"/>
              <w:rPr>
                <w:rFonts w:hint="default" w:ascii="Times New Roman" w:hAnsi="Times New Roman" w:cs="Times New Roman"/>
                <w:b w:val="0"/>
                <w:bCs/>
                <w:color w:val="auto"/>
                <w:sz w:val="21"/>
                <w:szCs w:val="21"/>
              </w:rPr>
            </w:pPr>
          </w:p>
        </w:tc>
        <w:tc>
          <w:tcPr>
            <w:tcW w:w="774" w:type="pct"/>
            <w:vMerge w:val="continue"/>
            <w:tcBorders>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z w:val="21"/>
                <w:szCs w:val="21"/>
                <w:lang w:val="en-US" w:eastAsia="zh-CN"/>
              </w:rPr>
            </w:pPr>
          </w:p>
        </w:tc>
        <w:tc>
          <w:tcPr>
            <w:tcW w:w="120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kern w:val="2"/>
                <w:sz w:val="21"/>
                <w:szCs w:val="21"/>
                <w:lang w:val="en-US" w:eastAsia="zh-CN" w:bidi="ar-SA"/>
              </w:rPr>
              <w:t>20：00~21：00</w:t>
            </w:r>
          </w:p>
        </w:tc>
        <w:tc>
          <w:tcPr>
            <w:tcW w:w="166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color w:val="auto"/>
                <w:sz w:val="21"/>
                <w:szCs w:val="21"/>
                <w:lang w:val="en-US" w:eastAsia="zh-CN"/>
              </w:rPr>
              <w:t>0.14</w:t>
            </w:r>
          </w:p>
        </w:tc>
        <w:tc>
          <w:tcPr>
            <w:tcW w:w="18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color w:val="auto"/>
                <w:sz w:val="21"/>
                <w:szCs w:val="21"/>
                <w:lang w:val="en-US" w:eastAsia="zh-CN"/>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006" w:type="pct"/>
            <w:vMerge w:val="continue"/>
            <w:noWrap w:val="0"/>
            <w:vAlign w:val="center"/>
          </w:tcPr>
          <w:p>
            <w:pPr>
              <w:keepNext w:val="0"/>
              <w:keepLines w:val="0"/>
              <w:pageBreakBefore w:val="0"/>
              <w:kinsoku/>
              <w:wordWrap/>
              <w:overflowPunct/>
              <w:topLinePunct w:val="0"/>
              <w:autoSpaceDE/>
              <w:autoSpaceDN/>
              <w:bidi w:val="0"/>
              <w:adjustRightInd w:val="0"/>
              <w:snapToGrid/>
              <w:spacing w:line="0" w:lineRule="atLeast"/>
              <w:jc w:val="center"/>
              <w:rPr>
                <w:rFonts w:hint="default" w:ascii="Times New Roman" w:hAnsi="Times New Roman" w:cs="Times New Roman"/>
                <w:b w:val="0"/>
                <w:bCs/>
                <w:color w:val="auto"/>
                <w:sz w:val="21"/>
                <w:szCs w:val="21"/>
              </w:rPr>
            </w:pPr>
          </w:p>
        </w:tc>
        <w:tc>
          <w:tcPr>
            <w:tcW w:w="774"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3月26日</w:t>
            </w:r>
          </w:p>
        </w:tc>
        <w:tc>
          <w:tcPr>
            <w:tcW w:w="120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kern w:val="2"/>
                <w:sz w:val="21"/>
                <w:szCs w:val="21"/>
                <w:lang w:val="en-US" w:eastAsia="zh-CN" w:bidi="ar-SA"/>
              </w:rPr>
              <w:t>2：00~3：00</w:t>
            </w:r>
          </w:p>
        </w:tc>
        <w:tc>
          <w:tcPr>
            <w:tcW w:w="166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0.12</w:t>
            </w:r>
          </w:p>
        </w:tc>
        <w:tc>
          <w:tcPr>
            <w:tcW w:w="18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006" w:type="pct"/>
            <w:vMerge w:val="continue"/>
            <w:noWrap w:val="0"/>
            <w:vAlign w:val="center"/>
          </w:tcPr>
          <w:p>
            <w:pPr>
              <w:keepNext w:val="0"/>
              <w:keepLines w:val="0"/>
              <w:pageBreakBefore w:val="0"/>
              <w:kinsoku/>
              <w:wordWrap/>
              <w:overflowPunct/>
              <w:topLinePunct w:val="0"/>
              <w:autoSpaceDE/>
              <w:autoSpaceDN/>
              <w:bidi w:val="0"/>
              <w:adjustRightInd w:val="0"/>
              <w:snapToGrid/>
              <w:spacing w:line="0" w:lineRule="atLeast"/>
              <w:jc w:val="center"/>
              <w:rPr>
                <w:rFonts w:hint="default" w:ascii="Times New Roman" w:hAnsi="Times New Roman" w:cs="Times New Roman"/>
                <w:b w:val="0"/>
                <w:bCs/>
                <w:color w:val="auto"/>
                <w:sz w:val="21"/>
                <w:szCs w:val="21"/>
              </w:rPr>
            </w:pPr>
          </w:p>
        </w:tc>
        <w:tc>
          <w:tcPr>
            <w:tcW w:w="774" w:type="pct"/>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z w:val="21"/>
                <w:szCs w:val="21"/>
                <w:lang w:val="en-US" w:eastAsia="zh-CN"/>
              </w:rPr>
            </w:pPr>
          </w:p>
        </w:tc>
        <w:tc>
          <w:tcPr>
            <w:tcW w:w="120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kern w:val="2"/>
                <w:sz w:val="21"/>
                <w:szCs w:val="21"/>
                <w:lang w:val="en-US" w:eastAsia="zh-CN" w:bidi="ar-SA"/>
              </w:rPr>
              <w:t>8：00~9：00</w:t>
            </w:r>
          </w:p>
        </w:tc>
        <w:tc>
          <w:tcPr>
            <w:tcW w:w="166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0.14</w:t>
            </w:r>
          </w:p>
        </w:tc>
        <w:tc>
          <w:tcPr>
            <w:tcW w:w="18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006" w:type="pct"/>
            <w:vMerge w:val="continue"/>
            <w:noWrap w:val="0"/>
            <w:vAlign w:val="center"/>
          </w:tcPr>
          <w:p>
            <w:pPr>
              <w:keepNext w:val="0"/>
              <w:keepLines w:val="0"/>
              <w:pageBreakBefore w:val="0"/>
              <w:kinsoku/>
              <w:wordWrap/>
              <w:overflowPunct/>
              <w:topLinePunct w:val="0"/>
              <w:autoSpaceDE/>
              <w:autoSpaceDN/>
              <w:bidi w:val="0"/>
              <w:adjustRightInd w:val="0"/>
              <w:snapToGrid/>
              <w:spacing w:line="0" w:lineRule="atLeast"/>
              <w:jc w:val="center"/>
              <w:rPr>
                <w:rFonts w:hint="default" w:ascii="Times New Roman" w:hAnsi="Times New Roman" w:cs="Times New Roman"/>
                <w:b w:val="0"/>
                <w:bCs/>
                <w:color w:val="auto"/>
                <w:sz w:val="21"/>
                <w:szCs w:val="21"/>
              </w:rPr>
            </w:pPr>
          </w:p>
        </w:tc>
        <w:tc>
          <w:tcPr>
            <w:tcW w:w="774" w:type="pct"/>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z w:val="21"/>
                <w:szCs w:val="21"/>
                <w:lang w:val="en-US" w:eastAsia="zh-CN"/>
              </w:rPr>
            </w:pPr>
          </w:p>
        </w:tc>
        <w:tc>
          <w:tcPr>
            <w:tcW w:w="120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kern w:val="2"/>
                <w:sz w:val="21"/>
                <w:szCs w:val="21"/>
                <w:lang w:val="en-US" w:eastAsia="zh-CN" w:bidi="ar-SA"/>
              </w:rPr>
              <w:t>14：00~15：00</w:t>
            </w:r>
          </w:p>
        </w:tc>
        <w:tc>
          <w:tcPr>
            <w:tcW w:w="166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0.15</w:t>
            </w:r>
          </w:p>
        </w:tc>
        <w:tc>
          <w:tcPr>
            <w:tcW w:w="18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006" w:type="pct"/>
            <w:vMerge w:val="continue"/>
            <w:noWrap w:val="0"/>
            <w:vAlign w:val="center"/>
          </w:tcPr>
          <w:p>
            <w:pPr>
              <w:keepNext w:val="0"/>
              <w:keepLines w:val="0"/>
              <w:pageBreakBefore w:val="0"/>
              <w:kinsoku/>
              <w:wordWrap/>
              <w:overflowPunct/>
              <w:topLinePunct w:val="0"/>
              <w:autoSpaceDE/>
              <w:autoSpaceDN/>
              <w:bidi w:val="0"/>
              <w:adjustRightInd w:val="0"/>
              <w:snapToGrid/>
              <w:spacing w:line="0" w:lineRule="atLeast"/>
              <w:jc w:val="center"/>
              <w:rPr>
                <w:rFonts w:hint="default" w:ascii="Times New Roman" w:hAnsi="Times New Roman" w:cs="Times New Roman"/>
                <w:b w:val="0"/>
                <w:bCs/>
                <w:color w:val="auto"/>
                <w:sz w:val="21"/>
                <w:szCs w:val="21"/>
              </w:rPr>
            </w:pPr>
          </w:p>
        </w:tc>
        <w:tc>
          <w:tcPr>
            <w:tcW w:w="774" w:type="pct"/>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z w:val="21"/>
                <w:szCs w:val="21"/>
                <w:lang w:val="en-US" w:eastAsia="zh-CN"/>
              </w:rPr>
            </w:pPr>
          </w:p>
        </w:tc>
        <w:tc>
          <w:tcPr>
            <w:tcW w:w="120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kern w:val="2"/>
                <w:sz w:val="21"/>
                <w:szCs w:val="21"/>
                <w:lang w:val="en-US" w:eastAsia="zh-CN" w:bidi="ar-SA"/>
              </w:rPr>
              <w:t>20：00~21：00</w:t>
            </w:r>
          </w:p>
        </w:tc>
        <w:tc>
          <w:tcPr>
            <w:tcW w:w="166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0.16</w:t>
            </w:r>
          </w:p>
        </w:tc>
        <w:tc>
          <w:tcPr>
            <w:tcW w:w="18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2990" w:type="pct"/>
            <w:gridSpan w:val="3"/>
            <w:tcBorders>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标准值</w:t>
            </w:r>
          </w:p>
        </w:tc>
        <w:tc>
          <w:tcPr>
            <w:tcW w:w="96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0.20</w:t>
            </w:r>
          </w:p>
        </w:tc>
        <w:tc>
          <w:tcPr>
            <w:tcW w:w="104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2990" w:type="pct"/>
            <w:gridSpan w:val="3"/>
            <w:tcBorders>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是否达标</w:t>
            </w:r>
          </w:p>
        </w:tc>
        <w:tc>
          <w:tcPr>
            <w:tcW w:w="96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达标</w:t>
            </w:r>
          </w:p>
        </w:tc>
        <w:tc>
          <w:tcPr>
            <w:tcW w:w="104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spacing w:line="0" w:lineRule="atLeast"/>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达标</w:t>
            </w:r>
          </w:p>
        </w:tc>
      </w:tr>
    </w:tbl>
    <w:p>
      <w:pPr>
        <w:autoSpaceDE w:val="0"/>
        <w:autoSpaceDN w:val="0"/>
        <w:spacing w:beforeLines="50" w:line="360" w:lineRule="auto"/>
        <w:ind w:firstLine="480" w:firstLineChars="200"/>
        <w:jc w:val="left"/>
        <w:rPr>
          <w:rFonts w:hint="default" w:ascii="Times New Roman" w:hAnsi="Times New Roman" w:cs="Times New Roman"/>
          <w:color w:val="auto"/>
          <w:kern w:val="0"/>
        </w:rPr>
      </w:pPr>
      <w:r>
        <w:rPr>
          <w:rFonts w:hint="default" w:ascii="Times New Roman" w:hAnsi="Times New Roman" w:cs="Times New Roman"/>
          <w:color w:val="auto"/>
        </w:rPr>
        <w:t>（2）</w:t>
      </w:r>
      <w:r>
        <w:rPr>
          <w:rFonts w:hint="default" w:ascii="Times New Roman" w:hAnsi="Times New Roman" w:cs="Times New Roman"/>
          <w:color w:val="auto"/>
          <w:kern w:val="0"/>
        </w:rPr>
        <w:t>评价方法</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根据《环境影响评价技术导则——大气环境》（HJ2.2-2018）中附录C3.2对区域空气质量现状进行评价。</w:t>
      </w:r>
    </w:p>
    <w:p>
      <w:pPr>
        <w:autoSpaceDE w:val="0"/>
        <w:autoSpaceDN w:val="0"/>
        <w:adjustRightInd w:val="0"/>
        <w:spacing w:line="360" w:lineRule="auto"/>
        <w:ind w:firstLine="480" w:firstLineChars="200"/>
        <w:jc w:val="left"/>
        <w:rPr>
          <w:rFonts w:hint="default" w:ascii="Times New Roman" w:hAnsi="Times New Roman" w:cs="Times New Roman"/>
          <w:color w:val="auto"/>
          <w:kern w:val="0"/>
        </w:rPr>
      </w:pPr>
      <w:r>
        <w:rPr>
          <w:rFonts w:hint="default" w:ascii="Times New Roman" w:hAnsi="Times New Roman" w:cs="Times New Roman"/>
          <w:color w:val="auto"/>
          <w:kern w:val="0"/>
        </w:rPr>
        <w:t>（3）评价结果</w:t>
      </w:r>
    </w:p>
    <w:p>
      <w:pPr>
        <w:autoSpaceDE w:val="0"/>
        <w:autoSpaceDN w:val="0"/>
        <w:adjustRightInd w:val="0"/>
        <w:spacing w:line="360" w:lineRule="auto"/>
        <w:ind w:firstLine="480" w:firstLineChars="200"/>
        <w:jc w:val="left"/>
        <w:rPr>
          <w:rFonts w:hint="default" w:ascii="Times New Roman" w:hAnsi="Times New Roman" w:cs="Times New Roman"/>
          <w:color w:val="auto"/>
          <w:kern w:val="0"/>
        </w:rPr>
      </w:pPr>
      <w:r>
        <w:rPr>
          <w:rFonts w:hint="default" w:ascii="Times New Roman" w:hAnsi="Times New Roman" w:cs="Times New Roman"/>
          <w:color w:val="auto"/>
          <w:kern w:val="0"/>
        </w:rPr>
        <w:t>根据上述评价标准与评价方法，得到的评价结果见下表。</w:t>
      </w:r>
    </w:p>
    <w:p>
      <w:pPr>
        <w:pStyle w:val="133"/>
        <w:keepNext w:val="0"/>
        <w:keepLines w:val="0"/>
        <w:pageBreakBefore w:val="0"/>
        <w:widowControl w:val="0"/>
        <w:numPr>
          <w:ilvl w:val="0"/>
          <w:numId w:val="15"/>
        </w:numPr>
        <w:tabs>
          <w:tab w:val="left" w:pos="1020"/>
        </w:tabs>
        <w:kinsoku/>
        <w:wordWrap/>
        <w:overflowPunct/>
        <w:topLinePunct w:val="0"/>
        <w:autoSpaceDE/>
        <w:autoSpaceDN/>
        <w:bidi w:val="0"/>
        <w:adjustRightInd/>
        <w:snapToGrid/>
        <w:spacing w:line="360" w:lineRule="auto"/>
        <w:ind w:left="840" w:leftChars="0" w:hanging="420" w:firstLineChars="0"/>
        <w:jc w:val="center"/>
        <w:textAlignment w:val="auto"/>
        <w:rPr>
          <w:rFonts w:hint="default" w:ascii="Times New Roman" w:hAnsi="Times New Roman" w:cs="Times New Roman"/>
          <w:b/>
          <w:bCs/>
          <w:color w:val="auto"/>
          <w:spacing w:val="1"/>
        </w:rPr>
        <w:sectPr>
          <w:pgSz w:w="11906" w:h="16838"/>
          <w:pgMar w:top="1440" w:right="1797" w:bottom="1440" w:left="1797" w:header="851" w:footer="992" w:gutter="0"/>
          <w:pgBorders>
            <w:top w:val="none" w:sz="0" w:space="0"/>
            <w:left w:val="none" w:sz="0" w:space="0"/>
            <w:bottom w:val="none" w:sz="0" w:space="0"/>
            <w:right w:val="none" w:sz="0" w:space="0"/>
          </w:pgBorders>
          <w:cols w:space="720" w:num="1"/>
          <w:docGrid w:linePitch="312" w:charSpace="0"/>
        </w:sectPr>
      </w:pPr>
    </w:p>
    <w:p>
      <w:pPr>
        <w:pStyle w:val="133"/>
        <w:keepNext w:val="0"/>
        <w:keepLines w:val="0"/>
        <w:pageBreakBefore w:val="0"/>
        <w:widowControl w:val="0"/>
        <w:numPr>
          <w:ilvl w:val="0"/>
          <w:numId w:val="15"/>
        </w:numPr>
        <w:tabs>
          <w:tab w:val="left" w:pos="1020"/>
        </w:tabs>
        <w:kinsoku/>
        <w:wordWrap/>
        <w:overflowPunct/>
        <w:topLinePunct w:val="0"/>
        <w:autoSpaceDE/>
        <w:autoSpaceDN/>
        <w:bidi w:val="0"/>
        <w:adjustRightInd/>
        <w:snapToGrid/>
        <w:spacing w:line="360" w:lineRule="auto"/>
        <w:ind w:left="840" w:leftChars="0" w:hanging="420" w:firstLineChars="0"/>
        <w:jc w:val="center"/>
        <w:textAlignment w:val="auto"/>
        <w:rPr>
          <w:rFonts w:hint="default" w:ascii="Times New Roman" w:hAnsi="Times New Roman" w:cs="Times New Roman"/>
          <w:b/>
          <w:bCs/>
          <w:color w:val="auto"/>
          <w:spacing w:val="1"/>
        </w:rPr>
      </w:pPr>
      <w:r>
        <w:rPr>
          <w:rFonts w:hint="default" w:ascii="Times New Roman" w:hAnsi="Times New Roman" w:cs="Times New Roman"/>
          <w:b/>
          <w:bCs/>
          <w:color w:val="auto"/>
          <w:spacing w:val="1"/>
        </w:rPr>
        <w:t>其他污染物环境质量现状评价表</w:t>
      </w:r>
    </w:p>
    <w:tbl>
      <w:tblPr>
        <w:tblStyle w:val="44"/>
        <w:tblW w:w="144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54"/>
        <w:gridCol w:w="1460"/>
        <w:gridCol w:w="1433"/>
        <w:gridCol w:w="1167"/>
        <w:gridCol w:w="1366"/>
        <w:gridCol w:w="1204"/>
        <w:gridCol w:w="1217"/>
        <w:gridCol w:w="1101"/>
        <w:gridCol w:w="833"/>
        <w:gridCol w:w="9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54" w:type="dxa"/>
            <w:vMerge w:val="restart"/>
            <w:vAlign w:val="center"/>
          </w:tcPr>
          <w:p>
            <w:pPr>
              <w:pStyle w:val="43"/>
              <w:spacing w:after="0"/>
              <w:ind w:left="0" w:leftChars="0"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点位名称</w:t>
            </w:r>
          </w:p>
        </w:tc>
        <w:tc>
          <w:tcPr>
            <w:tcW w:w="2893" w:type="dxa"/>
            <w:gridSpan w:val="2"/>
            <w:vAlign w:val="center"/>
          </w:tcPr>
          <w:p>
            <w:pPr>
              <w:pStyle w:val="43"/>
              <w:spacing w:after="0"/>
              <w:ind w:left="0" w:leftChars="0"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监测点位坐标</w:t>
            </w:r>
          </w:p>
        </w:tc>
        <w:tc>
          <w:tcPr>
            <w:tcW w:w="1167" w:type="dxa"/>
            <w:vMerge w:val="restart"/>
            <w:vAlign w:val="center"/>
          </w:tcPr>
          <w:p>
            <w:pPr>
              <w:pStyle w:val="43"/>
              <w:spacing w:after="0"/>
              <w:ind w:left="0" w:leftChars="0"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污染物</w:t>
            </w:r>
          </w:p>
        </w:tc>
        <w:tc>
          <w:tcPr>
            <w:tcW w:w="1366" w:type="dxa"/>
            <w:vMerge w:val="restart"/>
            <w:vAlign w:val="center"/>
          </w:tcPr>
          <w:p>
            <w:pPr>
              <w:pStyle w:val="43"/>
              <w:spacing w:after="0"/>
              <w:ind w:left="0" w:leftChars="0"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平均时间</w:t>
            </w:r>
          </w:p>
        </w:tc>
        <w:tc>
          <w:tcPr>
            <w:tcW w:w="1204" w:type="dxa"/>
            <w:vMerge w:val="restart"/>
            <w:vAlign w:val="center"/>
          </w:tcPr>
          <w:p>
            <w:pPr>
              <w:pStyle w:val="43"/>
              <w:spacing w:after="0"/>
              <w:ind w:left="0" w:leftChars="0"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评价标准</w:t>
            </w:r>
            <w:r>
              <w:rPr>
                <w:rFonts w:hint="default" w:ascii="Times New Roman" w:hAnsi="Times New Roman" w:cs="Times New Roman"/>
                <w:color w:val="auto"/>
                <w:sz w:val="21"/>
                <w:szCs w:val="21"/>
              </w:rPr>
              <w:t>μg/m</w:t>
            </w:r>
            <w:r>
              <w:rPr>
                <w:rFonts w:hint="default" w:ascii="Times New Roman" w:hAnsi="Times New Roman" w:cs="Times New Roman"/>
                <w:color w:val="auto"/>
                <w:sz w:val="21"/>
                <w:szCs w:val="21"/>
                <w:vertAlign w:val="superscript"/>
              </w:rPr>
              <w:t>3</w:t>
            </w:r>
          </w:p>
        </w:tc>
        <w:tc>
          <w:tcPr>
            <w:tcW w:w="1217" w:type="dxa"/>
            <w:vMerge w:val="restart"/>
            <w:vAlign w:val="center"/>
          </w:tcPr>
          <w:p>
            <w:pPr>
              <w:pStyle w:val="43"/>
              <w:spacing w:after="0"/>
              <w:ind w:left="0" w:leftChars="0"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现状最大浓度</w:t>
            </w:r>
            <w:r>
              <w:rPr>
                <w:rFonts w:hint="default" w:ascii="Times New Roman" w:hAnsi="Times New Roman" w:cs="Times New Roman"/>
                <w:color w:val="auto"/>
                <w:sz w:val="21"/>
                <w:szCs w:val="21"/>
              </w:rPr>
              <w:t>μg/m</w:t>
            </w:r>
            <w:r>
              <w:rPr>
                <w:rFonts w:hint="default" w:ascii="Times New Roman" w:hAnsi="Times New Roman" w:cs="Times New Roman"/>
                <w:color w:val="auto"/>
                <w:sz w:val="21"/>
                <w:szCs w:val="21"/>
                <w:vertAlign w:val="superscript"/>
              </w:rPr>
              <w:t>3</w:t>
            </w:r>
          </w:p>
        </w:tc>
        <w:tc>
          <w:tcPr>
            <w:tcW w:w="1101" w:type="dxa"/>
            <w:vMerge w:val="restart"/>
            <w:vAlign w:val="center"/>
          </w:tcPr>
          <w:p>
            <w:pPr>
              <w:pStyle w:val="43"/>
              <w:spacing w:after="0"/>
              <w:ind w:left="0" w:leftChars="0"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最大浓度占标率%</w:t>
            </w:r>
          </w:p>
        </w:tc>
        <w:tc>
          <w:tcPr>
            <w:tcW w:w="833" w:type="dxa"/>
            <w:vMerge w:val="restart"/>
            <w:vAlign w:val="center"/>
          </w:tcPr>
          <w:p>
            <w:pPr>
              <w:pStyle w:val="43"/>
              <w:spacing w:after="0"/>
              <w:ind w:left="0" w:leftChars="0"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超标率%</w:t>
            </w:r>
          </w:p>
        </w:tc>
        <w:tc>
          <w:tcPr>
            <w:tcW w:w="998" w:type="dxa"/>
            <w:vMerge w:val="restart"/>
            <w:vAlign w:val="center"/>
          </w:tcPr>
          <w:p>
            <w:pPr>
              <w:pStyle w:val="43"/>
              <w:spacing w:after="0"/>
              <w:ind w:left="0" w:leftChars="0"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54" w:type="dxa"/>
            <w:vMerge w:val="continue"/>
            <w:vAlign w:val="center"/>
          </w:tcPr>
          <w:p>
            <w:pPr>
              <w:pStyle w:val="43"/>
              <w:spacing w:after="0"/>
              <w:ind w:left="0" w:leftChars="0" w:firstLine="0" w:firstLineChars="0"/>
              <w:jc w:val="center"/>
              <w:rPr>
                <w:rFonts w:hint="default" w:ascii="Times New Roman" w:hAnsi="Times New Roman" w:cs="Times New Roman"/>
                <w:color w:val="auto"/>
                <w:kern w:val="0"/>
                <w:sz w:val="21"/>
                <w:szCs w:val="21"/>
              </w:rPr>
            </w:pPr>
          </w:p>
        </w:tc>
        <w:tc>
          <w:tcPr>
            <w:tcW w:w="1460" w:type="dxa"/>
            <w:vAlign w:val="center"/>
          </w:tcPr>
          <w:p>
            <w:pPr>
              <w:pStyle w:val="43"/>
              <w:spacing w:after="0"/>
              <w:ind w:left="0" w:leftChars="0"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经度</w:t>
            </w:r>
          </w:p>
        </w:tc>
        <w:tc>
          <w:tcPr>
            <w:tcW w:w="1433" w:type="dxa"/>
            <w:vAlign w:val="center"/>
          </w:tcPr>
          <w:p>
            <w:pPr>
              <w:pStyle w:val="43"/>
              <w:spacing w:after="0"/>
              <w:ind w:left="0" w:leftChars="0"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纬度</w:t>
            </w:r>
          </w:p>
        </w:tc>
        <w:tc>
          <w:tcPr>
            <w:tcW w:w="1167" w:type="dxa"/>
            <w:vMerge w:val="continue"/>
            <w:vAlign w:val="center"/>
          </w:tcPr>
          <w:p>
            <w:pPr>
              <w:pStyle w:val="43"/>
              <w:spacing w:after="0"/>
              <w:ind w:left="0" w:leftChars="0" w:firstLine="0" w:firstLineChars="0"/>
              <w:jc w:val="center"/>
              <w:rPr>
                <w:rFonts w:hint="default" w:ascii="Times New Roman" w:hAnsi="Times New Roman" w:cs="Times New Roman"/>
                <w:color w:val="auto"/>
                <w:kern w:val="0"/>
                <w:sz w:val="21"/>
                <w:szCs w:val="21"/>
              </w:rPr>
            </w:pPr>
          </w:p>
        </w:tc>
        <w:tc>
          <w:tcPr>
            <w:tcW w:w="1366" w:type="dxa"/>
            <w:vMerge w:val="continue"/>
            <w:vAlign w:val="center"/>
          </w:tcPr>
          <w:p>
            <w:pPr>
              <w:pStyle w:val="43"/>
              <w:spacing w:after="0"/>
              <w:ind w:left="0" w:leftChars="0" w:firstLine="0" w:firstLineChars="0"/>
              <w:jc w:val="center"/>
              <w:rPr>
                <w:rFonts w:hint="default" w:ascii="Times New Roman" w:hAnsi="Times New Roman" w:cs="Times New Roman"/>
                <w:color w:val="auto"/>
                <w:kern w:val="0"/>
                <w:sz w:val="21"/>
                <w:szCs w:val="21"/>
              </w:rPr>
            </w:pPr>
          </w:p>
        </w:tc>
        <w:tc>
          <w:tcPr>
            <w:tcW w:w="1204" w:type="dxa"/>
            <w:vMerge w:val="continue"/>
            <w:vAlign w:val="center"/>
          </w:tcPr>
          <w:p>
            <w:pPr>
              <w:pStyle w:val="43"/>
              <w:spacing w:after="0"/>
              <w:ind w:left="0" w:leftChars="0" w:firstLine="0" w:firstLineChars="0"/>
              <w:jc w:val="center"/>
              <w:rPr>
                <w:rFonts w:hint="default" w:ascii="Times New Roman" w:hAnsi="Times New Roman" w:cs="Times New Roman"/>
                <w:color w:val="auto"/>
                <w:kern w:val="0"/>
                <w:sz w:val="21"/>
                <w:szCs w:val="21"/>
              </w:rPr>
            </w:pPr>
          </w:p>
        </w:tc>
        <w:tc>
          <w:tcPr>
            <w:tcW w:w="1217" w:type="dxa"/>
            <w:vMerge w:val="continue"/>
            <w:vAlign w:val="center"/>
          </w:tcPr>
          <w:p>
            <w:pPr>
              <w:pStyle w:val="43"/>
              <w:spacing w:after="0"/>
              <w:ind w:left="0" w:leftChars="0" w:firstLine="0" w:firstLineChars="0"/>
              <w:jc w:val="center"/>
              <w:rPr>
                <w:rFonts w:hint="default" w:ascii="Times New Roman" w:hAnsi="Times New Roman" w:cs="Times New Roman"/>
                <w:color w:val="auto"/>
                <w:kern w:val="0"/>
                <w:sz w:val="21"/>
                <w:szCs w:val="21"/>
              </w:rPr>
            </w:pPr>
          </w:p>
        </w:tc>
        <w:tc>
          <w:tcPr>
            <w:tcW w:w="1101" w:type="dxa"/>
            <w:vMerge w:val="continue"/>
            <w:vAlign w:val="center"/>
          </w:tcPr>
          <w:p>
            <w:pPr>
              <w:pStyle w:val="43"/>
              <w:spacing w:after="0"/>
              <w:ind w:left="0" w:leftChars="0" w:firstLine="0" w:firstLineChars="0"/>
              <w:jc w:val="center"/>
              <w:rPr>
                <w:rFonts w:hint="default" w:ascii="Times New Roman" w:hAnsi="Times New Roman" w:cs="Times New Roman"/>
                <w:color w:val="auto"/>
                <w:kern w:val="0"/>
                <w:sz w:val="21"/>
                <w:szCs w:val="21"/>
              </w:rPr>
            </w:pPr>
          </w:p>
        </w:tc>
        <w:tc>
          <w:tcPr>
            <w:tcW w:w="833" w:type="dxa"/>
            <w:vMerge w:val="continue"/>
            <w:vAlign w:val="center"/>
          </w:tcPr>
          <w:p>
            <w:pPr>
              <w:pStyle w:val="43"/>
              <w:spacing w:after="0"/>
              <w:ind w:left="0" w:leftChars="0" w:firstLine="0" w:firstLineChars="0"/>
              <w:jc w:val="center"/>
              <w:rPr>
                <w:rFonts w:hint="default" w:ascii="Times New Roman" w:hAnsi="Times New Roman" w:cs="Times New Roman"/>
                <w:color w:val="auto"/>
                <w:kern w:val="0"/>
                <w:sz w:val="21"/>
                <w:szCs w:val="21"/>
              </w:rPr>
            </w:pPr>
          </w:p>
        </w:tc>
        <w:tc>
          <w:tcPr>
            <w:tcW w:w="998" w:type="dxa"/>
            <w:vMerge w:val="continue"/>
            <w:vAlign w:val="center"/>
          </w:tcPr>
          <w:p>
            <w:pPr>
              <w:pStyle w:val="43"/>
              <w:spacing w:after="0"/>
              <w:ind w:left="0" w:leftChars="0" w:firstLine="0" w:firstLineChars="0"/>
              <w:jc w:val="center"/>
              <w:rPr>
                <w:rFonts w:hint="default" w:ascii="Times New Roman" w:hAnsi="Times New Roman" w:cs="Times New Roman"/>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54" w:type="dxa"/>
            <w:vAlign w:val="center"/>
          </w:tcPr>
          <w:p>
            <w:pPr>
              <w:pStyle w:val="43"/>
              <w:spacing w:after="0"/>
              <w:ind w:left="0" w:leftChars="0"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21"/>
                <w:sz w:val="21"/>
                <w:szCs w:val="21"/>
                <w:lang w:eastAsia="zh-CN"/>
              </w:rPr>
              <w:t>“</w:t>
            </w:r>
            <w:r>
              <w:rPr>
                <w:rFonts w:hint="default" w:ascii="Times New Roman" w:hAnsi="Times New Roman" w:cs="Times New Roman"/>
                <w:color w:val="auto"/>
                <w:kern w:val="21"/>
                <w:sz w:val="21"/>
                <w:szCs w:val="21"/>
                <w:lang w:eastAsia="zh-CN" w:bidi="ar"/>
              </w:rPr>
              <w:t>年产</w:t>
            </w:r>
            <w:r>
              <w:rPr>
                <w:rFonts w:hint="default" w:ascii="Times New Roman" w:hAnsi="Times New Roman" w:cs="Times New Roman"/>
                <w:color w:val="auto"/>
                <w:kern w:val="21"/>
                <w:sz w:val="21"/>
                <w:szCs w:val="21"/>
                <w:lang w:val="en-US" w:eastAsia="zh-CN" w:bidi="ar"/>
              </w:rPr>
              <w:t>22GW单晶硅片建设项目</w:t>
            </w:r>
            <w:r>
              <w:rPr>
                <w:rFonts w:hint="default" w:ascii="Times New Roman" w:hAnsi="Times New Roman" w:cs="Times New Roman"/>
                <w:color w:val="auto"/>
                <w:kern w:val="21"/>
                <w:sz w:val="21"/>
                <w:szCs w:val="21"/>
                <w:lang w:eastAsia="zh-CN"/>
              </w:rPr>
              <w:t>”</w:t>
            </w:r>
            <w:r>
              <w:rPr>
                <w:rFonts w:hint="default" w:ascii="Times New Roman" w:hAnsi="Times New Roman" w:cs="Times New Roman"/>
                <w:color w:val="auto"/>
                <w:kern w:val="21"/>
                <w:sz w:val="21"/>
                <w:szCs w:val="21"/>
                <w:lang w:val="en-US" w:eastAsia="zh-CN" w:bidi="ar"/>
              </w:rPr>
              <w:t>切片车间（本项目下风向500m）</w:t>
            </w:r>
          </w:p>
        </w:tc>
        <w:tc>
          <w:tcPr>
            <w:tcW w:w="1460" w:type="dxa"/>
            <w:vAlign w:val="center"/>
          </w:tcPr>
          <w:p>
            <w:pPr>
              <w:pStyle w:val="43"/>
              <w:spacing w:after="0"/>
              <w:ind w:left="0" w:leftChars="0"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sz w:val="21"/>
                <w:szCs w:val="21"/>
              </w:rPr>
              <w:t>101°36'2</w:t>
            </w:r>
            <w:r>
              <w:rPr>
                <w:rFonts w:hint="default" w:ascii="Times New Roman" w:hAnsi="Times New Roman" w:cs="Times New Roman"/>
                <w:color w:val="auto"/>
                <w:sz w:val="21"/>
                <w:szCs w:val="21"/>
                <w:lang w:val="en-US" w:eastAsia="zh-CN"/>
              </w:rPr>
              <w:t>1.17</w:t>
            </w:r>
            <w:r>
              <w:rPr>
                <w:rFonts w:hint="default" w:ascii="Times New Roman" w:hAnsi="Times New Roman" w:cs="Times New Roman"/>
                <w:color w:val="auto"/>
                <w:sz w:val="21"/>
                <w:szCs w:val="21"/>
              </w:rPr>
              <w:t>"</w:t>
            </w:r>
          </w:p>
        </w:tc>
        <w:tc>
          <w:tcPr>
            <w:tcW w:w="1433" w:type="dxa"/>
            <w:vAlign w:val="center"/>
          </w:tcPr>
          <w:p>
            <w:pPr>
              <w:pStyle w:val="43"/>
              <w:spacing w:after="0"/>
              <w:ind w:left="0" w:leftChars="0"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sz w:val="21"/>
                <w:szCs w:val="21"/>
              </w:rPr>
              <w:t>25°01'</w:t>
            </w:r>
            <w:r>
              <w:rPr>
                <w:rFonts w:hint="default" w:ascii="Times New Roman" w:hAnsi="Times New Roman" w:cs="Times New Roman"/>
                <w:color w:val="auto"/>
                <w:sz w:val="21"/>
                <w:szCs w:val="21"/>
                <w:lang w:val="en-US" w:eastAsia="zh-CN"/>
              </w:rPr>
              <w:t>55.92</w:t>
            </w:r>
            <w:r>
              <w:rPr>
                <w:rFonts w:hint="default" w:ascii="Times New Roman" w:hAnsi="Times New Roman" w:cs="Times New Roman"/>
                <w:color w:val="auto"/>
                <w:sz w:val="21"/>
                <w:szCs w:val="21"/>
              </w:rPr>
              <w:t>"</w:t>
            </w:r>
          </w:p>
        </w:tc>
        <w:tc>
          <w:tcPr>
            <w:tcW w:w="1167" w:type="dxa"/>
            <w:vAlign w:val="center"/>
          </w:tcPr>
          <w:p>
            <w:pPr>
              <w:pStyle w:val="43"/>
              <w:spacing w:after="0"/>
              <w:ind w:left="0" w:leftChars="0" w:firstLine="0" w:firstLineChars="0"/>
              <w:jc w:val="center"/>
              <w:rPr>
                <w:rFonts w:hint="default" w:ascii="Times New Roman" w:hAnsi="Times New Roman" w:eastAsia="宋体" w:cs="Times New Roman"/>
                <w:color w:val="auto"/>
                <w:kern w:val="0"/>
                <w:sz w:val="21"/>
                <w:szCs w:val="21"/>
                <w:lang w:eastAsia="zh-CN"/>
              </w:rPr>
            </w:pPr>
            <w:r>
              <w:rPr>
                <w:rFonts w:hint="default" w:ascii="Times New Roman" w:hAnsi="Times New Roman" w:cs="Times New Roman"/>
                <w:color w:val="auto"/>
                <w:kern w:val="0"/>
                <w:sz w:val="21"/>
                <w:szCs w:val="21"/>
                <w:lang w:eastAsia="zh-CN"/>
              </w:rPr>
              <w:t>非甲烷总烃</w:t>
            </w:r>
          </w:p>
        </w:tc>
        <w:tc>
          <w:tcPr>
            <w:tcW w:w="1366" w:type="dxa"/>
            <w:vAlign w:val="center"/>
          </w:tcPr>
          <w:p>
            <w:pPr>
              <w:pStyle w:val="43"/>
              <w:spacing w:after="0"/>
              <w:ind w:left="0" w:leftChars="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rPr>
              <w:t>1</w:t>
            </w:r>
            <w:r>
              <w:rPr>
                <w:rFonts w:hint="default" w:ascii="Times New Roman" w:hAnsi="Times New Roman" w:cs="Times New Roman"/>
                <w:color w:val="auto"/>
                <w:kern w:val="0"/>
                <w:sz w:val="21"/>
                <w:szCs w:val="21"/>
              </w:rPr>
              <w:t>小时均值</w:t>
            </w:r>
          </w:p>
        </w:tc>
        <w:tc>
          <w:tcPr>
            <w:tcW w:w="1204" w:type="dxa"/>
            <w:vAlign w:val="center"/>
          </w:tcPr>
          <w:p>
            <w:pPr>
              <w:pStyle w:val="42"/>
              <w:spacing w:after="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Cs w:val="21"/>
                <w:lang w:val="en-US" w:eastAsia="zh-CN"/>
              </w:rPr>
              <w:t>2000</w:t>
            </w:r>
          </w:p>
        </w:tc>
        <w:tc>
          <w:tcPr>
            <w:tcW w:w="1217" w:type="dxa"/>
            <w:vAlign w:val="center"/>
          </w:tcPr>
          <w:p>
            <w:pPr>
              <w:pStyle w:val="42"/>
              <w:spacing w:after="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Cs w:val="21"/>
                <w:lang w:val="en-US" w:eastAsia="zh-CN"/>
              </w:rPr>
              <w:t>650</w:t>
            </w:r>
          </w:p>
        </w:tc>
        <w:tc>
          <w:tcPr>
            <w:tcW w:w="1101" w:type="dxa"/>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32.5</w:t>
            </w:r>
            <w:r>
              <w:rPr>
                <w:rFonts w:hint="default" w:ascii="Times New Roman" w:hAnsi="Times New Roman" w:cs="Times New Roman"/>
                <w:color w:val="auto"/>
                <w:sz w:val="21"/>
                <w:szCs w:val="21"/>
              </w:rPr>
              <w:t>%</w:t>
            </w:r>
          </w:p>
        </w:tc>
        <w:tc>
          <w:tcPr>
            <w:tcW w:w="833" w:type="dxa"/>
            <w:vAlign w:val="center"/>
          </w:tcPr>
          <w:p>
            <w:pP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rPr>
              <w:t>0</w:t>
            </w:r>
          </w:p>
        </w:tc>
        <w:tc>
          <w:tcPr>
            <w:tcW w:w="998" w:type="dxa"/>
            <w:vAlign w:val="center"/>
          </w:tcPr>
          <w:p>
            <w:pP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54" w:type="dxa"/>
            <w:vAlign w:val="center"/>
          </w:tcPr>
          <w:p>
            <w:pPr>
              <w:pStyle w:val="43"/>
              <w:spacing w:after="0"/>
              <w:ind w:left="0" w:leftChars="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eastAsia="zh-CN"/>
              </w:rPr>
              <w:t>朱瓜冲居民点（本项目下风向</w:t>
            </w:r>
            <w:r>
              <w:rPr>
                <w:rFonts w:hint="default" w:ascii="Times New Roman" w:hAnsi="Times New Roman" w:cs="Times New Roman"/>
                <w:color w:val="auto"/>
                <w:kern w:val="0"/>
                <w:sz w:val="21"/>
                <w:szCs w:val="21"/>
                <w:lang w:val="en-US" w:eastAsia="zh-CN"/>
              </w:rPr>
              <w:t>1480m</w:t>
            </w:r>
            <w:r>
              <w:rPr>
                <w:rFonts w:hint="default" w:ascii="Times New Roman" w:hAnsi="Times New Roman" w:cs="Times New Roman"/>
                <w:color w:val="auto"/>
                <w:kern w:val="0"/>
                <w:sz w:val="21"/>
                <w:szCs w:val="21"/>
                <w:lang w:eastAsia="zh-CN"/>
              </w:rPr>
              <w:t>）</w:t>
            </w:r>
          </w:p>
        </w:tc>
        <w:tc>
          <w:tcPr>
            <w:tcW w:w="1460" w:type="dxa"/>
            <w:vAlign w:val="center"/>
          </w:tcPr>
          <w:p>
            <w:pPr>
              <w:pStyle w:val="43"/>
              <w:spacing w:after="0"/>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101°36′47.99″</w:t>
            </w:r>
          </w:p>
        </w:tc>
        <w:tc>
          <w:tcPr>
            <w:tcW w:w="1433" w:type="dxa"/>
            <w:vAlign w:val="center"/>
          </w:tcPr>
          <w:p>
            <w:pPr>
              <w:pStyle w:val="43"/>
              <w:spacing w:after="0"/>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25°2′13.00″</w:t>
            </w:r>
          </w:p>
        </w:tc>
        <w:tc>
          <w:tcPr>
            <w:tcW w:w="1167" w:type="dxa"/>
            <w:vAlign w:val="center"/>
          </w:tcPr>
          <w:p>
            <w:pPr>
              <w:pStyle w:val="43"/>
              <w:spacing w:after="0"/>
              <w:ind w:left="0" w:leftChars="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eastAsia="zh-CN"/>
              </w:rPr>
              <w:t>非甲烷总烃</w:t>
            </w:r>
          </w:p>
        </w:tc>
        <w:tc>
          <w:tcPr>
            <w:tcW w:w="1366" w:type="dxa"/>
            <w:vAlign w:val="center"/>
          </w:tcPr>
          <w:p>
            <w:pPr>
              <w:pStyle w:val="43"/>
              <w:spacing w:after="0"/>
              <w:ind w:left="0" w:leftChars="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rPr>
              <w:t>1</w:t>
            </w:r>
            <w:r>
              <w:rPr>
                <w:rFonts w:hint="default" w:ascii="Times New Roman" w:hAnsi="Times New Roman" w:cs="Times New Roman"/>
                <w:color w:val="auto"/>
                <w:kern w:val="0"/>
                <w:sz w:val="21"/>
                <w:szCs w:val="21"/>
              </w:rPr>
              <w:t>小时均值</w:t>
            </w:r>
          </w:p>
        </w:tc>
        <w:tc>
          <w:tcPr>
            <w:tcW w:w="1204" w:type="dxa"/>
            <w:vAlign w:val="center"/>
          </w:tcPr>
          <w:p>
            <w:pPr>
              <w:pStyle w:val="42"/>
              <w:spacing w:after="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Cs w:val="21"/>
                <w:lang w:val="en-US" w:eastAsia="zh-CN"/>
              </w:rPr>
              <w:t>2000</w:t>
            </w:r>
          </w:p>
        </w:tc>
        <w:tc>
          <w:tcPr>
            <w:tcW w:w="1217" w:type="dxa"/>
            <w:vAlign w:val="center"/>
          </w:tcPr>
          <w:p>
            <w:pPr>
              <w:pStyle w:val="42"/>
              <w:spacing w:after="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Cs w:val="21"/>
                <w:lang w:val="en-US" w:eastAsia="zh-CN"/>
              </w:rPr>
              <w:t>320</w:t>
            </w:r>
          </w:p>
        </w:tc>
        <w:tc>
          <w:tcPr>
            <w:tcW w:w="1101" w:type="dxa"/>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16.0</w:t>
            </w:r>
            <w:r>
              <w:rPr>
                <w:rFonts w:hint="default" w:ascii="Times New Roman" w:hAnsi="Times New Roman" w:cs="Times New Roman"/>
                <w:color w:val="auto"/>
                <w:sz w:val="21"/>
                <w:szCs w:val="21"/>
              </w:rPr>
              <w:t>%</w:t>
            </w:r>
          </w:p>
        </w:tc>
        <w:tc>
          <w:tcPr>
            <w:tcW w:w="833" w:type="dxa"/>
            <w:vAlign w:val="center"/>
          </w:tcPr>
          <w:p>
            <w:pP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rPr>
              <w:t>0</w:t>
            </w:r>
          </w:p>
        </w:tc>
        <w:tc>
          <w:tcPr>
            <w:tcW w:w="998" w:type="dxa"/>
            <w:vAlign w:val="center"/>
          </w:tcPr>
          <w:p>
            <w:pP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54" w:type="dxa"/>
            <w:vMerge w:val="restart"/>
            <w:vAlign w:val="center"/>
          </w:tcPr>
          <w:p>
            <w:pPr>
              <w:pStyle w:val="4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color w:val="auto"/>
                <w:kern w:val="0"/>
                <w:sz w:val="21"/>
                <w:szCs w:val="21"/>
                <w:lang w:eastAsia="zh-CN"/>
              </w:rPr>
            </w:pPr>
            <w:r>
              <w:rPr>
                <w:rFonts w:hint="default" w:ascii="Times New Roman" w:hAnsi="Times New Roman" w:cs="Times New Roman"/>
                <w:b w:val="0"/>
                <w:bCs w:val="0"/>
                <w:color w:val="auto"/>
                <w:kern w:val="21"/>
                <w:sz w:val="21"/>
                <w:szCs w:val="21"/>
                <w:lang w:val="en-US" w:eastAsia="zh-CN" w:bidi="ar"/>
              </w:rPr>
              <w:t>本项目侧风向700m</w:t>
            </w:r>
          </w:p>
        </w:tc>
        <w:tc>
          <w:tcPr>
            <w:tcW w:w="1460" w:type="dxa"/>
            <w:vMerge w:val="restart"/>
            <w:vAlign w:val="center"/>
          </w:tcPr>
          <w:p>
            <w:pPr>
              <w:pStyle w:val="4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101°36′37.55″</w:t>
            </w:r>
          </w:p>
        </w:tc>
        <w:tc>
          <w:tcPr>
            <w:tcW w:w="1433" w:type="dxa"/>
            <w:vMerge w:val="restart"/>
            <w:vAlign w:val="center"/>
          </w:tcPr>
          <w:p>
            <w:pPr>
              <w:pStyle w:val="4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25°1′45.05″</w:t>
            </w:r>
          </w:p>
        </w:tc>
        <w:tc>
          <w:tcPr>
            <w:tcW w:w="1167" w:type="dxa"/>
            <w:vAlign w:val="center"/>
          </w:tcPr>
          <w:p>
            <w:pPr>
              <w:pStyle w:val="4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TSP</w:t>
            </w:r>
          </w:p>
        </w:tc>
        <w:tc>
          <w:tcPr>
            <w:tcW w:w="1366" w:type="dxa"/>
            <w:vAlign w:val="center"/>
          </w:tcPr>
          <w:p>
            <w:pPr>
              <w:pStyle w:val="4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日均值</w:t>
            </w:r>
          </w:p>
        </w:tc>
        <w:tc>
          <w:tcPr>
            <w:tcW w:w="1204" w:type="dxa"/>
            <w:vAlign w:val="center"/>
          </w:tcPr>
          <w:p>
            <w:pPr>
              <w:pStyle w:val="4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300</w:t>
            </w:r>
          </w:p>
        </w:tc>
        <w:tc>
          <w:tcPr>
            <w:tcW w:w="1217" w:type="dxa"/>
            <w:vAlign w:val="center"/>
          </w:tcPr>
          <w:p>
            <w:pPr>
              <w:pStyle w:val="4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267</w:t>
            </w:r>
          </w:p>
        </w:tc>
        <w:tc>
          <w:tcPr>
            <w:tcW w:w="11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89.0</w:t>
            </w:r>
            <w:r>
              <w:rPr>
                <w:rFonts w:hint="default" w:ascii="Times New Roman" w:hAnsi="Times New Roman" w:cs="Times New Roman"/>
                <w:color w:val="auto"/>
                <w:sz w:val="21"/>
                <w:szCs w:val="21"/>
              </w:rPr>
              <w:t>%</w:t>
            </w:r>
          </w:p>
        </w:tc>
        <w:tc>
          <w:tcPr>
            <w:tcW w:w="833" w:type="dxa"/>
            <w:vAlign w:val="center"/>
          </w:tcPr>
          <w:p>
            <w:pPr>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0</w:t>
            </w:r>
          </w:p>
        </w:tc>
        <w:tc>
          <w:tcPr>
            <w:tcW w:w="998" w:type="dxa"/>
            <w:vAlign w:val="center"/>
          </w:tcPr>
          <w:p>
            <w:pPr>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54" w:type="dxa"/>
            <w:vMerge w:val="continue"/>
            <w:vAlign w:val="center"/>
          </w:tcPr>
          <w:p>
            <w:pPr>
              <w:pStyle w:val="4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color w:val="auto"/>
                <w:kern w:val="0"/>
                <w:sz w:val="21"/>
                <w:szCs w:val="21"/>
                <w:lang w:eastAsia="zh-CN"/>
              </w:rPr>
            </w:pPr>
          </w:p>
        </w:tc>
        <w:tc>
          <w:tcPr>
            <w:tcW w:w="1460" w:type="dxa"/>
            <w:vMerge w:val="continue"/>
            <w:vAlign w:val="center"/>
          </w:tcPr>
          <w:p>
            <w:pPr>
              <w:pStyle w:val="4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color w:val="auto"/>
                <w:sz w:val="21"/>
                <w:szCs w:val="21"/>
              </w:rPr>
            </w:pPr>
          </w:p>
        </w:tc>
        <w:tc>
          <w:tcPr>
            <w:tcW w:w="1433" w:type="dxa"/>
            <w:vMerge w:val="continue"/>
            <w:vAlign w:val="center"/>
          </w:tcPr>
          <w:p>
            <w:pPr>
              <w:pStyle w:val="4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color w:val="auto"/>
                <w:sz w:val="21"/>
                <w:szCs w:val="21"/>
              </w:rPr>
            </w:pPr>
          </w:p>
        </w:tc>
        <w:tc>
          <w:tcPr>
            <w:tcW w:w="1167" w:type="dxa"/>
            <w:vAlign w:val="center"/>
          </w:tcPr>
          <w:p>
            <w:pPr>
              <w:pStyle w:val="4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氟化物</w:t>
            </w:r>
          </w:p>
        </w:tc>
        <w:tc>
          <w:tcPr>
            <w:tcW w:w="1366" w:type="dxa"/>
            <w:vAlign w:val="center"/>
          </w:tcPr>
          <w:p>
            <w:pPr>
              <w:pStyle w:val="4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日均值</w:t>
            </w:r>
          </w:p>
        </w:tc>
        <w:tc>
          <w:tcPr>
            <w:tcW w:w="1204" w:type="dxa"/>
            <w:vAlign w:val="center"/>
          </w:tcPr>
          <w:p>
            <w:pPr>
              <w:pStyle w:val="4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7</w:t>
            </w:r>
          </w:p>
        </w:tc>
        <w:tc>
          <w:tcPr>
            <w:tcW w:w="1217" w:type="dxa"/>
            <w:vAlign w:val="center"/>
          </w:tcPr>
          <w:p>
            <w:pPr>
              <w:pStyle w:val="4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3.0</w:t>
            </w:r>
          </w:p>
        </w:tc>
        <w:tc>
          <w:tcPr>
            <w:tcW w:w="11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42.86%</w:t>
            </w:r>
          </w:p>
        </w:tc>
        <w:tc>
          <w:tcPr>
            <w:tcW w:w="833" w:type="dxa"/>
            <w:vAlign w:val="center"/>
          </w:tcPr>
          <w:p>
            <w:pPr>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0</w:t>
            </w:r>
          </w:p>
        </w:tc>
        <w:tc>
          <w:tcPr>
            <w:tcW w:w="998" w:type="dxa"/>
            <w:vAlign w:val="center"/>
          </w:tcPr>
          <w:p>
            <w:pPr>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54" w:type="dxa"/>
            <w:vMerge w:val="continue"/>
            <w:vAlign w:val="center"/>
          </w:tcPr>
          <w:p>
            <w:pPr>
              <w:pStyle w:val="4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color w:val="auto"/>
                <w:kern w:val="0"/>
                <w:sz w:val="21"/>
                <w:szCs w:val="21"/>
                <w:lang w:eastAsia="zh-CN"/>
              </w:rPr>
            </w:pPr>
          </w:p>
        </w:tc>
        <w:tc>
          <w:tcPr>
            <w:tcW w:w="1460" w:type="dxa"/>
            <w:vMerge w:val="continue"/>
            <w:vAlign w:val="center"/>
          </w:tcPr>
          <w:p>
            <w:pPr>
              <w:pStyle w:val="4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color w:val="auto"/>
                <w:sz w:val="21"/>
                <w:szCs w:val="21"/>
              </w:rPr>
            </w:pPr>
          </w:p>
        </w:tc>
        <w:tc>
          <w:tcPr>
            <w:tcW w:w="1433" w:type="dxa"/>
            <w:vMerge w:val="continue"/>
            <w:vAlign w:val="center"/>
          </w:tcPr>
          <w:p>
            <w:pPr>
              <w:pStyle w:val="4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color w:val="auto"/>
                <w:sz w:val="21"/>
                <w:szCs w:val="21"/>
              </w:rPr>
            </w:pPr>
          </w:p>
        </w:tc>
        <w:tc>
          <w:tcPr>
            <w:tcW w:w="1167" w:type="dxa"/>
            <w:vAlign w:val="center"/>
          </w:tcPr>
          <w:p>
            <w:pPr>
              <w:pStyle w:val="4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color w:val="auto"/>
                <w:kern w:val="0"/>
                <w:sz w:val="21"/>
                <w:szCs w:val="21"/>
                <w:lang w:eastAsia="zh-CN"/>
              </w:rPr>
            </w:pPr>
            <w:r>
              <w:rPr>
                <w:rFonts w:hint="default" w:ascii="Times New Roman" w:hAnsi="Times New Roman" w:cs="Times New Roman"/>
                <w:color w:val="auto"/>
                <w:kern w:val="0"/>
                <w:sz w:val="21"/>
                <w:szCs w:val="21"/>
                <w:lang w:eastAsia="zh-CN"/>
              </w:rPr>
              <w:t>氟化物</w:t>
            </w:r>
          </w:p>
        </w:tc>
        <w:tc>
          <w:tcPr>
            <w:tcW w:w="1366" w:type="dxa"/>
            <w:vAlign w:val="center"/>
          </w:tcPr>
          <w:p>
            <w:pPr>
              <w:pStyle w:val="4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1</w:t>
            </w:r>
            <w:r>
              <w:rPr>
                <w:rFonts w:hint="default" w:ascii="Times New Roman" w:hAnsi="Times New Roman" w:cs="Times New Roman"/>
                <w:color w:val="auto"/>
                <w:kern w:val="0"/>
                <w:sz w:val="21"/>
                <w:szCs w:val="21"/>
              </w:rPr>
              <w:t>小时均值</w:t>
            </w:r>
          </w:p>
        </w:tc>
        <w:tc>
          <w:tcPr>
            <w:tcW w:w="1204" w:type="dxa"/>
            <w:vAlign w:val="center"/>
          </w:tcPr>
          <w:p>
            <w:pPr>
              <w:pStyle w:val="4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20</w:t>
            </w:r>
          </w:p>
        </w:tc>
        <w:tc>
          <w:tcPr>
            <w:tcW w:w="1217" w:type="dxa"/>
            <w:vAlign w:val="center"/>
          </w:tcPr>
          <w:p>
            <w:pPr>
              <w:pStyle w:val="4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4.2</w:t>
            </w:r>
          </w:p>
        </w:tc>
        <w:tc>
          <w:tcPr>
            <w:tcW w:w="11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21.0%</w:t>
            </w:r>
          </w:p>
        </w:tc>
        <w:tc>
          <w:tcPr>
            <w:tcW w:w="833" w:type="dxa"/>
            <w:vAlign w:val="center"/>
          </w:tcPr>
          <w:p>
            <w:pPr>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0</w:t>
            </w:r>
          </w:p>
        </w:tc>
        <w:tc>
          <w:tcPr>
            <w:tcW w:w="998" w:type="dxa"/>
            <w:vAlign w:val="center"/>
          </w:tcPr>
          <w:p>
            <w:pPr>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54" w:type="dxa"/>
            <w:vMerge w:val="restart"/>
            <w:vAlign w:val="center"/>
          </w:tcPr>
          <w:p>
            <w:pPr>
              <w:pStyle w:val="4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color w:val="auto"/>
                <w:kern w:val="0"/>
                <w:sz w:val="21"/>
                <w:szCs w:val="21"/>
                <w:lang w:eastAsia="zh-CN"/>
              </w:rPr>
            </w:pPr>
            <w:r>
              <w:rPr>
                <w:rFonts w:hint="default" w:ascii="Times New Roman" w:hAnsi="Times New Roman" w:cs="Times New Roman"/>
                <w:color w:val="auto"/>
                <w:kern w:val="21"/>
                <w:sz w:val="21"/>
                <w:szCs w:val="21"/>
                <w:lang w:eastAsia="zh-CN"/>
              </w:rPr>
              <w:t>“</w:t>
            </w:r>
            <w:r>
              <w:rPr>
                <w:rFonts w:hint="default" w:ascii="Times New Roman" w:hAnsi="Times New Roman" w:cs="Times New Roman"/>
                <w:color w:val="auto"/>
                <w:kern w:val="21"/>
                <w:sz w:val="21"/>
                <w:szCs w:val="21"/>
                <w:lang w:eastAsia="zh-CN" w:bidi="ar"/>
              </w:rPr>
              <w:t>年产</w:t>
            </w:r>
            <w:r>
              <w:rPr>
                <w:rFonts w:hint="default" w:ascii="Times New Roman" w:hAnsi="Times New Roman" w:cs="Times New Roman"/>
                <w:color w:val="auto"/>
                <w:kern w:val="21"/>
                <w:sz w:val="21"/>
                <w:szCs w:val="21"/>
                <w:lang w:val="en-US" w:eastAsia="zh-CN" w:bidi="ar"/>
              </w:rPr>
              <w:t>22GW单晶硅片建设项目</w:t>
            </w:r>
            <w:r>
              <w:rPr>
                <w:rFonts w:hint="default" w:ascii="Times New Roman" w:hAnsi="Times New Roman" w:cs="Times New Roman"/>
                <w:color w:val="auto"/>
                <w:kern w:val="21"/>
                <w:sz w:val="21"/>
                <w:szCs w:val="21"/>
                <w:lang w:eastAsia="zh-CN"/>
              </w:rPr>
              <w:t>”</w:t>
            </w:r>
            <w:r>
              <w:rPr>
                <w:rFonts w:hint="default" w:ascii="Times New Roman" w:hAnsi="Times New Roman" w:cs="Times New Roman"/>
                <w:color w:val="auto"/>
                <w:kern w:val="21"/>
                <w:sz w:val="21"/>
                <w:szCs w:val="21"/>
                <w:lang w:val="en-US" w:eastAsia="zh-CN" w:bidi="ar"/>
              </w:rPr>
              <w:t>切片废水站（本项目下风向350m）</w:t>
            </w:r>
          </w:p>
        </w:tc>
        <w:tc>
          <w:tcPr>
            <w:tcW w:w="1460" w:type="dxa"/>
            <w:vMerge w:val="restart"/>
            <w:vAlign w:val="center"/>
          </w:tcPr>
          <w:p>
            <w:pPr>
              <w:pStyle w:val="4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101°36′16.00″</w:t>
            </w:r>
          </w:p>
        </w:tc>
        <w:tc>
          <w:tcPr>
            <w:tcW w:w="1433" w:type="dxa"/>
            <w:vMerge w:val="restart"/>
            <w:vAlign w:val="center"/>
          </w:tcPr>
          <w:p>
            <w:pPr>
              <w:pStyle w:val="4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25°1′53.00″</w:t>
            </w:r>
          </w:p>
        </w:tc>
        <w:tc>
          <w:tcPr>
            <w:tcW w:w="1167" w:type="dxa"/>
            <w:vAlign w:val="center"/>
          </w:tcPr>
          <w:p>
            <w:pPr>
              <w:pStyle w:val="4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color w:val="auto"/>
                <w:kern w:val="0"/>
                <w:sz w:val="21"/>
                <w:szCs w:val="21"/>
                <w:lang w:eastAsia="zh-CN"/>
              </w:rPr>
            </w:pPr>
            <w:r>
              <w:rPr>
                <w:rFonts w:hint="default" w:ascii="Times New Roman" w:hAnsi="Times New Roman" w:cs="Times New Roman"/>
                <w:color w:val="auto"/>
                <w:kern w:val="0"/>
                <w:sz w:val="21"/>
                <w:szCs w:val="21"/>
                <w:lang w:eastAsia="zh-CN"/>
              </w:rPr>
              <w:t>氨</w:t>
            </w:r>
          </w:p>
        </w:tc>
        <w:tc>
          <w:tcPr>
            <w:tcW w:w="1366" w:type="dxa"/>
            <w:vAlign w:val="center"/>
          </w:tcPr>
          <w:p>
            <w:pPr>
              <w:pStyle w:val="4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1</w:t>
            </w:r>
            <w:r>
              <w:rPr>
                <w:rFonts w:hint="default" w:ascii="Times New Roman" w:hAnsi="Times New Roman" w:cs="Times New Roman"/>
                <w:color w:val="auto"/>
                <w:kern w:val="0"/>
                <w:sz w:val="21"/>
                <w:szCs w:val="21"/>
              </w:rPr>
              <w:t>小时均值</w:t>
            </w:r>
          </w:p>
        </w:tc>
        <w:tc>
          <w:tcPr>
            <w:tcW w:w="1204" w:type="dxa"/>
            <w:vAlign w:val="center"/>
          </w:tcPr>
          <w:p>
            <w:pPr>
              <w:pStyle w:val="4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200</w:t>
            </w:r>
          </w:p>
        </w:tc>
        <w:tc>
          <w:tcPr>
            <w:tcW w:w="1217" w:type="dxa"/>
            <w:vAlign w:val="center"/>
          </w:tcPr>
          <w:p>
            <w:pPr>
              <w:pStyle w:val="4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190</w:t>
            </w:r>
          </w:p>
        </w:tc>
        <w:tc>
          <w:tcPr>
            <w:tcW w:w="11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95.0%</w:t>
            </w:r>
          </w:p>
        </w:tc>
        <w:tc>
          <w:tcPr>
            <w:tcW w:w="833" w:type="dxa"/>
            <w:vAlign w:val="center"/>
          </w:tcPr>
          <w:p>
            <w:pPr>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0</w:t>
            </w:r>
          </w:p>
        </w:tc>
        <w:tc>
          <w:tcPr>
            <w:tcW w:w="998" w:type="dxa"/>
            <w:vAlign w:val="center"/>
          </w:tcPr>
          <w:p>
            <w:pPr>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54" w:type="dxa"/>
            <w:vMerge w:val="continue"/>
            <w:vAlign w:val="center"/>
          </w:tcPr>
          <w:p>
            <w:pPr>
              <w:pStyle w:val="4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color w:val="auto"/>
                <w:kern w:val="21"/>
                <w:sz w:val="21"/>
                <w:szCs w:val="21"/>
                <w:lang w:eastAsia="zh-CN"/>
              </w:rPr>
            </w:pPr>
          </w:p>
        </w:tc>
        <w:tc>
          <w:tcPr>
            <w:tcW w:w="1460" w:type="dxa"/>
            <w:vMerge w:val="continue"/>
            <w:vAlign w:val="center"/>
          </w:tcPr>
          <w:p>
            <w:pPr>
              <w:pStyle w:val="4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color w:val="auto"/>
                <w:sz w:val="21"/>
                <w:szCs w:val="21"/>
              </w:rPr>
            </w:pPr>
          </w:p>
        </w:tc>
        <w:tc>
          <w:tcPr>
            <w:tcW w:w="1433" w:type="dxa"/>
            <w:vMerge w:val="continue"/>
            <w:vAlign w:val="center"/>
          </w:tcPr>
          <w:p>
            <w:pPr>
              <w:pStyle w:val="4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color w:val="auto"/>
                <w:sz w:val="21"/>
                <w:szCs w:val="21"/>
              </w:rPr>
            </w:pPr>
          </w:p>
        </w:tc>
        <w:tc>
          <w:tcPr>
            <w:tcW w:w="1167" w:type="dxa"/>
            <w:vAlign w:val="center"/>
          </w:tcPr>
          <w:p>
            <w:pPr>
              <w:pStyle w:val="4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color w:val="auto"/>
                <w:kern w:val="0"/>
                <w:sz w:val="21"/>
                <w:szCs w:val="21"/>
                <w:lang w:eastAsia="zh-CN"/>
              </w:rPr>
            </w:pPr>
            <w:r>
              <w:rPr>
                <w:rFonts w:hint="default" w:ascii="Times New Roman" w:hAnsi="Times New Roman" w:cs="Times New Roman"/>
                <w:color w:val="auto"/>
                <w:kern w:val="0"/>
                <w:sz w:val="21"/>
                <w:szCs w:val="21"/>
                <w:lang w:eastAsia="zh-CN"/>
              </w:rPr>
              <w:t>硫化氢</w:t>
            </w:r>
          </w:p>
        </w:tc>
        <w:tc>
          <w:tcPr>
            <w:tcW w:w="1366" w:type="dxa"/>
            <w:vAlign w:val="center"/>
          </w:tcPr>
          <w:p>
            <w:pPr>
              <w:pStyle w:val="4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1</w:t>
            </w:r>
            <w:r>
              <w:rPr>
                <w:rFonts w:hint="default" w:ascii="Times New Roman" w:hAnsi="Times New Roman" w:cs="Times New Roman"/>
                <w:color w:val="auto"/>
                <w:kern w:val="0"/>
                <w:sz w:val="21"/>
                <w:szCs w:val="21"/>
              </w:rPr>
              <w:t>小时均值</w:t>
            </w:r>
          </w:p>
        </w:tc>
        <w:tc>
          <w:tcPr>
            <w:tcW w:w="1204" w:type="dxa"/>
            <w:vAlign w:val="center"/>
          </w:tcPr>
          <w:p>
            <w:pPr>
              <w:pStyle w:val="4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10</w:t>
            </w:r>
          </w:p>
        </w:tc>
        <w:tc>
          <w:tcPr>
            <w:tcW w:w="1217" w:type="dxa"/>
            <w:vAlign w:val="center"/>
          </w:tcPr>
          <w:p>
            <w:pPr>
              <w:pStyle w:val="4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7</w:t>
            </w:r>
          </w:p>
        </w:tc>
        <w:tc>
          <w:tcPr>
            <w:tcW w:w="11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70.0%</w:t>
            </w:r>
          </w:p>
        </w:tc>
        <w:tc>
          <w:tcPr>
            <w:tcW w:w="833" w:type="dxa"/>
            <w:vAlign w:val="center"/>
          </w:tcPr>
          <w:p>
            <w:pPr>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0</w:t>
            </w:r>
          </w:p>
        </w:tc>
        <w:tc>
          <w:tcPr>
            <w:tcW w:w="998" w:type="dxa"/>
            <w:vAlign w:val="center"/>
          </w:tcPr>
          <w:p>
            <w:pPr>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54" w:type="dxa"/>
            <w:vMerge w:val="restart"/>
            <w:vAlign w:val="center"/>
          </w:tcPr>
          <w:p>
            <w:pPr>
              <w:pStyle w:val="43"/>
              <w:spacing w:after="0"/>
              <w:ind w:left="0" w:leftChars="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eastAsia="zh-CN"/>
              </w:rPr>
              <w:t>朱瓜冲居民点（本项目下风向</w:t>
            </w:r>
            <w:r>
              <w:rPr>
                <w:rFonts w:hint="default" w:ascii="Times New Roman" w:hAnsi="Times New Roman" w:cs="Times New Roman"/>
                <w:color w:val="auto"/>
                <w:kern w:val="0"/>
                <w:sz w:val="21"/>
                <w:szCs w:val="21"/>
                <w:lang w:val="en-US" w:eastAsia="zh-CN"/>
              </w:rPr>
              <w:t>1480m</w:t>
            </w:r>
            <w:r>
              <w:rPr>
                <w:rFonts w:hint="default" w:ascii="Times New Roman" w:hAnsi="Times New Roman" w:cs="Times New Roman"/>
                <w:color w:val="auto"/>
                <w:kern w:val="0"/>
                <w:sz w:val="21"/>
                <w:szCs w:val="21"/>
                <w:lang w:eastAsia="zh-CN"/>
              </w:rPr>
              <w:t>）</w:t>
            </w:r>
          </w:p>
        </w:tc>
        <w:tc>
          <w:tcPr>
            <w:tcW w:w="1460" w:type="dxa"/>
            <w:vMerge w:val="restart"/>
            <w:vAlign w:val="center"/>
          </w:tcPr>
          <w:p>
            <w:pPr>
              <w:pStyle w:val="43"/>
              <w:spacing w:after="0"/>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101°36′47.99″</w:t>
            </w:r>
          </w:p>
        </w:tc>
        <w:tc>
          <w:tcPr>
            <w:tcW w:w="1433" w:type="dxa"/>
            <w:vMerge w:val="restart"/>
            <w:vAlign w:val="center"/>
          </w:tcPr>
          <w:p>
            <w:pPr>
              <w:pStyle w:val="43"/>
              <w:spacing w:after="0"/>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25°2′13.00″</w:t>
            </w:r>
          </w:p>
        </w:tc>
        <w:tc>
          <w:tcPr>
            <w:tcW w:w="1167" w:type="dxa"/>
            <w:vAlign w:val="center"/>
          </w:tcPr>
          <w:p>
            <w:pPr>
              <w:pStyle w:val="4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eastAsia="zh-CN"/>
              </w:rPr>
              <w:t>氨</w:t>
            </w:r>
          </w:p>
        </w:tc>
        <w:tc>
          <w:tcPr>
            <w:tcW w:w="1366" w:type="dxa"/>
            <w:vAlign w:val="center"/>
          </w:tcPr>
          <w:p>
            <w:pPr>
              <w:pStyle w:val="4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1</w:t>
            </w:r>
            <w:r>
              <w:rPr>
                <w:rFonts w:hint="default" w:ascii="Times New Roman" w:hAnsi="Times New Roman" w:cs="Times New Roman"/>
                <w:color w:val="auto"/>
                <w:kern w:val="0"/>
                <w:sz w:val="21"/>
                <w:szCs w:val="21"/>
              </w:rPr>
              <w:t>小时均值</w:t>
            </w:r>
          </w:p>
        </w:tc>
        <w:tc>
          <w:tcPr>
            <w:tcW w:w="1204" w:type="dxa"/>
            <w:vAlign w:val="center"/>
          </w:tcPr>
          <w:p>
            <w:pPr>
              <w:pStyle w:val="4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200</w:t>
            </w:r>
          </w:p>
        </w:tc>
        <w:tc>
          <w:tcPr>
            <w:tcW w:w="1217" w:type="dxa"/>
            <w:vAlign w:val="center"/>
          </w:tcPr>
          <w:p>
            <w:pPr>
              <w:pStyle w:val="4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180</w:t>
            </w:r>
          </w:p>
        </w:tc>
        <w:tc>
          <w:tcPr>
            <w:tcW w:w="11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90.0%</w:t>
            </w:r>
          </w:p>
        </w:tc>
        <w:tc>
          <w:tcPr>
            <w:tcW w:w="833" w:type="dxa"/>
            <w:vAlign w:val="center"/>
          </w:tcPr>
          <w:p>
            <w:pPr>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0</w:t>
            </w:r>
          </w:p>
        </w:tc>
        <w:tc>
          <w:tcPr>
            <w:tcW w:w="998" w:type="dxa"/>
            <w:vAlign w:val="center"/>
          </w:tcPr>
          <w:p>
            <w:pPr>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54" w:type="dxa"/>
            <w:vMerge w:val="continue"/>
            <w:vAlign w:val="center"/>
          </w:tcPr>
          <w:p>
            <w:pPr>
              <w:pStyle w:val="4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color w:val="auto"/>
                <w:kern w:val="0"/>
                <w:sz w:val="21"/>
                <w:szCs w:val="21"/>
                <w:lang w:eastAsia="zh-CN"/>
              </w:rPr>
            </w:pPr>
          </w:p>
        </w:tc>
        <w:tc>
          <w:tcPr>
            <w:tcW w:w="1460" w:type="dxa"/>
            <w:vMerge w:val="continue"/>
            <w:vAlign w:val="center"/>
          </w:tcPr>
          <w:p>
            <w:pPr>
              <w:pStyle w:val="4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color w:val="auto"/>
                <w:sz w:val="21"/>
                <w:szCs w:val="21"/>
              </w:rPr>
            </w:pPr>
          </w:p>
        </w:tc>
        <w:tc>
          <w:tcPr>
            <w:tcW w:w="1433" w:type="dxa"/>
            <w:vMerge w:val="continue"/>
            <w:vAlign w:val="center"/>
          </w:tcPr>
          <w:p>
            <w:pPr>
              <w:pStyle w:val="4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color w:val="auto"/>
                <w:sz w:val="21"/>
                <w:szCs w:val="21"/>
              </w:rPr>
            </w:pPr>
          </w:p>
        </w:tc>
        <w:tc>
          <w:tcPr>
            <w:tcW w:w="1167" w:type="dxa"/>
            <w:vAlign w:val="center"/>
          </w:tcPr>
          <w:p>
            <w:pPr>
              <w:pStyle w:val="4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eastAsia="zh-CN"/>
              </w:rPr>
              <w:t>硫化氢</w:t>
            </w:r>
          </w:p>
        </w:tc>
        <w:tc>
          <w:tcPr>
            <w:tcW w:w="1366" w:type="dxa"/>
            <w:vAlign w:val="center"/>
          </w:tcPr>
          <w:p>
            <w:pPr>
              <w:pStyle w:val="4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1</w:t>
            </w:r>
            <w:r>
              <w:rPr>
                <w:rFonts w:hint="default" w:ascii="Times New Roman" w:hAnsi="Times New Roman" w:cs="Times New Roman"/>
                <w:color w:val="auto"/>
                <w:kern w:val="0"/>
                <w:sz w:val="21"/>
                <w:szCs w:val="21"/>
              </w:rPr>
              <w:t>小时均值</w:t>
            </w:r>
          </w:p>
        </w:tc>
        <w:tc>
          <w:tcPr>
            <w:tcW w:w="1204" w:type="dxa"/>
            <w:vAlign w:val="center"/>
          </w:tcPr>
          <w:p>
            <w:pPr>
              <w:pStyle w:val="4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10</w:t>
            </w:r>
          </w:p>
        </w:tc>
        <w:tc>
          <w:tcPr>
            <w:tcW w:w="1217" w:type="dxa"/>
            <w:vAlign w:val="center"/>
          </w:tcPr>
          <w:p>
            <w:pPr>
              <w:pStyle w:val="4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7</w:t>
            </w:r>
          </w:p>
        </w:tc>
        <w:tc>
          <w:tcPr>
            <w:tcW w:w="11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70.0%</w:t>
            </w:r>
          </w:p>
        </w:tc>
        <w:tc>
          <w:tcPr>
            <w:tcW w:w="833" w:type="dxa"/>
            <w:vAlign w:val="center"/>
          </w:tcPr>
          <w:p>
            <w:pPr>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0</w:t>
            </w:r>
          </w:p>
        </w:tc>
        <w:tc>
          <w:tcPr>
            <w:tcW w:w="998" w:type="dxa"/>
            <w:vAlign w:val="center"/>
          </w:tcPr>
          <w:p>
            <w:pPr>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达标</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default" w:ascii="Times New Roman" w:hAnsi="Times New Roman" w:eastAsia="宋体" w:cs="Times New Roman"/>
          <w:bCs/>
          <w:color w:val="auto"/>
        </w:rPr>
      </w:pPr>
      <w:r>
        <w:rPr>
          <w:rFonts w:hint="default" w:ascii="Times New Roman" w:hAnsi="Times New Roman" w:eastAsia="宋体" w:cs="Times New Roman"/>
          <w:bCs/>
          <w:color w:val="auto"/>
        </w:rPr>
        <w:t>根据上表可知，项目区环境空气质量现状评价因子</w:t>
      </w:r>
      <w:r>
        <w:rPr>
          <w:rFonts w:hint="default" w:ascii="Times New Roman" w:hAnsi="Times New Roman" w:eastAsia="宋体" w:cs="Times New Roman"/>
          <w:bCs/>
          <w:color w:val="auto"/>
          <w:lang w:eastAsia="zh-CN"/>
        </w:rPr>
        <w:t>非甲烷总烃</w:t>
      </w:r>
      <w:r>
        <w:rPr>
          <w:rFonts w:hint="default" w:ascii="Times New Roman" w:hAnsi="Times New Roman" w:eastAsia="宋体" w:cs="Times New Roman"/>
          <w:bCs/>
          <w:color w:val="auto"/>
          <w:lang w:val="en-US" w:eastAsia="zh-CN"/>
        </w:rPr>
        <w:t>1</w:t>
      </w:r>
      <w:r>
        <w:rPr>
          <w:rFonts w:hint="default" w:ascii="Times New Roman" w:hAnsi="Times New Roman" w:eastAsia="宋体" w:cs="Times New Roman"/>
          <w:bCs/>
          <w:color w:val="auto"/>
        </w:rPr>
        <w:t>小时值浓度</w:t>
      </w:r>
      <w:r>
        <w:rPr>
          <w:rFonts w:hint="default" w:ascii="Times New Roman" w:hAnsi="Times New Roman" w:eastAsia="宋体" w:cs="Times New Roman"/>
          <w:bCs/>
          <w:color w:val="auto"/>
          <w:lang w:eastAsia="zh-CN"/>
        </w:rPr>
        <w:t>均值</w:t>
      </w:r>
      <w:r>
        <w:rPr>
          <w:rFonts w:hint="default" w:ascii="Times New Roman" w:hAnsi="Times New Roman" w:eastAsia="宋体" w:cs="Times New Roman"/>
          <w:bCs/>
          <w:color w:val="auto"/>
        </w:rPr>
        <w:t>能够达到《</w:t>
      </w:r>
      <w:r>
        <w:rPr>
          <w:rFonts w:hint="default" w:ascii="Times New Roman" w:hAnsi="Times New Roman" w:eastAsia="宋体" w:cs="Times New Roman"/>
          <w:bCs/>
          <w:color w:val="auto"/>
          <w:lang w:val="en-US" w:eastAsia="zh-CN"/>
        </w:rPr>
        <w:t>大气污染物综合排放标准详解</w:t>
      </w:r>
      <w:r>
        <w:rPr>
          <w:rFonts w:hint="default" w:ascii="Times New Roman" w:hAnsi="Times New Roman" w:eastAsia="宋体" w:cs="Times New Roman"/>
          <w:bCs/>
          <w:color w:val="auto"/>
        </w:rPr>
        <w:t>》</w:t>
      </w:r>
      <w:r>
        <w:rPr>
          <w:rFonts w:hint="default" w:ascii="Times New Roman" w:hAnsi="Times New Roman" w:eastAsia="宋体" w:cs="Times New Roman"/>
          <w:bCs/>
          <w:color w:val="auto"/>
          <w:lang w:eastAsia="zh-CN"/>
        </w:rPr>
        <w:t>中</w:t>
      </w:r>
      <w:r>
        <w:rPr>
          <w:rFonts w:hint="default" w:ascii="Times New Roman" w:hAnsi="Times New Roman" w:eastAsia="宋体" w:cs="Times New Roman"/>
          <w:bCs/>
          <w:color w:val="auto"/>
          <w:lang w:val="en-US" w:eastAsia="zh-CN"/>
        </w:rPr>
        <w:t>1小时浓度限值要求</w:t>
      </w:r>
      <w:r>
        <w:rPr>
          <w:rFonts w:hint="default" w:ascii="Times New Roman" w:hAnsi="Times New Roman" w:cs="Times New Roman"/>
          <w:bCs/>
          <w:color w:val="auto"/>
          <w:lang w:val="en-US" w:eastAsia="zh-CN"/>
        </w:rPr>
        <w:t>；颗粒物、氟化物日均值能够达到《环境空气质量标准》</w:t>
      </w:r>
      <w:r>
        <w:rPr>
          <w:rFonts w:hint="default" w:ascii="Times New Roman" w:hAnsi="Times New Roman" w:cs="Times New Roman"/>
          <w:color w:val="auto"/>
          <w:sz w:val="24"/>
        </w:rPr>
        <w:t>（GB3095-2012）二级标准</w:t>
      </w:r>
      <w:r>
        <w:rPr>
          <w:rFonts w:hint="default" w:ascii="Times New Roman" w:hAnsi="Times New Roman" w:cs="Times New Roman"/>
          <w:color w:val="auto"/>
          <w:sz w:val="24"/>
          <w:lang w:eastAsia="zh-CN"/>
        </w:rPr>
        <w:t>值</w:t>
      </w:r>
      <w:r>
        <w:rPr>
          <w:rFonts w:hint="default" w:ascii="Times New Roman" w:hAnsi="Times New Roman" w:cs="Times New Roman"/>
          <w:color w:val="auto"/>
          <w:sz w:val="24"/>
        </w:rPr>
        <w:t>要求</w:t>
      </w:r>
      <w:r>
        <w:rPr>
          <w:rFonts w:hint="default" w:ascii="Times New Roman" w:hAnsi="Times New Roman" w:cs="Times New Roman"/>
          <w:color w:val="auto"/>
          <w:sz w:val="24"/>
          <w:lang w:eastAsia="zh-CN"/>
        </w:rPr>
        <w:t>；氟化物</w:t>
      </w:r>
      <w:r>
        <w:rPr>
          <w:rFonts w:hint="default" w:ascii="Times New Roman" w:hAnsi="Times New Roman" w:cs="Times New Roman"/>
          <w:color w:val="auto"/>
          <w:sz w:val="24"/>
          <w:lang w:val="en-US" w:eastAsia="zh-CN"/>
        </w:rPr>
        <w:t>1小时浓度均值</w:t>
      </w:r>
      <w:r>
        <w:rPr>
          <w:rFonts w:hint="default" w:ascii="Times New Roman" w:hAnsi="Times New Roman" w:cs="Times New Roman"/>
          <w:bCs/>
          <w:color w:val="auto"/>
          <w:lang w:val="en-US" w:eastAsia="zh-CN"/>
        </w:rPr>
        <w:t>能够达到《环境空气质量标准》</w:t>
      </w:r>
      <w:r>
        <w:rPr>
          <w:rFonts w:hint="default" w:ascii="Times New Roman" w:hAnsi="Times New Roman" w:cs="Times New Roman"/>
          <w:color w:val="auto"/>
          <w:sz w:val="24"/>
        </w:rPr>
        <w:t>（GB3095-2012）二级标准</w:t>
      </w:r>
      <w:r>
        <w:rPr>
          <w:rFonts w:hint="default" w:ascii="Times New Roman" w:hAnsi="Times New Roman" w:cs="Times New Roman"/>
          <w:color w:val="auto"/>
          <w:sz w:val="24"/>
          <w:lang w:eastAsia="zh-CN"/>
        </w:rPr>
        <w:t>值</w:t>
      </w:r>
      <w:r>
        <w:rPr>
          <w:rFonts w:hint="default" w:ascii="Times New Roman" w:hAnsi="Times New Roman" w:cs="Times New Roman"/>
          <w:color w:val="auto"/>
          <w:sz w:val="24"/>
        </w:rPr>
        <w:t>要求</w:t>
      </w:r>
      <w:r>
        <w:rPr>
          <w:rFonts w:hint="default" w:ascii="Times New Roman" w:hAnsi="Times New Roman" w:cs="Times New Roman"/>
          <w:color w:val="auto"/>
          <w:sz w:val="24"/>
          <w:lang w:eastAsia="zh-CN"/>
        </w:rPr>
        <w:t>；氨、硫化氢</w:t>
      </w:r>
      <w:r>
        <w:rPr>
          <w:rFonts w:hint="default" w:ascii="Times New Roman" w:hAnsi="Times New Roman" w:cs="Times New Roman"/>
          <w:color w:val="auto"/>
          <w:sz w:val="24"/>
          <w:lang w:val="en-US" w:eastAsia="zh-CN"/>
        </w:rPr>
        <w:t>1小时浓度均值能够达到</w:t>
      </w:r>
      <w:r>
        <w:rPr>
          <w:rFonts w:hint="default" w:ascii="Times New Roman" w:hAnsi="Times New Roman" w:cs="Times New Roman"/>
          <w:sz w:val="24"/>
        </w:rPr>
        <w:t>《</w:t>
      </w:r>
      <w:r>
        <w:rPr>
          <w:rFonts w:hint="default" w:ascii="Times New Roman" w:hAnsi="Times New Roman" w:cs="Times New Roman"/>
          <w:sz w:val="24"/>
          <w:lang w:eastAsia="zh-CN"/>
        </w:rPr>
        <w:t>环境影响评价技术导则</w:t>
      </w:r>
      <w:r>
        <w:rPr>
          <w:rFonts w:hint="default" w:ascii="Times New Roman" w:hAnsi="Times New Roman" w:cs="Times New Roman"/>
          <w:sz w:val="24"/>
          <w:lang w:val="en-US" w:eastAsia="zh-CN"/>
        </w:rPr>
        <w:t xml:space="preserve"> 大气环境</w:t>
      </w:r>
      <w:r>
        <w:rPr>
          <w:rFonts w:hint="default" w:ascii="Times New Roman" w:hAnsi="Times New Roman" w:cs="Times New Roman"/>
          <w:sz w:val="24"/>
        </w:rPr>
        <w:t>》</w:t>
      </w:r>
      <w:r>
        <w:rPr>
          <w:rFonts w:hint="default" w:ascii="Times New Roman" w:hAnsi="Times New Roman" w:cs="Times New Roman"/>
          <w:sz w:val="24"/>
          <w:lang w:eastAsia="zh-CN"/>
        </w:rPr>
        <w:t>附录</w:t>
      </w:r>
      <w:r>
        <w:rPr>
          <w:rFonts w:hint="default" w:ascii="Times New Roman" w:hAnsi="Times New Roman" w:cs="Times New Roman"/>
          <w:sz w:val="24"/>
          <w:lang w:val="en-US" w:eastAsia="zh-CN"/>
        </w:rPr>
        <w:t>D的其他污染物空气质量浓度参考限值</w:t>
      </w:r>
      <w:r>
        <w:rPr>
          <w:rFonts w:hint="default" w:ascii="Times New Roman" w:hAnsi="Times New Roman" w:eastAsia="宋体" w:cs="Times New Roman"/>
          <w:bCs/>
          <w:color w:val="auto"/>
        </w:rPr>
        <w:t>。</w:t>
      </w:r>
    </w:p>
    <w:bookmarkEnd w:id="373"/>
    <w:p>
      <w:pPr>
        <w:pStyle w:val="6"/>
        <w:spacing w:before="0" w:after="0" w:line="360" w:lineRule="auto"/>
        <w:rPr>
          <w:rFonts w:hint="default" w:ascii="Times New Roman" w:hAnsi="Times New Roman" w:cs="Times New Roman"/>
          <w:color w:val="FF0000"/>
          <w:szCs w:val="28"/>
          <w:lang w:val="en-US" w:eastAsia="zh-CN"/>
        </w:rPr>
        <w:sectPr>
          <w:pgSz w:w="16838" w:h="11906" w:orient="landscape"/>
          <w:pgMar w:top="1797" w:right="1440" w:bottom="1797" w:left="1440" w:header="851" w:footer="992" w:gutter="0"/>
          <w:pgBorders>
            <w:top w:val="none" w:sz="0" w:space="0"/>
            <w:left w:val="none" w:sz="0" w:space="0"/>
            <w:bottom w:val="none" w:sz="0" w:space="0"/>
            <w:right w:val="none" w:sz="0" w:space="0"/>
          </w:pgBorders>
          <w:cols w:space="0" w:num="1"/>
          <w:rtlGutter w:val="0"/>
          <w:docGrid w:linePitch="312" w:charSpace="0"/>
        </w:sectPr>
      </w:pPr>
      <w:bookmarkStart w:id="374" w:name="_Toc17097"/>
      <w:bookmarkStart w:id="375" w:name="_Toc9362"/>
      <w:bookmarkStart w:id="376" w:name="_Toc11903"/>
      <w:bookmarkStart w:id="377" w:name="_Toc13709"/>
      <w:bookmarkStart w:id="378" w:name="_Toc306967102"/>
      <w:bookmarkStart w:id="379" w:name="_Toc6122"/>
      <w:bookmarkStart w:id="380" w:name="_Toc12466"/>
      <w:bookmarkStart w:id="381" w:name="_Toc18313"/>
      <w:bookmarkStart w:id="382" w:name="_Toc1682"/>
      <w:bookmarkStart w:id="383" w:name="_Toc9728"/>
    </w:p>
    <w:p>
      <w:pPr>
        <w:pStyle w:val="6"/>
        <w:spacing w:before="0" w:after="0" w:line="360" w:lineRule="auto"/>
        <w:rPr>
          <w:rFonts w:hint="default" w:ascii="Times New Roman" w:hAnsi="Times New Roman" w:cs="Times New Roman"/>
          <w:color w:val="auto"/>
          <w:szCs w:val="28"/>
        </w:rPr>
      </w:pPr>
      <w:bookmarkStart w:id="384" w:name="_Toc4789"/>
      <w:r>
        <w:rPr>
          <w:rFonts w:hint="default" w:ascii="Times New Roman" w:hAnsi="Times New Roman" w:cs="Times New Roman"/>
          <w:color w:val="auto"/>
          <w:szCs w:val="28"/>
          <w:lang w:val="en-US" w:eastAsia="zh-CN"/>
        </w:rPr>
        <w:t>4</w:t>
      </w:r>
      <w:r>
        <w:rPr>
          <w:rFonts w:hint="default" w:ascii="Times New Roman" w:hAnsi="Times New Roman" w:cs="Times New Roman"/>
          <w:color w:val="auto"/>
          <w:szCs w:val="28"/>
        </w:rPr>
        <w:t>.3.2地表水环境质量现状监测及评价</w:t>
      </w:r>
      <w:bookmarkEnd w:id="374"/>
      <w:bookmarkEnd w:id="375"/>
      <w:bookmarkEnd w:id="376"/>
      <w:bookmarkEnd w:id="377"/>
      <w:bookmarkEnd w:id="378"/>
      <w:bookmarkEnd w:id="379"/>
      <w:bookmarkEnd w:id="380"/>
      <w:bookmarkEnd w:id="381"/>
      <w:bookmarkEnd w:id="382"/>
      <w:bookmarkEnd w:id="383"/>
      <w:bookmarkEnd w:id="384"/>
      <w:bookmarkStart w:id="385" w:name="_Toc306967103"/>
      <w:bookmarkStart w:id="386" w:name="_Toc303426515"/>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bCs/>
          <w:color w:val="auto"/>
        </w:rPr>
        <w:t>1、项目周边地表水情况</w:t>
      </w:r>
    </w:p>
    <w:p>
      <w:pPr>
        <w:pStyle w:val="2"/>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项目区周边距离最近河流为西侧3.</w:t>
      </w:r>
      <w:r>
        <w:rPr>
          <w:rFonts w:hint="default" w:ascii="Times New Roman" w:hAnsi="Times New Roman" w:cs="Times New Roman"/>
          <w:color w:val="auto"/>
          <w:sz w:val="24"/>
          <w:szCs w:val="24"/>
          <w:lang w:val="en-US" w:eastAsia="zh-CN"/>
        </w:rPr>
        <w:t>35</w:t>
      </w:r>
      <w:r>
        <w:rPr>
          <w:rFonts w:hint="default" w:ascii="Times New Roman" w:hAnsi="Times New Roman" w:cs="Times New Roman"/>
          <w:color w:val="auto"/>
          <w:sz w:val="24"/>
          <w:szCs w:val="24"/>
        </w:rPr>
        <w:t>km处的青龙河，无国控断面或省控断面。距离项目最近的国控断面为龙川江西关桥断面，水环境功能区划为</w:t>
      </w:r>
      <w:r>
        <w:rPr>
          <w:rFonts w:hint="default" w:ascii="Times New Roman" w:hAnsi="Times New Roman" w:cs="Times New Roman"/>
          <w:color w:val="auto"/>
          <w:sz w:val="24"/>
          <w:szCs w:val="24"/>
          <w:lang w:eastAsia="zh-CN"/>
        </w:rPr>
        <w:t>Ⅲ</w:t>
      </w:r>
      <w:r>
        <w:rPr>
          <w:rFonts w:hint="default" w:ascii="Times New Roman" w:hAnsi="Times New Roman" w:cs="Times New Roman"/>
          <w:color w:val="auto"/>
          <w:sz w:val="24"/>
          <w:szCs w:val="24"/>
        </w:rPr>
        <w:t>类，根据</w:t>
      </w:r>
      <w:r>
        <w:rPr>
          <w:rFonts w:hint="default" w:ascii="Times New Roman" w:hAnsi="Times New Roman" w:cs="Times New Roman"/>
          <w:color w:val="auto"/>
          <w:sz w:val="24"/>
          <w:szCs w:val="24"/>
          <w:lang w:eastAsia="zh-CN"/>
        </w:rPr>
        <w:t>楚雄州生态环境局公布的“</w:t>
      </w:r>
      <w:r>
        <w:rPr>
          <w:rFonts w:hint="default" w:ascii="Times New Roman" w:hAnsi="Times New Roman" w:eastAsia="宋体" w:cs="Times New Roman"/>
          <w:color w:val="auto"/>
          <w:sz w:val="24"/>
          <w:szCs w:val="24"/>
        </w:rPr>
        <w:t>2022年12月楚雄州长江流域、红河流域国控及省控地表水监测断面（点位）监测结果</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可知，西关桥断面</w:t>
      </w:r>
      <w:r>
        <w:rPr>
          <w:rFonts w:hint="default" w:ascii="Times New Roman" w:hAnsi="Times New Roman" w:cs="Times New Roman"/>
          <w:color w:val="auto"/>
          <w:sz w:val="24"/>
          <w:szCs w:val="24"/>
          <w:lang w:val="en-US" w:eastAsia="zh-CN"/>
        </w:rPr>
        <w:t>2022年1~12月</w:t>
      </w:r>
      <w:r>
        <w:rPr>
          <w:rFonts w:hint="default" w:ascii="Times New Roman" w:hAnsi="Times New Roman" w:cs="Times New Roman"/>
          <w:color w:val="auto"/>
          <w:sz w:val="24"/>
          <w:szCs w:val="24"/>
        </w:rPr>
        <w:t>水质类别</w:t>
      </w:r>
      <w:r>
        <w:rPr>
          <w:rFonts w:hint="default" w:ascii="Times New Roman" w:hAnsi="Times New Roman" w:cs="Times New Roman"/>
          <w:color w:val="auto"/>
          <w:sz w:val="24"/>
          <w:szCs w:val="24"/>
          <w:lang w:eastAsia="zh-CN"/>
        </w:rPr>
        <w:t>为Ⅲ</w:t>
      </w:r>
      <w:r>
        <w:rPr>
          <w:rFonts w:hint="default" w:ascii="Times New Roman" w:hAnsi="Times New Roman" w:cs="Times New Roman"/>
          <w:color w:val="auto"/>
          <w:sz w:val="24"/>
          <w:szCs w:val="24"/>
        </w:rPr>
        <w:t>类，符合水环境功能区划的要求。</w:t>
      </w:r>
    </w:p>
    <w:p>
      <w:pPr>
        <w:pStyle w:val="2"/>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2、青龙河水质现状监测</w:t>
      </w:r>
    </w:p>
    <w:p>
      <w:pPr>
        <w:pStyle w:val="2"/>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本次环评引用《楚雄市富民工业园区污水处理厂二期工程环境质量现状监测》，该项目在</w:t>
      </w:r>
      <w:r>
        <w:rPr>
          <w:rFonts w:hint="default" w:ascii="Times New Roman" w:hAnsi="Times New Roman" w:cs="Times New Roman"/>
          <w:color w:val="auto"/>
          <w:sz w:val="24"/>
          <w:szCs w:val="24"/>
          <w:lang w:val="en-US" w:eastAsia="zh-CN"/>
        </w:rPr>
        <w:t>2021年5月6日~5月8日</w:t>
      </w:r>
      <w:r>
        <w:rPr>
          <w:rFonts w:hint="default" w:ascii="Times New Roman" w:hAnsi="Times New Roman" w:cs="Times New Roman"/>
          <w:color w:val="auto"/>
          <w:sz w:val="24"/>
          <w:szCs w:val="24"/>
          <w:lang w:eastAsia="zh-CN"/>
        </w:rPr>
        <w:t>对青龙河</w:t>
      </w:r>
      <w:r>
        <w:rPr>
          <w:rFonts w:hint="default" w:ascii="Times New Roman" w:hAnsi="Times New Roman" w:cs="Times New Roman"/>
          <w:color w:val="auto"/>
          <w:sz w:val="24"/>
          <w:szCs w:val="24"/>
          <w:lang w:val="en-US" w:eastAsia="zh-CN"/>
        </w:rPr>
        <w:t>3个断面进行了现状监测，监测数据有效</w:t>
      </w:r>
      <w:r>
        <w:rPr>
          <w:rFonts w:hint="default" w:ascii="Times New Roman" w:hAnsi="Times New Roman" w:cs="Times New Roman"/>
          <w:color w:val="auto"/>
          <w:sz w:val="24"/>
          <w:szCs w:val="24"/>
        </w:rPr>
        <w:t>。</w:t>
      </w:r>
    </w:p>
    <w:bookmarkEnd w:id="385"/>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bCs/>
          <w:color w:val="auto"/>
        </w:rPr>
        <w:t>（1）监测布点</w:t>
      </w:r>
      <w:r>
        <w:rPr>
          <w:rFonts w:hint="default" w:ascii="Times New Roman" w:hAnsi="Times New Roman" w:cs="Times New Roman"/>
          <w:bCs/>
          <w:color w:val="auto"/>
          <w:lang w:eastAsia="zh-CN"/>
        </w:rPr>
        <w:t>：</w:t>
      </w:r>
      <w:r>
        <w:rPr>
          <w:rFonts w:hint="default" w:ascii="Times New Roman" w:hAnsi="Times New Roman" w:cs="Times New Roman"/>
          <w:color w:val="auto"/>
        </w:rPr>
        <w:t>共设置</w:t>
      </w:r>
      <w:r>
        <w:rPr>
          <w:rFonts w:hint="default" w:ascii="Times New Roman" w:hAnsi="Times New Roman" w:cs="Times New Roman"/>
          <w:color w:val="auto"/>
          <w:lang w:val="en-US" w:eastAsia="zh-CN"/>
        </w:rPr>
        <w:t>3</w:t>
      </w:r>
      <w:r>
        <w:rPr>
          <w:rFonts w:hint="default" w:ascii="Times New Roman" w:hAnsi="Times New Roman" w:cs="Times New Roman"/>
          <w:color w:val="auto"/>
        </w:rPr>
        <w:t>个监测断面，</w:t>
      </w:r>
      <w:r>
        <w:rPr>
          <w:rFonts w:hint="default" w:ascii="Times New Roman" w:hAnsi="Times New Roman" w:cs="Times New Roman"/>
          <w:color w:val="auto"/>
          <w:lang w:eastAsia="zh-CN"/>
        </w:rPr>
        <w:t>楚雄市富民工业园区污水处理厂入河排污口上游</w:t>
      </w:r>
      <w:r>
        <w:rPr>
          <w:rFonts w:hint="default" w:ascii="Times New Roman" w:hAnsi="Times New Roman" w:cs="Times New Roman"/>
          <w:color w:val="auto"/>
          <w:lang w:val="en-US" w:eastAsia="zh-CN"/>
        </w:rPr>
        <w:t>500m</w:t>
      </w:r>
      <w:r>
        <w:rPr>
          <w:rFonts w:hint="default" w:ascii="Times New Roman" w:hAnsi="Times New Roman" w:cs="Times New Roman"/>
          <w:bCs/>
          <w:color w:val="auto"/>
        </w:rPr>
        <w:t>、</w:t>
      </w:r>
      <w:r>
        <w:rPr>
          <w:rFonts w:hint="default" w:ascii="Times New Roman" w:hAnsi="Times New Roman" w:cs="Times New Roman"/>
          <w:color w:val="auto"/>
          <w:lang w:eastAsia="zh-CN"/>
        </w:rPr>
        <w:t>楚雄市富民工业园区污水处理厂入河排污口下游</w:t>
      </w:r>
      <w:r>
        <w:rPr>
          <w:rFonts w:hint="default" w:ascii="Times New Roman" w:hAnsi="Times New Roman" w:cs="Times New Roman"/>
          <w:color w:val="auto"/>
          <w:lang w:val="en-US" w:eastAsia="zh-CN"/>
        </w:rPr>
        <w:t>1000m</w:t>
      </w:r>
      <w:r>
        <w:rPr>
          <w:rFonts w:hint="default" w:ascii="Times New Roman" w:hAnsi="Times New Roman" w:cs="Times New Roman"/>
          <w:bCs/>
          <w:color w:val="auto"/>
        </w:rPr>
        <w:t>、</w:t>
      </w:r>
      <w:r>
        <w:rPr>
          <w:rFonts w:hint="default" w:ascii="Times New Roman" w:hAnsi="Times New Roman" w:cs="Times New Roman"/>
          <w:color w:val="auto"/>
          <w:lang w:eastAsia="zh-CN"/>
        </w:rPr>
        <w:t>楚雄市富民工业园区污水处理厂入河排污口下游</w:t>
      </w:r>
      <w:r>
        <w:rPr>
          <w:rFonts w:hint="default" w:ascii="Times New Roman" w:hAnsi="Times New Roman" w:cs="Times New Roman"/>
          <w:color w:val="auto"/>
          <w:lang w:val="en-US" w:eastAsia="zh-CN"/>
        </w:rPr>
        <w:t>2000m</w:t>
      </w:r>
      <w:r>
        <w:rPr>
          <w:rFonts w:hint="default" w:ascii="Times New Roman" w:hAnsi="Times New Roman" w:cs="Times New Roman"/>
          <w:color w:val="auto"/>
        </w:rPr>
        <w:t>。</w:t>
      </w:r>
    </w:p>
    <w:p>
      <w:pPr>
        <w:widowControl/>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2</w:t>
      </w:r>
      <w:r>
        <w:rPr>
          <w:rFonts w:hint="default" w:ascii="Times New Roman" w:hAnsi="Times New Roman" w:cs="Times New Roman"/>
          <w:color w:val="auto"/>
          <w:lang w:eastAsia="zh-CN"/>
        </w:rPr>
        <w:t>）监测</w:t>
      </w:r>
      <w:r>
        <w:rPr>
          <w:rFonts w:hint="default" w:ascii="Times New Roman" w:hAnsi="Times New Roman" w:cs="Times New Roman"/>
          <w:color w:val="auto"/>
        </w:rPr>
        <w:t>因子：</w:t>
      </w:r>
      <w:r>
        <w:rPr>
          <w:rFonts w:hint="default" w:ascii="Times New Roman" w:hAnsi="Times New Roman" w:cs="Times New Roman"/>
          <w:color w:val="auto"/>
          <w:kern w:val="21"/>
        </w:rPr>
        <w:t>水温、pH、溶解氧、BOD</w:t>
      </w:r>
      <w:r>
        <w:rPr>
          <w:rFonts w:hint="default" w:ascii="Times New Roman" w:hAnsi="Times New Roman" w:cs="Times New Roman"/>
          <w:color w:val="auto"/>
          <w:kern w:val="21"/>
          <w:vertAlign w:val="subscript"/>
        </w:rPr>
        <w:t>5</w:t>
      </w:r>
      <w:r>
        <w:rPr>
          <w:rFonts w:hint="default" w:ascii="Times New Roman" w:hAnsi="Times New Roman" w:cs="Times New Roman"/>
          <w:color w:val="auto"/>
          <w:kern w:val="21"/>
        </w:rPr>
        <w:t>、化学需氧量、悬浮物、石油类、阴离子表面活性剂、氨氮、总氮、总磷、色度、粪大肠菌群、氟化物、硫化物、总汞、总镉、总铬、六价铬、总砷、总铅共21项</w:t>
      </w:r>
      <w:r>
        <w:rPr>
          <w:rFonts w:hint="default" w:ascii="Times New Roman" w:hAnsi="Times New Roman" w:cs="Times New Roman"/>
          <w:color w:val="auto"/>
        </w:rPr>
        <w:t>。</w:t>
      </w:r>
    </w:p>
    <w:p>
      <w:pPr>
        <w:spacing w:line="360" w:lineRule="auto"/>
        <w:ind w:firstLine="480" w:firstLineChars="200"/>
        <w:rPr>
          <w:rFonts w:hint="default" w:ascii="Times New Roman" w:hAnsi="Times New Roman" w:cs="Times New Roman"/>
          <w:bCs/>
          <w:color w:val="auto"/>
        </w:rPr>
      </w:pPr>
      <w:r>
        <w:rPr>
          <w:rFonts w:hint="default" w:ascii="Times New Roman" w:hAnsi="Times New Roman" w:cs="Times New Roman"/>
          <w:bCs/>
          <w:color w:val="auto"/>
        </w:rPr>
        <w:t>（</w:t>
      </w:r>
      <w:r>
        <w:rPr>
          <w:rFonts w:hint="default" w:ascii="Times New Roman" w:hAnsi="Times New Roman" w:cs="Times New Roman"/>
          <w:bCs/>
          <w:color w:val="auto"/>
          <w:lang w:val="en-US" w:eastAsia="zh-CN"/>
        </w:rPr>
        <w:t>3</w:t>
      </w:r>
      <w:r>
        <w:rPr>
          <w:rFonts w:hint="default" w:ascii="Times New Roman" w:hAnsi="Times New Roman" w:cs="Times New Roman"/>
          <w:bCs/>
          <w:color w:val="auto"/>
        </w:rPr>
        <w:t>）监测时间和频次要求</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采样时间：采样3天、每天每个断面取一个混合水样。</w:t>
      </w:r>
    </w:p>
    <w:p>
      <w:pPr>
        <w:spacing w:line="360" w:lineRule="auto"/>
        <w:ind w:firstLine="480" w:firstLineChars="200"/>
        <w:rPr>
          <w:rFonts w:hint="default" w:ascii="Times New Roman" w:hAnsi="Times New Roman" w:cs="Times New Roman"/>
          <w:bCs/>
          <w:color w:val="auto"/>
          <w:szCs w:val="32"/>
        </w:rPr>
      </w:pPr>
      <w:r>
        <w:rPr>
          <w:rFonts w:hint="default" w:ascii="Times New Roman" w:hAnsi="Times New Roman" w:cs="Times New Roman"/>
          <w:bCs/>
          <w:color w:val="auto"/>
          <w:szCs w:val="32"/>
          <w:lang w:eastAsia="zh-CN"/>
        </w:rPr>
        <w:t>（</w:t>
      </w:r>
      <w:r>
        <w:rPr>
          <w:rFonts w:hint="default" w:ascii="Times New Roman" w:hAnsi="Times New Roman" w:cs="Times New Roman"/>
          <w:bCs/>
          <w:color w:val="auto"/>
          <w:szCs w:val="32"/>
          <w:lang w:val="en-US" w:eastAsia="zh-CN"/>
        </w:rPr>
        <w:t>4</w:t>
      </w:r>
      <w:r>
        <w:rPr>
          <w:rFonts w:hint="default" w:ascii="Times New Roman" w:hAnsi="Times New Roman" w:cs="Times New Roman"/>
          <w:bCs/>
          <w:color w:val="auto"/>
          <w:szCs w:val="32"/>
          <w:lang w:eastAsia="zh-CN"/>
        </w:rPr>
        <w:t>）监测及</w:t>
      </w:r>
      <w:r>
        <w:rPr>
          <w:rFonts w:hint="default" w:ascii="Times New Roman" w:hAnsi="Times New Roman" w:eastAsia="宋体" w:cs="Times New Roman"/>
          <w:bCs/>
          <w:color w:val="auto"/>
        </w:rPr>
        <w:t>评价</w:t>
      </w:r>
      <w:r>
        <w:rPr>
          <w:rFonts w:hint="default" w:ascii="Times New Roman" w:hAnsi="Times New Roman" w:cs="Times New Roman"/>
          <w:bCs/>
          <w:color w:val="auto"/>
          <w:szCs w:val="32"/>
        </w:rPr>
        <w:t>结果</w:t>
      </w:r>
    </w:p>
    <w:p>
      <w:pPr>
        <w:pStyle w:val="133"/>
        <w:keepNext w:val="0"/>
        <w:keepLines w:val="0"/>
        <w:pageBreakBefore w:val="0"/>
        <w:widowControl w:val="0"/>
        <w:numPr>
          <w:ilvl w:val="0"/>
          <w:numId w:val="15"/>
        </w:numPr>
        <w:tabs>
          <w:tab w:val="left" w:pos="1020"/>
        </w:tabs>
        <w:kinsoku/>
        <w:wordWrap/>
        <w:overflowPunct/>
        <w:topLinePunct w:val="0"/>
        <w:autoSpaceDE/>
        <w:autoSpaceDN/>
        <w:bidi w:val="0"/>
        <w:adjustRightInd/>
        <w:snapToGrid/>
        <w:spacing w:line="360" w:lineRule="auto"/>
        <w:ind w:left="840" w:leftChars="0" w:hanging="420" w:firstLineChars="0"/>
        <w:jc w:val="center"/>
        <w:textAlignment w:val="auto"/>
        <w:rPr>
          <w:rFonts w:hint="default" w:ascii="Times New Roman" w:hAnsi="Times New Roman" w:cs="Times New Roman"/>
          <w:b/>
          <w:bCs/>
          <w:color w:val="auto"/>
          <w:spacing w:val="1"/>
        </w:rPr>
      </w:pPr>
      <w:r>
        <w:rPr>
          <w:rFonts w:hint="default" w:ascii="Times New Roman" w:hAnsi="Times New Roman" w:cs="Times New Roman"/>
          <w:b/>
          <w:bCs/>
          <w:color w:val="auto"/>
          <w:spacing w:val="1"/>
        </w:rPr>
        <w:t>地表水质量现状</w:t>
      </w:r>
      <w:r>
        <w:rPr>
          <w:rFonts w:hint="default" w:ascii="Times New Roman" w:hAnsi="Times New Roman" w:cs="Times New Roman"/>
          <w:b/>
          <w:bCs/>
          <w:color w:val="auto"/>
          <w:spacing w:val="1"/>
          <w:lang w:eastAsia="zh-CN"/>
        </w:rPr>
        <w:t>监测结果与</w:t>
      </w:r>
      <w:r>
        <w:rPr>
          <w:rFonts w:hint="default" w:ascii="Times New Roman" w:hAnsi="Times New Roman" w:cs="Times New Roman"/>
          <w:b/>
          <w:bCs/>
          <w:color w:val="auto"/>
          <w:spacing w:val="1"/>
        </w:rPr>
        <w:t>评价表</w:t>
      </w:r>
      <w:r>
        <w:rPr>
          <w:rFonts w:hint="default" w:ascii="Times New Roman" w:hAnsi="Times New Roman" w:cs="Times New Roman"/>
          <w:b/>
          <w:bCs/>
          <w:color w:val="auto"/>
          <w:spacing w:val="1"/>
          <w:lang w:val="en-US" w:eastAsia="zh-CN"/>
        </w:rPr>
        <w:t xml:space="preserve">    </w:t>
      </w:r>
      <w:r>
        <w:rPr>
          <w:rFonts w:hint="default" w:ascii="Times New Roman" w:hAnsi="Times New Roman" w:cs="Times New Roman"/>
          <w:b/>
          <w:bCs/>
          <w:color w:val="auto"/>
          <w:spacing w:val="1"/>
        </w:rPr>
        <w:t>单位：mg/L</w:t>
      </w:r>
    </w:p>
    <w:tbl>
      <w:tblPr>
        <w:tblStyle w:val="44"/>
        <w:tblW w:w="100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11"/>
        <w:gridCol w:w="837"/>
        <w:gridCol w:w="946"/>
        <w:gridCol w:w="946"/>
        <w:gridCol w:w="946"/>
        <w:gridCol w:w="946"/>
        <w:gridCol w:w="946"/>
        <w:gridCol w:w="946"/>
        <w:gridCol w:w="946"/>
        <w:gridCol w:w="946"/>
        <w:gridCol w:w="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3" w:hRule="atLeast"/>
          <w:jc w:val="center"/>
        </w:trPr>
        <w:tc>
          <w:tcPr>
            <w:tcW w:w="1548" w:type="dxa"/>
            <w:gridSpan w:val="2"/>
            <w:vMerge w:val="restart"/>
            <w:vAlign w:val="center"/>
          </w:tcPr>
          <w:p>
            <w:pPr>
              <w:adjustRightInd w:val="0"/>
              <w:snapToGrid w:val="0"/>
              <w:spacing w:line="240" w:lineRule="auto"/>
              <w:ind w:firstLine="0" w:firstLineChars="0"/>
              <w:jc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检测项目</w:t>
            </w:r>
          </w:p>
        </w:tc>
        <w:tc>
          <w:tcPr>
            <w:tcW w:w="2838" w:type="dxa"/>
            <w:gridSpan w:val="3"/>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eastAsia="zh-CN" w:bidi="ar"/>
              </w:rPr>
              <w:t>污水处理厂</w:t>
            </w:r>
            <w:r>
              <w:rPr>
                <w:rFonts w:hint="default" w:ascii="Times New Roman" w:hAnsi="Times New Roman" w:cs="Times New Roman"/>
                <w:color w:val="auto"/>
                <w:kern w:val="21"/>
                <w:sz w:val="18"/>
                <w:szCs w:val="18"/>
                <w:lang w:bidi="ar"/>
              </w:rPr>
              <w:t>青龙河排水口上游500m（W1）</w:t>
            </w:r>
          </w:p>
        </w:tc>
        <w:tc>
          <w:tcPr>
            <w:tcW w:w="2838" w:type="dxa"/>
            <w:gridSpan w:val="3"/>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eastAsia="zh-CN" w:bidi="ar"/>
              </w:rPr>
              <w:t>污水处理厂</w:t>
            </w:r>
            <w:r>
              <w:rPr>
                <w:rFonts w:hint="default" w:ascii="Times New Roman" w:hAnsi="Times New Roman" w:cs="Times New Roman"/>
                <w:color w:val="auto"/>
                <w:kern w:val="21"/>
                <w:sz w:val="18"/>
                <w:szCs w:val="18"/>
                <w:lang w:bidi="ar"/>
              </w:rPr>
              <w:t>青龙河排水口下游1000m（W2）</w:t>
            </w:r>
          </w:p>
        </w:tc>
        <w:tc>
          <w:tcPr>
            <w:tcW w:w="2838" w:type="dxa"/>
            <w:gridSpan w:val="3"/>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eastAsia="zh-CN" w:bidi="ar"/>
              </w:rPr>
              <w:t>污水处理厂</w:t>
            </w:r>
            <w:r>
              <w:rPr>
                <w:rFonts w:hint="default" w:ascii="Times New Roman" w:hAnsi="Times New Roman" w:cs="Times New Roman"/>
                <w:color w:val="auto"/>
                <w:kern w:val="21"/>
                <w:sz w:val="18"/>
                <w:szCs w:val="18"/>
                <w:lang w:bidi="ar"/>
              </w:rPr>
              <w:t>青龙河排水口下游2000m（W3）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7" w:hRule="atLeast"/>
          <w:jc w:val="center"/>
        </w:trPr>
        <w:tc>
          <w:tcPr>
            <w:tcW w:w="1548" w:type="dxa"/>
            <w:gridSpan w:val="2"/>
            <w:vMerge w:val="continue"/>
            <w:vAlign w:val="center"/>
          </w:tcPr>
          <w:p>
            <w:pPr>
              <w:adjustRightInd w:val="0"/>
              <w:snapToGrid w:val="0"/>
              <w:spacing w:line="240" w:lineRule="auto"/>
              <w:ind w:firstLine="0" w:firstLineChars="0"/>
              <w:jc w:val="center"/>
              <w:rPr>
                <w:rFonts w:hint="default" w:ascii="Times New Roman" w:hAnsi="Times New Roman" w:cs="Times New Roman"/>
                <w:color w:val="auto"/>
                <w:kern w:val="21"/>
                <w:sz w:val="18"/>
                <w:szCs w:val="18"/>
              </w:rPr>
            </w:pPr>
          </w:p>
        </w:tc>
        <w:tc>
          <w:tcPr>
            <w:tcW w:w="946" w:type="dxa"/>
            <w:vAlign w:val="center"/>
          </w:tcPr>
          <w:p>
            <w:pPr>
              <w:adjustRightInd w:val="0"/>
              <w:snapToGrid w:val="0"/>
              <w:spacing w:line="240" w:lineRule="auto"/>
              <w:ind w:firstLine="0" w:firstLineChars="0"/>
              <w:jc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2021.5.06</w:t>
            </w:r>
          </w:p>
        </w:tc>
        <w:tc>
          <w:tcPr>
            <w:tcW w:w="946" w:type="dxa"/>
            <w:vAlign w:val="center"/>
          </w:tcPr>
          <w:p>
            <w:pPr>
              <w:adjustRightInd w:val="0"/>
              <w:snapToGrid w:val="0"/>
              <w:spacing w:line="240" w:lineRule="auto"/>
              <w:ind w:firstLine="0" w:firstLineChars="0"/>
              <w:jc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2021.5.07</w:t>
            </w:r>
          </w:p>
        </w:tc>
        <w:tc>
          <w:tcPr>
            <w:tcW w:w="946" w:type="dxa"/>
            <w:vAlign w:val="center"/>
          </w:tcPr>
          <w:p>
            <w:pPr>
              <w:adjustRightInd w:val="0"/>
              <w:snapToGrid w:val="0"/>
              <w:spacing w:line="240" w:lineRule="auto"/>
              <w:ind w:firstLine="0" w:firstLineChars="0"/>
              <w:jc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2021.5.08</w:t>
            </w:r>
          </w:p>
        </w:tc>
        <w:tc>
          <w:tcPr>
            <w:tcW w:w="946" w:type="dxa"/>
            <w:vAlign w:val="center"/>
          </w:tcPr>
          <w:p>
            <w:pPr>
              <w:adjustRightInd w:val="0"/>
              <w:snapToGrid w:val="0"/>
              <w:spacing w:line="240" w:lineRule="auto"/>
              <w:ind w:firstLine="0" w:firstLineChars="0"/>
              <w:jc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2021.5.06</w:t>
            </w:r>
          </w:p>
        </w:tc>
        <w:tc>
          <w:tcPr>
            <w:tcW w:w="946" w:type="dxa"/>
            <w:vAlign w:val="center"/>
          </w:tcPr>
          <w:p>
            <w:pPr>
              <w:adjustRightInd w:val="0"/>
              <w:snapToGrid w:val="0"/>
              <w:spacing w:line="240" w:lineRule="auto"/>
              <w:ind w:firstLine="0" w:firstLineChars="0"/>
              <w:jc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2021.5.07</w:t>
            </w:r>
          </w:p>
        </w:tc>
        <w:tc>
          <w:tcPr>
            <w:tcW w:w="946" w:type="dxa"/>
            <w:vAlign w:val="center"/>
          </w:tcPr>
          <w:p>
            <w:pPr>
              <w:adjustRightInd w:val="0"/>
              <w:snapToGrid w:val="0"/>
              <w:spacing w:line="240" w:lineRule="auto"/>
              <w:ind w:firstLine="0" w:firstLineChars="0"/>
              <w:jc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2021.5.08</w:t>
            </w:r>
          </w:p>
        </w:tc>
        <w:tc>
          <w:tcPr>
            <w:tcW w:w="946" w:type="dxa"/>
            <w:vAlign w:val="center"/>
          </w:tcPr>
          <w:p>
            <w:pPr>
              <w:adjustRightInd w:val="0"/>
              <w:snapToGrid w:val="0"/>
              <w:spacing w:line="240" w:lineRule="auto"/>
              <w:ind w:firstLine="0" w:firstLineChars="0"/>
              <w:jc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2021.5.06</w:t>
            </w:r>
          </w:p>
        </w:tc>
        <w:tc>
          <w:tcPr>
            <w:tcW w:w="946" w:type="dxa"/>
            <w:vAlign w:val="center"/>
          </w:tcPr>
          <w:p>
            <w:pPr>
              <w:adjustRightInd w:val="0"/>
              <w:snapToGrid w:val="0"/>
              <w:spacing w:line="240" w:lineRule="auto"/>
              <w:ind w:firstLine="0" w:firstLineChars="0"/>
              <w:jc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2021.5.07</w:t>
            </w:r>
          </w:p>
        </w:tc>
        <w:tc>
          <w:tcPr>
            <w:tcW w:w="946" w:type="dxa"/>
            <w:vAlign w:val="center"/>
          </w:tcPr>
          <w:p>
            <w:pPr>
              <w:adjustRightInd w:val="0"/>
              <w:snapToGrid w:val="0"/>
              <w:spacing w:line="240" w:lineRule="auto"/>
              <w:ind w:firstLine="0" w:firstLineChars="0"/>
              <w:jc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2021.5.08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11" w:type="dxa"/>
            <w:vMerge w:val="restart"/>
            <w:vAlign w:val="center"/>
          </w:tcPr>
          <w:p>
            <w:pPr>
              <w:adjustRightInd w:val="0"/>
              <w:snapToGrid w:val="0"/>
              <w:spacing w:line="240" w:lineRule="auto"/>
              <w:ind w:firstLine="0" w:firstLineChars="0"/>
              <w:jc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水温（°C）</w:t>
            </w:r>
          </w:p>
        </w:tc>
        <w:tc>
          <w:tcPr>
            <w:tcW w:w="837" w:type="dxa"/>
            <w:vAlign w:val="center"/>
          </w:tcPr>
          <w:p>
            <w:pPr>
              <w:adjustRightInd w:val="0"/>
              <w:snapToGrid w:val="0"/>
              <w:spacing w:line="240" w:lineRule="auto"/>
              <w:ind w:firstLine="0" w:firstLineChars="0"/>
              <w:jc w:val="center"/>
              <w:rPr>
                <w:rFonts w:hint="default" w:ascii="Times New Roman" w:hAnsi="Times New Roman" w:eastAsia="宋体" w:cs="Times New Roman"/>
                <w:color w:val="auto"/>
                <w:kern w:val="21"/>
                <w:sz w:val="18"/>
                <w:szCs w:val="18"/>
                <w:lang w:eastAsia="zh-CN"/>
              </w:rPr>
            </w:pPr>
            <w:r>
              <w:rPr>
                <w:rFonts w:hint="default" w:ascii="Times New Roman" w:hAnsi="Times New Roman" w:cs="Times New Roman"/>
                <w:color w:val="auto"/>
                <w:kern w:val="21"/>
                <w:sz w:val="18"/>
                <w:szCs w:val="18"/>
                <w:lang w:eastAsia="zh-CN"/>
              </w:rPr>
              <w:t>检测值</w:t>
            </w:r>
          </w:p>
        </w:tc>
        <w:tc>
          <w:tcPr>
            <w:tcW w:w="946" w:type="dxa"/>
            <w:vAlign w:val="center"/>
          </w:tcPr>
          <w:p>
            <w:pPr>
              <w:adjustRightInd w:val="0"/>
              <w:snapToGrid w:val="0"/>
              <w:spacing w:line="240" w:lineRule="auto"/>
              <w:ind w:firstLine="0" w:firstLineChars="0"/>
              <w:jc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23.5</w:t>
            </w:r>
          </w:p>
        </w:tc>
        <w:tc>
          <w:tcPr>
            <w:tcW w:w="946" w:type="dxa"/>
            <w:vAlign w:val="center"/>
          </w:tcPr>
          <w:p>
            <w:pPr>
              <w:adjustRightInd w:val="0"/>
              <w:snapToGrid w:val="0"/>
              <w:spacing w:line="240" w:lineRule="auto"/>
              <w:ind w:firstLine="0" w:firstLineChars="0"/>
              <w:jc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23.1</w:t>
            </w:r>
          </w:p>
        </w:tc>
        <w:tc>
          <w:tcPr>
            <w:tcW w:w="946" w:type="dxa"/>
            <w:vAlign w:val="center"/>
          </w:tcPr>
          <w:p>
            <w:pPr>
              <w:adjustRightInd w:val="0"/>
              <w:snapToGrid w:val="0"/>
              <w:spacing w:line="240" w:lineRule="auto"/>
              <w:ind w:firstLine="0" w:firstLineChars="0"/>
              <w:jc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22.8</w:t>
            </w:r>
          </w:p>
        </w:tc>
        <w:tc>
          <w:tcPr>
            <w:tcW w:w="946" w:type="dxa"/>
            <w:vAlign w:val="center"/>
          </w:tcPr>
          <w:p>
            <w:pPr>
              <w:adjustRightInd w:val="0"/>
              <w:snapToGrid w:val="0"/>
              <w:spacing w:line="240" w:lineRule="auto"/>
              <w:ind w:firstLine="0" w:firstLineChars="0"/>
              <w:jc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22.4</w:t>
            </w:r>
          </w:p>
        </w:tc>
        <w:tc>
          <w:tcPr>
            <w:tcW w:w="946" w:type="dxa"/>
            <w:vAlign w:val="center"/>
          </w:tcPr>
          <w:p>
            <w:pPr>
              <w:adjustRightInd w:val="0"/>
              <w:snapToGrid w:val="0"/>
              <w:spacing w:line="240" w:lineRule="auto"/>
              <w:ind w:firstLine="0" w:firstLineChars="0"/>
              <w:jc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23.1</w:t>
            </w:r>
          </w:p>
        </w:tc>
        <w:tc>
          <w:tcPr>
            <w:tcW w:w="946" w:type="dxa"/>
            <w:vAlign w:val="center"/>
          </w:tcPr>
          <w:p>
            <w:pPr>
              <w:adjustRightInd w:val="0"/>
              <w:snapToGrid w:val="0"/>
              <w:spacing w:line="240" w:lineRule="auto"/>
              <w:ind w:firstLine="0" w:firstLineChars="0"/>
              <w:jc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22.2</w:t>
            </w:r>
          </w:p>
        </w:tc>
        <w:tc>
          <w:tcPr>
            <w:tcW w:w="946" w:type="dxa"/>
            <w:vAlign w:val="center"/>
          </w:tcPr>
          <w:p>
            <w:pPr>
              <w:adjustRightInd w:val="0"/>
              <w:snapToGrid w:val="0"/>
              <w:spacing w:line="240" w:lineRule="auto"/>
              <w:ind w:firstLine="0" w:firstLineChars="0"/>
              <w:jc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22.7</w:t>
            </w:r>
          </w:p>
        </w:tc>
        <w:tc>
          <w:tcPr>
            <w:tcW w:w="946" w:type="dxa"/>
            <w:vAlign w:val="center"/>
          </w:tcPr>
          <w:p>
            <w:pPr>
              <w:adjustRightInd w:val="0"/>
              <w:snapToGrid w:val="0"/>
              <w:spacing w:line="240" w:lineRule="auto"/>
              <w:ind w:firstLine="0" w:firstLineChars="0"/>
              <w:jc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23.4</w:t>
            </w:r>
          </w:p>
        </w:tc>
        <w:tc>
          <w:tcPr>
            <w:tcW w:w="946" w:type="dxa"/>
            <w:vAlign w:val="center"/>
          </w:tcPr>
          <w:p>
            <w:pPr>
              <w:adjustRightInd w:val="0"/>
              <w:snapToGrid w:val="0"/>
              <w:spacing w:line="240" w:lineRule="auto"/>
              <w:ind w:firstLine="0" w:firstLineChars="0"/>
              <w:jc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11" w:type="dxa"/>
            <w:vMerge w:val="continue"/>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p>
        </w:tc>
        <w:tc>
          <w:tcPr>
            <w:tcW w:w="837" w:type="dxa"/>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标准值</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1"/>
                <w:sz w:val="18"/>
                <w:szCs w:val="18"/>
                <w:lang w:val="en-US" w:eastAsia="zh-CN" w:bidi="ar"/>
              </w:rPr>
            </w:pPr>
            <w:r>
              <w:rPr>
                <w:rFonts w:hint="default" w:ascii="Times New Roman" w:hAnsi="Times New Roman" w:cs="Times New Roman"/>
                <w:color w:val="auto"/>
                <w:kern w:val="21"/>
                <w:sz w:val="18"/>
                <w:szCs w:val="18"/>
                <w:lang w:val="en-US" w:eastAsia="zh-CN" w:bidi="ar"/>
              </w:rPr>
              <w:t>/</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1"/>
                <w:sz w:val="18"/>
                <w:szCs w:val="18"/>
                <w:lang w:val="en-US" w:eastAsia="zh-CN" w:bidi="ar"/>
              </w:rPr>
            </w:pPr>
            <w:r>
              <w:rPr>
                <w:rFonts w:hint="default" w:ascii="Times New Roman" w:hAnsi="Times New Roman" w:cs="Times New Roman"/>
                <w:color w:val="auto"/>
                <w:kern w:val="21"/>
                <w:sz w:val="18"/>
                <w:szCs w:val="18"/>
                <w:lang w:val="en-US" w:eastAsia="zh-CN" w:bidi="ar"/>
              </w:rPr>
              <w:t>/</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1"/>
                <w:sz w:val="18"/>
                <w:szCs w:val="18"/>
                <w:lang w:val="en-US" w:eastAsia="zh-CN" w:bidi="ar"/>
              </w:rPr>
            </w:pPr>
            <w:r>
              <w:rPr>
                <w:rFonts w:hint="default" w:ascii="Times New Roman" w:hAnsi="Times New Roman" w:cs="Times New Roman"/>
                <w:color w:val="auto"/>
                <w:kern w:val="21"/>
                <w:sz w:val="18"/>
                <w:szCs w:val="18"/>
                <w:lang w:val="en-US" w:eastAsia="zh-CN" w:bidi="ar"/>
              </w:rPr>
              <w:t>/</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lang w:val="en-US" w:eastAsia="zh-CN" w:bidi="ar"/>
              </w:rPr>
              <w:t>/</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lang w:val="en-US" w:eastAsia="zh-CN" w:bidi="ar"/>
              </w:rPr>
              <w:t>/</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lang w:val="en-US" w:eastAsia="zh-CN" w:bidi="ar"/>
              </w:rPr>
              <w:t>/</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lang w:val="en-US" w:eastAsia="zh-CN" w:bidi="ar"/>
              </w:rPr>
              <w:t>/</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lang w:val="en-US" w:eastAsia="zh-CN" w:bidi="ar"/>
              </w:rPr>
              <w:t>/</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11" w:type="dxa"/>
            <w:vMerge w:val="continue"/>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p>
        </w:tc>
        <w:tc>
          <w:tcPr>
            <w:tcW w:w="837" w:type="dxa"/>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达标情况</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1"/>
                <w:sz w:val="18"/>
                <w:szCs w:val="18"/>
                <w:lang w:val="en-US" w:eastAsia="zh-CN" w:bidi="ar"/>
              </w:rPr>
            </w:pPr>
            <w:r>
              <w:rPr>
                <w:rFonts w:hint="default" w:ascii="Times New Roman" w:hAnsi="Times New Roman" w:cs="Times New Roman"/>
                <w:color w:val="auto"/>
                <w:kern w:val="21"/>
                <w:sz w:val="18"/>
                <w:szCs w:val="18"/>
                <w:lang w:val="en-US" w:eastAsia="zh-CN" w:bidi="ar"/>
              </w:rPr>
              <w:t>/</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1"/>
                <w:sz w:val="18"/>
                <w:szCs w:val="18"/>
                <w:lang w:val="en-US" w:eastAsia="zh-CN" w:bidi="ar"/>
              </w:rPr>
            </w:pPr>
            <w:r>
              <w:rPr>
                <w:rFonts w:hint="default" w:ascii="Times New Roman" w:hAnsi="Times New Roman" w:cs="Times New Roman"/>
                <w:color w:val="auto"/>
                <w:kern w:val="21"/>
                <w:sz w:val="18"/>
                <w:szCs w:val="18"/>
                <w:lang w:val="en-US" w:eastAsia="zh-CN" w:bidi="ar"/>
              </w:rPr>
              <w:t>/</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1"/>
                <w:sz w:val="18"/>
                <w:szCs w:val="18"/>
                <w:lang w:val="en-US" w:eastAsia="zh-CN" w:bidi="ar"/>
              </w:rPr>
            </w:pPr>
            <w:r>
              <w:rPr>
                <w:rFonts w:hint="default" w:ascii="Times New Roman" w:hAnsi="Times New Roman" w:cs="Times New Roman"/>
                <w:color w:val="auto"/>
                <w:kern w:val="21"/>
                <w:sz w:val="18"/>
                <w:szCs w:val="18"/>
                <w:lang w:val="en-US" w:eastAsia="zh-CN" w:bidi="ar"/>
              </w:rPr>
              <w:t>/</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lang w:val="en-US" w:eastAsia="zh-CN" w:bidi="ar"/>
              </w:rPr>
              <w:t>/</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lang w:val="en-US" w:eastAsia="zh-CN" w:bidi="ar"/>
              </w:rPr>
              <w:t>/</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lang w:val="en-US" w:eastAsia="zh-CN" w:bidi="ar"/>
              </w:rPr>
              <w:t>/</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lang w:val="en-US" w:eastAsia="zh-CN" w:bidi="ar"/>
              </w:rPr>
              <w:t>/</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lang w:val="en-US" w:eastAsia="zh-CN" w:bidi="ar"/>
              </w:rPr>
              <w:t>/</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11" w:type="dxa"/>
            <w:vMerge w:val="restart"/>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pH（无量纲）</w:t>
            </w:r>
          </w:p>
        </w:tc>
        <w:tc>
          <w:tcPr>
            <w:tcW w:w="837" w:type="dxa"/>
            <w:vAlign w:val="center"/>
          </w:tcPr>
          <w:p>
            <w:pPr>
              <w:autoSpaceDN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1"/>
                <w:sz w:val="18"/>
                <w:szCs w:val="18"/>
                <w:lang w:eastAsia="zh-CN"/>
              </w:rPr>
            </w:pPr>
            <w:r>
              <w:rPr>
                <w:rFonts w:hint="default" w:ascii="Times New Roman" w:hAnsi="Times New Roman" w:cs="Times New Roman"/>
                <w:color w:val="auto"/>
                <w:kern w:val="21"/>
                <w:sz w:val="18"/>
                <w:szCs w:val="18"/>
                <w:lang w:eastAsia="zh-CN"/>
              </w:rPr>
              <w:t>检测值</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8.23</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8.26</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8.22</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8.18</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8.19</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8.14</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8.19</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8.17</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8.21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11" w:type="dxa"/>
            <w:vMerge w:val="continue"/>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p>
        </w:tc>
        <w:tc>
          <w:tcPr>
            <w:tcW w:w="837" w:type="dxa"/>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标准值</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lang w:bidi="ar"/>
              </w:rPr>
              <w:t>6-9</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lang w:bidi="ar"/>
              </w:rPr>
              <w:t>6-9</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lang w:bidi="ar"/>
              </w:rPr>
              <w:t>6-9</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lang w:bidi="ar"/>
              </w:rPr>
              <w:t>6-9</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lang w:bidi="ar"/>
              </w:rPr>
              <w:t>6-9</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lang w:bidi="ar"/>
              </w:rPr>
              <w:t>6-9</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lang w:bidi="ar"/>
              </w:rPr>
              <w:t>6-9</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lang w:bidi="ar"/>
              </w:rPr>
              <w:t>6-9</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lang w:bidi="ar"/>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11" w:type="dxa"/>
            <w:vMerge w:val="continue"/>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p>
        </w:tc>
        <w:tc>
          <w:tcPr>
            <w:tcW w:w="837" w:type="dxa"/>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达标情况</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达标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达标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达标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达标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达标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达标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达标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达标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0" w:hRule="atLeast"/>
          <w:jc w:val="center"/>
        </w:trPr>
        <w:tc>
          <w:tcPr>
            <w:tcW w:w="711" w:type="dxa"/>
            <w:vMerge w:val="restart"/>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BOD</w:t>
            </w:r>
            <w:r>
              <w:rPr>
                <w:rFonts w:hint="default" w:ascii="Times New Roman" w:hAnsi="Times New Roman" w:cs="Times New Roman"/>
                <w:color w:val="auto"/>
                <w:kern w:val="21"/>
                <w:sz w:val="18"/>
                <w:szCs w:val="18"/>
                <w:vertAlign w:val="subscript"/>
              </w:rPr>
              <w:t>5</w:t>
            </w:r>
          </w:p>
        </w:tc>
        <w:tc>
          <w:tcPr>
            <w:tcW w:w="837" w:type="dxa"/>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eastAsia="zh-CN"/>
              </w:rPr>
              <w:t>检测值</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5.2</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5.8</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5.4</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7.9</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8.4</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7.7</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9.1</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9.4</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0" w:hRule="atLeast"/>
          <w:jc w:val="center"/>
        </w:trPr>
        <w:tc>
          <w:tcPr>
            <w:tcW w:w="711" w:type="dxa"/>
            <w:vMerge w:val="continue"/>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p>
        </w:tc>
        <w:tc>
          <w:tcPr>
            <w:tcW w:w="837" w:type="dxa"/>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标准值</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1"/>
                <w:sz w:val="18"/>
                <w:szCs w:val="18"/>
                <w:lang w:eastAsia="zh-CN" w:bidi="ar"/>
              </w:rPr>
            </w:pPr>
            <w:r>
              <w:rPr>
                <w:rFonts w:hint="default" w:ascii="Times New Roman" w:hAnsi="Times New Roman" w:cs="Times New Roman"/>
                <w:color w:val="auto"/>
                <w:kern w:val="21"/>
                <w:sz w:val="18"/>
                <w:szCs w:val="18"/>
              </w:rPr>
              <w:t>≤</w:t>
            </w:r>
            <w:r>
              <w:rPr>
                <w:rFonts w:hint="default" w:ascii="Times New Roman" w:hAnsi="Times New Roman" w:cs="Times New Roman"/>
                <w:color w:val="auto"/>
                <w:kern w:val="21"/>
                <w:sz w:val="18"/>
                <w:szCs w:val="18"/>
                <w:lang w:val="en-US" w:eastAsia="zh-CN"/>
              </w:rPr>
              <w:t>4</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1"/>
                <w:sz w:val="18"/>
                <w:szCs w:val="18"/>
                <w:lang w:eastAsia="zh-CN" w:bidi="ar"/>
              </w:rPr>
            </w:pPr>
            <w:r>
              <w:rPr>
                <w:rFonts w:hint="default" w:ascii="Times New Roman" w:hAnsi="Times New Roman" w:cs="Times New Roman"/>
                <w:color w:val="auto"/>
                <w:kern w:val="21"/>
                <w:sz w:val="18"/>
                <w:szCs w:val="18"/>
              </w:rPr>
              <w:t>≤</w:t>
            </w:r>
            <w:r>
              <w:rPr>
                <w:rFonts w:hint="default" w:ascii="Times New Roman" w:hAnsi="Times New Roman" w:cs="Times New Roman"/>
                <w:color w:val="auto"/>
                <w:kern w:val="21"/>
                <w:sz w:val="18"/>
                <w:szCs w:val="18"/>
                <w:lang w:val="en-US" w:eastAsia="zh-CN"/>
              </w:rPr>
              <w:t>4</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w:t>
            </w:r>
            <w:r>
              <w:rPr>
                <w:rFonts w:hint="default" w:ascii="Times New Roman" w:hAnsi="Times New Roman" w:cs="Times New Roman"/>
                <w:color w:val="auto"/>
                <w:kern w:val="21"/>
                <w:sz w:val="18"/>
                <w:szCs w:val="18"/>
                <w:lang w:val="en-US" w:eastAsia="zh-CN"/>
              </w:rPr>
              <w:t>4</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w:t>
            </w:r>
            <w:r>
              <w:rPr>
                <w:rFonts w:hint="default" w:ascii="Times New Roman" w:hAnsi="Times New Roman" w:cs="Times New Roman"/>
                <w:color w:val="auto"/>
                <w:kern w:val="21"/>
                <w:sz w:val="18"/>
                <w:szCs w:val="18"/>
                <w:lang w:val="en-US" w:eastAsia="zh-CN"/>
              </w:rPr>
              <w:t>4</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w:t>
            </w:r>
            <w:r>
              <w:rPr>
                <w:rFonts w:hint="default" w:ascii="Times New Roman" w:hAnsi="Times New Roman" w:cs="Times New Roman"/>
                <w:color w:val="auto"/>
                <w:kern w:val="21"/>
                <w:sz w:val="18"/>
                <w:szCs w:val="18"/>
                <w:lang w:val="en-US" w:eastAsia="zh-CN"/>
              </w:rPr>
              <w:t>4</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w:t>
            </w:r>
            <w:r>
              <w:rPr>
                <w:rFonts w:hint="default" w:ascii="Times New Roman" w:hAnsi="Times New Roman" w:cs="Times New Roman"/>
                <w:color w:val="auto"/>
                <w:kern w:val="21"/>
                <w:sz w:val="18"/>
                <w:szCs w:val="18"/>
                <w:lang w:val="en-US" w:eastAsia="zh-CN"/>
              </w:rPr>
              <w:t>4</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w:t>
            </w:r>
            <w:r>
              <w:rPr>
                <w:rFonts w:hint="default" w:ascii="Times New Roman" w:hAnsi="Times New Roman" w:cs="Times New Roman"/>
                <w:color w:val="auto"/>
                <w:kern w:val="21"/>
                <w:sz w:val="18"/>
                <w:szCs w:val="18"/>
                <w:lang w:val="en-US" w:eastAsia="zh-CN"/>
              </w:rPr>
              <w:t>4</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w:t>
            </w:r>
            <w:r>
              <w:rPr>
                <w:rFonts w:hint="default" w:ascii="Times New Roman" w:hAnsi="Times New Roman" w:cs="Times New Roman"/>
                <w:color w:val="auto"/>
                <w:kern w:val="21"/>
                <w:sz w:val="18"/>
                <w:szCs w:val="18"/>
                <w:lang w:val="en-US" w:eastAsia="zh-CN"/>
              </w:rPr>
              <w:t>4</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w:t>
            </w:r>
            <w:r>
              <w:rPr>
                <w:rFonts w:hint="default" w:ascii="Times New Roman" w:hAnsi="Times New Roman" w:cs="Times New Roman"/>
                <w:color w:val="auto"/>
                <w:kern w:val="21"/>
                <w:sz w:val="18"/>
                <w:szCs w:val="18"/>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0" w:hRule="atLeast"/>
          <w:jc w:val="center"/>
        </w:trPr>
        <w:tc>
          <w:tcPr>
            <w:tcW w:w="711" w:type="dxa"/>
            <w:vMerge w:val="continue"/>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p>
        </w:tc>
        <w:tc>
          <w:tcPr>
            <w:tcW w:w="837" w:type="dxa"/>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达标情况</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b/>
                <w:bCs/>
                <w:color w:val="auto"/>
                <w:kern w:val="21"/>
                <w:sz w:val="18"/>
                <w:szCs w:val="18"/>
                <w:lang w:bidi="ar"/>
              </w:rPr>
            </w:pPr>
            <w:r>
              <w:rPr>
                <w:rFonts w:hint="default" w:ascii="Times New Roman" w:hAnsi="Times New Roman" w:cs="Times New Roman"/>
                <w:b/>
                <w:bCs/>
                <w:color w:val="auto"/>
                <w:kern w:val="21"/>
                <w:sz w:val="18"/>
                <w:szCs w:val="18"/>
                <w:lang w:bidi="ar"/>
              </w:rPr>
              <w:t>超标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b/>
                <w:bCs/>
                <w:color w:val="auto"/>
                <w:kern w:val="21"/>
                <w:sz w:val="18"/>
                <w:szCs w:val="18"/>
                <w:lang w:bidi="ar"/>
              </w:rPr>
            </w:pPr>
            <w:r>
              <w:rPr>
                <w:rFonts w:hint="default" w:ascii="Times New Roman" w:hAnsi="Times New Roman" w:cs="Times New Roman"/>
                <w:b/>
                <w:bCs/>
                <w:color w:val="auto"/>
                <w:kern w:val="21"/>
                <w:sz w:val="18"/>
                <w:szCs w:val="18"/>
                <w:lang w:bidi="ar"/>
              </w:rPr>
              <w:t>超标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b/>
                <w:bCs/>
                <w:color w:val="auto"/>
                <w:kern w:val="21"/>
                <w:sz w:val="18"/>
                <w:szCs w:val="18"/>
                <w:lang w:bidi="ar"/>
              </w:rPr>
            </w:pPr>
            <w:r>
              <w:rPr>
                <w:rFonts w:hint="default" w:ascii="Times New Roman" w:hAnsi="Times New Roman" w:cs="Times New Roman"/>
                <w:b/>
                <w:bCs/>
                <w:color w:val="auto"/>
                <w:kern w:val="21"/>
                <w:sz w:val="18"/>
                <w:szCs w:val="18"/>
                <w:lang w:bidi="ar"/>
              </w:rPr>
              <w:t>超标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b/>
                <w:bCs/>
                <w:color w:val="auto"/>
                <w:kern w:val="21"/>
                <w:sz w:val="18"/>
                <w:szCs w:val="18"/>
                <w:lang w:bidi="ar"/>
              </w:rPr>
            </w:pPr>
            <w:r>
              <w:rPr>
                <w:rFonts w:hint="default" w:ascii="Times New Roman" w:hAnsi="Times New Roman" w:cs="Times New Roman"/>
                <w:b/>
                <w:bCs/>
                <w:color w:val="auto"/>
                <w:kern w:val="21"/>
                <w:sz w:val="18"/>
                <w:szCs w:val="18"/>
                <w:lang w:bidi="ar"/>
              </w:rPr>
              <w:t>超标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b/>
                <w:bCs/>
                <w:color w:val="auto"/>
                <w:kern w:val="21"/>
                <w:sz w:val="18"/>
                <w:szCs w:val="18"/>
                <w:lang w:bidi="ar"/>
              </w:rPr>
            </w:pPr>
            <w:r>
              <w:rPr>
                <w:rFonts w:hint="default" w:ascii="Times New Roman" w:hAnsi="Times New Roman" w:cs="Times New Roman"/>
                <w:b/>
                <w:bCs/>
                <w:color w:val="auto"/>
                <w:kern w:val="21"/>
                <w:sz w:val="18"/>
                <w:szCs w:val="18"/>
                <w:lang w:bidi="ar"/>
              </w:rPr>
              <w:t>超标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b/>
                <w:bCs/>
                <w:color w:val="auto"/>
                <w:kern w:val="21"/>
                <w:sz w:val="18"/>
                <w:szCs w:val="18"/>
                <w:lang w:bidi="ar"/>
              </w:rPr>
            </w:pPr>
            <w:r>
              <w:rPr>
                <w:rFonts w:hint="default" w:ascii="Times New Roman" w:hAnsi="Times New Roman" w:cs="Times New Roman"/>
                <w:b/>
                <w:bCs/>
                <w:color w:val="auto"/>
                <w:kern w:val="21"/>
                <w:sz w:val="18"/>
                <w:szCs w:val="18"/>
                <w:lang w:bidi="ar"/>
              </w:rPr>
              <w:t>超标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b/>
                <w:bCs/>
                <w:color w:val="auto"/>
                <w:kern w:val="21"/>
                <w:sz w:val="18"/>
                <w:szCs w:val="18"/>
                <w:lang w:bidi="ar"/>
              </w:rPr>
            </w:pPr>
            <w:r>
              <w:rPr>
                <w:rFonts w:hint="default" w:ascii="Times New Roman" w:hAnsi="Times New Roman" w:cs="Times New Roman"/>
                <w:b/>
                <w:bCs/>
                <w:color w:val="auto"/>
                <w:kern w:val="21"/>
                <w:sz w:val="18"/>
                <w:szCs w:val="18"/>
                <w:lang w:bidi="ar"/>
              </w:rPr>
              <w:t>超标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b/>
                <w:bCs/>
                <w:color w:val="auto"/>
                <w:kern w:val="21"/>
                <w:sz w:val="18"/>
                <w:szCs w:val="18"/>
                <w:lang w:bidi="ar"/>
              </w:rPr>
            </w:pPr>
            <w:r>
              <w:rPr>
                <w:rFonts w:hint="default" w:ascii="Times New Roman" w:hAnsi="Times New Roman" w:cs="Times New Roman"/>
                <w:b/>
                <w:bCs/>
                <w:color w:val="auto"/>
                <w:kern w:val="21"/>
                <w:sz w:val="18"/>
                <w:szCs w:val="18"/>
                <w:lang w:bidi="ar"/>
              </w:rPr>
              <w:t>超标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b/>
                <w:bCs/>
                <w:color w:val="auto"/>
                <w:kern w:val="21"/>
                <w:sz w:val="18"/>
                <w:szCs w:val="18"/>
                <w:lang w:bidi="ar"/>
              </w:rPr>
            </w:pPr>
            <w:r>
              <w:rPr>
                <w:rFonts w:hint="default" w:ascii="Times New Roman" w:hAnsi="Times New Roman" w:cs="Times New Roman"/>
                <w:b/>
                <w:bCs/>
                <w:color w:val="auto"/>
                <w:kern w:val="21"/>
                <w:sz w:val="18"/>
                <w:szCs w:val="18"/>
                <w:lang w:bidi="ar"/>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1" w:type="dxa"/>
            <w:vMerge w:val="restart"/>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val="en-US" w:eastAsia="zh-CN"/>
              </w:rPr>
            </w:pPr>
            <w:r>
              <w:rPr>
                <w:rFonts w:hint="default" w:ascii="Times New Roman" w:hAnsi="Times New Roman" w:cs="Times New Roman"/>
                <w:color w:val="auto"/>
                <w:kern w:val="21"/>
                <w:sz w:val="18"/>
                <w:szCs w:val="18"/>
                <w:lang w:val="en-US" w:eastAsia="zh-CN"/>
              </w:rPr>
              <w:t>COD</w:t>
            </w:r>
          </w:p>
        </w:tc>
        <w:tc>
          <w:tcPr>
            <w:tcW w:w="837" w:type="dxa"/>
            <w:vAlign w:val="center"/>
          </w:tcPr>
          <w:p>
            <w:pPr>
              <w:autoSpaceDN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1"/>
                <w:sz w:val="18"/>
                <w:szCs w:val="18"/>
                <w:lang w:val="en-US" w:eastAsia="zh-CN"/>
              </w:rPr>
            </w:pPr>
            <w:r>
              <w:rPr>
                <w:rFonts w:hint="default" w:ascii="Times New Roman" w:hAnsi="Times New Roman" w:cs="Times New Roman"/>
                <w:color w:val="auto"/>
                <w:kern w:val="21"/>
                <w:sz w:val="18"/>
                <w:szCs w:val="18"/>
                <w:lang w:eastAsia="zh-CN"/>
              </w:rPr>
              <w:t>检测值</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26</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27</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25</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28</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30</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27</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32</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34</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1" w:type="dxa"/>
            <w:vMerge w:val="continue"/>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p>
        </w:tc>
        <w:tc>
          <w:tcPr>
            <w:tcW w:w="837" w:type="dxa"/>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标准值</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1"/>
                <w:sz w:val="18"/>
                <w:szCs w:val="18"/>
                <w:lang w:val="en-US" w:eastAsia="zh-CN" w:bidi="ar"/>
              </w:rPr>
            </w:pPr>
            <w:r>
              <w:rPr>
                <w:rFonts w:hint="default" w:ascii="Times New Roman" w:hAnsi="Times New Roman" w:cs="Times New Roman"/>
                <w:color w:val="auto"/>
                <w:kern w:val="21"/>
                <w:sz w:val="18"/>
                <w:szCs w:val="18"/>
              </w:rPr>
              <w:t>≤</w:t>
            </w:r>
            <w:r>
              <w:rPr>
                <w:rFonts w:hint="default" w:ascii="Times New Roman" w:hAnsi="Times New Roman" w:cs="Times New Roman"/>
                <w:color w:val="auto"/>
                <w:kern w:val="21"/>
                <w:sz w:val="18"/>
                <w:szCs w:val="18"/>
                <w:lang w:val="en-US" w:eastAsia="zh-CN"/>
              </w:rPr>
              <w:t>20</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w:t>
            </w:r>
            <w:r>
              <w:rPr>
                <w:rFonts w:hint="default" w:ascii="Times New Roman" w:hAnsi="Times New Roman" w:cs="Times New Roman"/>
                <w:color w:val="auto"/>
                <w:kern w:val="21"/>
                <w:sz w:val="18"/>
                <w:szCs w:val="18"/>
                <w:lang w:val="en-US" w:eastAsia="zh-CN"/>
              </w:rPr>
              <w:t>20</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w:t>
            </w:r>
            <w:r>
              <w:rPr>
                <w:rFonts w:hint="default" w:ascii="Times New Roman" w:hAnsi="Times New Roman" w:cs="Times New Roman"/>
                <w:color w:val="auto"/>
                <w:kern w:val="21"/>
                <w:sz w:val="18"/>
                <w:szCs w:val="18"/>
                <w:lang w:val="en-US" w:eastAsia="zh-CN"/>
              </w:rPr>
              <w:t>20</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w:t>
            </w:r>
            <w:r>
              <w:rPr>
                <w:rFonts w:hint="default" w:ascii="Times New Roman" w:hAnsi="Times New Roman" w:cs="Times New Roman"/>
                <w:color w:val="auto"/>
                <w:kern w:val="21"/>
                <w:sz w:val="18"/>
                <w:szCs w:val="18"/>
                <w:lang w:val="en-US" w:eastAsia="zh-CN"/>
              </w:rPr>
              <w:t>20</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w:t>
            </w:r>
            <w:r>
              <w:rPr>
                <w:rFonts w:hint="default" w:ascii="Times New Roman" w:hAnsi="Times New Roman" w:cs="Times New Roman"/>
                <w:color w:val="auto"/>
                <w:kern w:val="21"/>
                <w:sz w:val="18"/>
                <w:szCs w:val="18"/>
                <w:lang w:val="en-US" w:eastAsia="zh-CN"/>
              </w:rPr>
              <w:t>20</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w:t>
            </w:r>
            <w:r>
              <w:rPr>
                <w:rFonts w:hint="default" w:ascii="Times New Roman" w:hAnsi="Times New Roman" w:cs="Times New Roman"/>
                <w:color w:val="auto"/>
                <w:kern w:val="21"/>
                <w:sz w:val="18"/>
                <w:szCs w:val="18"/>
                <w:lang w:val="en-US" w:eastAsia="zh-CN"/>
              </w:rPr>
              <w:t>20</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w:t>
            </w:r>
            <w:r>
              <w:rPr>
                <w:rFonts w:hint="default" w:ascii="Times New Roman" w:hAnsi="Times New Roman" w:cs="Times New Roman"/>
                <w:color w:val="auto"/>
                <w:kern w:val="21"/>
                <w:sz w:val="18"/>
                <w:szCs w:val="18"/>
                <w:lang w:val="en-US" w:eastAsia="zh-CN"/>
              </w:rPr>
              <w:t>20</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w:t>
            </w:r>
            <w:r>
              <w:rPr>
                <w:rFonts w:hint="default" w:ascii="Times New Roman" w:hAnsi="Times New Roman" w:cs="Times New Roman"/>
                <w:color w:val="auto"/>
                <w:kern w:val="21"/>
                <w:sz w:val="18"/>
                <w:szCs w:val="18"/>
                <w:lang w:val="en-US" w:eastAsia="zh-CN"/>
              </w:rPr>
              <w:t>20</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w:t>
            </w:r>
            <w:r>
              <w:rPr>
                <w:rFonts w:hint="default" w:ascii="Times New Roman" w:hAnsi="Times New Roman" w:cs="Times New Roman"/>
                <w:color w:val="auto"/>
                <w:kern w:val="21"/>
                <w:sz w:val="18"/>
                <w:szCs w:val="18"/>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1" w:type="dxa"/>
            <w:vMerge w:val="continue"/>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p>
        </w:tc>
        <w:tc>
          <w:tcPr>
            <w:tcW w:w="837" w:type="dxa"/>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达标情况</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b/>
                <w:bCs/>
                <w:color w:val="auto"/>
                <w:kern w:val="21"/>
                <w:sz w:val="18"/>
                <w:szCs w:val="18"/>
                <w:lang w:bidi="ar"/>
              </w:rPr>
            </w:pPr>
            <w:r>
              <w:rPr>
                <w:rFonts w:hint="default" w:ascii="Times New Roman" w:hAnsi="Times New Roman" w:cs="Times New Roman"/>
                <w:b/>
                <w:bCs/>
                <w:color w:val="auto"/>
                <w:kern w:val="21"/>
                <w:sz w:val="18"/>
                <w:szCs w:val="18"/>
                <w:lang w:bidi="ar"/>
              </w:rPr>
              <w:t>超标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b/>
                <w:bCs/>
                <w:color w:val="auto"/>
                <w:kern w:val="21"/>
                <w:sz w:val="18"/>
                <w:szCs w:val="18"/>
                <w:lang w:bidi="ar"/>
              </w:rPr>
            </w:pPr>
            <w:r>
              <w:rPr>
                <w:rFonts w:hint="default" w:ascii="Times New Roman" w:hAnsi="Times New Roman" w:cs="Times New Roman"/>
                <w:b/>
                <w:bCs/>
                <w:color w:val="auto"/>
                <w:kern w:val="21"/>
                <w:sz w:val="18"/>
                <w:szCs w:val="18"/>
                <w:lang w:bidi="ar"/>
              </w:rPr>
              <w:t>超标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b/>
                <w:bCs/>
                <w:color w:val="auto"/>
                <w:kern w:val="21"/>
                <w:sz w:val="18"/>
                <w:szCs w:val="18"/>
                <w:lang w:bidi="ar"/>
              </w:rPr>
            </w:pPr>
            <w:r>
              <w:rPr>
                <w:rFonts w:hint="default" w:ascii="Times New Roman" w:hAnsi="Times New Roman" w:cs="Times New Roman"/>
                <w:b/>
                <w:bCs/>
                <w:color w:val="auto"/>
                <w:kern w:val="21"/>
                <w:sz w:val="18"/>
                <w:szCs w:val="18"/>
                <w:lang w:bidi="ar"/>
              </w:rPr>
              <w:t>超标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b/>
                <w:bCs/>
                <w:color w:val="auto"/>
                <w:kern w:val="21"/>
                <w:sz w:val="18"/>
                <w:szCs w:val="18"/>
                <w:lang w:bidi="ar"/>
              </w:rPr>
            </w:pPr>
            <w:r>
              <w:rPr>
                <w:rFonts w:hint="default" w:ascii="Times New Roman" w:hAnsi="Times New Roman" w:cs="Times New Roman"/>
                <w:b/>
                <w:bCs/>
                <w:color w:val="auto"/>
                <w:kern w:val="21"/>
                <w:sz w:val="18"/>
                <w:szCs w:val="18"/>
                <w:lang w:bidi="ar"/>
              </w:rPr>
              <w:t>超标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b/>
                <w:bCs/>
                <w:color w:val="auto"/>
                <w:kern w:val="21"/>
                <w:sz w:val="18"/>
                <w:szCs w:val="18"/>
                <w:lang w:bidi="ar"/>
              </w:rPr>
            </w:pPr>
            <w:r>
              <w:rPr>
                <w:rFonts w:hint="default" w:ascii="Times New Roman" w:hAnsi="Times New Roman" w:cs="Times New Roman"/>
                <w:b/>
                <w:bCs/>
                <w:color w:val="auto"/>
                <w:kern w:val="21"/>
                <w:sz w:val="18"/>
                <w:szCs w:val="18"/>
                <w:lang w:bidi="ar"/>
              </w:rPr>
              <w:t>超标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b/>
                <w:bCs/>
                <w:color w:val="auto"/>
                <w:kern w:val="21"/>
                <w:sz w:val="18"/>
                <w:szCs w:val="18"/>
                <w:lang w:bidi="ar"/>
              </w:rPr>
            </w:pPr>
            <w:r>
              <w:rPr>
                <w:rFonts w:hint="default" w:ascii="Times New Roman" w:hAnsi="Times New Roman" w:cs="Times New Roman"/>
                <w:b/>
                <w:bCs/>
                <w:color w:val="auto"/>
                <w:kern w:val="21"/>
                <w:sz w:val="18"/>
                <w:szCs w:val="18"/>
                <w:lang w:bidi="ar"/>
              </w:rPr>
              <w:t>超标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b/>
                <w:bCs/>
                <w:color w:val="auto"/>
                <w:kern w:val="21"/>
                <w:sz w:val="18"/>
                <w:szCs w:val="18"/>
                <w:lang w:bidi="ar"/>
              </w:rPr>
            </w:pPr>
            <w:r>
              <w:rPr>
                <w:rFonts w:hint="default" w:ascii="Times New Roman" w:hAnsi="Times New Roman" w:cs="Times New Roman"/>
                <w:b/>
                <w:bCs/>
                <w:color w:val="auto"/>
                <w:kern w:val="21"/>
                <w:sz w:val="18"/>
                <w:szCs w:val="18"/>
                <w:lang w:bidi="ar"/>
              </w:rPr>
              <w:t>超标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b/>
                <w:bCs/>
                <w:color w:val="auto"/>
                <w:kern w:val="21"/>
                <w:sz w:val="18"/>
                <w:szCs w:val="18"/>
                <w:lang w:bidi="ar"/>
              </w:rPr>
            </w:pPr>
            <w:r>
              <w:rPr>
                <w:rFonts w:hint="default" w:ascii="Times New Roman" w:hAnsi="Times New Roman" w:cs="Times New Roman"/>
                <w:b/>
                <w:bCs/>
                <w:color w:val="auto"/>
                <w:kern w:val="21"/>
                <w:sz w:val="18"/>
                <w:szCs w:val="18"/>
                <w:lang w:bidi="ar"/>
              </w:rPr>
              <w:t>超标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b/>
                <w:bCs/>
                <w:color w:val="auto"/>
                <w:kern w:val="21"/>
                <w:sz w:val="18"/>
                <w:szCs w:val="18"/>
                <w:lang w:bidi="ar"/>
              </w:rPr>
            </w:pPr>
            <w:r>
              <w:rPr>
                <w:rFonts w:hint="default" w:ascii="Times New Roman" w:hAnsi="Times New Roman" w:cs="Times New Roman"/>
                <w:b/>
                <w:bCs/>
                <w:color w:val="auto"/>
                <w:kern w:val="21"/>
                <w:sz w:val="18"/>
                <w:szCs w:val="18"/>
                <w:lang w:bidi="ar"/>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1" w:type="dxa"/>
            <w:vMerge w:val="restart"/>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悬浮物</w:t>
            </w:r>
          </w:p>
        </w:tc>
        <w:tc>
          <w:tcPr>
            <w:tcW w:w="837" w:type="dxa"/>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eastAsia="zh-CN"/>
              </w:rPr>
              <w:t>检测值</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7</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8</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7</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5</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4</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5</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9</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10</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1" w:hRule="atLeast"/>
          <w:jc w:val="center"/>
        </w:trPr>
        <w:tc>
          <w:tcPr>
            <w:tcW w:w="711" w:type="dxa"/>
            <w:vMerge w:val="continue"/>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p>
        </w:tc>
        <w:tc>
          <w:tcPr>
            <w:tcW w:w="837" w:type="dxa"/>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标准值</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lang w:bidi="ar"/>
              </w:rPr>
              <w:t>/</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lang w:bidi="ar"/>
              </w:rPr>
              <w:t>/</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lang w:bidi="ar"/>
              </w:rPr>
              <w:t>/</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lang w:bidi="ar"/>
              </w:rPr>
              <w:t>/</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lang w:bidi="ar"/>
              </w:rPr>
              <w:t>/</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lang w:bidi="ar"/>
              </w:rPr>
              <w:t>/</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lang w:bidi="ar"/>
              </w:rPr>
              <w:t>/</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lang w:bidi="ar"/>
              </w:rPr>
              <w:t>/</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11" w:type="dxa"/>
            <w:vMerge w:val="continue"/>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p>
        </w:tc>
        <w:tc>
          <w:tcPr>
            <w:tcW w:w="837" w:type="dxa"/>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达标情况</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1"/>
                <w:sz w:val="18"/>
                <w:szCs w:val="18"/>
                <w:lang w:val="en-US" w:eastAsia="zh-CN" w:bidi="ar"/>
              </w:rPr>
            </w:pPr>
            <w:r>
              <w:rPr>
                <w:rFonts w:hint="default" w:ascii="Times New Roman" w:hAnsi="Times New Roman" w:cs="Times New Roman"/>
                <w:color w:val="auto"/>
                <w:kern w:val="21"/>
                <w:sz w:val="18"/>
                <w:szCs w:val="18"/>
                <w:lang w:bidi="ar"/>
              </w:rPr>
              <w:t>/</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1"/>
                <w:sz w:val="18"/>
                <w:szCs w:val="18"/>
                <w:lang w:val="en-US" w:eastAsia="zh-CN" w:bidi="ar"/>
              </w:rPr>
            </w:pPr>
            <w:r>
              <w:rPr>
                <w:rFonts w:hint="default" w:ascii="Times New Roman" w:hAnsi="Times New Roman" w:cs="Times New Roman"/>
                <w:color w:val="auto"/>
                <w:kern w:val="21"/>
                <w:sz w:val="18"/>
                <w:szCs w:val="18"/>
                <w:lang w:bidi="ar"/>
              </w:rPr>
              <w:t>/</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1"/>
                <w:sz w:val="18"/>
                <w:szCs w:val="18"/>
                <w:lang w:val="en-US" w:eastAsia="zh-CN" w:bidi="ar"/>
              </w:rPr>
            </w:pPr>
            <w:r>
              <w:rPr>
                <w:rFonts w:hint="default" w:ascii="Times New Roman" w:hAnsi="Times New Roman" w:cs="Times New Roman"/>
                <w:color w:val="auto"/>
                <w:kern w:val="21"/>
                <w:sz w:val="18"/>
                <w:szCs w:val="18"/>
                <w:lang w:bidi="ar"/>
              </w:rPr>
              <w:t>/</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1"/>
                <w:sz w:val="18"/>
                <w:szCs w:val="18"/>
                <w:lang w:val="en-US" w:eastAsia="zh-CN" w:bidi="ar"/>
              </w:rPr>
            </w:pPr>
            <w:r>
              <w:rPr>
                <w:rFonts w:hint="default" w:ascii="Times New Roman" w:hAnsi="Times New Roman" w:cs="Times New Roman"/>
                <w:color w:val="auto"/>
                <w:kern w:val="21"/>
                <w:sz w:val="18"/>
                <w:szCs w:val="18"/>
                <w:lang w:bidi="ar"/>
              </w:rPr>
              <w:t>/</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1"/>
                <w:sz w:val="18"/>
                <w:szCs w:val="18"/>
                <w:lang w:val="en-US" w:eastAsia="zh-CN" w:bidi="ar"/>
              </w:rPr>
            </w:pPr>
            <w:r>
              <w:rPr>
                <w:rFonts w:hint="default" w:ascii="Times New Roman" w:hAnsi="Times New Roman" w:cs="Times New Roman"/>
                <w:color w:val="auto"/>
                <w:kern w:val="21"/>
                <w:sz w:val="18"/>
                <w:szCs w:val="18"/>
                <w:lang w:bidi="ar"/>
              </w:rPr>
              <w:t>/</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1"/>
                <w:sz w:val="18"/>
                <w:szCs w:val="18"/>
                <w:lang w:val="en-US" w:eastAsia="zh-CN" w:bidi="ar"/>
              </w:rPr>
            </w:pPr>
            <w:r>
              <w:rPr>
                <w:rFonts w:hint="default" w:ascii="Times New Roman" w:hAnsi="Times New Roman" w:cs="Times New Roman"/>
                <w:color w:val="auto"/>
                <w:kern w:val="21"/>
                <w:sz w:val="18"/>
                <w:szCs w:val="18"/>
                <w:lang w:bidi="ar"/>
              </w:rPr>
              <w:t>/</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1"/>
                <w:sz w:val="18"/>
                <w:szCs w:val="18"/>
                <w:lang w:val="en-US" w:eastAsia="zh-CN" w:bidi="ar"/>
              </w:rPr>
            </w:pPr>
            <w:r>
              <w:rPr>
                <w:rFonts w:hint="default" w:ascii="Times New Roman" w:hAnsi="Times New Roman" w:cs="Times New Roman"/>
                <w:color w:val="auto"/>
                <w:kern w:val="21"/>
                <w:sz w:val="18"/>
                <w:szCs w:val="18"/>
                <w:lang w:bidi="ar"/>
              </w:rPr>
              <w:t>/</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1"/>
                <w:sz w:val="18"/>
                <w:szCs w:val="18"/>
                <w:lang w:val="en-US" w:eastAsia="zh-CN" w:bidi="ar"/>
              </w:rPr>
            </w:pPr>
            <w:r>
              <w:rPr>
                <w:rFonts w:hint="default" w:ascii="Times New Roman" w:hAnsi="Times New Roman" w:cs="Times New Roman"/>
                <w:color w:val="auto"/>
                <w:kern w:val="21"/>
                <w:sz w:val="18"/>
                <w:szCs w:val="18"/>
                <w:lang w:bidi="ar"/>
              </w:rPr>
              <w:t>/</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1"/>
                <w:sz w:val="18"/>
                <w:szCs w:val="18"/>
                <w:lang w:val="en-US" w:eastAsia="zh-CN" w:bidi="ar"/>
              </w:rPr>
            </w:pPr>
            <w:r>
              <w:rPr>
                <w:rFonts w:hint="default" w:ascii="Times New Roman" w:hAnsi="Times New Roman" w:cs="Times New Roman"/>
                <w:color w:val="auto"/>
                <w:kern w:val="21"/>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1" w:type="dxa"/>
            <w:vMerge w:val="restart"/>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石油类</w:t>
            </w:r>
          </w:p>
        </w:tc>
        <w:tc>
          <w:tcPr>
            <w:tcW w:w="837" w:type="dxa"/>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eastAsia="zh-CN"/>
              </w:rPr>
              <w:t>检测值</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0.01L</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0.01L</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0.01L</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0.01L</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0.01L</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0.01L</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0.01L</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0.01L</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0.01L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1" w:type="dxa"/>
            <w:vMerge w:val="continue"/>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p>
        </w:tc>
        <w:tc>
          <w:tcPr>
            <w:tcW w:w="837" w:type="dxa"/>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标准值</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≤0.</w:t>
            </w:r>
            <w:r>
              <w:rPr>
                <w:rFonts w:hint="default" w:ascii="Times New Roman" w:hAnsi="Times New Roman" w:cs="Times New Roman"/>
                <w:color w:val="auto"/>
                <w:kern w:val="21"/>
                <w:sz w:val="18"/>
                <w:szCs w:val="18"/>
                <w:lang w:val="en-US" w:eastAsia="zh-CN"/>
              </w:rPr>
              <w:t>0</w:t>
            </w:r>
            <w:r>
              <w:rPr>
                <w:rFonts w:hint="default" w:ascii="Times New Roman" w:hAnsi="Times New Roman" w:cs="Times New Roman"/>
                <w:color w:val="auto"/>
                <w:kern w:val="21"/>
                <w:sz w:val="18"/>
                <w:szCs w:val="18"/>
              </w:rPr>
              <w:t>5</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≤0.</w:t>
            </w:r>
            <w:r>
              <w:rPr>
                <w:rFonts w:hint="default" w:ascii="Times New Roman" w:hAnsi="Times New Roman" w:cs="Times New Roman"/>
                <w:color w:val="auto"/>
                <w:kern w:val="21"/>
                <w:sz w:val="18"/>
                <w:szCs w:val="18"/>
                <w:lang w:val="en-US" w:eastAsia="zh-CN"/>
              </w:rPr>
              <w:t>0</w:t>
            </w:r>
            <w:r>
              <w:rPr>
                <w:rFonts w:hint="default" w:ascii="Times New Roman" w:hAnsi="Times New Roman" w:cs="Times New Roman"/>
                <w:color w:val="auto"/>
                <w:kern w:val="21"/>
                <w:sz w:val="18"/>
                <w:szCs w:val="18"/>
              </w:rPr>
              <w:t>5</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≤0.</w:t>
            </w:r>
            <w:r>
              <w:rPr>
                <w:rFonts w:hint="default" w:ascii="Times New Roman" w:hAnsi="Times New Roman" w:cs="Times New Roman"/>
                <w:color w:val="auto"/>
                <w:kern w:val="21"/>
                <w:sz w:val="18"/>
                <w:szCs w:val="18"/>
                <w:lang w:val="en-US" w:eastAsia="zh-CN"/>
              </w:rPr>
              <w:t>0</w:t>
            </w:r>
            <w:r>
              <w:rPr>
                <w:rFonts w:hint="default" w:ascii="Times New Roman" w:hAnsi="Times New Roman" w:cs="Times New Roman"/>
                <w:color w:val="auto"/>
                <w:kern w:val="21"/>
                <w:sz w:val="18"/>
                <w:szCs w:val="18"/>
              </w:rPr>
              <w:t>5</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≤0.</w:t>
            </w:r>
            <w:r>
              <w:rPr>
                <w:rFonts w:hint="default" w:ascii="Times New Roman" w:hAnsi="Times New Roman" w:cs="Times New Roman"/>
                <w:color w:val="auto"/>
                <w:kern w:val="21"/>
                <w:sz w:val="18"/>
                <w:szCs w:val="18"/>
                <w:lang w:val="en-US" w:eastAsia="zh-CN"/>
              </w:rPr>
              <w:t>0</w:t>
            </w:r>
            <w:r>
              <w:rPr>
                <w:rFonts w:hint="default" w:ascii="Times New Roman" w:hAnsi="Times New Roman" w:cs="Times New Roman"/>
                <w:color w:val="auto"/>
                <w:kern w:val="21"/>
                <w:sz w:val="18"/>
                <w:szCs w:val="18"/>
              </w:rPr>
              <w:t>5</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≤0.</w:t>
            </w:r>
            <w:r>
              <w:rPr>
                <w:rFonts w:hint="default" w:ascii="Times New Roman" w:hAnsi="Times New Roman" w:cs="Times New Roman"/>
                <w:color w:val="auto"/>
                <w:kern w:val="21"/>
                <w:sz w:val="18"/>
                <w:szCs w:val="18"/>
                <w:lang w:val="en-US" w:eastAsia="zh-CN"/>
              </w:rPr>
              <w:t>0</w:t>
            </w:r>
            <w:r>
              <w:rPr>
                <w:rFonts w:hint="default" w:ascii="Times New Roman" w:hAnsi="Times New Roman" w:cs="Times New Roman"/>
                <w:color w:val="auto"/>
                <w:kern w:val="21"/>
                <w:sz w:val="18"/>
                <w:szCs w:val="18"/>
              </w:rPr>
              <w:t>5</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≤0.</w:t>
            </w:r>
            <w:r>
              <w:rPr>
                <w:rFonts w:hint="default" w:ascii="Times New Roman" w:hAnsi="Times New Roman" w:cs="Times New Roman"/>
                <w:color w:val="auto"/>
                <w:kern w:val="21"/>
                <w:sz w:val="18"/>
                <w:szCs w:val="18"/>
                <w:lang w:val="en-US" w:eastAsia="zh-CN"/>
              </w:rPr>
              <w:t>0</w:t>
            </w:r>
            <w:r>
              <w:rPr>
                <w:rFonts w:hint="default" w:ascii="Times New Roman" w:hAnsi="Times New Roman" w:cs="Times New Roman"/>
                <w:color w:val="auto"/>
                <w:kern w:val="21"/>
                <w:sz w:val="18"/>
                <w:szCs w:val="18"/>
              </w:rPr>
              <w:t>5</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≤0.</w:t>
            </w:r>
            <w:r>
              <w:rPr>
                <w:rFonts w:hint="default" w:ascii="Times New Roman" w:hAnsi="Times New Roman" w:cs="Times New Roman"/>
                <w:color w:val="auto"/>
                <w:kern w:val="21"/>
                <w:sz w:val="18"/>
                <w:szCs w:val="18"/>
                <w:lang w:val="en-US" w:eastAsia="zh-CN"/>
              </w:rPr>
              <w:t>0</w:t>
            </w:r>
            <w:r>
              <w:rPr>
                <w:rFonts w:hint="default" w:ascii="Times New Roman" w:hAnsi="Times New Roman" w:cs="Times New Roman"/>
                <w:color w:val="auto"/>
                <w:kern w:val="21"/>
                <w:sz w:val="18"/>
                <w:szCs w:val="18"/>
              </w:rPr>
              <w:t>5</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≤0.</w:t>
            </w:r>
            <w:r>
              <w:rPr>
                <w:rFonts w:hint="default" w:ascii="Times New Roman" w:hAnsi="Times New Roman" w:cs="Times New Roman"/>
                <w:color w:val="auto"/>
                <w:kern w:val="21"/>
                <w:sz w:val="18"/>
                <w:szCs w:val="18"/>
                <w:lang w:val="en-US" w:eastAsia="zh-CN"/>
              </w:rPr>
              <w:t>0</w:t>
            </w:r>
            <w:r>
              <w:rPr>
                <w:rFonts w:hint="default" w:ascii="Times New Roman" w:hAnsi="Times New Roman" w:cs="Times New Roman"/>
                <w:color w:val="auto"/>
                <w:kern w:val="21"/>
                <w:sz w:val="18"/>
                <w:szCs w:val="18"/>
              </w:rPr>
              <w:t>5</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≤0.</w:t>
            </w:r>
            <w:r>
              <w:rPr>
                <w:rFonts w:hint="default" w:ascii="Times New Roman" w:hAnsi="Times New Roman" w:cs="Times New Roman"/>
                <w:color w:val="auto"/>
                <w:kern w:val="21"/>
                <w:sz w:val="18"/>
                <w:szCs w:val="18"/>
                <w:lang w:val="en-US" w:eastAsia="zh-CN"/>
              </w:rPr>
              <w:t>0</w:t>
            </w:r>
            <w:r>
              <w:rPr>
                <w:rFonts w:hint="default" w:ascii="Times New Roman" w:hAnsi="Times New Roman" w:cs="Times New Roman"/>
                <w:color w:val="auto"/>
                <w:kern w:val="21"/>
                <w:sz w:val="18"/>
                <w:szCs w:val="1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1" w:type="dxa"/>
            <w:vMerge w:val="continue"/>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p>
        </w:tc>
        <w:tc>
          <w:tcPr>
            <w:tcW w:w="837" w:type="dxa"/>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达标情况</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达标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达标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达标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达标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达标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达标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达标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达标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1" w:type="dxa"/>
            <w:vMerge w:val="restart"/>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阴离子表面活性剂</w:t>
            </w:r>
          </w:p>
        </w:tc>
        <w:tc>
          <w:tcPr>
            <w:tcW w:w="837" w:type="dxa"/>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eastAsia="zh-CN"/>
              </w:rPr>
              <w:t>检测值</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0.05L</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0.05L</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0.05L</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0.05L</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0.05L</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0.05L</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0.05L</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0.05L</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0.05L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1" w:type="dxa"/>
            <w:vMerge w:val="continue"/>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p>
        </w:tc>
        <w:tc>
          <w:tcPr>
            <w:tcW w:w="837" w:type="dxa"/>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标准值</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1"/>
                <w:sz w:val="18"/>
                <w:szCs w:val="18"/>
                <w:lang w:eastAsia="zh-CN" w:bidi="ar"/>
              </w:rPr>
            </w:pPr>
            <w:r>
              <w:rPr>
                <w:rFonts w:hint="default" w:ascii="Times New Roman" w:hAnsi="Times New Roman" w:cs="Times New Roman"/>
                <w:color w:val="auto"/>
                <w:kern w:val="21"/>
                <w:sz w:val="18"/>
                <w:szCs w:val="18"/>
              </w:rPr>
              <w:t>≤0.</w:t>
            </w:r>
            <w:r>
              <w:rPr>
                <w:rFonts w:hint="default" w:ascii="Times New Roman" w:hAnsi="Times New Roman" w:cs="Times New Roman"/>
                <w:color w:val="auto"/>
                <w:kern w:val="21"/>
                <w:sz w:val="18"/>
                <w:szCs w:val="18"/>
                <w:lang w:val="en-US" w:eastAsia="zh-CN"/>
              </w:rPr>
              <w:t>2</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1"/>
                <w:sz w:val="18"/>
                <w:szCs w:val="18"/>
                <w:lang w:eastAsia="zh-CN" w:bidi="ar"/>
              </w:rPr>
            </w:pPr>
            <w:r>
              <w:rPr>
                <w:rFonts w:hint="default" w:ascii="Times New Roman" w:hAnsi="Times New Roman" w:cs="Times New Roman"/>
                <w:color w:val="auto"/>
                <w:kern w:val="21"/>
                <w:sz w:val="18"/>
                <w:szCs w:val="18"/>
              </w:rPr>
              <w:t>≤0.</w:t>
            </w:r>
            <w:r>
              <w:rPr>
                <w:rFonts w:hint="default" w:ascii="Times New Roman" w:hAnsi="Times New Roman" w:cs="Times New Roman"/>
                <w:color w:val="auto"/>
                <w:kern w:val="21"/>
                <w:sz w:val="18"/>
                <w:szCs w:val="18"/>
                <w:lang w:val="en-US" w:eastAsia="zh-CN"/>
              </w:rPr>
              <w:t>2</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≤0.</w:t>
            </w:r>
            <w:r>
              <w:rPr>
                <w:rFonts w:hint="default" w:ascii="Times New Roman" w:hAnsi="Times New Roman" w:cs="Times New Roman"/>
                <w:color w:val="auto"/>
                <w:kern w:val="21"/>
                <w:sz w:val="18"/>
                <w:szCs w:val="18"/>
                <w:lang w:val="en-US" w:eastAsia="zh-CN"/>
              </w:rPr>
              <w:t>2</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≤0.</w:t>
            </w:r>
            <w:r>
              <w:rPr>
                <w:rFonts w:hint="default" w:ascii="Times New Roman" w:hAnsi="Times New Roman" w:cs="Times New Roman"/>
                <w:color w:val="auto"/>
                <w:kern w:val="21"/>
                <w:sz w:val="18"/>
                <w:szCs w:val="18"/>
                <w:lang w:val="en-US" w:eastAsia="zh-CN"/>
              </w:rPr>
              <w:t>2</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≤0.</w:t>
            </w:r>
            <w:r>
              <w:rPr>
                <w:rFonts w:hint="default" w:ascii="Times New Roman" w:hAnsi="Times New Roman" w:cs="Times New Roman"/>
                <w:color w:val="auto"/>
                <w:kern w:val="21"/>
                <w:sz w:val="18"/>
                <w:szCs w:val="18"/>
                <w:lang w:val="en-US" w:eastAsia="zh-CN"/>
              </w:rPr>
              <w:t>2</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≤0.</w:t>
            </w:r>
            <w:r>
              <w:rPr>
                <w:rFonts w:hint="default" w:ascii="Times New Roman" w:hAnsi="Times New Roman" w:cs="Times New Roman"/>
                <w:color w:val="auto"/>
                <w:kern w:val="21"/>
                <w:sz w:val="18"/>
                <w:szCs w:val="18"/>
                <w:lang w:val="en-US" w:eastAsia="zh-CN"/>
              </w:rPr>
              <w:t>2</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≤0.</w:t>
            </w:r>
            <w:r>
              <w:rPr>
                <w:rFonts w:hint="default" w:ascii="Times New Roman" w:hAnsi="Times New Roman" w:cs="Times New Roman"/>
                <w:color w:val="auto"/>
                <w:kern w:val="21"/>
                <w:sz w:val="18"/>
                <w:szCs w:val="18"/>
                <w:lang w:val="en-US" w:eastAsia="zh-CN"/>
              </w:rPr>
              <w:t>2</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≤0.</w:t>
            </w:r>
            <w:r>
              <w:rPr>
                <w:rFonts w:hint="default" w:ascii="Times New Roman" w:hAnsi="Times New Roman" w:cs="Times New Roman"/>
                <w:color w:val="auto"/>
                <w:kern w:val="21"/>
                <w:sz w:val="18"/>
                <w:szCs w:val="18"/>
                <w:lang w:val="en-US" w:eastAsia="zh-CN"/>
              </w:rPr>
              <w:t>2</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≤0.</w:t>
            </w:r>
            <w:r>
              <w:rPr>
                <w:rFonts w:hint="default" w:ascii="Times New Roman" w:hAnsi="Times New Roman" w:cs="Times New Roman"/>
                <w:color w:val="auto"/>
                <w:kern w:val="21"/>
                <w:sz w:val="18"/>
                <w:szCs w:val="18"/>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1" w:type="dxa"/>
            <w:vMerge w:val="continue"/>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p>
        </w:tc>
        <w:tc>
          <w:tcPr>
            <w:tcW w:w="837" w:type="dxa"/>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达标情况</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达标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达标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达标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达标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达标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达标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达标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达标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1" w:type="dxa"/>
            <w:vMerge w:val="restart"/>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氨氮</w:t>
            </w:r>
          </w:p>
        </w:tc>
        <w:tc>
          <w:tcPr>
            <w:tcW w:w="837" w:type="dxa"/>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eastAsia="zh-CN"/>
              </w:rPr>
              <w:t>检测值</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0.464</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0.462</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0.470</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0.478</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0.483</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0.491</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0.579</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0.569</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0.574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11" w:type="dxa"/>
            <w:vMerge w:val="continue"/>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p>
        </w:tc>
        <w:tc>
          <w:tcPr>
            <w:tcW w:w="837" w:type="dxa"/>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标准值</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1"/>
                <w:sz w:val="18"/>
                <w:szCs w:val="18"/>
                <w:lang w:eastAsia="zh-CN" w:bidi="ar"/>
              </w:rPr>
            </w:pPr>
            <w:r>
              <w:rPr>
                <w:rFonts w:hint="default" w:ascii="Times New Roman" w:hAnsi="Times New Roman" w:cs="Times New Roman"/>
                <w:color w:val="auto"/>
                <w:kern w:val="21"/>
                <w:sz w:val="18"/>
                <w:szCs w:val="18"/>
              </w:rPr>
              <w:t>≤1.</w:t>
            </w:r>
            <w:r>
              <w:rPr>
                <w:rFonts w:hint="default" w:ascii="Times New Roman" w:hAnsi="Times New Roman" w:cs="Times New Roman"/>
                <w:color w:val="auto"/>
                <w:kern w:val="21"/>
                <w:sz w:val="18"/>
                <w:szCs w:val="18"/>
                <w:lang w:val="en-US" w:eastAsia="zh-CN"/>
              </w:rPr>
              <w:t>0</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≤1.</w:t>
            </w:r>
            <w:r>
              <w:rPr>
                <w:rFonts w:hint="default" w:ascii="Times New Roman" w:hAnsi="Times New Roman" w:cs="Times New Roman"/>
                <w:color w:val="auto"/>
                <w:kern w:val="21"/>
                <w:sz w:val="18"/>
                <w:szCs w:val="18"/>
                <w:lang w:val="en-US" w:eastAsia="zh-CN"/>
              </w:rPr>
              <w:t>0</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≤1.</w:t>
            </w:r>
            <w:r>
              <w:rPr>
                <w:rFonts w:hint="default" w:ascii="Times New Roman" w:hAnsi="Times New Roman" w:cs="Times New Roman"/>
                <w:color w:val="auto"/>
                <w:kern w:val="21"/>
                <w:sz w:val="18"/>
                <w:szCs w:val="18"/>
                <w:lang w:val="en-US" w:eastAsia="zh-CN"/>
              </w:rPr>
              <w:t>0</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≤1.</w:t>
            </w:r>
            <w:r>
              <w:rPr>
                <w:rFonts w:hint="default" w:ascii="Times New Roman" w:hAnsi="Times New Roman" w:cs="Times New Roman"/>
                <w:color w:val="auto"/>
                <w:kern w:val="21"/>
                <w:sz w:val="18"/>
                <w:szCs w:val="18"/>
                <w:lang w:val="en-US" w:eastAsia="zh-CN"/>
              </w:rPr>
              <w:t>0</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≤1.</w:t>
            </w:r>
            <w:r>
              <w:rPr>
                <w:rFonts w:hint="default" w:ascii="Times New Roman" w:hAnsi="Times New Roman" w:cs="Times New Roman"/>
                <w:color w:val="auto"/>
                <w:kern w:val="21"/>
                <w:sz w:val="18"/>
                <w:szCs w:val="18"/>
                <w:lang w:val="en-US" w:eastAsia="zh-CN"/>
              </w:rPr>
              <w:t>0</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≤1.</w:t>
            </w:r>
            <w:r>
              <w:rPr>
                <w:rFonts w:hint="default" w:ascii="Times New Roman" w:hAnsi="Times New Roman" w:cs="Times New Roman"/>
                <w:color w:val="auto"/>
                <w:kern w:val="21"/>
                <w:sz w:val="18"/>
                <w:szCs w:val="18"/>
                <w:lang w:val="en-US" w:eastAsia="zh-CN"/>
              </w:rPr>
              <w:t>0</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≤1.</w:t>
            </w:r>
            <w:r>
              <w:rPr>
                <w:rFonts w:hint="default" w:ascii="Times New Roman" w:hAnsi="Times New Roman" w:cs="Times New Roman"/>
                <w:color w:val="auto"/>
                <w:kern w:val="21"/>
                <w:sz w:val="18"/>
                <w:szCs w:val="18"/>
                <w:lang w:val="en-US" w:eastAsia="zh-CN"/>
              </w:rPr>
              <w:t>0</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≤1.</w:t>
            </w:r>
            <w:r>
              <w:rPr>
                <w:rFonts w:hint="default" w:ascii="Times New Roman" w:hAnsi="Times New Roman" w:cs="Times New Roman"/>
                <w:color w:val="auto"/>
                <w:kern w:val="21"/>
                <w:sz w:val="18"/>
                <w:szCs w:val="18"/>
                <w:lang w:val="en-US" w:eastAsia="zh-CN"/>
              </w:rPr>
              <w:t>0</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≤1.</w:t>
            </w:r>
            <w:r>
              <w:rPr>
                <w:rFonts w:hint="default" w:ascii="Times New Roman" w:hAnsi="Times New Roman" w:cs="Times New Roman"/>
                <w:color w:val="auto"/>
                <w:kern w:val="21"/>
                <w:sz w:val="18"/>
                <w:szCs w:val="18"/>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1" w:type="dxa"/>
            <w:vMerge w:val="continue"/>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p>
        </w:tc>
        <w:tc>
          <w:tcPr>
            <w:tcW w:w="837" w:type="dxa"/>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达标情况</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达标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达标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达标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达标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达标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达标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达标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达标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1" w:type="dxa"/>
            <w:vMerge w:val="restart"/>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总磷</w:t>
            </w:r>
          </w:p>
        </w:tc>
        <w:tc>
          <w:tcPr>
            <w:tcW w:w="837" w:type="dxa"/>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eastAsia="zh-CN"/>
              </w:rPr>
              <w:t>检测值</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0.09</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0.10</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0.08</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0.04</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0.05</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0.07</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0.08</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0.09</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1" w:type="dxa"/>
            <w:vMerge w:val="continue"/>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p>
        </w:tc>
        <w:tc>
          <w:tcPr>
            <w:tcW w:w="837" w:type="dxa"/>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标准值</w:t>
            </w:r>
          </w:p>
        </w:tc>
        <w:tc>
          <w:tcPr>
            <w:tcW w:w="946" w:type="dxa"/>
            <w:vAlign w:val="center"/>
          </w:tcPr>
          <w:p>
            <w:pPr>
              <w:pStyle w:val="205"/>
              <w:adjustRightInd w:val="0"/>
              <w:snapToGrid w:val="0"/>
              <w:spacing w:line="240" w:lineRule="auto"/>
              <w:rPr>
                <w:rFonts w:hint="default" w:ascii="Times New Roman" w:hAnsi="Times New Roman" w:eastAsia="宋体" w:cs="Times New Roman"/>
                <w:color w:val="auto"/>
                <w:kern w:val="21"/>
                <w:szCs w:val="18"/>
                <w:lang w:eastAsia="zh-CN" w:bidi="ar"/>
              </w:rPr>
            </w:pPr>
            <w:r>
              <w:rPr>
                <w:rFonts w:hint="default" w:ascii="Times New Roman" w:hAnsi="Times New Roman" w:cs="Times New Roman"/>
                <w:color w:val="auto"/>
                <w:kern w:val="21"/>
                <w:szCs w:val="18"/>
              </w:rPr>
              <w:t>≤0.</w:t>
            </w:r>
            <w:r>
              <w:rPr>
                <w:rFonts w:hint="default" w:ascii="Times New Roman" w:hAnsi="Times New Roman" w:cs="Times New Roman"/>
                <w:color w:val="auto"/>
                <w:kern w:val="21"/>
                <w:szCs w:val="18"/>
                <w:lang w:val="en-US" w:eastAsia="zh-CN"/>
              </w:rPr>
              <w:t>2</w:t>
            </w:r>
          </w:p>
        </w:tc>
        <w:tc>
          <w:tcPr>
            <w:tcW w:w="946" w:type="dxa"/>
            <w:vAlign w:val="center"/>
          </w:tcPr>
          <w:p>
            <w:pPr>
              <w:pStyle w:val="205"/>
              <w:adjustRightInd w:val="0"/>
              <w:snapToGrid w:val="0"/>
              <w:spacing w:line="240" w:lineRule="auto"/>
              <w:rPr>
                <w:rFonts w:hint="default" w:ascii="Times New Roman" w:hAnsi="Times New Roman" w:eastAsia="宋体" w:cs="Times New Roman"/>
                <w:color w:val="auto"/>
                <w:kern w:val="21"/>
                <w:szCs w:val="18"/>
                <w:lang w:eastAsia="zh-CN" w:bidi="ar"/>
              </w:rPr>
            </w:pPr>
            <w:r>
              <w:rPr>
                <w:rFonts w:hint="default" w:ascii="Times New Roman" w:hAnsi="Times New Roman" w:cs="Times New Roman"/>
                <w:color w:val="auto"/>
                <w:kern w:val="21"/>
                <w:szCs w:val="18"/>
              </w:rPr>
              <w:t>≤0.</w:t>
            </w:r>
            <w:r>
              <w:rPr>
                <w:rFonts w:hint="default" w:ascii="Times New Roman" w:hAnsi="Times New Roman" w:cs="Times New Roman"/>
                <w:color w:val="auto"/>
                <w:kern w:val="21"/>
                <w:szCs w:val="18"/>
                <w:lang w:val="en-US" w:eastAsia="zh-CN"/>
              </w:rPr>
              <w:t>2</w:t>
            </w:r>
          </w:p>
        </w:tc>
        <w:tc>
          <w:tcPr>
            <w:tcW w:w="946" w:type="dxa"/>
            <w:vAlign w:val="center"/>
          </w:tcPr>
          <w:p>
            <w:pPr>
              <w:pStyle w:val="205"/>
              <w:adjustRightInd w:val="0"/>
              <w:snapToGrid w:val="0"/>
              <w:spacing w:line="240" w:lineRule="auto"/>
              <w:ind w:firstLine="0" w:firstLineChars="0"/>
              <w:rPr>
                <w:rFonts w:hint="default" w:ascii="Times New Roman" w:hAnsi="Times New Roman" w:cs="Times New Roman"/>
                <w:color w:val="auto"/>
                <w:kern w:val="21"/>
                <w:szCs w:val="18"/>
                <w:lang w:bidi="ar"/>
              </w:rPr>
            </w:pPr>
            <w:r>
              <w:rPr>
                <w:rFonts w:hint="default" w:ascii="Times New Roman" w:hAnsi="Times New Roman" w:cs="Times New Roman"/>
                <w:color w:val="auto"/>
                <w:kern w:val="21"/>
                <w:szCs w:val="18"/>
              </w:rPr>
              <w:t>≤0.</w:t>
            </w:r>
            <w:r>
              <w:rPr>
                <w:rFonts w:hint="default" w:ascii="Times New Roman" w:hAnsi="Times New Roman" w:cs="Times New Roman"/>
                <w:color w:val="auto"/>
                <w:kern w:val="21"/>
                <w:szCs w:val="18"/>
                <w:lang w:val="en-US" w:eastAsia="zh-CN"/>
              </w:rPr>
              <w:t>2</w:t>
            </w:r>
          </w:p>
        </w:tc>
        <w:tc>
          <w:tcPr>
            <w:tcW w:w="946" w:type="dxa"/>
            <w:vAlign w:val="center"/>
          </w:tcPr>
          <w:p>
            <w:pPr>
              <w:pStyle w:val="205"/>
              <w:adjustRightInd w:val="0"/>
              <w:snapToGrid w:val="0"/>
              <w:spacing w:line="240" w:lineRule="auto"/>
              <w:ind w:firstLine="0" w:firstLineChars="0"/>
              <w:rPr>
                <w:rFonts w:hint="default" w:ascii="Times New Roman" w:hAnsi="Times New Roman" w:cs="Times New Roman"/>
                <w:color w:val="auto"/>
                <w:kern w:val="21"/>
                <w:szCs w:val="18"/>
                <w:lang w:bidi="ar"/>
              </w:rPr>
            </w:pPr>
            <w:r>
              <w:rPr>
                <w:rFonts w:hint="default" w:ascii="Times New Roman" w:hAnsi="Times New Roman" w:cs="Times New Roman"/>
                <w:color w:val="auto"/>
                <w:kern w:val="21"/>
                <w:szCs w:val="18"/>
              </w:rPr>
              <w:t>≤0.</w:t>
            </w:r>
            <w:r>
              <w:rPr>
                <w:rFonts w:hint="default" w:ascii="Times New Roman" w:hAnsi="Times New Roman" w:cs="Times New Roman"/>
                <w:color w:val="auto"/>
                <w:kern w:val="21"/>
                <w:szCs w:val="18"/>
                <w:lang w:val="en-US" w:eastAsia="zh-CN"/>
              </w:rPr>
              <w:t>2</w:t>
            </w:r>
          </w:p>
        </w:tc>
        <w:tc>
          <w:tcPr>
            <w:tcW w:w="946" w:type="dxa"/>
            <w:vAlign w:val="center"/>
          </w:tcPr>
          <w:p>
            <w:pPr>
              <w:pStyle w:val="205"/>
              <w:adjustRightInd w:val="0"/>
              <w:snapToGrid w:val="0"/>
              <w:spacing w:line="240" w:lineRule="auto"/>
              <w:ind w:firstLine="0" w:firstLineChars="0"/>
              <w:rPr>
                <w:rFonts w:hint="default" w:ascii="Times New Roman" w:hAnsi="Times New Roman" w:cs="Times New Roman"/>
                <w:color w:val="auto"/>
                <w:kern w:val="21"/>
                <w:szCs w:val="18"/>
                <w:lang w:bidi="ar"/>
              </w:rPr>
            </w:pPr>
            <w:r>
              <w:rPr>
                <w:rFonts w:hint="default" w:ascii="Times New Roman" w:hAnsi="Times New Roman" w:cs="Times New Roman"/>
                <w:color w:val="auto"/>
                <w:kern w:val="21"/>
                <w:szCs w:val="18"/>
              </w:rPr>
              <w:t>≤0.</w:t>
            </w:r>
            <w:r>
              <w:rPr>
                <w:rFonts w:hint="default" w:ascii="Times New Roman" w:hAnsi="Times New Roman" w:cs="Times New Roman"/>
                <w:color w:val="auto"/>
                <w:kern w:val="21"/>
                <w:szCs w:val="18"/>
                <w:lang w:val="en-US" w:eastAsia="zh-CN"/>
              </w:rPr>
              <w:t>2</w:t>
            </w:r>
          </w:p>
        </w:tc>
        <w:tc>
          <w:tcPr>
            <w:tcW w:w="946" w:type="dxa"/>
            <w:vAlign w:val="center"/>
          </w:tcPr>
          <w:p>
            <w:pPr>
              <w:pStyle w:val="205"/>
              <w:adjustRightInd w:val="0"/>
              <w:snapToGrid w:val="0"/>
              <w:spacing w:line="240" w:lineRule="auto"/>
              <w:ind w:firstLine="0" w:firstLineChars="0"/>
              <w:rPr>
                <w:rFonts w:hint="default" w:ascii="Times New Roman" w:hAnsi="Times New Roman" w:cs="Times New Roman"/>
                <w:color w:val="auto"/>
                <w:kern w:val="21"/>
                <w:szCs w:val="18"/>
                <w:lang w:bidi="ar"/>
              </w:rPr>
            </w:pPr>
            <w:r>
              <w:rPr>
                <w:rFonts w:hint="default" w:ascii="Times New Roman" w:hAnsi="Times New Roman" w:cs="Times New Roman"/>
                <w:color w:val="auto"/>
                <w:kern w:val="21"/>
                <w:szCs w:val="18"/>
              </w:rPr>
              <w:t>≤0.</w:t>
            </w:r>
            <w:r>
              <w:rPr>
                <w:rFonts w:hint="default" w:ascii="Times New Roman" w:hAnsi="Times New Roman" w:cs="Times New Roman"/>
                <w:color w:val="auto"/>
                <w:kern w:val="21"/>
                <w:szCs w:val="18"/>
                <w:lang w:val="en-US" w:eastAsia="zh-CN"/>
              </w:rPr>
              <w:t>2</w:t>
            </w:r>
          </w:p>
        </w:tc>
        <w:tc>
          <w:tcPr>
            <w:tcW w:w="946" w:type="dxa"/>
            <w:vAlign w:val="center"/>
          </w:tcPr>
          <w:p>
            <w:pPr>
              <w:pStyle w:val="205"/>
              <w:adjustRightInd w:val="0"/>
              <w:snapToGrid w:val="0"/>
              <w:spacing w:line="240" w:lineRule="auto"/>
              <w:ind w:firstLine="0" w:firstLineChars="0"/>
              <w:rPr>
                <w:rFonts w:hint="default" w:ascii="Times New Roman" w:hAnsi="Times New Roman" w:cs="Times New Roman"/>
                <w:color w:val="auto"/>
                <w:kern w:val="21"/>
                <w:szCs w:val="18"/>
                <w:lang w:bidi="ar"/>
              </w:rPr>
            </w:pPr>
            <w:r>
              <w:rPr>
                <w:rFonts w:hint="default" w:ascii="Times New Roman" w:hAnsi="Times New Roman" w:cs="Times New Roman"/>
                <w:color w:val="auto"/>
                <w:kern w:val="21"/>
                <w:szCs w:val="18"/>
              </w:rPr>
              <w:t>≤0.</w:t>
            </w:r>
            <w:r>
              <w:rPr>
                <w:rFonts w:hint="default" w:ascii="Times New Roman" w:hAnsi="Times New Roman" w:cs="Times New Roman"/>
                <w:color w:val="auto"/>
                <w:kern w:val="21"/>
                <w:szCs w:val="18"/>
                <w:lang w:val="en-US" w:eastAsia="zh-CN"/>
              </w:rPr>
              <w:t>2</w:t>
            </w:r>
          </w:p>
        </w:tc>
        <w:tc>
          <w:tcPr>
            <w:tcW w:w="946" w:type="dxa"/>
            <w:vAlign w:val="center"/>
          </w:tcPr>
          <w:p>
            <w:pPr>
              <w:pStyle w:val="205"/>
              <w:adjustRightInd w:val="0"/>
              <w:snapToGrid w:val="0"/>
              <w:spacing w:line="240" w:lineRule="auto"/>
              <w:ind w:firstLine="0" w:firstLineChars="0"/>
              <w:rPr>
                <w:rFonts w:hint="default" w:ascii="Times New Roman" w:hAnsi="Times New Roman" w:cs="Times New Roman"/>
                <w:color w:val="auto"/>
                <w:kern w:val="21"/>
                <w:szCs w:val="18"/>
                <w:lang w:bidi="ar"/>
              </w:rPr>
            </w:pPr>
            <w:r>
              <w:rPr>
                <w:rFonts w:hint="default" w:ascii="Times New Roman" w:hAnsi="Times New Roman" w:cs="Times New Roman"/>
                <w:color w:val="auto"/>
                <w:kern w:val="21"/>
                <w:szCs w:val="18"/>
              </w:rPr>
              <w:t>≤0.</w:t>
            </w:r>
            <w:r>
              <w:rPr>
                <w:rFonts w:hint="default" w:ascii="Times New Roman" w:hAnsi="Times New Roman" w:cs="Times New Roman"/>
                <w:color w:val="auto"/>
                <w:kern w:val="21"/>
                <w:szCs w:val="18"/>
                <w:lang w:val="en-US" w:eastAsia="zh-CN"/>
              </w:rPr>
              <w:t>2</w:t>
            </w:r>
          </w:p>
        </w:tc>
        <w:tc>
          <w:tcPr>
            <w:tcW w:w="946" w:type="dxa"/>
            <w:vAlign w:val="center"/>
          </w:tcPr>
          <w:p>
            <w:pPr>
              <w:pStyle w:val="205"/>
              <w:adjustRightInd w:val="0"/>
              <w:snapToGrid w:val="0"/>
              <w:spacing w:line="240" w:lineRule="auto"/>
              <w:ind w:firstLine="0" w:firstLineChars="0"/>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Cs w:val="18"/>
              </w:rPr>
              <w:t>≤0.</w:t>
            </w:r>
            <w:r>
              <w:rPr>
                <w:rFonts w:hint="default" w:ascii="Times New Roman" w:hAnsi="Times New Roman" w:cs="Times New Roman"/>
                <w:color w:val="auto"/>
                <w:kern w:val="21"/>
                <w:szCs w:val="18"/>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1" w:type="dxa"/>
            <w:vMerge w:val="continue"/>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p>
        </w:tc>
        <w:tc>
          <w:tcPr>
            <w:tcW w:w="837" w:type="dxa"/>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达标情况</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达标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达标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达标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达标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达标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达标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达标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达标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1" w:type="dxa"/>
            <w:vMerge w:val="restart"/>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色度（度）</w:t>
            </w:r>
          </w:p>
        </w:tc>
        <w:tc>
          <w:tcPr>
            <w:tcW w:w="837" w:type="dxa"/>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eastAsia="zh-CN"/>
              </w:rPr>
              <w:t>检测值</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5L</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5L</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5L</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5L</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5L</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5L</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5L</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5L</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5L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1" w:type="dxa"/>
            <w:vMerge w:val="continue"/>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p>
        </w:tc>
        <w:tc>
          <w:tcPr>
            <w:tcW w:w="837" w:type="dxa"/>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标准值</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lang w:bidi="ar"/>
              </w:rPr>
              <w:t>/</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lang w:bidi="ar"/>
              </w:rPr>
              <w:t>/</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lang w:bidi="ar"/>
              </w:rPr>
              <w:t>/</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lang w:bidi="ar"/>
              </w:rPr>
              <w:t>/</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lang w:bidi="ar"/>
              </w:rPr>
              <w:t>/</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lang w:bidi="ar"/>
              </w:rPr>
              <w:t>/</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lang w:bidi="ar"/>
              </w:rPr>
              <w:t>/</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lang w:bidi="ar"/>
              </w:rPr>
              <w:t>/</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1" w:type="dxa"/>
            <w:vMerge w:val="continue"/>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p>
        </w:tc>
        <w:tc>
          <w:tcPr>
            <w:tcW w:w="837" w:type="dxa"/>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达标情况</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lang w:bidi="ar"/>
              </w:rPr>
              <w:t>/</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lang w:bidi="ar"/>
              </w:rPr>
              <w:t>/</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lang w:bidi="ar"/>
              </w:rPr>
              <w:t>/</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lang w:bidi="ar"/>
              </w:rPr>
              <w:t>/</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lang w:bidi="ar"/>
              </w:rPr>
              <w:t>/</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lang w:bidi="ar"/>
              </w:rPr>
              <w:t>/</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lang w:bidi="ar"/>
              </w:rPr>
              <w:t>/</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lang w:bidi="ar"/>
              </w:rPr>
              <w:t>/</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1" w:type="dxa"/>
            <w:vMerge w:val="restart"/>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粪大肠菌群MPN/L</w:t>
            </w:r>
          </w:p>
        </w:tc>
        <w:tc>
          <w:tcPr>
            <w:tcW w:w="837" w:type="dxa"/>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eastAsia="zh-CN"/>
              </w:rPr>
              <w:t>检测值</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1.1×10</w:t>
            </w:r>
            <w:r>
              <w:rPr>
                <w:rFonts w:hint="default" w:ascii="Times New Roman" w:hAnsi="Times New Roman" w:cs="Times New Roman"/>
                <w:color w:val="auto"/>
                <w:kern w:val="21"/>
                <w:sz w:val="18"/>
                <w:szCs w:val="18"/>
                <w:vertAlign w:val="superscript"/>
                <w:lang w:bidi="ar"/>
              </w:rPr>
              <w:t>3</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1.3×10</w:t>
            </w:r>
            <w:r>
              <w:rPr>
                <w:rFonts w:hint="default" w:ascii="Times New Roman" w:hAnsi="Times New Roman" w:cs="Times New Roman"/>
                <w:color w:val="auto"/>
                <w:kern w:val="21"/>
                <w:sz w:val="18"/>
                <w:szCs w:val="18"/>
                <w:vertAlign w:val="superscript"/>
                <w:lang w:bidi="ar"/>
              </w:rPr>
              <w:t>3</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1.8×10</w:t>
            </w:r>
            <w:r>
              <w:rPr>
                <w:rFonts w:hint="default" w:ascii="Times New Roman" w:hAnsi="Times New Roman" w:cs="Times New Roman"/>
                <w:color w:val="auto"/>
                <w:kern w:val="21"/>
                <w:sz w:val="18"/>
                <w:szCs w:val="18"/>
                <w:vertAlign w:val="superscript"/>
                <w:lang w:bidi="ar"/>
              </w:rPr>
              <w:t>3</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1.2×10</w:t>
            </w:r>
            <w:r>
              <w:rPr>
                <w:rFonts w:hint="default" w:ascii="Times New Roman" w:hAnsi="Times New Roman" w:cs="Times New Roman"/>
                <w:color w:val="auto"/>
                <w:kern w:val="21"/>
                <w:sz w:val="18"/>
                <w:szCs w:val="18"/>
                <w:vertAlign w:val="superscript"/>
                <w:lang w:bidi="ar"/>
              </w:rPr>
              <w:t>3</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1.4×10</w:t>
            </w:r>
            <w:r>
              <w:rPr>
                <w:rFonts w:hint="default" w:ascii="Times New Roman" w:hAnsi="Times New Roman" w:cs="Times New Roman"/>
                <w:color w:val="auto"/>
                <w:kern w:val="21"/>
                <w:sz w:val="18"/>
                <w:szCs w:val="18"/>
                <w:vertAlign w:val="superscript"/>
                <w:lang w:bidi="ar"/>
              </w:rPr>
              <w:t>3</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1.1×10</w:t>
            </w:r>
            <w:r>
              <w:rPr>
                <w:rFonts w:hint="default" w:ascii="Times New Roman" w:hAnsi="Times New Roman" w:cs="Times New Roman"/>
                <w:color w:val="auto"/>
                <w:kern w:val="21"/>
                <w:sz w:val="18"/>
                <w:szCs w:val="18"/>
                <w:vertAlign w:val="superscript"/>
                <w:lang w:bidi="ar"/>
              </w:rPr>
              <w:t>3</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1.5×10</w:t>
            </w:r>
            <w:r>
              <w:rPr>
                <w:rFonts w:hint="default" w:ascii="Times New Roman" w:hAnsi="Times New Roman" w:cs="Times New Roman"/>
                <w:color w:val="auto"/>
                <w:kern w:val="21"/>
                <w:sz w:val="18"/>
                <w:szCs w:val="18"/>
                <w:vertAlign w:val="superscript"/>
                <w:lang w:bidi="ar"/>
              </w:rPr>
              <w:t>3</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1.7×10</w:t>
            </w:r>
            <w:r>
              <w:rPr>
                <w:rFonts w:hint="default" w:ascii="Times New Roman" w:hAnsi="Times New Roman" w:cs="Times New Roman"/>
                <w:color w:val="auto"/>
                <w:kern w:val="21"/>
                <w:sz w:val="18"/>
                <w:szCs w:val="18"/>
                <w:vertAlign w:val="superscript"/>
                <w:lang w:bidi="ar"/>
              </w:rPr>
              <w:t>3</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1.3×10</w:t>
            </w:r>
            <w:r>
              <w:rPr>
                <w:rFonts w:hint="default" w:ascii="Times New Roman" w:hAnsi="Times New Roman" w:cs="Times New Roman"/>
                <w:color w:val="auto"/>
                <w:kern w:val="21"/>
                <w:sz w:val="18"/>
                <w:szCs w:val="18"/>
                <w:vertAlign w:val="superscript"/>
                <w:lang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1" w:type="dxa"/>
            <w:vMerge w:val="continue"/>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p>
        </w:tc>
        <w:tc>
          <w:tcPr>
            <w:tcW w:w="837" w:type="dxa"/>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标准值</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lang w:val="en-US" w:eastAsia="zh-CN"/>
              </w:rPr>
              <w:t>1</w:t>
            </w:r>
            <w:r>
              <w:rPr>
                <w:rFonts w:hint="default" w:ascii="Times New Roman" w:hAnsi="Times New Roman" w:cs="Times New Roman"/>
                <w:color w:val="auto"/>
                <w:kern w:val="21"/>
                <w:sz w:val="18"/>
                <w:szCs w:val="18"/>
              </w:rPr>
              <w:t>0000</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lang w:val="en-US" w:eastAsia="zh-CN"/>
              </w:rPr>
              <w:t>1</w:t>
            </w:r>
            <w:r>
              <w:rPr>
                <w:rFonts w:hint="default" w:ascii="Times New Roman" w:hAnsi="Times New Roman" w:cs="Times New Roman"/>
                <w:color w:val="auto"/>
                <w:kern w:val="21"/>
                <w:sz w:val="18"/>
                <w:szCs w:val="18"/>
              </w:rPr>
              <w:t>0000</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lang w:val="en-US" w:eastAsia="zh-CN"/>
              </w:rPr>
              <w:t>1</w:t>
            </w:r>
            <w:r>
              <w:rPr>
                <w:rFonts w:hint="default" w:ascii="Times New Roman" w:hAnsi="Times New Roman" w:cs="Times New Roman"/>
                <w:color w:val="auto"/>
                <w:kern w:val="21"/>
                <w:sz w:val="18"/>
                <w:szCs w:val="18"/>
              </w:rPr>
              <w:t>0000</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lang w:val="en-US" w:eastAsia="zh-CN"/>
              </w:rPr>
              <w:t>1</w:t>
            </w:r>
            <w:r>
              <w:rPr>
                <w:rFonts w:hint="default" w:ascii="Times New Roman" w:hAnsi="Times New Roman" w:cs="Times New Roman"/>
                <w:color w:val="auto"/>
                <w:kern w:val="21"/>
                <w:sz w:val="18"/>
                <w:szCs w:val="18"/>
              </w:rPr>
              <w:t>0000</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lang w:val="en-US" w:eastAsia="zh-CN"/>
              </w:rPr>
              <w:t>1</w:t>
            </w:r>
            <w:r>
              <w:rPr>
                <w:rFonts w:hint="default" w:ascii="Times New Roman" w:hAnsi="Times New Roman" w:cs="Times New Roman"/>
                <w:color w:val="auto"/>
                <w:kern w:val="21"/>
                <w:sz w:val="18"/>
                <w:szCs w:val="18"/>
              </w:rPr>
              <w:t>0000</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lang w:val="en-US" w:eastAsia="zh-CN"/>
              </w:rPr>
              <w:t>1</w:t>
            </w:r>
            <w:r>
              <w:rPr>
                <w:rFonts w:hint="default" w:ascii="Times New Roman" w:hAnsi="Times New Roman" w:cs="Times New Roman"/>
                <w:color w:val="auto"/>
                <w:kern w:val="21"/>
                <w:sz w:val="18"/>
                <w:szCs w:val="18"/>
              </w:rPr>
              <w:t>0000</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lang w:val="en-US" w:eastAsia="zh-CN"/>
              </w:rPr>
              <w:t>1</w:t>
            </w:r>
            <w:r>
              <w:rPr>
                <w:rFonts w:hint="default" w:ascii="Times New Roman" w:hAnsi="Times New Roman" w:cs="Times New Roman"/>
                <w:color w:val="auto"/>
                <w:kern w:val="21"/>
                <w:sz w:val="18"/>
                <w:szCs w:val="18"/>
              </w:rPr>
              <w:t>0000</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lang w:val="en-US" w:eastAsia="zh-CN"/>
              </w:rPr>
              <w:t>1</w:t>
            </w:r>
            <w:r>
              <w:rPr>
                <w:rFonts w:hint="default" w:ascii="Times New Roman" w:hAnsi="Times New Roman" w:cs="Times New Roman"/>
                <w:color w:val="auto"/>
                <w:kern w:val="21"/>
                <w:sz w:val="18"/>
                <w:szCs w:val="18"/>
              </w:rPr>
              <w:t>0000</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lang w:val="en-US" w:eastAsia="zh-CN"/>
              </w:rPr>
              <w:t>1</w:t>
            </w:r>
            <w:r>
              <w:rPr>
                <w:rFonts w:hint="default" w:ascii="Times New Roman" w:hAnsi="Times New Roman" w:cs="Times New Roman"/>
                <w:color w:val="auto"/>
                <w:kern w:val="21"/>
                <w:sz w:val="18"/>
                <w:szCs w:val="18"/>
              </w:rPr>
              <w:t>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1" w:type="dxa"/>
            <w:vMerge w:val="continue"/>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p>
        </w:tc>
        <w:tc>
          <w:tcPr>
            <w:tcW w:w="837" w:type="dxa"/>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达标情况</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达标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达标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达标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达标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达标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达标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达标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达标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1" w:type="dxa"/>
            <w:vMerge w:val="restart"/>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氟化物</w:t>
            </w:r>
          </w:p>
        </w:tc>
        <w:tc>
          <w:tcPr>
            <w:tcW w:w="837" w:type="dxa"/>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eastAsia="zh-CN"/>
              </w:rPr>
              <w:t>检测值</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0.22</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0.20</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0.21</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0.26</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0.28</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0.25</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0.26</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0.30</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1" w:type="dxa"/>
            <w:vMerge w:val="continue"/>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p>
        </w:tc>
        <w:tc>
          <w:tcPr>
            <w:tcW w:w="837" w:type="dxa"/>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标准值</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1"/>
                <w:sz w:val="18"/>
                <w:szCs w:val="18"/>
                <w:lang w:val="en-US" w:eastAsia="zh-CN" w:bidi="ar"/>
              </w:rPr>
            </w:pPr>
            <w:r>
              <w:rPr>
                <w:rFonts w:hint="default" w:ascii="Times New Roman" w:hAnsi="Times New Roman" w:cs="Times New Roman"/>
                <w:color w:val="auto"/>
                <w:kern w:val="21"/>
                <w:sz w:val="18"/>
                <w:szCs w:val="18"/>
              </w:rPr>
              <w:t>≤1.</w:t>
            </w:r>
            <w:r>
              <w:rPr>
                <w:rFonts w:hint="default" w:ascii="Times New Roman" w:hAnsi="Times New Roman" w:cs="Times New Roman"/>
                <w:color w:val="auto"/>
                <w:kern w:val="21"/>
                <w:sz w:val="18"/>
                <w:szCs w:val="18"/>
                <w:lang w:val="en-US" w:eastAsia="zh-CN"/>
              </w:rPr>
              <w:t>0</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≤1.</w:t>
            </w:r>
            <w:r>
              <w:rPr>
                <w:rFonts w:hint="default" w:ascii="Times New Roman" w:hAnsi="Times New Roman" w:cs="Times New Roman"/>
                <w:color w:val="auto"/>
                <w:kern w:val="21"/>
                <w:sz w:val="18"/>
                <w:szCs w:val="18"/>
                <w:lang w:val="en-US" w:eastAsia="zh-CN"/>
              </w:rPr>
              <w:t>0</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≤1.</w:t>
            </w:r>
            <w:r>
              <w:rPr>
                <w:rFonts w:hint="default" w:ascii="Times New Roman" w:hAnsi="Times New Roman" w:cs="Times New Roman"/>
                <w:color w:val="auto"/>
                <w:kern w:val="21"/>
                <w:sz w:val="18"/>
                <w:szCs w:val="18"/>
                <w:lang w:val="en-US" w:eastAsia="zh-CN"/>
              </w:rPr>
              <w:t>0</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≤1.</w:t>
            </w:r>
            <w:r>
              <w:rPr>
                <w:rFonts w:hint="default" w:ascii="Times New Roman" w:hAnsi="Times New Roman" w:cs="Times New Roman"/>
                <w:color w:val="auto"/>
                <w:kern w:val="21"/>
                <w:sz w:val="18"/>
                <w:szCs w:val="18"/>
                <w:lang w:val="en-US" w:eastAsia="zh-CN"/>
              </w:rPr>
              <w:t>0</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≤1.</w:t>
            </w:r>
            <w:r>
              <w:rPr>
                <w:rFonts w:hint="default" w:ascii="Times New Roman" w:hAnsi="Times New Roman" w:cs="Times New Roman"/>
                <w:color w:val="auto"/>
                <w:kern w:val="21"/>
                <w:sz w:val="18"/>
                <w:szCs w:val="18"/>
                <w:lang w:val="en-US" w:eastAsia="zh-CN"/>
              </w:rPr>
              <w:t>0</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≤1.</w:t>
            </w:r>
            <w:r>
              <w:rPr>
                <w:rFonts w:hint="default" w:ascii="Times New Roman" w:hAnsi="Times New Roman" w:cs="Times New Roman"/>
                <w:color w:val="auto"/>
                <w:kern w:val="21"/>
                <w:sz w:val="18"/>
                <w:szCs w:val="18"/>
                <w:lang w:val="en-US" w:eastAsia="zh-CN"/>
              </w:rPr>
              <w:t>0</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≤1.</w:t>
            </w:r>
            <w:r>
              <w:rPr>
                <w:rFonts w:hint="default" w:ascii="Times New Roman" w:hAnsi="Times New Roman" w:cs="Times New Roman"/>
                <w:color w:val="auto"/>
                <w:kern w:val="21"/>
                <w:sz w:val="18"/>
                <w:szCs w:val="18"/>
                <w:lang w:val="en-US" w:eastAsia="zh-CN"/>
              </w:rPr>
              <w:t>0</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≤1.</w:t>
            </w:r>
            <w:r>
              <w:rPr>
                <w:rFonts w:hint="default" w:ascii="Times New Roman" w:hAnsi="Times New Roman" w:cs="Times New Roman"/>
                <w:color w:val="auto"/>
                <w:kern w:val="21"/>
                <w:sz w:val="18"/>
                <w:szCs w:val="18"/>
                <w:lang w:val="en-US" w:eastAsia="zh-CN"/>
              </w:rPr>
              <w:t>0</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≤1.</w:t>
            </w:r>
            <w:r>
              <w:rPr>
                <w:rFonts w:hint="default" w:ascii="Times New Roman" w:hAnsi="Times New Roman" w:cs="Times New Roman"/>
                <w:color w:val="auto"/>
                <w:kern w:val="21"/>
                <w:sz w:val="18"/>
                <w:szCs w:val="18"/>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1" w:type="dxa"/>
            <w:vMerge w:val="continue"/>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p>
        </w:tc>
        <w:tc>
          <w:tcPr>
            <w:tcW w:w="837" w:type="dxa"/>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达标情况</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达标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达标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达标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达标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达标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达标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达标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达标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1" w:type="dxa"/>
            <w:vMerge w:val="restart"/>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硫化物</w:t>
            </w:r>
          </w:p>
        </w:tc>
        <w:tc>
          <w:tcPr>
            <w:tcW w:w="837" w:type="dxa"/>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eastAsia="zh-CN"/>
              </w:rPr>
              <w:t>检测值</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0.005L</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0.005L</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0.005L</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0.005L</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0.005L</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0.005L</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0.005L</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0.005L</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0.005L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1" w:type="dxa"/>
            <w:vMerge w:val="continue"/>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p>
        </w:tc>
        <w:tc>
          <w:tcPr>
            <w:tcW w:w="837" w:type="dxa"/>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标准值</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1"/>
                <w:sz w:val="18"/>
                <w:szCs w:val="18"/>
                <w:lang w:eastAsia="zh-CN" w:bidi="ar"/>
              </w:rPr>
            </w:pPr>
            <w:r>
              <w:rPr>
                <w:rFonts w:hint="default" w:ascii="Times New Roman" w:hAnsi="Times New Roman" w:cs="Times New Roman"/>
                <w:color w:val="auto"/>
                <w:kern w:val="21"/>
                <w:sz w:val="18"/>
                <w:szCs w:val="18"/>
              </w:rPr>
              <w:t>≤0.</w:t>
            </w:r>
            <w:r>
              <w:rPr>
                <w:rFonts w:hint="default" w:ascii="Times New Roman" w:hAnsi="Times New Roman" w:cs="Times New Roman"/>
                <w:color w:val="auto"/>
                <w:kern w:val="21"/>
                <w:sz w:val="18"/>
                <w:szCs w:val="18"/>
                <w:lang w:val="en-US" w:eastAsia="zh-CN"/>
              </w:rPr>
              <w:t>2</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≤0.</w:t>
            </w:r>
            <w:r>
              <w:rPr>
                <w:rFonts w:hint="default" w:ascii="Times New Roman" w:hAnsi="Times New Roman" w:cs="Times New Roman"/>
                <w:color w:val="auto"/>
                <w:kern w:val="21"/>
                <w:sz w:val="18"/>
                <w:szCs w:val="18"/>
                <w:lang w:val="en-US" w:eastAsia="zh-CN"/>
              </w:rPr>
              <w:t>2</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≤0.</w:t>
            </w:r>
            <w:r>
              <w:rPr>
                <w:rFonts w:hint="default" w:ascii="Times New Roman" w:hAnsi="Times New Roman" w:cs="Times New Roman"/>
                <w:color w:val="auto"/>
                <w:kern w:val="21"/>
                <w:sz w:val="18"/>
                <w:szCs w:val="18"/>
                <w:lang w:val="en-US" w:eastAsia="zh-CN"/>
              </w:rPr>
              <w:t>2</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≤0.</w:t>
            </w:r>
            <w:r>
              <w:rPr>
                <w:rFonts w:hint="default" w:ascii="Times New Roman" w:hAnsi="Times New Roman" w:cs="Times New Roman"/>
                <w:color w:val="auto"/>
                <w:kern w:val="21"/>
                <w:sz w:val="18"/>
                <w:szCs w:val="18"/>
                <w:lang w:val="en-US" w:eastAsia="zh-CN"/>
              </w:rPr>
              <w:t>2</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≤0.</w:t>
            </w:r>
            <w:r>
              <w:rPr>
                <w:rFonts w:hint="default" w:ascii="Times New Roman" w:hAnsi="Times New Roman" w:cs="Times New Roman"/>
                <w:color w:val="auto"/>
                <w:kern w:val="21"/>
                <w:sz w:val="18"/>
                <w:szCs w:val="18"/>
                <w:lang w:val="en-US" w:eastAsia="zh-CN"/>
              </w:rPr>
              <w:t>2</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≤0.</w:t>
            </w:r>
            <w:r>
              <w:rPr>
                <w:rFonts w:hint="default" w:ascii="Times New Roman" w:hAnsi="Times New Roman" w:cs="Times New Roman"/>
                <w:color w:val="auto"/>
                <w:kern w:val="21"/>
                <w:sz w:val="18"/>
                <w:szCs w:val="18"/>
                <w:lang w:val="en-US" w:eastAsia="zh-CN"/>
              </w:rPr>
              <w:t>2</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≤0.</w:t>
            </w:r>
            <w:r>
              <w:rPr>
                <w:rFonts w:hint="default" w:ascii="Times New Roman" w:hAnsi="Times New Roman" w:cs="Times New Roman"/>
                <w:color w:val="auto"/>
                <w:kern w:val="21"/>
                <w:sz w:val="18"/>
                <w:szCs w:val="18"/>
                <w:lang w:val="en-US" w:eastAsia="zh-CN"/>
              </w:rPr>
              <w:t>2</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≤0.</w:t>
            </w:r>
            <w:r>
              <w:rPr>
                <w:rFonts w:hint="default" w:ascii="Times New Roman" w:hAnsi="Times New Roman" w:cs="Times New Roman"/>
                <w:color w:val="auto"/>
                <w:kern w:val="21"/>
                <w:sz w:val="18"/>
                <w:szCs w:val="18"/>
                <w:lang w:val="en-US" w:eastAsia="zh-CN"/>
              </w:rPr>
              <w:t>2</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≤0.</w:t>
            </w:r>
            <w:r>
              <w:rPr>
                <w:rFonts w:hint="default" w:ascii="Times New Roman" w:hAnsi="Times New Roman" w:cs="Times New Roman"/>
                <w:color w:val="auto"/>
                <w:kern w:val="21"/>
                <w:sz w:val="18"/>
                <w:szCs w:val="18"/>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1" w:type="dxa"/>
            <w:vMerge w:val="continue"/>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p>
        </w:tc>
        <w:tc>
          <w:tcPr>
            <w:tcW w:w="837" w:type="dxa"/>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达标情况</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达标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达标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达标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达标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达标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达标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达标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达标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1" w:type="dxa"/>
            <w:vMerge w:val="restart"/>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总汞</w:t>
            </w:r>
          </w:p>
        </w:tc>
        <w:tc>
          <w:tcPr>
            <w:tcW w:w="837" w:type="dxa"/>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eastAsia="zh-CN"/>
              </w:rPr>
              <w:t>检测值</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0.00004L</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0.00004L</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0.00004L</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0.00004L</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0.00004L</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0.00004L</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0.00004L</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0.00004L</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0.00004L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1" w:type="dxa"/>
            <w:vMerge w:val="continue"/>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p>
        </w:tc>
        <w:tc>
          <w:tcPr>
            <w:tcW w:w="837" w:type="dxa"/>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标准值</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≤0.00</w:t>
            </w:r>
            <w:r>
              <w:rPr>
                <w:rFonts w:hint="default" w:ascii="Times New Roman" w:hAnsi="Times New Roman" w:cs="Times New Roman"/>
                <w:color w:val="auto"/>
                <w:kern w:val="21"/>
                <w:sz w:val="18"/>
                <w:szCs w:val="18"/>
                <w:lang w:val="en-US" w:eastAsia="zh-CN"/>
              </w:rPr>
              <w:t>0</w:t>
            </w:r>
            <w:r>
              <w:rPr>
                <w:rFonts w:hint="default" w:ascii="Times New Roman" w:hAnsi="Times New Roman" w:cs="Times New Roman"/>
                <w:color w:val="auto"/>
                <w:kern w:val="21"/>
                <w:sz w:val="18"/>
                <w:szCs w:val="18"/>
              </w:rPr>
              <w:t>1</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≤0.00</w:t>
            </w:r>
            <w:r>
              <w:rPr>
                <w:rFonts w:hint="default" w:ascii="Times New Roman" w:hAnsi="Times New Roman" w:cs="Times New Roman"/>
                <w:color w:val="auto"/>
                <w:kern w:val="21"/>
                <w:sz w:val="18"/>
                <w:szCs w:val="18"/>
                <w:lang w:val="en-US" w:eastAsia="zh-CN"/>
              </w:rPr>
              <w:t>0</w:t>
            </w:r>
            <w:r>
              <w:rPr>
                <w:rFonts w:hint="default" w:ascii="Times New Roman" w:hAnsi="Times New Roman" w:cs="Times New Roman"/>
                <w:color w:val="auto"/>
                <w:kern w:val="21"/>
                <w:sz w:val="18"/>
                <w:szCs w:val="18"/>
              </w:rPr>
              <w:t>1</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≤0.00</w:t>
            </w:r>
            <w:r>
              <w:rPr>
                <w:rFonts w:hint="default" w:ascii="Times New Roman" w:hAnsi="Times New Roman" w:cs="Times New Roman"/>
                <w:color w:val="auto"/>
                <w:kern w:val="21"/>
                <w:sz w:val="18"/>
                <w:szCs w:val="18"/>
                <w:lang w:val="en-US" w:eastAsia="zh-CN"/>
              </w:rPr>
              <w:t>0</w:t>
            </w:r>
            <w:r>
              <w:rPr>
                <w:rFonts w:hint="default" w:ascii="Times New Roman" w:hAnsi="Times New Roman" w:cs="Times New Roman"/>
                <w:color w:val="auto"/>
                <w:kern w:val="21"/>
                <w:sz w:val="18"/>
                <w:szCs w:val="18"/>
              </w:rPr>
              <w:t>1</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≤0.00</w:t>
            </w:r>
            <w:r>
              <w:rPr>
                <w:rFonts w:hint="default" w:ascii="Times New Roman" w:hAnsi="Times New Roman" w:cs="Times New Roman"/>
                <w:color w:val="auto"/>
                <w:kern w:val="21"/>
                <w:sz w:val="18"/>
                <w:szCs w:val="18"/>
                <w:lang w:val="en-US" w:eastAsia="zh-CN"/>
              </w:rPr>
              <w:t>0</w:t>
            </w:r>
            <w:r>
              <w:rPr>
                <w:rFonts w:hint="default" w:ascii="Times New Roman" w:hAnsi="Times New Roman" w:cs="Times New Roman"/>
                <w:color w:val="auto"/>
                <w:kern w:val="21"/>
                <w:sz w:val="18"/>
                <w:szCs w:val="18"/>
              </w:rPr>
              <w:t>1</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≤0.00</w:t>
            </w:r>
            <w:r>
              <w:rPr>
                <w:rFonts w:hint="default" w:ascii="Times New Roman" w:hAnsi="Times New Roman" w:cs="Times New Roman"/>
                <w:color w:val="auto"/>
                <w:kern w:val="21"/>
                <w:sz w:val="18"/>
                <w:szCs w:val="18"/>
                <w:lang w:val="en-US" w:eastAsia="zh-CN"/>
              </w:rPr>
              <w:t>0</w:t>
            </w:r>
            <w:r>
              <w:rPr>
                <w:rFonts w:hint="default" w:ascii="Times New Roman" w:hAnsi="Times New Roman" w:cs="Times New Roman"/>
                <w:color w:val="auto"/>
                <w:kern w:val="21"/>
                <w:sz w:val="18"/>
                <w:szCs w:val="18"/>
              </w:rPr>
              <w:t>1</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≤0.00</w:t>
            </w:r>
            <w:r>
              <w:rPr>
                <w:rFonts w:hint="default" w:ascii="Times New Roman" w:hAnsi="Times New Roman" w:cs="Times New Roman"/>
                <w:color w:val="auto"/>
                <w:kern w:val="21"/>
                <w:sz w:val="18"/>
                <w:szCs w:val="18"/>
                <w:lang w:val="en-US" w:eastAsia="zh-CN"/>
              </w:rPr>
              <w:t>0</w:t>
            </w:r>
            <w:r>
              <w:rPr>
                <w:rFonts w:hint="default" w:ascii="Times New Roman" w:hAnsi="Times New Roman" w:cs="Times New Roman"/>
                <w:color w:val="auto"/>
                <w:kern w:val="21"/>
                <w:sz w:val="18"/>
                <w:szCs w:val="18"/>
              </w:rPr>
              <w:t>1</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≤0.00</w:t>
            </w:r>
            <w:r>
              <w:rPr>
                <w:rFonts w:hint="default" w:ascii="Times New Roman" w:hAnsi="Times New Roman" w:cs="Times New Roman"/>
                <w:color w:val="auto"/>
                <w:kern w:val="21"/>
                <w:sz w:val="18"/>
                <w:szCs w:val="18"/>
                <w:lang w:val="en-US" w:eastAsia="zh-CN"/>
              </w:rPr>
              <w:t>0</w:t>
            </w:r>
            <w:r>
              <w:rPr>
                <w:rFonts w:hint="default" w:ascii="Times New Roman" w:hAnsi="Times New Roman" w:cs="Times New Roman"/>
                <w:color w:val="auto"/>
                <w:kern w:val="21"/>
                <w:sz w:val="18"/>
                <w:szCs w:val="18"/>
              </w:rPr>
              <w:t>1</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≤0.00</w:t>
            </w:r>
            <w:r>
              <w:rPr>
                <w:rFonts w:hint="default" w:ascii="Times New Roman" w:hAnsi="Times New Roman" w:cs="Times New Roman"/>
                <w:color w:val="auto"/>
                <w:kern w:val="21"/>
                <w:sz w:val="18"/>
                <w:szCs w:val="18"/>
                <w:lang w:val="en-US" w:eastAsia="zh-CN"/>
              </w:rPr>
              <w:t>0</w:t>
            </w:r>
            <w:r>
              <w:rPr>
                <w:rFonts w:hint="default" w:ascii="Times New Roman" w:hAnsi="Times New Roman" w:cs="Times New Roman"/>
                <w:color w:val="auto"/>
                <w:kern w:val="21"/>
                <w:sz w:val="18"/>
                <w:szCs w:val="18"/>
              </w:rPr>
              <w:t>1</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≤0.00</w:t>
            </w:r>
            <w:r>
              <w:rPr>
                <w:rFonts w:hint="default" w:ascii="Times New Roman" w:hAnsi="Times New Roman" w:cs="Times New Roman"/>
                <w:color w:val="auto"/>
                <w:kern w:val="21"/>
                <w:sz w:val="18"/>
                <w:szCs w:val="18"/>
                <w:lang w:val="en-US" w:eastAsia="zh-CN"/>
              </w:rPr>
              <w:t>0</w:t>
            </w:r>
            <w:r>
              <w:rPr>
                <w:rFonts w:hint="default" w:ascii="Times New Roman" w:hAnsi="Times New Roman" w:cs="Times New Roman"/>
                <w:color w:val="auto"/>
                <w:kern w:val="21"/>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1" w:type="dxa"/>
            <w:vMerge w:val="continue"/>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p>
        </w:tc>
        <w:tc>
          <w:tcPr>
            <w:tcW w:w="837" w:type="dxa"/>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达标情况</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达标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达标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达标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达标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达标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达标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达标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达标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1" w:type="dxa"/>
            <w:vMerge w:val="restart"/>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铜</w:t>
            </w:r>
          </w:p>
        </w:tc>
        <w:tc>
          <w:tcPr>
            <w:tcW w:w="837" w:type="dxa"/>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eastAsia="zh-CN"/>
              </w:rPr>
              <w:t>检测值</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0.0808</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0.0771</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0.0716</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0.0501</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0.0483</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0.0471</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0.0390</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0.0380</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0.0357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1" w:type="dxa"/>
            <w:vMerge w:val="continue"/>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p>
        </w:tc>
        <w:tc>
          <w:tcPr>
            <w:tcW w:w="837" w:type="dxa"/>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标准值</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≤1.0</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≤1.0</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≤1.0</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≤1.0</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≤1.0</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≤1.0</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≤1.0</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≤1.0</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1" w:type="dxa"/>
            <w:vMerge w:val="continue"/>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p>
        </w:tc>
        <w:tc>
          <w:tcPr>
            <w:tcW w:w="837" w:type="dxa"/>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达标情况</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达标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达标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达标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达标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达标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达标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达标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达标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11" w:type="dxa"/>
            <w:vMerge w:val="restart"/>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锌</w:t>
            </w:r>
          </w:p>
        </w:tc>
        <w:tc>
          <w:tcPr>
            <w:tcW w:w="837" w:type="dxa"/>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eastAsia="zh-CN"/>
              </w:rPr>
              <w:t>检测值</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6.7×10</w:t>
            </w:r>
            <w:r>
              <w:rPr>
                <w:rFonts w:hint="default" w:ascii="Times New Roman" w:hAnsi="Times New Roman" w:cs="Times New Roman"/>
                <w:color w:val="auto"/>
                <w:kern w:val="21"/>
                <w:sz w:val="18"/>
                <w:szCs w:val="18"/>
                <w:vertAlign w:val="superscript"/>
              </w:rPr>
              <w:t>-4</w:t>
            </w:r>
            <w:r>
              <w:rPr>
                <w:rFonts w:hint="default" w:ascii="Times New Roman" w:hAnsi="Times New Roman" w:cs="Times New Roman"/>
                <w:color w:val="auto"/>
                <w:kern w:val="21"/>
                <w:sz w:val="18"/>
                <w:szCs w:val="18"/>
                <w:lang w:bidi="ar"/>
              </w:rPr>
              <w:t>L</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6.7×10</w:t>
            </w:r>
            <w:r>
              <w:rPr>
                <w:rFonts w:hint="default" w:ascii="Times New Roman" w:hAnsi="Times New Roman" w:cs="Times New Roman"/>
                <w:color w:val="auto"/>
                <w:kern w:val="21"/>
                <w:sz w:val="18"/>
                <w:szCs w:val="18"/>
                <w:vertAlign w:val="superscript"/>
              </w:rPr>
              <w:t>-4</w:t>
            </w:r>
            <w:r>
              <w:rPr>
                <w:rFonts w:hint="default" w:ascii="Times New Roman" w:hAnsi="Times New Roman" w:cs="Times New Roman"/>
                <w:color w:val="auto"/>
                <w:kern w:val="21"/>
                <w:sz w:val="18"/>
                <w:szCs w:val="18"/>
                <w:lang w:bidi="ar"/>
              </w:rPr>
              <w:t>L</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6.7×10</w:t>
            </w:r>
            <w:r>
              <w:rPr>
                <w:rFonts w:hint="default" w:ascii="Times New Roman" w:hAnsi="Times New Roman" w:cs="Times New Roman"/>
                <w:color w:val="auto"/>
                <w:kern w:val="21"/>
                <w:sz w:val="18"/>
                <w:szCs w:val="18"/>
                <w:vertAlign w:val="superscript"/>
              </w:rPr>
              <w:t>-4</w:t>
            </w:r>
            <w:r>
              <w:rPr>
                <w:rFonts w:hint="default" w:ascii="Times New Roman" w:hAnsi="Times New Roman" w:cs="Times New Roman"/>
                <w:color w:val="auto"/>
                <w:kern w:val="21"/>
                <w:sz w:val="18"/>
                <w:szCs w:val="18"/>
                <w:lang w:bidi="ar"/>
              </w:rPr>
              <w:t>L</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6.7×10</w:t>
            </w:r>
            <w:r>
              <w:rPr>
                <w:rFonts w:hint="default" w:ascii="Times New Roman" w:hAnsi="Times New Roman" w:cs="Times New Roman"/>
                <w:color w:val="auto"/>
                <w:kern w:val="21"/>
                <w:sz w:val="18"/>
                <w:szCs w:val="18"/>
                <w:vertAlign w:val="superscript"/>
              </w:rPr>
              <w:t>-4</w:t>
            </w:r>
            <w:r>
              <w:rPr>
                <w:rFonts w:hint="default" w:ascii="Times New Roman" w:hAnsi="Times New Roman" w:cs="Times New Roman"/>
                <w:color w:val="auto"/>
                <w:kern w:val="21"/>
                <w:sz w:val="18"/>
                <w:szCs w:val="18"/>
                <w:lang w:bidi="ar"/>
              </w:rPr>
              <w:t>L</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6.7×10</w:t>
            </w:r>
            <w:r>
              <w:rPr>
                <w:rFonts w:hint="default" w:ascii="Times New Roman" w:hAnsi="Times New Roman" w:cs="Times New Roman"/>
                <w:color w:val="auto"/>
                <w:kern w:val="21"/>
                <w:sz w:val="18"/>
                <w:szCs w:val="18"/>
                <w:vertAlign w:val="superscript"/>
              </w:rPr>
              <w:t>-4</w:t>
            </w:r>
            <w:r>
              <w:rPr>
                <w:rFonts w:hint="default" w:ascii="Times New Roman" w:hAnsi="Times New Roman" w:cs="Times New Roman"/>
                <w:color w:val="auto"/>
                <w:kern w:val="21"/>
                <w:sz w:val="18"/>
                <w:szCs w:val="18"/>
                <w:lang w:bidi="ar"/>
              </w:rPr>
              <w:t>L</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6.7×10</w:t>
            </w:r>
            <w:r>
              <w:rPr>
                <w:rFonts w:hint="default" w:ascii="Times New Roman" w:hAnsi="Times New Roman" w:cs="Times New Roman"/>
                <w:color w:val="auto"/>
                <w:kern w:val="21"/>
                <w:sz w:val="18"/>
                <w:szCs w:val="18"/>
                <w:vertAlign w:val="superscript"/>
              </w:rPr>
              <w:t>-4</w:t>
            </w:r>
            <w:r>
              <w:rPr>
                <w:rFonts w:hint="default" w:ascii="Times New Roman" w:hAnsi="Times New Roman" w:cs="Times New Roman"/>
                <w:color w:val="auto"/>
                <w:kern w:val="21"/>
                <w:sz w:val="18"/>
                <w:szCs w:val="18"/>
                <w:lang w:bidi="ar"/>
              </w:rPr>
              <w:t>L</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6.7×10</w:t>
            </w:r>
            <w:r>
              <w:rPr>
                <w:rFonts w:hint="default" w:ascii="Times New Roman" w:hAnsi="Times New Roman" w:cs="Times New Roman"/>
                <w:color w:val="auto"/>
                <w:kern w:val="21"/>
                <w:sz w:val="18"/>
                <w:szCs w:val="18"/>
                <w:vertAlign w:val="superscript"/>
              </w:rPr>
              <w:t>-4</w:t>
            </w:r>
            <w:r>
              <w:rPr>
                <w:rFonts w:hint="default" w:ascii="Times New Roman" w:hAnsi="Times New Roman" w:cs="Times New Roman"/>
                <w:color w:val="auto"/>
                <w:kern w:val="21"/>
                <w:sz w:val="18"/>
                <w:szCs w:val="18"/>
                <w:lang w:bidi="ar"/>
              </w:rPr>
              <w:t>L</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6.7×10</w:t>
            </w:r>
            <w:r>
              <w:rPr>
                <w:rFonts w:hint="default" w:ascii="Times New Roman" w:hAnsi="Times New Roman" w:cs="Times New Roman"/>
                <w:color w:val="auto"/>
                <w:kern w:val="21"/>
                <w:sz w:val="18"/>
                <w:szCs w:val="18"/>
                <w:vertAlign w:val="superscript"/>
              </w:rPr>
              <w:t>-4</w:t>
            </w:r>
            <w:r>
              <w:rPr>
                <w:rFonts w:hint="default" w:ascii="Times New Roman" w:hAnsi="Times New Roman" w:cs="Times New Roman"/>
                <w:color w:val="auto"/>
                <w:kern w:val="21"/>
                <w:sz w:val="18"/>
                <w:szCs w:val="18"/>
                <w:lang w:bidi="ar"/>
              </w:rPr>
              <w:t>L</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6.7×10</w:t>
            </w:r>
            <w:r>
              <w:rPr>
                <w:rFonts w:hint="default" w:ascii="Times New Roman" w:hAnsi="Times New Roman" w:cs="Times New Roman"/>
                <w:color w:val="auto"/>
                <w:kern w:val="21"/>
                <w:sz w:val="18"/>
                <w:szCs w:val="18"/>
                <w:vertAlign w:val="superscript"/>
              </w:rPr>
              <w:t>-4</w:t>
            </w:r>
            <w:r>
              <w:rPr>
                <w:rFonts w:hint="default" w:ascii="Times New Roman" w:hAnsi="Times New Roman" w:cs="Times New Roman"/>
                <w:color w:val="auto"/>
                <w:kern w:val="21"/>
                <w:sz w:val="18"/>
                <w:szCs w:val="18"/>
                <w:lang w:bidi="ar"/>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11" w:type="dxa"/>
            <w:vMerge w:val="continue"/>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p>
        </w:tc>
        <w:tc>
          <w:tcPr>
            <w:tcW w:w="837" w:type="dxa"/>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标准值</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≤1.0</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≤1.0</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≤1.0</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≤1.0</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≤1.0</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≤1.0</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≤1.0</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≤1.0</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11" w:type="dxa"/>
            <w:vMerge w:val="continue"/>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p>
        </w:tc>
        <w:tc>
          <w:tcPr>
            <w:tcW w:w="837" w:type="dxa"/>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达标情况</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达标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达标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达标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达标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达标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达标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达标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达标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1" w:type="dxa"/>
            <w:vMerge w:val="restart"/>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总镉</w:t>
            </w:r>
          </w:p>
        </w:tc>
        <w:tc>
          <w:tcPr>
            <w:tcW w:w="837" w:type="dxa"/>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eastAsia="zh-CN"/>
              </w:rPr>
              <w:t>检测值</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0.00005L</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0.00005L</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0.00005L</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0.00005L</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0.00005L</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0.00005L</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0.00005L</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0.00005L</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0.00005L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1" w:type="dxa"/>
            <w:vMerge w:val="continue"/>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p>
        </w:tc>
        <w:tc>
          <w:tcPr>
            <w:tcW w:w="837" w:type="dxa"/>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标准值</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≤0.005</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≤0.005</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≤0.005</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≤0.005</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≤0.005</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≤0.005</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≤0.005</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≤0.005</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1" w:type="dxa"/>
            <w:vMerge w:val="continue"/>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p>
        </w:tc>
        <w:tc>
          <w:tcPr>
            <w:tcW w:w="837" w:type="dxa"/>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达标情况</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达标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达标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达标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达标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达标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达标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达标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达标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1" w:type="dxa"/>
            <w:vMerge w:val="restart"/>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总铬</w:t>
            </w:r>
          </w:p>
        </w:tc>
        <w:tc>
          <w:tcPr>
            <w:tcW w:w="837" w:type="dxa"/>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eastAsia="zh-CN"/>
              </w:rPr>
              <w:t>检测值</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0.004L</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0.004L</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0.004L</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0.004L</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0.004L</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0.004L</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0.004L</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0.004L</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0.004L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1" w:type="dxa"/>
            <w:vMerge w:val="continue"/>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p>
        </w:tc>
        <w:tc>
          <w:tcPr>
            <w:tcW w:w="837" w:type="dxa"/>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标准值</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lang w:bidi="ar"/>
              </w:rPr>
              <w:t>/</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lang w:bidi="ar"/>
              </w:rPr>
              <w:t>/</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lang w:bidi="ar"/>
              </w:rPr>
              <w:t>/</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lang w:bidi="ar"/>
              </w:rPr>
              <w:t>/</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lang w:bidi="ar"/>
              </w:rPr>
              <w:t>/</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lang w:bidi="ar"/>
              </w:rPr>
              <w:t>/</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lang w:bidi="ar"/>
              </w:rPr>
              <w:t>/</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lang w:bidi="ar"/>
              </w:rPr>
              <w:t>/</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1" w:type="dxa"/>
            <w:vMerge w:val="continue"/>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p>
        </w:tc>
        <w:tc>
          <w:tcPr>
            <w:tcW w:w="837" w:type="dxa"/>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达标情况</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lang w:bidi="ar"/>
              </w:rPr>
              <w:t>/</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lang w:bidi="ar"/>
              </w:rPr>
              <w:t>/</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lang w:bidi="ar"/>
              </w:rPr>
              <w:t>/</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lang w:bidi="ar"/>
              </w:rPr>
              <w:t>/</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lang w:bidi="ar"/>
              </w:rPr>
              <w:t>/</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lang w:bidi="ar"/>
              </w:rPr>
              <w:t>/</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lang w:bidi="ar"/>
              </w:rPr>
              <w:t>/</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lang w:bidi="ar"/>
              </w:rPr>
              <w:t>/</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1" w:type="dxa"/>
            <w:vMerge w:val="restart"/>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六价铬</w:t>
            </w:r>
          </w:p>
        </w:tc>
        <w:tc>
          <w:tcPr>
            <w:tcW w:w="837" w:type="dxa"/>
            <w:vAlign w:val="center"/>
          </w:tcPr>
          <w:p>
            <w:pPr>
              <w:autoSpaceDN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1"/>
                <w:sz w:val="18"/>
                <w:szCs w:val="18"/>
                <w:lang w:val="en-US" w:eastAsia="zh-CN" w:bidi="ar-SA"/>
              </w:rPr>
            </w:pPr>
            <w:r>
              <w:rPr>
                <w:rFonts w:hint="default" w:ascii="Times New Roman" w:hAnsi="Times New Roman" w:cs="Times New Roman"/>
                <w:color w:val="auto"/>
                <w:kern w:val="21"/>
                <w:sz w:val="18"/>
                <w:szCs w:val="18"/>
                <w:lang w:eastAsia="zh-CN"/>
              </w:rPr>
              <w:t>检测值</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0.004L</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0.004L</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0.004L</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0.004L</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0.004L</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0.004L</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0.004L</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0.004L</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0.004L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7" w:hRule="atLeast"/>
          <w:jc w:val="center"/>
        </w:trPr>
        <w:tc>
          <w:tcPr>
            <w:tcW w:w="711" w:type="dxa"/>
            <w:vMerge w:val="continue"/>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p>
        </w:tc>
        <w:tc>
          <w:tcPr>
            <w:tcW w:w="837" w:type="dxa"/>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标准值</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≤0.05</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≤0.05</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≤0.05</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≤0.05</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≤0.05</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≤0.05</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≤0.05</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≤0.05</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1" w:type="dxa"/>
            <w:vMerge w:val="continue"/>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p>
        </w:tc>
        <w:tc>
          <w:tcPr>
            <w:tcW w:w="837" w:type="dxa"/>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达标情况</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达标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达标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达标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达标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达标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达标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达标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达标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1" w:type="dxa"/>
            <w:vMerge w:val="restart"/>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总砷</w:t>
            </w:r>
          </w:p>
        </w:tc>
        <w:tc>
          <w:tcPr>
            <w:tcW w:w="837" w:type="dxa"/>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eastAsia="zh-CN"/>
              </w:rPr>
              <w:t>检测值</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5.01×10</w:t>
            </w:r>
            <w:r>
              <w:rPr>
                <w:rFonts w:hint="default" w:ascii="Times New Roman" w:hAnsi="Times New Roman" w:cs="Times New Roman"/>
                <w:color w:val="auto"/>
                <w:kern w:val="21"/>
                <w:sz w:val="18"/>
                <w:szCs w:val="18"/>
                <w:vertAlign w:val="superscript"/>
              </w:rPr>
              <w:t>-3</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4.73×10</w:t>
            </w:r>
            <w:r>
              <w:rPr>
                <w:rFonts w:hint="default" w:ascii="Times New Roman" w:hAnsi="Times New Roman" w:cs="Times New Roman"/>
                <w:color w:val="auto"/>
                <w:kern w:val="21"/>
                <w:sz w:val="18"/>
                <w:szCs w:val="18"/>
                <w:vertAlign w:val="superscript"/>
              </w:rPr>
              <w:t>-3</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5.12×10</w:t>
            </w:r>
            <w:r>
              <w:rPr>
                <w:rFonts w:hint="default" w:ascii="Times New Roman" w:hAnsi="Times New Roman" w:cs="Times New Roman"/>
                <w:color w:val="auto"/>
                <w:kern w:val="21"/>
                <w:sz w:val="18"/>
                <w:szCs w:val="18"/>
                <w:vertAlign w:val="superscript"/>
              </w:rPr>
              <w:t>-3</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4.58×10</w:t>
            </w:r>
            <w:r>
              <w:rPr>
                <w:rFonts w:hint="default" w:ascii="Times New Roman" w:hAnsi="Times New Roman" w:cs="Times New Roman"/>
                <w:color w:val="auto"/>
                <w:kern w:val="21"/>
                <w:sz w:val="18"/>
                <w:szCs w:val="18"/>
                <w:vertAlign w:val="superscript"/>
              </w:rPr>
              <w:t>-3</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4.45×10</w:t>
            </w:r>
            <w:r>
              <w:rPr>
                <w:rFonts w:hint="default" w:ascii="Times New Roman" w:hAnsi="Times New Roman" w:cs="Times New Roman"/>
                <w:color w:val="auto"/>
                <w:kern w:val="21"/>
                <w:sz w:val="18"/>
                <w:szCs w:val="18"/>
                <w:vertAlign w:val="superscript"/>
              </w:rPr>
              <w:t>-3</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4.74×10</w:t>
            </w:r>
            <w:r>
              <w:rPr>
                <w:rFonts w:hint="default" w:ascii="Times New Roman" w:hAnsi="Times New Roman" w:cs="Times New Roman"/>
                <w:color w:val="auto"/>
                <w:kern w:val="21"/>
                <w:sz w:val="18"/>
                <w:szCs w:val="18"/>
                <w:vertAlign w:val="superscript"/>
              </w:rPr>
              <w:t>-3</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3.60×10</w:t>
            </w:r>
            <w:r>
              <w:rPr>
                <w:rFonts w:hint="default" w:ascii="Times New Roman" w:hAnsi="Times New Roman" w:cs="Times New Roman"/>
                <w:color w:val="auto"/>
                <w:kern w:val="21"/>
                <w:sz w:val="18"/>
                <w:szCs w:val="18"/>
                <w:vertAlign w:val="superscript"/>
              </w:rPr>
              <w:t>-3</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3.58×10</w:t>
            </w:r>
            <w:r>
              <w:rPr>
                <w:rFonts w:hint="default" w:ascii="Times New Roman" w:hAnsi="Times New Roman" w:cs="Times New Roman"/>
                <w:color w:val="auto"/>
                <w:kern w:val="21"/>
                <w:sz w:val="18"/>
                <w:szCs w:val="18"/>
                <w:vertAlign w:val="superscript"/>
              </w:rPr>
              <w:t>-3</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3.59×10</w:t>
            </w:r>
            <w:r>
              <w:rPr>
                <w:rFonts w:hint="default" w:ascii="Times New Roman" w:hAnsi="Times New Roman" w:cs="Times New Roman"/>
                <w:color w:val="auto"/>
                <w:kern w:val="21"/>
                <w:sz w:val="18"/>
                <w:szCs w:val="18"/>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1" w:type="dxa"/>
            <w:vMerge w:val="continue"/>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p>
        </w:tc>
        <w:tc>
          <w:tcPr>
            <w:tcW w:w="837" w:type="dxa"/>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标准值</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1"/>
                <w:sz w:val="18"/>
                <w:szCs w:val="18"/>
                <w:lang w:val="en-US" w:eastAsia="zh-CN" w:bidi="ar"/>
              </w:rPr>
            </w:pPr>
            <w:r>
              <w:rPr>
                <w:rFonts w:hint="default" w:ascii="Times New Roman" w:hAnsi="Times New Roman" w:cs="Times New Roman"/>
                <w:color w:val="auto"/>
                <w:kern w:val="21"/>
                <w:sz w:val="18"/>
                <w:szCs w:val="18"/>
              </w:rPr>
              <w:t>≤0.</w:t>
            </w:r>
            <w:r>
              <w:rPr>
                <w:rFonts w:hint="default" w:ascii="Times New Roman" w:hAnsi="Times New Roman" w:cs="Times New Roman"/>
                <w:color w:val="auto"/>
                <w:kern w:val="21"/>
                <w:sz w:val="18"/>
                <w:szCs w:val="18"/>
                <w:lang w:val="en-US" w:eastAsia="zh-CN"/>
              </w:rPr>
              <w:t>05</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≤0.</w:t>
            </w:r>
            <w:r>
              <w:rPr>
                <w:rFonts w:hint="default" w:ascii="Times New Roman" w:hAnsi="Times New Roman" w:cs="Times New Roman"/>
                <w:color w:val="auto"/>
                <w:kern w:val="21"/>
                <w:sz w:val="18"/>
                <w:szCs w:val="18"/>
                <w:lang w:val="en-US" w:eastAsia="zh-CN"/>
              </w:rPr>
              <w:t>05</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≤0.</w:t>
            </w:r>
            <w:r>
              <w:rPr>
                <w:rFonts w:hint="default" w:ascii="Times New Roman" w:hAnsi="Times New Roman" w:cs="Times New Roman"/>
                <w:color w:val="auto"/>
                <w:kern w:val="21"/>
                <w:sz w:val="18"/>
                <w:szCs w:val="18"/>
                <w:lang w:val="en-US" w:eastAsia="zh-CN"/>
              </w:rPr>
              <w:t>05</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≤0.</w:t>
            </w:r>
            <w:r>
              <w:rPr>
                <w:rFonts w:hint="default" w:ascii="Times New Roman" w:hAnsi="Times New Roman" w:cs="Times New Roman"/>
                <w:color w:val="auto"/>
                <w:kern w:val="21"/>
                <w:sz w:val="18"/>
                <w:szCs w:val="18"/>
                <w:lang w:val="en-US" w:eastAsia="zh-CN"/>
              </w:rPr>
              <w:t>05</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≤0.</w:t>
            </w:r>
            <w:r>
              <w:rPr>
                <w:rFonts w:hint="default" w:ascii="Times New Roman" w:hAnsi="Times New Roman" w:cs="Times New Roman"/>
                <w:color w:val="auto"/>
                <w:kern w:val="21"/>
                <w:sz w:val="18"/>
                <w:szCs w:val="18"/>
                <w:lang w:val="en-US" w:eastAsia="zh-CN"/>
              </w:rPr>
              <w:t>05</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≤0.</w:t>
            </w:r>
            <w:r>
              <w:rPr>
                <w:rFonts w:hint="default" w:ascii="Times New Roman" w:hAnsi="Times New Roman" w:cs="Times New Roman"/>
                <w:color w:val="auto"/>
                <w:kern w:val="21"/>
                <w:sz w:val="18"/>
                <w:szCs w:val="18"/>
                <w:lang w:val="en-US" w:eastAsia="zh-CN"/>
              </w:rPr>
              <w:t>05</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≤0.</w:t>
            </w:r>
            <w:r>
              <w:rPr>
                <w:rFonts w:hint="default" w:ascii="Times New Roman" w:hAnsi="Times New Roman" w:cs="Times New Roman"/>
                <w:color w:val="auto"/>
                <w:kern w:val="21"/>
                <w:sz w:val="18"/>
                <w:szCs w:val="18"/>
                <w:lang w:val="en-US" w:eastAsia="zh-CN"/>
              </w:rPr>
              <w:t>05</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≤0.</w:t>
            </w:r>
            <w:r>
              <w:rPr>
                <w:rFonts w:hint="default" w:ascii="Times New Roman" w:hAnsi="Times New Roman" w:cs="Times New Roman"/>
                <w:color w:val="auto"/>
                <w:kern w:val="21"/>
                <w:sz w:val="18"/>
                <w:szCs w:val="18"/>
                <w:lang w:val="en-US" w:eastAsia="zh-CN"/>
              </w:rPr>
              <w:t>05</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≤0.</w:t>
            </w:r>
            <w:r>
              <w:rPr>
                <w:rFonts w:hint="default" w:ascii="Times New Roman" w:hAnsi="Times New Roman" w:cs="Times New Roman"/>
                <w:color w:val="auto"/>
                <w:kern w:val="21"/>
                <w:sz w:val="18"/>
                <w:szCs w:val="18"/>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1" w:type="dxa"/>
            <w:vMerge w:val="continue"/>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p>
        </w:tc>
        <w:tc>
          <w:tcPr>
            <w:tcW w:w="837" w:type="dxa"/>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达标情况</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达标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达标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达标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达标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达标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达标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达标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达标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1" w:type="dxa"/>
            <w:vMerge w:val="restart"/>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总铅</w:t>
            </w:r>
          </w:p>
        </w:tc>
        <w:tc>
          <w:tcPr>
            <w:tcW w:w="837" w:type="dxa"/>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eastAsia="zh-CN"/>
              </w:rPr>
              <w:t>检测值</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0.0001L</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0.0001L</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0.0001L</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0.0001L</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0.0001L</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0.0001L</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0.0001L</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0.0001L</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lang w:bidi="ar"/>
              </w:rPr>
              <w:t>0.0001L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1" w:type="dxa"/>
            <w:vMerge w:val="continue"/>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p>
        </w:tc>
        <w:tc>
          <w:tcPr>
            <w:tcW w:w="837" w:type="dxa"/>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标准值</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≤0.05</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≤0.05</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≤0.05</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≤0.05</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≤0.05</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≤0.05</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≤0.05</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≤0.05</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1" w:type="dxa"/>
            <w:vMerge w:val="continue"/>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p>
        </w:tc>
        <w:tc>
          <w:tcPr>
            <w:tcW w:w="837" w:type="dxa"/>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达标情况</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达标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达标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达标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达标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达标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达标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达标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达标</w:t>
            </w:r>
          </w:p>
        </w:tc>
        <w:tc>
          <w:tcPr>
            <w:tcW w:w="946" w:type="dxa"/>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1"/>
                <w:sz w:val="18"/>
                <w:szCs w:val="18"/>
                <w:lang w:bidi="ar"/>
              </w:rPr>
            </w:pPr>
            <w:r>
              <w:rPr>
                <w:rFonts w:hint="default" w:ascii="Times New Roman" w:hAnsi="Times New Roman" w:cs="Times New Roman"/>
                <w:color w:val="auto"/>
                <w:kern w:val="21"/>
                <w:sz w:val="18"/>
                <w:szCs w:val="18"/>
              </w:rPr>
              <w:t>达标</w:t>
            </w:r>
          </w:p>
        </w:tc>
      </w:tr>
    </w:tbl>
    <w:p>
      <w:pPr>
        <w:adjustRightInd w:val="0"/>
        <w:snapToGrid w:val="0"/>
        <w:spacing w:beforeLines="50"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根据上表可知，</w:t>
      </w:r>
      <w:r>
        <w:rPr>
          <w:rFonts w:hint="default" w:ascii="Times New Roman" w:hAnsi="Times New Roman" w:cs="Times New Roman"/>
          <w:color w:val="auto"/>
          <w:lang w:eastAsia="zh-CN"/>
        </w:rPr>
        <w:t>青龙河现状水质不能满足《地表水环境质量标准》（</w:t>
      </w:r>
      <w:r>
        <w:rPr>
          <w:rFonts w:hint="default" w:ascii="Times New Roman" w:hAnsi="Times New Roman" w:cs="Times New Roman"/>
          <w:color w:val="auto"/>
          <w:lang w:val="en-US" w:eastAsia="zh-CN"/>
        </w:rPr>
        <w:t>GB3838-2002</w:t>
      </w:r>
      <w:r>
        <w:rPr>
          <w:rFonts w:hint="default" w:ascii="Times New Roman" w:hAnsi="Times New Roman" w:cs="Times New Roman"/>
          <w:color w:val="auto"/>
          <w:lang w:eastAsia="zh-CN"/>
        </w:rPr>
        <w:t>）中</w:t>
      </w:r>
      <w:r>
        <w:rPr>
          <w:rFonts w:hint="default" w:ascii="Times New Roman" w:hAnsi="Times New Roman" w:cs="Times New Roman"/>
          <w:color w:val="auto"/>
          <w:sz w:val="24"/>
          <w:szCs w:val="24"/>
          <w:lang w:eastAsia="zh-CN"/>
        </w:rPr>
        <w:t>Ⅲ</w:t>
      </w:r>
      <w:r>
        <w:rPr>
          <w:rFonts w:hint="default" w:ascii="Times New Roman" w:hAnsi="Times New Roman" w:cs="Times New Roman"/>
          <w:color w:val="auto"/>
          <w:sz w:val="24"/>
          <w:szCs w:val="24"/>
        </w:rPr>
        <w:t>类</w:t>
      </w:r>
      <w:r>
        <w:rPr>
          <w:rFonts w:hint="default" w:ascii="Times New Roman" w:hAnsi="Times New Roman" w:cs="Times New Roman"/>
          <w:color w:val="auto"/>
          <w:sz w:val="24"/>
          <w:szCs w:val="24"/>
          <w:lang w:eastAsia="zh-CN"/>
        </w:rPr>
        <w:t>水质要求，主要超标因子为</w:t>
      </w:r>
      <w:r>
        <w:rPr>
          <w:rFonts w:hint="default" w:ascii="Times New Roman" w:hAnsi="Times New Roman" w:cs="Times New Roman"/>
          <w:color w:val="auto"/>
          <w:sz w:val="24"/>
          <w:szCs w:val="24"/>
          <w:lang w:val="en-US" w:eastAsia="zh-CN"/>
        </w:rPr>
        <w:t>COD、BOD</w:t>
      </w:r>
      <w:r>
        <w:rPr>
          <w:rFonts w:hint="default" w:ascii="Times New Roman" w:hAnsi="Times New Roman" w:cs="Times New Roman"/>
          <w:color w:val="FF0000"/>
          <w:sz w:val="21"/>
          <w:szCs w:val="21"/>
          <w:vertAlign w:val="subscript"/>
        </w:rPr>
        <w:t>5</w:t>
      </w:r>
      <w:r>
        <w:rPr>
          <w:rFonts w:hint="default" w:ascii="Times New Roman" w:hAnsi="Times New Roman" w:cs="Times New Roman"/>
          <w:color w:val="auto"/>
        </w:rPr>
        <w:t>。</w:t>
      </w:r>
    </w:p>
    <w:p>
      <w:pPr>
        <w:pStyle w:val="31"/>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3、青龙河水质现状超标原因分析</w:t>
      </w:r>
    </w:p>
    <w:p>
      <w:pPr>
        <w:pStyle w:val="206"/>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kern w:val="21"/>
        </w:rPr>
      </w:pPr>
      <w:r>
        <w:rPr>
          <w:rFonts w:hint="default" w:ascii="Times New Roman" w:hAnsi="Times New Roman" w:cs="Times New Roman"/>
          <w:color w:val="auto"/>
          <w:kern w:val="21"/>
        </w:rPr>
        <w:t>根据《楚雄市青龙河入龙川江口断面水体达标方案（2021-2025年）》对</w:t>
      </w:r>
      <w:r>
        <w:rPr>
          <w:rFonts w:hint="default" w:ascii="Times New Roman" w:hAnsi="Times New Roman" w:cs="Times New Roman"/>
          <w:color w:val="auto"/>
          <w:kern w:val="21"/>
          <w:lang w:eastAsia="zh-CN"/>
        </w:rPr>
        <w:t>青龙河</w:t>
      </w:r>
      <w:r>
        <w:rPr>
          <w:rFonts w:hint="default" w:ascii="Times New Roman" w:hAnsi="Times New Roman" w:cs="Times New Roman"/>
          <w:color w:val="auto"/>
          <w:kern w:val="21"/>
        </w:rPr>
        <w:t>污染源排放现状进行的分析，2020年，</w:t>
      </w:r>
      <w:r>
        <w:rPr>
          <w:rFonts w:hint="default" w:ascii="Times New Roman" w:hAnsi="Times New Roman" w:cs="Times New Roman"/>
          <w:color w:val="auto"/>
          <w:kern w:val="21"/>
          <w:lang w:eastAsia="zh-CN"/>
        </w:rPr>
        <w:t>青龙河</w:t>
      </w:r>
      <w:r>
        <w:rPr>
          <w:rFonts w:hint="default" w:ascii="Times New Roman" w:hAnsi="Times New Roman" w:cs="Times New Roman"/>
          <w:color w:val="auto"/>
          <w:kern w:val="21"/>
        </w:rPr>
        <w:t>主要污染源为城镇生活源，其中COD排放量为1678.49t/a，氨氮排放量为51.69t/a，总氮排放量为182.79t/a，总磷排放量为17.11t/a，化学需氧量、氨氮、总氮、总磷排放量占总排放量的63%、64%、68%、57%，为首要污染源；其次为农业面源，化学需氧量、氨氮、总氮、总磷排放量占总排放量的 29%、13%、31%、38%。由此可见，现状青龙河上段水域纳污能力各月已接近满载，城区段河道已超载。</w:t>
      </w:r>
    </w:p>
    <w:p>
      <w:pPr>
        <w:pStyle w:val="206"/>
        <w:adjustRightInd/>
        <w:ind w:firstLine="480"/>
        <w:rPr>
          <w:rFonts w:hint="default" w:ascii="Times New Roman" w:hAnsi="Times New Roman" w:cs="Times New Roman"/>
          <w:color w:val="auto"/>
          <w:kern w:val="21"/>
        </w:rPr>
      </w:pPr>
      <w:r>
        <w:rPr>
          <w:rFonts w:hint="default" w:ascii="Times New Roman" w:hAnsi="Times New Roman" w:cs="Times New Roman"/>
          <w:color w:val="auto"/>
          <w:kern w:val="21"/>
        </w:rPr>
        <w:t>根据水质监测数据，结合污染源解析结论，青龙河水污染物主要来源于城镇生活源和农业农村面源污染。主要原因为：</w:t>
      </w:r>
    </w:p>
    <w:p>
      <w:pPr>
        <w:pStyle w:val="206"/>
        <w:adjustRightInd/>
        <w:ind w:firstLine="480"/>
        <w:rPr>
          <w:rFonts w:hint="default" w:ascii="Times New Roman" w:hAnsi="Times New Roman" w:cs="Times New Roman"/>
          <w:color w:val="auto"/>
          <w:kern w:val="21"/>
        </w:rPr>
      </w:pPr>
      <w:r>
        <w:rPr>
          <w:rFonts w:hint="default" w:ascii="Times New Roman" w:hAnsi="Times New Roman" w:cs="Times New Roman"/>
          <w:color w:val="auto"/>
          <w:kern w:val="21"/>
        </w:rPr>
        <w:t>（1）河道截污不完善，部分污水入河。流域雨污分流管网建设不完善，旱季污水可以通过青龙河底污水管网收集，雨季水量增加污水溢流进入河道，青龙河泵站、市疾控中心对面等排水口明显有污水混入，同时初期雨水未得到有效收集直接入河，对水质产生一定影响。</w:t>
      </w:r>
    </w:p>
    <w:p>
      <w:pPr>
        <w:pStyle w:val="206"/>
        <w:adjustRightInd/>
        <w:ind w:firstLine="480"/>
        <w:rPr>
          <w:rFonts w:hint="default" w:ascii="Times New Roman" w:hAnsi="Times New Roman" w:cs="Times New Roman"/>
          <w:color w:val="auto"/>
          <w:kern w:val="21"/>
        </w:rPr>
      </w:pPr>
      <w:r>
        <w:rPr>
          <w:rFonts w:hint="default" w:ascii="Times New Roman" w:hAnsi="Times New Roman" w:cs="Times New Roman"/>
          <w:color w:val="auto"/>
          <w:kern w:val="21"/>
        </w:rPr>
        <w:t>（2）污水收集系统不健全，部分污水入河。老城区合流制区域占比大，局部区域排水不畅，截流闸门操作人为因素较重，旱季污水处理厂基本上能满足雨污合流制的处理要求，但雨季大量雨水进入污水收集系统，超出排水泵站、污水管网和污水处理厂承受能力，部分污水直接进入河道。</w:t>
      </w:r>
    </w:p>
    <w:p>
      <w:pPr>
        <w:pStyle w:val="206"/>
        <w:adjustRightInd/>
        <w:ind w:firstLine="480"/>
        <w:rPr>
          <w:rFonts w:hint="default" w:ascii="Times New Roman" w:hAnsi="Times New Roman" w:cs="Times New Roman"/>
          <w:color w:val="auto"/>
          <w:kern w:val="21"/>
        </w:rPr>
      </w:pPr>
      <w:r>
        <w:rPr>
          <w:rFonts w:hint="default" w:ascii="Times New Roman" w:hAnsi="Times New Roman" w:cs="Times New Roman"/>
          <w:color w:val="auto"/>
          <w:kern w:val="21"/>
        </w:rPr>
        <w:t>（3）生态流量不足，河道自净能力较低。旱季青龙河干流及支流上游水库下泄流量少，河水流速较缓，河道自净能力差，加之三面光河道比例高，水生态系统恶化，河道生态系统脆弱。</w:t>
      </w:r>
    </w:p>
    <w:p>
      <w:pPr>
        <w:pStyle w:val="206"/>
        <w:adjustRightInd/>
        <w:ind w:firstLine="480"/>
        <w:rPr>
          <w:rFonts w:hint="default" w:ascii="Times New Roman" w:hAnsi="Times New Roman" w:cs="Times New Roman"/>
          <w:color w:val="auto"/>
          <w:lang w:val="en-US" w:eastAsia="zh-CN"/>
        </w:rPr>
      </w:pPr>
      <w:r>
        <w:rPr>
          <w:rFonts w:hint="default" w:ascii="Times New Roman" w:hAnsi="Times New Roman" w:cs="Times New Roman"/>
          <w:color w:val="auto"/>
          <w:kern w:val="21"/>
        </w:rPr>
        <w:t>为此，2022年楚雄市人民政府下发了《楚雄市人民政府办公室关于印发楚雄市青龙河水体达标方案的通知》（楚市政办通〔2022〕6号），拟实施17项重点工程，包括城镇两污类、工业污染防治类、农村环境综合整治类、水生态保护及修复类、水资源优化调度类、生态环境管理类6类项目，总投资7.11亿元，其中，已有规划项目13项，本项目也属于其中之一，总投资6.64亿元，占总投资的93.39%，方案新增项目4项，总投资0.47亿元，占总投资的6.61%。</w:t>
      </w:r>
      <w:r>
        <w:rPr>
          <w:rFonts w:hint="default" w:ascii="Times New Roman" w:hAnsi="Times New Roman" w:cs="Times New Roman"/>
          <w:color w:val="auto"/>
          <w:kern w:val="21"/>
          <w:lang w:eastAsia="zh-CN"/>
        </w:rPr>
        <w:t>争取</w:t>
      </w:r>
      <w:r>
        <w:rPr>
          <w:rFonts w:hint="default" w:ascii="Times New Roman" w:hAnsi="Times New Roman" w:cs="Times New Roman"/>
          <w:color w:val="auto"/>
          <w:kern w:val="21"/>
        </w:rPr>
        <w:t>实现2025年青龙河入龙川江口断面水质目标达到《地表水环境质量标准》</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GB3838-2002</w:t>
      </w:r>
      <w:r>
        <w:rPr>
          <w:rFonts w:hint="default" w:ascii="Times New Roman" w:hAnsi="Times New Roman" w:cs="Times New Roman"/>
          <w:color w:val="auto"/>
          <w:lang w:eastAsia="zh-CN"/>
        </w:rPr>
        <w:t>）</w:t>
      </w:r>
      <w:r>
        <w:rPr>
          <w:rFonts w:hint="default" w:ascii="Times New Roman" w:hAnsi="Times New Roman" w:cs="Times New Roman"/>
          <w:color w:val="auto"/>
          <w:kern w:val="21"/>
        </w:rPr>
        <w:t>IV类标准要求。</w:t>
      </w:r>
    </w:p>
    <w:p>
      <w:pPr>
        <w:pStyle w:val="6"/>
        <w:spacing w:before="0" w:after="0" w:line="360" w:lineRule="auto"/>
        <w:rPr>
          <w:rFonts w:hint="default" w:ascii="Times New Roman" w:hAnsi="Times New Roman" w:cs="Times New Roman"/>
          <w:color w:val="auto"/>
          <w:szCs w:val="28"/>
        </w:rPr>
      </w:pPr>
      <w:bookmarkStart w:id="387" w:name="_Toc15313"/>
      <w:bookmarkStart w:id="388" w:name="_Toc5716"/>
      <w:bookmarkStart w:id="389" w:name="_Toc306967108"/>
      <w:bookmarkStart w:id="390" w:name="_Toc23695"/>
      <w:bookmarkStart w:id="391" w:name="_Toc6687"/>
      <w:bookmarkStart w:id="392" w:name="_Toc22638"/>
      <w:bookmarkStart w:id="393" w:name="_Toc11248"/>
      <w:bookmarkStart w:id="394" w:name="_Toc24094"/>
      <w:bookmarkStart w:id="395" w:name="_Toc12062"/>
      <w:bookmarkStart w:id="396" w:name="_Toc3573"/>
      <w:bookmarkStart w:id="397" w:name="_Toc19447"/>
      <w:r>
        <w:rPr>
          <w:rFonts w:hint="default" w:ascii="Times New Roman" w:hAnsi="Times New Roman" w:cs="Times New Roman"/>
          <w:color w:val="auto"/>
          <w:szCs w:val="28"/>
          <w:lang w:val="en-US" w:eastAsia="zh-CN"/>
        </w:rPr>
        <w:t>4</w:t>
      </w:r>
      <w:r>
        <w:rPr>
          <w:rFonts w:hint="default" w:ascii="Times New Roman" w:hAnsi="Times New Roman" w:cs="Times New Roman"/>
          <w:color w:val="auto"/>
          <w:szCs w:val="28"/>
        </w:rPr>
        <w:t>.3.3声环境质量现状</w:t>
      </w:r>
      <w:bookmarkEnd w:id="387"/>
      <w:bookmarkEnd w:id="388"/>
      <w:bookmarkEnd w:id="389"/>
      <w:r>
        <w:rPr>
          <w:rFonts w:hint="default" w:ascii="Times New Roman" w:hAnsi="Times New Roman" w:cs="Times New Roman"/>
          <w:color w:val="auto"/>
          <w:szCs w:val="28"/>
        </w:rPr>
        <w:t>分析</w:t>
      </w:r>
      <w:bookmarkEnd w:id="390"/>
      <w:bookmarkEnd w:id="391"/>
      <w:bookmarkEnd w:id="392"/>
      <w:bookmarkEnd w:id="393"/>
      <w:bookmarkEnd w:id="394"/>
      <w:bookmarkEnd w:id="395"/>
      <w:bookmarkEnd w:id="396"/>
      <w:bookmarkEnd w:id="397"/>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kern w:val="21"/>
          <w:lang w:eastAsia="zh-CN"/>
        </w:rPr>
      </w:pPr>
      <w:r>
        <w:rPr>
          <w:rFonts w:hint="default" w:ascii="Times New Roman" w:hAnsi="Times New Roman" w:cs="Times New Roman"/>
          <w:color w:val="auto"/>
          <w:kern w:val="21"/>
          <w:lang w:eastAsia="zh-CN"/>
        </w:rPr>
        <w:t>本项目评价等级为三级，</w:t>
      </w:r>
      <w:r>
        <w:rPr>
          <w:rFonts w:hint="default" w:ascii="Times New Roman" w:hAnsi="Times New Roman" w:cs="Times New Roman"/>
          <w:color w:val="auto"/>
          <w:kern w:val="21"/>
          <w:lang w:val="en-US" w:eastAsia="zh-CN"/>
        </w:rPr>
        <w:t>200m声评价范围内没有声环境保护目标，</w:t>
      </w:r>
      <w:r>
        <w:rPr>
          <w:rFonts w:hint="default" w:ascii="Times New Roman" w:hAnsi="Times New Roman" w:cs="Times New Roman"/>
          <w:color w:val="auto"/>
          <w:kern w:val="21"/>
          <w:lang w:eastAsia="zh-CN"/>
        </w:rPr>
        <w:t>根据《环境影响评价技术导则</w:t>
      </w:r>
      <w:r>
        <w:rPr>
          <w:rFonts w:hint="default" w:ascii="Times New Roman" w:hAnsi="Times New Roman" w:cs="Times New Roman"/>
          <w:color w:val="auto"/>
          <w:kern w:val="21"/>
          <w:lang w:val="en-US" w:eastAsia="zh-CN"/>
        </w:rPr>
        <w:t xml:space="preserve"> 声环境</w:t>
      </w:r>
      <w:r>
        <w:rPr>
          <w:rFonts w:hint="default" w:ascii="Times New Roman" w:hAnsi="Times New Roman" w:cs="Times New Roman"/>
          <w:color w:val="auto"/>
          <w:kern w:val="21"/>
          <w:lang w:eastAsia="zh-CN"/>
        </w:rPr>
        <w:t>》（</w:t>
      </w:r>
      <w:r>
        <w:rPr>
          <w:rFonts w:hint="default" w:ascii="Times New Roman" w:hAnsi="Times New Roman" w:cs="Times New Roman"/>
          <w:color w:val="auto"/>
          <w:kern w:val="21"/>
          <w:lang w:val="en-US" w:eastAsia="zh-CN"/>
        </w:rPr>
        <w:t>HJ2.4-2021</w:t>
      </w:r>
      <w:r>
        <w:rPr>
          <w:rFonts w:hint="default" w:ascii="Times New Roman" w:hAnsi="Times New Roman" w:cs="Times New Roman"/>
          <w:color w:val="auto"/>
          <w:kern w:val="21"/>
          <w:lang w:eastAsia="zh-CN"/>
        </w:rPr>
        <w:t>）要求，可不进行声环境质量现状监测。</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21"/>
          <w:lang w:val="en-US" w:eastAsia="zh-CN"/>
        </w:rPr>
      </w:pPr>
      <w:r>
        <w:rPr>
          <w:rFonts w:hint="default" w:ascii="Times New Roman" w:hAnsi="Times New Roman" w:eastAsia="宋体" w:cs="Times New Roman"/>
          <w:color w:val="auto"/>
          <w:kern w:val="21"/>
          <w:lang w:val="en-US" w:eastAsia="zh-CN"/>
        </w:rPr>
        <w:t>根据《宇泽半导体（云南）有限公司年产5GW单晶硅拉棒及3GW切片生产线项目（二期2GW拉棒生产线）竣工环境保护验收监测报告》对项目厂区厂界的检测结果，</w:t>
      </w:r>
      <w:r>
        <w:rPr>
          <w:rFonts w:hint="default" w:ascii="Times New Roman" w:hAnsi="Times New Roman" w:cs="Times New Roman"/>
          <w:color w:val="auto"/>
        </w:rPr>
        <w:t>项目所在地区域厂界昼间、夜间噪声监测值满足《声环境质量标准》（GB3096-2008）中3类区标准</w:t>
      </w:r>
      <w:r>
        <w:rPr>
          <w:rFonts w:hint="default" w:ascii="Times New Roman" w:hAnsi="Times New Roman" w:cs="Times New Roman"/>
          <w:color w:val="auto"/>
          <w:lang w:eastAsia="zh-CN"/>
        </w:rPr>
        <w:t>。</w:t>
      </w:r>
    </w:p>
    <w:p>
      <w:pPr>
        <w:pStyle w:val="133"/>
        <w:keepNext w:val="0"/>
        <w:keepLines w:val="0"/>
        <w:pageBreakBefore w:val="0"/>
        <w:widowControl w:val="0"/>
        <w:numPr>
          <w:ilvl w:val="0"/>
          <w:numId w:val="15"/>
        </w:numPr>
        <w:tabs>
          <w:tab w:val="left" w:pos="1020"/>
        </w:tabs>
        <w:kinsoku/>
        <w:wordWrap/>
        <w:overflowPunct/>
        <w:topLinePunct w:val="0"/>
        <w:autoSpaceDE/>
        <w:autoSpaceDN/>
        <w:bidi w:val="0"/>
        <w:adjustRightInd/>
        <w:snapToGrid/>
        <w:spacing w:line="360" w:lineRule="auto"/>
        <w:ind w:left="840" w:leftChars="0" w:hanging="420" w:firstLineChars="0"/>
        <w:jc w:val="center"/>
        <w:textAlignment w:val="auto"/>
        <w:rPr>
          <w:rFonts w:hint="default" w:ascii="Times New Roman" w:hAnsi="Times New Roman" w:cs="Times New Roman"/>
          <w:b/>
          <w:bCs/>
          <w:color w:val="auto"/>
          <w:spacing w:val="1"/>
        </w:rPr>
      </w:pPr>
      <w:r>
        <w:rPr>
          <w:rFonts w:hint="default" w:ascii="Times New Roman" w:hAnsi="Times New Roman" w:cs="Times New Roman"/>
          <w:b/>
          <w:bCs/>
          <w:color w:val="auto"/>
          <w:spacing w:val="1"/>
          <w:lang w:val="en-US" w:eastAsia="zh-CN"/>
        </w:rPr>
        <w:t xml:space="preserve"> </w:t>
      </w:r>
      <w:r>
        <w:rPr>
          <w:rFonts w:hint="default" w:ascii="Times New Roman" w:hAnsi="Times New Roman" w:cs="Times New Roman"/>
          <w:b/>
          <w:bCs/>
          <w:color w:val="auto"/>
          <w:spacing w:val="1"/>
        </w:rPr>
        <w:t>噪声监测结果一览表单位：dB（A）</w:t>
      </w:r>
    </w:p>
    <w:tbl>
      <w:tblPr>
        <w:tblStyle w:val="44"/>
        <w:tblW w:w="89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930"/>
        <w:gridCol w:w="1305"/>
        <w:gridCol w:w="2145"/>
        <w:gridCol w:w="835"/>
        <w:gridCol w:w="1110"/>
        <w:gridCol w:w="825"/>
        <w:gridCol w:w="9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6" w:type="dxa"/>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firstLine="0" w:firstLineChars="0"/>
              <w:jc w:val="center"/>
              <w:textAlignment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分析项目</w:t>
            </w:r>
          </w:p>
        </w:tc>
        <w:tc>
          <w:tcPr>
            <w:tcW w:w="930" w:type="dxa"/>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firstLine="0" w:firstLineChars="0"/>
              <w:jc w:val="center"/>
              <w:textAlignment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日期</w:t>
            </w:r>
          </w:p>
        </w:tc>
        <w:tc>
          <w:tcPr>
            <w:tcW w:w="1305" w:type="dxa"/>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firstLine="0" w:firstLineChars="0"/>
              <w:jc w:val="center"/>
              <w:textAlignment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检测点位</w:t>
            </w:r>
          </w:p>
        </w:tc>
        <w:tc>
          <w:tcPr>
            <w:tcW w:w="2145" w:type="dxa"/>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firstLine="0" w:firstLineChars="0"/>
              <w:jc w:val="center"/>
              <w:textAlignment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时间</w:t>
            </w:r>
          </w:p>
        </w:tc>
        <w:tc>
          <w:tcPr>
            <w:tcW w:w="835" w:type="dxa"/>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firstLine="0" w:firstLineChars="0"/>
              <w:jc w:val="center"/>
              <w:textAlignment w:val="center"/>
              <w:rPr>
                <w:rFonts w:hint="default" w:ascii="Times New Roman" w:hAnsi="Times New Roman" w:eastAsia="宋体" w:cs="Times New Roman"/>
                <w:b w:val="0"/>
                <w:bCs w:val="0"/>
                <w:color w:val="auto"/>
                <w:spacing w:val="0"/>
                <w:sz w:val="21"/>
                <w:szCs w:val="21"/>
                <w:lang w:val="en-US" w:bidi="ar-SA"/>
              </w:rPr>
            </w:pPr>
            <w:r>
              <w:rPr>
                <w:rFonts w:hint="default" w:ascii="Times New Roman" w:hAnsi="Times New Roman" w:eastAsia="宋体" w:cs="Times New Roman"/>
                <w:b w:val="0"/>
                <w:bCs w:val="0"/>
                <w:color w:val="auto"/>
                <w:spacing w:val="-6"/>
                <w:sz w:val="21"/>
                <w:szCs w:val="21"/>
                <w:lang w:val="en-US" w:eastAsia="zh-CN"/>
              </w:rPr>
              <w:t>噪声值Leq</w:t>
            </w:r>
          </w:p>
        </w:tc>
        <w:tc>
          <w:tcPr>
            <w:tcW w:w="1110" w:type="dxa"/>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firstLine="0" w:firstLineChars="0"/>
              <w:jc w:val="center"/>
              <w:textAlignment w:val="center"/>
              <w:rPr>
                <w:rFonts w:hint="default" w:ascii="Times New Roman" w:hAnsi="Times New Roman" w:eastAsia="宋体" w:cs="Times New Roman"/>
                <w:b w:val="0"/>
                <w:bCs w:val="0"/>
                <w:color w:val="auto"/>
                <w:spacing w:val="-6"/>
                <w:sz w:val="21"/>
                <w:szCs w:val="21"/>
                <w:lang w:val="en-US" w:eastAsia="zh-CN"/>
              </w:rPr>
            </w:pPr>
            <w:r>
              <w:rPr>
                <w:rFonts w:hint="default" w:ascii="Times New Roman" w:hAnsi="Times New Roman" w:eastAsia="宋体" w:cs="Times New Roman"/>
                <w:b w:val="0"/>
                <w:bCs w:val="0"/>
                <w:color w:val="auto"/>
                <w:spacing w:val="-6"/>
                <w:sz w:val="21"/>
                <w:szCs w:val="21"/>
                <w:lang w:val="en-US" w:eastAsia="zh-CN"/>
              </w:rPr>
              <w:t>主要声源</w:t>
            </w:r>
          </w:p>
        </w:tc>
        <w:tc>
          <w:tcPr>
            <w:tcW w:w="825" w:type="dxa"/>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firstLine="0" w:firstLineChars="0"/>
              <w:jc w:val="center"/>
              <w:textAlignment w:val="center"/>
              <w:rPr>
                <w:rFonts w:hint="default" w:ascii="Times New Roman" w:hAnsi="Times New Roman" w:eastAsia="宋体" w:cs="Times New Roman"/>
                <w:b w:val="0"/>
                <w:bCs w:val="0"/>
                <w:color w:val="auto"/>
                <w:spacing w:val="-6"/>
                <w:sz w:val="21"/>
                <w:szCs w:val="21"/>
                <w:lang w:val="en-US" w:eastAsia="zh-CN"/>
              </w:rPr>
            </w:pPr>
            <w:r>
              <w:rPr>
                <w:rFonts w:hint="default" w:ascii="Times New Roman" w:hAnsi="Times New Roman" w:eastAsia="宋体" w:cs="Times New Roman"/>
                <w:b w:val="0"/>
                <w:bCs w:val="0"/>
                <w:color w:val="auto"/>
                <w:spacing w:val="-6"/>
                <w:sz w:val="21"/>
                <w:szCs w:val="21"/>
                <w:lang w:val="en-US" w:eastAsia="zh-CN"/>
              </w:rPr>
              <w:t>标准限值</w:t>
            </w:r>
          </w:p>
        </w:tc>
        <w:tc>
          <w:tcPr>
            <w:tcW w:w="975" w:type="dxa"/>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firstLine="0" w:firstLineChars="0"/>
              <w:jc w:val="center"/>
              <w:textAlignment w:val="center"/>
              <w:rPr>
                <w:rFonts w:hint="default" w:ascii="Times New Roman" w:hAnsi="Times New Roman" w:eastAsia="宋体" w:cs="Times New Roman"/>
                <w:b w:val="0"/>
                <w:bCs w:val="0"/>
                <w:color w:val="auto"/>
                <w:spacing w:val="-6"/>
                <w:sz w:val="21"/>
                <w:szCs w:val="21"/>
                <w:lang w:val="en-US" w:eastAsia="zh-CN"/>
              </w:rPr>
            </w:pPr>
            <w:r>
              <w:rPr>
                <w:rFonts w:hint="default" w:ascii="Times New Roman" w:hAnsi="Times New Roman" w:eastAsia="宋体" w:cs="Times New Roman"/>
                <w:b w:val="0"/>
                <w:bCs w:val="0"/>
                <w:color w:val="auto"/>
                <w:spacing w:val="-6"/>
                <w:sz w:val="21"/>
                <w:szCs w:val="21"/>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6" w:type="dxa"/>
            <w:vMerge w:val="restart"/>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噪声</w:t>
            </w:r>
          </w:p>
        </w:tc>
        <w:tc>
          <w:tcPr>
            <w:tcW w:w="930" w:type="dxa"/>
            <w:vMerge w:val="restart"/>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b w:val="0"/>
                <w:bCs w:val="0"/>
                <w:color w:val="auto"/>
                <w:spacing w:val="-5"/>
                <w:sz w:val="21"/>
                <w:szCs w:val="21"/>
                <w:lang w:val="en-US" w:eastAsia="zh-CN" w:bidi="he-IL"/>
              </w:rPr>
            </w:pPr>
            <w:r>
              <w:rPr>
                <w:rFonts w:hint="default" w:ascii="Times New Roman" w:hAnsi="Times New Roman" w:eastAsia="宋体" w:cs="Times New Roman"/>
                <w:b w:val="0"/>
                <w:bCs w:val="0"/>
                <w:color w:val="auto"/>
                <w:spacing w:val="-5"/>
                <w:sz w:val="21"/>
                <w:szCs w:val="21"/>
                <w:lang w:val="en-US" w:eastAsia="zh-CN" w:bidi="he-IL"/>
              </w:rPr>
              <w:t>2023/2/23</w:t>
            </w:r>
          </w:p>
        </w:tc>
        <w:tc>
          <w:tcPr>
            <w:tcW w:w="1305" w:type="dxa"/>
            <w:vMerge w:val="restart"/>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b w:val="0"/>
                <w:bCs w:val="0"/>
                <w:color w:val="auto"/>
                <w:spacing w:val="-5"/>
                <w:sz w:val="21"/>
                <w:szCs w:val="21"/>
                <w:lang w:val="en-US" w:eastAsia="zh-CN" w:bidi="he-IL"/>
              </w:rPr>
            </w:pPr>
            <w:r>
              <w:rPr>
                <w:rFonts w:hint="default" w:ascii="Times New Roman" w:hAnsi="Times New Roman" w:eastAsia="宋体" w:cs="Times New Roman"/>
                <w:b w:val="0"/>
                <w:bCs w:val="0"/>
                <w:color w:val="auto"/>
                <w:spacing w:val="-6"/>
                <w:sz w:val="21"/>
                <w:szCs w:val="21"/>
                <w:lang w:val="en-US" w:eastAsia="zh-CN"/>
              </w:rPr>
              <w:t>厂界东外1m处</w:t>
            </w:r>
          </w:p>
        </w:tc>
        <w:tc>
          <w:tcPr>
            <w:tcW w:w="2145" w:type="dxa"/>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昼间（15:00</w:t>
            </w:r>
            <w:r>
              <w:rPr>
                <w:rFonts w:hint="default" w:ascii="Times New Roman" w:hAnsi="Times New Roman" w:eastAsia="宋体" w:cs="Times New Roman"/>
                <w:b w:val="0"/>
                <w:bCs w:val="0"/>
                <w:color w:val="auto"/>
                <w:spacing w:val="-6"/>
                <w:sz w:val="21"/>
                <w:szCs w:val="21"/>
                <w:lang w:val="en-US" w:eastAsia="zh-CN"/>
              </w:rPr>
              <w:t>～15:10</w:t>
            </w:r>
            <w:r>
              <w:rPr>
                <w:rFonts w:hint="default" w:ascii="Times New Roman" w:hAnsi="Times New Roman" w:eastAsia="宋体" w:cs="Times New Roman"/>
                <w:b w:val="0"/>
                <w:bCs w:val="0"/>
                <w:color w:val="auto"/>
                <w:sz w:val="21"/>
                <w:szCs w:val="21"/>
                <w:lang w:val="en-US" w:eastAsia="zh-CN"/>
              </w:rPr>
              <w:t>）</w:t>
            </w:r>
          </w:p>
        </w:tc>
        <w:tc>
          <w:tcPr>
            <w:tcW w:w="835" w:type="dxa"/>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55.1</w:t>
            </w:r>
          </w:p>
        </w:tc>
        <w:tc>
          <w:tcPr>
            <w:tcW w:w="1110" w:type="dxa"/>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b w:val="0"/>
                <w:bCs w:val="0"/>
                <w:color w:val="auto"/>
                <w:spacing w:val="-5"/>
                <w:sz w:val="21"/>
                <w:szCs w:val="21"/>
                <w:lang w:val="en-US" w:eastAsia="zh-CN" w:bidi="he-IL"/>
              </w:rPr>
            </w:pPr>
            <w:r>
              <w:rPr>
                <w:rFonts w:hint="default" w:ascii="Times New Roman" w:hAnsi="Times New Roman" w:eastAsia="宋体" w:cs="Times New Roman"/>
                <w:b w:val="0"/>
                <w:bCs w:val="0"/>
                <w:color w:val="auto"/>
                <w:spacing w:val="-5"/>
                <w:sz w:val="21"/>
                <w:szCs w:val="21"/>
                <w:lang w:val="en-US" w:eastAsia="zh-CN" w:bidi="he-IL"/>
              </w:rPr>
              <w:t>机械噪声</w:t>
            </w:r>
          </w:p>
        </w:tc>
        <w:tc>
          <w:tcPr>
            <w:tcW w:w="825" w:type="dxa"/>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b w:val="0"/>
                <w:bCs w:val="0"/>
                <w:color w:val="auto"/>
                <w:spacing w:val="-5"/>
                <w:sz w:val="21"/>
                <w:szCs w:val="21"/>
                <w:lang w:val="en-US" w:eastAsia="zh-CN" w:bidi="he-IL"/>
              </w:rPr>
            </w:pPr>
            <w:r>
              <w:rPr>
                <w:rFonts w:hint="default" w:ascii="Times New Roman" w:hAnsi="Times New Roman" w:eastAsia="宋体" w:cs="Times New Roman"/>
                <w:b w:val="0"/>
                <w:bCs w:val="0"/>
                <w:color w:val="auto"/>
                <w:spacing w:val="-5"/>
                <w:sz w:val="21"/>
                <w:szCs w:val="21"/>
                <w:lang w:val="en-US" w:eastAsia="zh-CN" w:bidi="he-IL"/>
              </w:rPr>
              <w:t>65</w:t>
            </w:r>
          </w:p>
        </w:tc>
        <w:tc>
          <w:tcPr>
            <w:tcW w:w="975" w:type="dxa"/>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b w:val="0"/>
                <w:bCs w:val="0"/>
                <w:color w:val="auto"/>
                <w:spacing w:val="-5"/>
                <w:sz w:val="21"/>
                <w:szCs w:val="21"/>
                <w:lang w:val="en-US" w:eastAsia="zh-CN" w:bidi="he-IL"/>
              </w:rPr>
            </w:pPr>
            <w:r>
              <w:rPr>
                <w:rFonts w:hint="default" w:ascii="Times New Roman" w:hAnsi="Times New Roman" w:eastAsia="宋体" w:cs="Times New Roman"/>
                <w:b w:val="0"/>
                <w:bCs w:val="0"/>
                <w:color w:val="auto"/>
                <w:spacing w:val="-5"/>
                <w:sz w:val="21"/>
                <w:szCs w:val="21"/>
                <w:lang w:val="en-US" w:eastAsia="zh-CN" w:bidi="he-I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6" w:type="dxa"/>
            <w:vMerge w:val="continue"/>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firstLine="0" w:firstLineChars="0"/>
              <w:jc w:val="center"/>
              <w:textAlignment w:val="center"/>
              <w:rPr>
                <w:rFonts w:hint="default" w:ascii="Times New Roman" w:hAnsi="Times New Roman" w:eastAsia="宋体" w:cs="Times New Roman"/>
                <w:b w:val="0"/>
                <w:bCs w:val="0"/>
                <w:color w:val="auto"/>
                <w:sz w:val="21"/>
                <w:szCs w:val="21"/>
                <w:lang w:val="en-US" w:eastAsia="zh-CN"/>
              </w:rPr>
            </w:pPr>
          </w:p>
        </w:tc>
        <w:tc>
          <w:tcPr>
            <w:tcW w:w="930" w:type="dxa"/>
            <w:vMerge w:val="continue"/>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b w:val="0"/>
                <w:bCs w:val="0"/>
                <w:color w:val="auto"/>
                <w:spacing w:val="-5"/>
                <w:sz w:val="21"/>
                <w:szCs w:val="21"/>
                <w:lang w:val="en-US" w:eastAsia="zh-CN" w:bidi="he-IL"/>
              </w:rPr>
            </w:pPr>
          </w:p>
        </w:tc>
        <w:tc>
          <w:tcPr>
            <w:tcW w:w="1305" w:type="dxa"/>
            <w:vMerge w:val="continue"/>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b w:val="0"/>
                <w:bCs w:val="0"/>
                <w:color w:val="auto"/>
                <w:spacing w:val="-5"/>
                <w:sz w:val="21"/>
                <w:szCs w:val="21"/>
                <w:lang w:val="en-US" w:eastAsia="zh-CN" w:bidi="he-IL"/>
              </w:rPr>
            </w:pPr>
          </w:p>
        </w:tc>
        <w:tc>
          <w:tcPr>
            <w:tcW w:w="2145" w:type="dxa"/>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夜间（22:14</w:t>
            </w:r>
            <w:r>
              <w:rPr>
                <w:rFonts w:hint="default" w:ascii="Times New Roman" w:hAnsi="Times New Roman" w:eastAsia="宋体" w:cs="Times New Roman"/>
                <w:b w:val="0"/>
                <w:bCs w:val="0"/>
                <w:color w:val="auto"/>
                <w:spacing w:val="-6"/>
                <w:sz w:val="21"/>
                <w:szCs w:val="21"/>
                <w:lang w:val="en-US" w:eastAsia="zh-CN"/>
              </w:rPr>
              <w:t>～22:24</w:t>
            </w:r>
            <w:r>
              <w:rPr>
                <w:rFonts w:hint="default" w:ascii="Times New Roman" w:hAnsi="Times New Roman" w:eastAsia="宋体" w:cs="Times New Roman"/>
                <w:b w:val="0"/>
                <w:bCs w:val="0"/>
                <w:color w:val="auto"/>
                <w:sz w:val="21"/>
                <w:szCs w:val="21"/>
                <w:lang w:val="en-US" w:eastAsia="zh-CN"/>
              </w:rPr>
              <w:t>）</w:t>
            </w:r>
          </w:p>
        </w:tc>
        <w:tc>
          <w:tcPr>
            <w:tcW w:w="835" w:type="dxa"/>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50.9</w:t>
            </w:r>
          </w:p>
        </w:tc>
        <w:tc>
          <w:tcPr>
            <w:tcW w:w="1110" w:type="dxa"/>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b w:val="0"/>
                <w:bCs w:val="0"/>
                <w:color w:val="auto"/>
                <w:spacing w:val="-5"/>
                <w:sz w:val="21"/>
                <w:szCs w:val="21"/>
                <w:lang w:val="en-US" w:eastAsia="zh-CN" w:bidi="he-IL"/>
              </w:rPr>
            </w:pPr>
            <w:r>
              <w:rPr>
                <w:rFonts w:hint="default" w:ascii="Times New Roman" w:hAnsi="Times New Roman" w:eastAsia="宋体" w:cs="Times New Roman"/>
                <w:b w:val="0"/>
                <w:bCs w:val="0"/>
                <w:color w:val="auto"/>
                <w:spacing w:val="-5"/>
                <w:sz w:val="21"/>
                <w:szCs w:val="21"/>
                <w:lang w:val="en-US" w:eastAsia="zh-CN" w:bidi="he-IL"/>
              </w:rPr>
              <w:t>机械噪声</w:t>
            </w:r>
          </w:p>
        </w:tc>
        <w:tc>
          <w:tcPr>
            <w:tcW w:w="825" w:type="dxa"/>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b w:val="0"/>
                <w:bCs w:val="0"/>
                <w:color w:val="auto"/>
                <w:spacing w:val="-5"/>
                <w:sz w:val="21"/>
                <w:szCs w:val="21"/>
                <w:lang w:val="en-US" w:eastAsia="zh-CN" w:bidi="he-IL"/>
              </w:rPr>
            </w:pPr>
            <w:r>
              <w:rPr>
                <w:rFonts w:hint="default" w:ascii="Times New Roman" w:hAnsi="Times New Roman" w:eastAsia="宋体" w:cs="Times New Roman"/>
                <w:b w:val="0"/>
                <w:bCs w:val="0"/>
                <w:color w:val="auto"/>
                <w:spacing w:val="-5"/>
                <w:sz w:val="21"/>
                <w:szCs w:val="21"/>
                <w:lang w:val="en-US" w:eastAsia="zh-CN" w:bidi="he-IL"/>
              </w:rPr>
              <w:t>55</w:t>
            </w:r>
          </w:p>
        </w:tc>
        <w:tc>
          <w:tcPr>
            <w:tcW w:w="975" w:type="dxa"/>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b w:val="0"/>
                <w:bCs w:val="0"/>
                <w:color w:val="auto"/>
                <w:spacing w:val="-5"/>
                <w:sz w:val="21"/>
                <w:szCs w:val="21"/>
                <w:lang w:val="en-US" w:eastAsia="zh-CN" w:bidi="he-IL"/>
              </w:rPr>
            </w:pPr>
            <w:r>
              <w:rPr>
                <w:rFonts w:hint="default" w:ascii="Times New Roman" w:hAnsi="Times New Roman" w:eastAsia="宋体" w:cs="Times New Roman"/>
                <w:b w:val="0"/>
                <w:bCs w:val="0"/>
                <w:color w:val="auto"/>
                <w:spacing w:val="-5"/>
                <w:sz w:val="21"/>
                <w:szCs w:val="21"/>
                <w:lang w:val="en-US" w:eastAsia="zh-CN" w:bidi="he-I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6" w:type="dxa"/>
            <w:vMerge w:val="continue"/>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firstLine="0" w:firstLineChars="0"/>
              <w:jc w:val="center"/>
              <w:textAlignment w:val="center"/>
              <w:rPr>
                <w:rFonts w:hint="default" w:ascii="Times New Roman" w:hAnsi="Times New Roman" w:eastAsia="宋体" w:cs="Times New Roman"/>
                <w:b w:val="0"/>
                <w:bCs w:val="0"/>
                <w:color w:val="auto"/>
                <w:sz w:val="21"/>
                <w:szCs w:val="21"/>
                <w:lang w:val="en-US" w:eastAsia="zh-CN"/>
              </w:rPr>
            </w:pPr>
          </w:p>
        </w:tc>
        <w:tc>
          <w:tcPr>
            <w:tcW w:w="930" w:type="dxa"/>
            <w:vMerge w:val="continue"/>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b w:val="0"/>
                <w:bCs w:val="0"/>
                <w:color w:val="auto"/>
                <w:spacing w:val="-5"/>
                <w:sz w:val="21"/>
                <w:szCs w:val="21"/>
                <w:lang w:val="en-US" w:eastAsia="zh-CN" w:bidi="he-IL"/>
              </w:rPr>
            </w:pPr>
          </w:p>
        </w:tc>
        <w:tc>
          <w:tcPr>
            <w:tcW w:w="1305" w:type="dxa"/>
            <w:vMerge w:val="restart"/>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b w:val="0"/>
                <w:bCs w:val="0"/>
                <w:color w:val="auto"/>
                <w:spacing w:val="-5"/>
                <w:sz w:val="21"/>
                <w:szCs w:val="21"/>
                <w:lang w:val="en-US" w:eastAsia="zh-CN" w:bidi="he-IL"/>
              </w:rPr>
            </w:pPr>
            <w:r>
              <w:rPr>
                <w:rFonts w:hint="default" w:ascii="Times New Roman" w:hAnsi="Times New Roman" w:eastAsia="宋体" w:cs="Times New Roman"/>
                <w:b w:val="0"/>
                <w:bCs w:val="0"/>
                <w:color w:val="auto"/>
                <w:spacing w:val="-6"/>
                <w:sz w:val="21"/>
                <w:szCs w:val="21"/>
                <w:lang w:val="en-US" w:eastAsia="zh-CN"/>
              </w:rPr>
              <w:t>厂界南外1m处</w:t>
            </w:r>
          </w:p>
        </w:tc>
        <w:tc>
          <w:tcPr>
            <w:tcW w:w="2145" w:type="dxa"/>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昼间（15:23</w:t>
            </w:r>
            <w:r>
              <w:rPr>
                <w:rFonts w:hint="default" w:ascii="Times New Roman" w:hAnsi="Times New Roman" w:eastAsia="宋体" w:cs="Times New Roman"/>
                <w:b w:val="0"/>
                <w:bCs w:val="0"/>
                <w:color w:val="auto"/>
                <w:spacing w:val="-6"/>
                <w:sz w:val="21"/>
                <w:szCs w:val="21"/>
                <w:lang w:val="en-US" w:eastAsia="zh-CN"/>
              </w:rPr>
              <w:t>～15:33</w:t>
            </w:r>
            <w:r>
              <w:rPr>
                <w:rFonts w:hint="default" w:ascii="Times New Roman" w:hAnsi="Times New Roman" w:eastAsia="宋体" w:cs="Times New Roman"/>
                <w:b w:val="0"/>
                <w:bCs w:val="0"/>
                <w:color w:val="auto"/>
                <w:sz w:val="21"/>
                <w:szCs w:val="21"/>
                <w:lang w:val="en-US" w:eastAsia="zh-CN"/>
              </w:rPr>
              <w:t>）</w:t>
            </w:r>
          </w:p>
        </w:tc>
        <w:tc>
          <w:tcPr>
            <w:tcW w:w="835" w:type="dxa"/>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50.9</w:t>
            </w:r>
          </w:p>
        </w:tc>
        <w:tc>
          <w:tcPr>
            <w:tcW w:w="1110" w:type="dxa"/>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b w:val="0"/>
                <w:bCs w:val="0"/>
                <w:color w:val="auto"/>
                <w:spacing w:val="-5"/>
                <w:sz w:val="21"/>
                <w:szCs w:val="21"/>
                <w:lang w:val="en-US" w:eastAsia="zh-CN" w:bidi="he-IL"/>
              </w:rPr>
            </w:pPr>
            <w:r>
              <w:rPr>
                <w:rFonts w:hint="default" w:ascii="Times New Roman" w:hAnsi="Times New Roman" w:eastAsia="宋体" w:cs="Times New Roman"/>
                <w:b w:val="0"/>
                <w:bCs w:val="0"/>
                <w:color w:val="auto"/>
                <w:spacing w:val="-5"/>
                <w:sz w:val="21"/>
                <w:szCs w:val="21"/>
                <w:lang w:val="en-US" w:eastAsia="zh-CN" w:bidi="he-IL"/>
              </w:rPr>
              <w:t>机械噪声</w:t>
            </w:r>
          </w:p>
        </w:tc>
        <w:tc>
          <w:tcPr>
            <w:tcW w:w="825" w:type="dxa"/>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b w:val="0"/>
                <w:bCs w:val="0"/>
                <w:color w:val="auto"/>
                <w:spacing w:val="-5"/>
                <w:sz w:val="21"/>
                <w:szCs w:val="21"/>
                <w:lang w:val="en-US" w:eastAsia="zh-CN" w:bidi="he-IL"/>
              </w:rPr>
            </w:pPr>
            <w:r>
              <w:rPr>
                <w:rFonts w:hint="default" w:ascii="Times New Roman" w:hAnsi="Times New Roman" w:eastAsia="宋体" w:cs="Times New Roman"/>
                <w:b w:val="0"/>
                <w:bCs w:val="0"/>
                <w:color w:val="auto"/>
                <w:spacing w:val="-5"/>
                <w:sz w:val="21"/>
                <w:szCs w:val="21"/>
                <w:lang w:val="en-US" w:eastAsia="zh-CN" w:bidi="he-IL"/>
              </w:rPr>
              <w:t>65</w:t>
            </w:r>
          </w:p>
        </w:tc>
        <w:tc>
          <w:tcPr>
            <w:tcW w:w="975" w:type="dxa"/>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b w:val="0"/>
                <w:bCs w:val="0"/>
                <w:color w:val="auto"/>
                <w:spacing w:val="-5"/>
                <w:sz w:val="21"/>
                <w:szCs w:val="21"/>
                <w:lang w:val="en-US" w:eastAsia="zh-CN" w:bidi="he-IL"/>
              </w:rPr>
            </w:pPr>
            <w:r>
              <w:rPr>
                <w:rFonts w:hint="default" w:ascii="Times New Roman" w:hAnsi="Times New Roman" w:eastAsia="宋体" w:cs="Times New Roman"/>
                <w:b w:val="0"/>
                <w:bCs w:val="0"/>
                <w:color w:val="auto"/>
                <w:spacing w:val="-5"/>
                <w:sz w:val="21"/>
                <w:szCs w:val="21"/>
                <w:lang w:val="en-US" w:eastAsia="zh-CN" w:bidi="he-I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6" w:type="dxa"/>
            <w:vMerge w:val="continue"/>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firstLine="0" w:firstLineChars="0"/>
              <w:jc w:val="center"/>
              <w:textAlignment w:val="center"/>
              <w:rPr>
                <w:rFonts w:hint="default" w:ascii="Times New Roman" w:hAnsi="Times New Roman" w:eastAsia="宋体" w:cs="Times New Roman"/>
                <w:b w:val="0"/>
                <w:bCs w:val="0"/>
                <w:color w:val="auto"/>
                <w:sz w:val="21"/>
                <w:szCs w:val="21"/>
                <w:lang w:val="en-US" w:eastAsia="zh-CN"/>
              </w:rPr>
            </w:pPr>
          </w:p>
        </w:tc>
        <w:tc>
          <w:tcPr>
            <w:tcW w:w="930" w:type="dxa"/>
            <w:vMerge w:val="continue"/>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b w:val="0"/>
                <w:bCs w:val="0"/>
                <w:color w:val="auto"/>
                <w:spacing w:val="-5"/>
                <w:sz w:val="21"/>
                <w:szCs w:val="21"/>
                <w:lang w:val="en-US" w:eastAsia="zh-CN" w:bidi="he-IL"/>
              </w:rPr>
            </w:pPr>
          </w:p>
        </w:tc>
        <w:tc>
          <w:tcPr>
            <w:tcW w:w="1305" w:type="dxa"/>
            <w:vMerge w:val="continue"/>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b w:val="0"/>
                <w:bCs w:val="0"/>
                <w:color w:val="auto"/>
                <w:spacing w:val="-5"/>
                <w:sz w:val="21"/>
                <w:szCs w:val="21"/>
                <w:lang w:val="en-US" w:eastAsia="zh-CN" w:bidi="he-IL"/>
              </w:rPr>
            </w:pPr>
          </w:p>
        </w:tc>
        <w:tc>
          <w:tcPr>
            <w:tcW w:w="2145" w:type="dxa"/>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夜间（22:36</w:t>
            </w:r>
            <w:r>
              <w:rPr>
                <w:rFonts w:hint="default" w:ascii="Times New Roman" w:hAnsi="Times New Roman" w:eastAsia="宋体" w:cs="Times New Roman"/>
                <w:b w:val="0"/>
                <w:bCs w:val="0"/>
                <w:color w:val="auto"/>
                <w:spacing w:val="-6"/>
                <w:sz w:val="21"/>
                <w:szCs w:val="21"/>
                <w:lang w:val="en-US" w:eastAsia="zh-CN"/>
              </w:rPr>
              <w:t>～22:46</w:t>
            </w:r>
            <w:r>
              <w:rPr>
                <w:rFonts w:hint="default" w:ascii="Times New Roman" w:hAnsi="Times New Roman" w:eastAsia="宋体" w:cs="Times New Roman"/>
                <w:b w:val="0"/>
                <w:bCs w:val="0"/>
                <w:color w:val="auto"/>
                <w:sz w:val="21"/>
                <w:szCs w:val="21"/>
                <w:lang w:val="en-US" w:eastAsia="zh-CN"/>
              </w:rPr>
              <w:t>）</w:t>
            </w:r>
          </w:p>
        </w:tc>
        <w:tc>
          <w:tcPr>
            <w:tcW w:w="835" w:type="dxa"/>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49.4</w:t>
            </w:r>
          </w:p>
        </w:tc>
        <w:tc>
          <w:tcPr>
            <w:tcW w:w="1110" w:type="dxa"/>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b w:val="0"/>
                <w:bCs w:val="0"/>
                <w:color w:val="auto"/>
                <w:spacing w:val="-5"/>
                <w:sz w:val="21"/>
                <w:szCs w:val="21"/>
                <w:lang w:val="en-US" w:eastAsia="zh-CN" w:bidi="he-IL"/>
              </w:rPr>
            </w:pPr>
            <w:r>
              <w:rPr>
                <w:rFonts w:hint="default" w:ascii="Times New Roman" w:hAnsi="Times New Roman" w:eastAsia="宋体" w:cs="Times New Roman"/>
                <w:b w:val="0"/>
                <w:bCs w:val="0"/>
                <w:color w:val="auto"/>
                <w:spacing w:val="-5"/>
                <w:sz w:val="21"/>
                <w:szCs w:val="21"/>
                <w:lang w:val="en-US" w:eastAsia="zh-CN" w:bidi="he-IL"/>
              </w:rPr>
              <w:t>机械噪声</w:t>
            </w:r>
          </w:p>
        </w:tc>
        <w:tc>
          <w:tcPr>
            <w:tcW w:w="825" w:type="dxa"/>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b w:val="0"/>
                <w:bCs w:val="0"/>
                <w:color w:val="auto"/>
                <w:spacing w:val="-5"/>
                <w:sz w:val="21"/>
                <w:szCs w:val="21"/>
                <w:lang w:val="en-US" w:eastAsia="zh-CN" w:bidi="he-IL"/>
              </w:rPr>
            </w:pPr>
            <w:r>
              <w:rPr>
                <w:rFonts w:hint="default" w:ascii="Times New Roman" w:hAnsi="Times New Roman" w:eastAsia="宋体" w:cs="Times New Roman"/>
                <w:b w:val="0"/>
                <w:bCs w:val="0"/>
                <w:color w:val="auto"/>
                <w:spacing w:val="-5"/>
                <w:sz w:val="21"/>
                <w:szCs w:val="21"/>
                <w:lang w:val="en-US" w:eastAsia="zh-CN" w:bidi="he-IL"/>
              </w:rPr>
              <w:t>55</w:t>
            </w:r>
          </w:p>
        </w:tc>
        <w:tc>
          <w:tcPr>
            <w:tcW w:w="975" w:type="dxa"/>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b w:val="0"/>
                <w:bCs w:val="0"/>
                <w:color w:val="auto"/>
                <w:spacing w:val="-5"/>
                <w:sz w:val="21"/>
                <w:szCs w:val="21"/>
                <w:lang w:val="en-US" w:eastAsia="zh-CN" w:bidi="he-IL"/>
              </w:rPr>
            </w:pPr>
            <w:r>
              <w:rPr>
                <w:rFonts w:hint="default" w:ascii="Times New Roman" w:hAnsi="Times New Roman" w:eastAsia="宋体" w:cs="Times New Roman"/>
                <w:b w:val="0"/>
                <w:bCs w:val="0"/>
                <w:color w:val="auto"/>
                <w:spacing w:val="-5"/>
                <w:sz w:val="21"/>
                <w:szCs w:val="21"/>
                <w:lang w:val="en-US" w:eastAsia="zh-CN" w:bidi="he-I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6" w:type="dxa"/>
            <w:vMerge w:val="continue"/>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firstLine="0" w:firstLineChars="0"/>
              <w:jc w:val="center"/>
              <w:textAlignment w:val="center"/>
              <w:rPr>
                <w:rFonts w:hint="default" w:ascii="Times New Roman" w:hAnsi="Times New Roman" w:eastAsia="宋体" w:cs="Times New Roman"/>
                <w:b w:val="0"/>
                <w:bCs w:val="0"/>
                <w:color w:val="auto"/>
                <w:sz w:val="21"/>
                <w:szCs w:val="21"/>
                <w:lang w:val="en-US" w:eastAsia="zh-CN"/>
              </w:rPr>
            </w:pPr>
          </w:p>
        </w:tc>
        <w:tc>
          <w:tcPr>
            <w:tcW w:w="930" w:type="dxa"/>
            <w:vMerge w:val="continue"/>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b w:val="0"/>
                <w:bCs w:val="0"/>
                <w:color w:val="auto"/>
                <w:spacing w:val="-5"/>
                <w:sz w:val="21"/>
                <w:szCs w:val="21"/>
                <w:lang w:val="en-US" w:eastAsia="zh-CN" w:bidi="he-IL"/>
              </w:rPr>
            </w:pPr>
          </w:p>
        </w:tc>
        <w:tc>
          <w:tcPr>
            <w:tcW w:w="1305" w:type="dxa"/>
            <w:vMerge w:val="restart"/>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b w:val="0"/>
                <w:bCs w:val="0"/>
                <w:color w:val="auto"/>
                <w:spacing w:val="-5"/>
                <w:sz w:val="21"/>
                <w:szCs w:val="21"/>
                <w:lang w:val="en-US" w:eastAsia="zh-CN" w:bidi="he-IL"/>
              </w:rPr>
            </w:pPr>
            <w:r>
              <w:rPr>
                <w:rFonts w:hint="default" w:ascii="Times New Roman" w:hAnsi="Times New Roman" w:eastAsia="宋体" w:cs="Times New Roman"/>
                <w:b w:val="0"/>
                <w:bCs w:val="0"/>
                <w:color w:val="auto"/>
                <w:spacing w:val="-6"/>
                <w:sz w:val="21"/>
                <w:szCs w:val="21"/>
                <w:lang w:val="en-US" w:eastAsia="zh-CN"/>
              </w:rPr>
              <w:t>厂界西外1m处</w:t>
            </w:r>
          </w:p>
        </w:tc>
        <w:tc>
          <w:tcPr>
            <w:tcW w:w="2145" w:type="dxa"/>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昼间（15:52</w:t>
            </w:r>
            <w:r>
              <w:rPr>
                <w:rFonts w:hint="default" w:ascii="Times New Roman" w:hAnsi="Times New Roman" w:eastAsia="宋体" w:cs="Times New Roman"/>
                <w:b w:val="0"/>
                <w:bCs w:val="0"/>
                <w:color w:val="auto"/>
                <w:spacing w:val="-6"/>
                <w:sz w:val="21"/>
                <w:szCs w:val="21"/>
                <w:lang w:val="en-US" w:eastAsia="zh-CN"/>
              </w:rPr>
              <w:t>～16:02</w:t>
            </w:r>
            <w:r>
              <w:rPr>
                <w:rFonts w:hint="default" w:ascii="Times New Roman" w:hAnsi="Times New Roman" w:eastAsia="宋体" w:cs="Times New Roman"/>
                <w:b w:val="0"/>
                <w:bCs w:val="0"/>
                <w:color w:val="auto"/>
                <w:sz w:val="21"/>
                <w:szCs w:val="21"/>
                <w:lang w:val="en-US" w:eastAsia="zh-CN"/>
              </w:rPr>
              <w:t>）</w:t>
            </w:r>
          </w:p>
        </w:tc>
        <w:tc>
          <w:tcPr>
            <w:tcW w:w="835" w:type="dxa"/>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57.0</w:t>
            </w:r>
          </w:p>
        </w:tc>
        <w:tc>
          <w:tcPr>
            <w:tcW w:w="1110" w:type="dxa"/>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b w:val="0"/>
                <w:bCs w:val="0"/>
                <w:color w:val="auto"/>
                <w:spacing w:val="-5"/>
                <w:sz w:val="21"/>
                <w:szCs w:val="21"/>
                <w:lang w:val="en-US" w:eastAsia="zh-CN" w:bidi="he-IL"/>
              </w:rPr>
            </w:pPr>
            <w:r>
              <w:rPr>
                <w:rFonts w:hint="default" w:ascii="Times New Roman" w:hAnsi="Times New Roman" w:eastAsia="宋体" w:cs="Times New Roman"/>
                <w:b w:val="0"/>
                <w:bCs w:val="0"/>
                <w:color w:val="auto"/>
                <w:spacing w:val="-5"/>
                <w:sz w:val="21"/>
                <w:szCs w:val="21"/>
                <w:lang w:val="en-US" w:eastAsia="zh-CN" w:bidi="he-IL"/>
              </w:rPr>
              <w:t>机械噪声</w:t>
            </w:r>
          </w:p>
        </w:tc>
        <w:tc>
          <w:tcPr>
            <w:tcW w:w="825" w:type="dxa"/>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b w:val="0"/>
                <w:bCs w:val="0"/>
                <w:color w:val="auto"/>
                <w:spacing w:val="-5"/>
                <w:sz w:val="21"/>
                <w:szCs w:val="21"/>
                <w:lang w:val="en-US" w:eastAsia="zh-CN" w:bidi="he-IL"/>
              </w:rPr>
            </w:pPr>
            <w:r>
              <w:rPr>
                <w:rFonts w:hint="default" w:ascii="Times New Roman" w:hAnsi="Times New Roman" w:eastAsia="宋体" w:cs="Times New Roman"/>
                <w:b w:val="0"/>
                <w:bCs w:val="0"/>
                <w:color w:val="auto"/>
                <w:spacing w:val="-5"/>
                <w:sz w:val="21"/>
                <w:szCs w:val="21"/>
                <w:lang w:val="en-US" w:eastAsia="zh-CN" w:bidi="he-IL"/>
              </w:rPr>
              <w:t>65</w:t>
            </w:r>
          </w:p>
        </w:tc>
        <w:tc>
          <w:tcPr>
            <w:tcW w:w="975" w:type="dxa"/>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b w:val="0"/>
                <w:bCs w:val="0"/>
                <w:color w:val="auto"/>
                <w:spacing w:val="-5"/>
                <w:sz w:val="21"/>
                <w:szCs w:val="21"/>
                <w:lang w:val="en-US" w:eastAsia="zh-CN" w:bidi="he-IL"/>
              </w:rPr>
            </w:pPr>
            <w:r>
              <w:rPr>
                <w:rFonts w:hint="default" w:ascii="Times New Roman" w:hAnsi="Times New Roman" w:eastAsia="宋体" w:cs="Times New Roman"/>
                <w:b w:val="0"/>
                <w:bCs w:val="0"/>
                <w:color w:val="auto"/>
                <w:spacing w:val="-5"/>
                <w:sz w:val="21"/>
                <w:szCs w:val="21"/>
                <w:lang w:val="en-US" w:eastAsia="zh-CN" w:bidi="he-I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6" w:type="dxa"/>
            <w:vMerge w:val="continue"/>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firstLine="0" w:firstLineChars="0"/>
              <w:jc w:val="center"/>
              <w:textAlignment w:val="center"/>
              <w:rPr>
                <w:rFonts w:hint="default" w:ascii="Times New Roman" w:hAnsi="Times New Roman" w:eastAsia="宋体" w:cs="Times New Roman"/>
                <w:b w:val="0"/>
                <w:bCs w:val="0"/>
                <w:color w:val="auto"/>
                <w:sz w:val="21"/>
                <w:szCs w:val="21"/>
                <w:lang w:val="en-US" w:eastAsia="zh-CN"/>
              </w:rPr>
            </w:pPr>
          </w:p>
        </w:tc>
        <w:tc>
          <w:tcPr>
            <w:tcW w:w="930" w:type="dxa"/>
            <w:vMerge w:val="continue"/>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b w:val="0"/>
                <w:bCs w:val="0"/>
                <w:color w:val="auto"/>
                <w:spacing w:val="-5"/>
                <w:sz w:val="21"/>
                <w:szCs w:val="21"/>
                <w:lang w:val="en-US" w:eastAsia="zh-CN" w:bidi="he-IL"/>
              </w:rPr>
            </w:pPr>
          </w:p>
        </w:tc>
        <w:tc>
          <w:tcPr>
            <w:tcW w:w="1305" w:type="dxa"/>
            <w:vMerge w:val="continue"/>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b w:val="0"/>
                <w:bCs w:val="0"/>
                <w:color w:val="auto"/>
                <w:spacing w:val="-5"/>
                <w:sz w:val="21"/>
                <w:szCs w:val="21"/>
                <w:lang w:val="en-US" w:eastAsia="zh-CN" w:bidi="he-IL"/>
              </w:rPr>
            </w:pPr>
          </w:p>
        </w:tc>
        <w:tc>
          <w:tcPr>
            <w:tcW w:w="2145" w:type="dxa"/>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夜间（22:56</w:t>
            </w:r>
            <w:r>
              <w:rPr>
                <w:rFonts w:hint="default" w:ascii="Times New Roman" w:hAnsi="Times New Roman" w:eastAsia="宋体" w:cs="Times New Roman"/>
                <w:b w:val="0"/>
                <w:bCs w:val="0"/>
                <w:color w:val="auto"/>
                <w:spacing w:val="-6"/>
                <w:sz w:val="21"/>
                <w:szCs w:val="21"/>
                <w:lang w:val="en-US" w:eastAsia="zh-CN"/>
              </w:rPr>
              <w:t>～23:06</w:t>
            </w:r>
            <w:r>
              <w:rPr>
                <w:rFonts w:hint="default" w:ascii="Times New Roman" w:hAnsi="Times New Roman" w:eastAsia="宋体" w:cs="Times New Roman"/>
                <w:b w:val="0"/>
                <w:bCs w:val="0"/>
                <w:color w:val="auto"/>
                <w:sz w:val="21"/>
                <w:szCs w:val="21"/>
                <w:lang w:val="en-US" w:eastAsia="zh-CN"/>
              </w:rPr>
              <w:t>）</w:t>
            </w:r>
          </w:p>
        </w:tc>
        <w:tc>
          <w:tcPr>
            <w:tcW w:w="835" w:type="dxa"/>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53.9</w:t>
            </w:r>
          </w:p>
        </w:tc>
        <w:tc>
          <w:tcPr>
            <w:tcW w:w="1110" w:type="dxa"/>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b w:val="0"/>
                <w:bCs w:val="0"/>
                <w:color w:val="auto"/>
                <w:spacing w:val="-5"/>
                <w:sz w:val="21"/>
                <w:szCs w:val="21"/>
                <w:lang w:val="en-US" w:eastAsia="zh-CN" w:bidi="he-IL"/>
              </w:rPr>
            </w:pPr>
            <w:r>
              <w:rPr>
                <w:rFonts w:hint="default" w:ascii="Times New Roman" w:hAnsi="Times New Roman" w:eastAsia="宋体" w:cs="Times New Roman"/>
                <w:b w:val="0"/>
                <w:bCs w:val="0"/>
                <w:color w:val="auto"/>
                <w:spacing w:val="-5"/>
                <w:sz w:val="21"/>
                <w:szCs w:val="21"/>
                <w:lang w:val="en-US" w:eastAsia="zh-CN" w:bidi="he-IL"/>
              </w:rPr>
              <w:t>机械噪声</w:t>
            </w:r>
          </w:p>
        </w:tc>
        <w:tc>
          <w:tcPr>
            <w:tcW w:w="825" w:type="dxa"/>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b w:val="0"/>
                <w:bCs w:val="0"/>
                <w:color w:val="auto"/>
                <w:spacing w:val="-5"/>
                <w:sz w:val="21"/>
                <w:szCs w:val="21"/>
                <w:lang w:val="en-US" w:eastAsia="zh-CN" w:bidi="he-IL"/>
              </w:rPr>
            </w:pPr>
            <w:r>
              <w:rPr>
                <w:rFonts w:hint="default" w:ascii="Times New Roman" w:hAnsi="Times New Roman" w:eastAsia="宋体" w:cs="Times New Roman"/>
                <w:b w:val="0"/>
                <w:bCs w:val="0"/>
                <w:color w:val="auto"/>
                <w:spacing w:val="-5"/>
                <w:sz w:val="21"/>
                <w:szCs w:val="21"/>
                <w:lang w:val="en-US" w:eastAsia="zh-CN" w:bidi="he-IL"/>
              </w:rPr>
              <w:t>55</w:t>
            </w:r>
          </w:p>
        </w:tc>
        <w:tc>
          <w:tcPr>
            <w:tcW w:w="975" w:type="dxa"/>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b w:val="0"/>
                <w:bCs w:val="0"/>
                <w:color w:val="auto"/>
                <w:spacing w:val="-5"/>
                <w:sz w:val="21"/>
                <w:szCs w:val="21"/>
                <w:lang w:val="en-US" w:eastAsia="zh-CN" w:bidi="he-IL"/>
              </w:rPr>
            </w:pPr>
            <w:r>
              <w:rPr>
                <w:rFonts w:hint="default" w:ascii="Times New Roman" w:hAnsi="Times New Roman" w:eastAsia="宋体" w:cs="Times New Roman"/>
                <w:b w:val="0"/>
                <w:bCs w:val="0"/>
                <w:color w:val="auto"/>
                <w:spacing w:val="-5"/>
                <w:sz w:val="21"/>
                <w:szCs w:val="21"/>
                <w:lang w:val="en-US" w:eastAsia="zh-CN" w:bidi="he-I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6" w:type="dxa"/>
            <w:vMerge w:val="continue"/>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firstLine="0" w:firstLineChars="0"/>
              <w:jc w:val="center"/>
              <w:textAlignment w:val="center"/>
              <w:rPr>
                <w:rFonts w:hint="default" w:ascii="Times New Roman" w:hAnsi="Times New Roman" w:eastAsia="宋体" w:cs="Times New Roman"/>
                <w:b w:val="0"/>
                <w:bCs w:val="0"/>
                <w:color w:val="auto"/>
                <w:sz w:val="21"/>
                <w:szCs w:val="21"/>
                <w:lang w:val="en-US" w:eastAsia="zh-CN"/>
              </w:rPr>
            </w:pPr>
          </w:p>
        </w:tc>
        <w:tc>
          <w:tcPr>
            <w:tcW w:w="930" w:type="dxa"/>
            <w:vMerge w:val="continue"/>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b w:val="0"/>
                <w:bCs w:val="0"/>
                <w:color w:val="auto"/>
                <w:spacing w:val="-5"/>
                <w:sz w:val="21"/>
                <w:szCs w:val="21"/>
                <w:lang w:val="en-US" w:eastAsia="zh-CN" w:bidi="he-IL"/>
              </w:rPr>
            </w:pPr>
          </w:p>
        </w:tc>
        <w:tc>
          <w:tcPr>
            <w:tcW w:w="1305" w:type="dxa"/>
            <w:vMerge w:val="restart"/>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b w:val="0"/>
                <w:bCs w:val="0"/>
                <w:color w:val="auto"/>
                <w:spacing w:val="-5"/>
                <w:sz w:val="21"/>
                <w:szCs w:val="21"/>
                <w:lang w:val="en-US" w:eastAsia="zh-CN" w:bidi="he-IL"/>
              </w:rPr>
            </w:pPr>
            <w:r>
              <w:rPr>
                <w:rFonts w:hint="default" w:ascii="Times New Roman" w:hAnsi="Times New Roman" w:eastAsia="宋体" w:cs="Times New Roman"/>
                <w:b w:val="0"/>
                <w:bCs w:val="0"/>
                <w:color w:val="auto"/>
                <w:spacing w:val="-6"/>
                <w:sz w:val="21"/>
                <w:szCs w:val="21"/>
                <w:lang w:val="en-US" w:eastAsia="zh-CN"/>
              </w:rPr>
              <w:t>厂界北外1m处</w:t>
            </w:r>
          </w:p>
        </w:tc>
        <w:tc>
          <w:tcPr>
            <w:tcW w:w="2145" w:type="dxa"/>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昼间（16:15</w:t>
            </w:r>
            <w:r>
              <w:rPr>
                <w:rFonts w:hint="default" w:ascii="Times New Roman" w:hAnsi="Times New Roman" w:eastAsia="宋体" w:cs="Times New Roman"/>
                <w:b w:val="0"/>
                <w:bCs w:val="0"/>
                <w:color w:val="auto"/>
                <w:spacing w:val="-6"/>
                <w:sz w:val="21"/>
                <w:szCs w:val="21"/>
                <w:lang w:val="en-US" w:eastAsia="zh-CN"/>
              </w:rPr>
              <w:t>～16:25</w:t>
            </w:r>
            <w:r>
              <w:rPr>
                <w:rFonts w:hint="default" w:ascii="Times New Roman" w:hAnsi="Times New Roman" w:eastAsia="宋体" w:cs="Times New Roman"/>
                <w:b w:val="0"/>
                <w:bCs w:val="0"/>
                <w:color w:val="auto"/>
                <w:sz w:val="21"/>
                <w:szCs w:val="21"/>
                <w:lang w:val="en-US" w:eastAsia="zh-CN"/>
              </w:rPr>
              <w:t>）</w:t>
            </w:r>
          </w:p>
        </w:tc>
        <w:tc>
          <w:tcPr>
            <w:tcW w:w="835" w:type="dxa"/>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59.2</w:t>
            </w:r>
          </w:p>
        </w:tc>
        <w:tc>
          <w:tcPr>
            <w:tcW w:w="1110" w:type="dxa"/>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b w:val="0"/>
                <w:bCs w:val="0"/>
                <w:color w:val="auto"/>
                <w:spacing w:val="-5"/>
                <w:sz w:val="21"/>
                <w:szCs w:val="21"/>
                <w:lang w:val="en-US" w:eastAsia="zh-CN" w:bidi="he-IL"/>
              </w:rPr>
            </w:pPr>
            <w:r>
              <w:rPr>
                <w:rFonts w:hint="default" w:ascii="Times New Roman" w:hAnsi="Times New Roman" w:eastAsia="宋体" w:cs="Times New Roman"/>
                <w:b w:val="0"/>
                <w:bCs w:val="0"/>
                <w:color w:val="auto"/>
                <w:spacing w:val="-5"/>
                <w:sz w:val="21"/>
                <w:szCs w:val="21"/>
                <w:lang w:val="en-US" w:eastAsia="zh-CN" w:bidi="he-IL"/>
              </w:rPr>
              <w:t>机械噪声</w:t>
            </w:r>
          </w:p>
        </w:tc>
        <w:tc>
          <w:tcPr>
            <w:tcW w:w="825" w:type="dxa"/>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b w:val="0"/>
                <w:bCs w:val="0"/>
                <w:color w:val="auto"/>
                <w:spacing w:val="-5"/>
                <w:sz w:val="21"/>
                <w:szCs w:val="21"/>
                <w:lang w:val="en-US" w:eastAsia="zh-CN" w:bidi="he-IL"/>
              </w:rPr>
            </w:pPr>
            <w:r>
              <w:rPr>
                <w:rFonts w:hint="default" w:ascii="Times New Roman" w:hAnsi="Times New Roman" w:eastAsia="宋体" w:cs="Times New Roman"/>
                <w:b w:val="0"/>
                <w:bCs w:val="0"/>
                <w:color w:val="auto"/>
                <w:spacing w:val="-5"/>
                <w:sz w:val="21"/>
                <w:szCs w:val="21"/>
                <w:lang w:val="en-US" w:eastAsia="zh-CN" w:bidi="he-IL"/>
              </w:rPr>
              <w:t>65</w:t>
            </w:r>
          </w:p>
        </w:tc>
        <w:tc>
          <w:tcPr>
            <w:tcW w:w="975" w:type="dxa"/>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b w:val="0"/>
                <w:bCs w:val="0"/>
                <w:color w:val="auto"/>
                <w:spacing w:val="-5"/>
                <w:sz w:val="21"/>
                <w:szCs w:val="21"/>
                <w:lang w:val="en-US" w:eastAsia="zh-CN" w:bidi="he-IL"/>
              </w:rPr>
            </w:pPr>
            <w:r>
              <w:rPr>
                <w:rFonts w:hint="default" w:ascii="Times New Roman" w:hAnsi="Times New Roman" w:eastAsia="宋体" w:cs="Times New Roman"/>
                <w:b w:val="0"/>
                <w:bCs w:val="0"/>
                <w:color w:val="auto"/>
                <w:spacing w:val="-5"/>
                <w:sz w:val="21"/>
                <w:szCs w:val="21"/>
                <w:lang w:val="en-US" w:eastAsia="zh-CN" w:bidi="he-I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6" w:type="dxa"/>
            <w:vMerge w:val="continue"/>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firstLine="0" w:firstLineChars="0"/>
              <w:jc w:val="center"/>
              <w:textAlignment w:val="center"/>
              <w:rPr>
                <w:rFonts w:hint="default" w:ascii="Times New Roman" w:hAnsi="Times New Roman" w:eastAsia="宋体" w:cs="Times New Roman"/>
                <w:b w:val="0"/>
                <w:bCs w:val="0"/>
                <w:color w:val="auto"/>
                <w:sz w:val="21"/>
                <w:szCs w:val="21"/>
                <w:lang w:val="en-US" w:eastAsia="zh-CN"/>
              </w:rPr>
            </w:pPr>
          </w:p>
        </w:tc>
        <w:tc>
          <w:tcPr>
            <w:tcW w:w="930" w:type="dxa"/>
            <w:vMerge w:val="continue"/>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b w:val="0"/>
                <w:bCs w:val="0"/>
                <w:color w:val="auto"/>
                <w:spacing w:val="-5"/>
                <w:sz w:val="21"/>
                <w:szCs w:val="21"/>
                <w:lang w:val="en-US" w:eastAsia="zh-CN" w:bidi="he-IL"/>
              </w:rPr>
            </w:pPr>
          </w:p>
        </w:tc>
        <w:tc>
          <w:tcPr>
            <w:tcW w:w="1305" w:type="dxa"/>
            <w:vMerge w:val="continue"/>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b w:val="0"/>
                <w:bCs w:val="0"/>
                <w:color w:val="auto"/>
                <w:spacing w:val="-5"/>
                <w:sz w:val="21"/>
                <w:szCs w:val="21"/>
                <w:lang w:val="en-US" w:eastAsia="zh-CN" w:bidi="he-IL"/>
              </w:rPr>
            </w:pPr>
          </w:p>
        </w:tc>
        <w:tc>
          <w:tcPr>
            <w:tcW w:w="2145" w:type="dxa"/>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夜间（23:20</w:t>
            </w:r>
            <w:r>
              <w:rPr>
                <w:rFonts w:hint="default" w:ascii="Times New Roman" w:hAnsi="Times New Roman" w:eastAsia="宋体" w:cs="Times New Roman"/>
                <w:b w:val="0"/>
                <w:bCs w:val="0"/>
                <w:color w:val="auto"/>
                <w:spacing w:val="-6"/>
                <w:sz w:val="21"/>
                <w:szCs w:val="21"/>
                <w:lang w:val="en-US" w:eastAsia="zh-CN"/>
              </w:rPr>
              <w:t>～23:30</w:t>
            </w:r>
            <w:r>
              <w:rPr>
                <w:rFonts w:hint="default" w:ascii="Times New Roman" w:hAnsi="Times New Roman" w:eastAsia="宋体" w:cs="Times New Roman"/>
                <w:b w:val="0"/>
                <w:bCs w:val="0"/>
                <w:color w:val="auto"/>
                <w:sz w:val="21"/>
                <w:szCs w:val="21"/>
                <w:lang w:val="en-US" w:eastAsia="zh-CN"/>
              </w:rPr>
              <w:t>）</w:t>
            </w:r>
          </w:p>
        </w:tc>
        <w:tc>
          <w:tcPr>
            <w:tcW w:w="835" w:type="dxa"/>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52.1</w:t>
            </w:r>
          </w:p>
        </w:tc>
        <w:tc>
          <w:tcPr>
            <w:tcW w:w="1110" w:type="dxa"/>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b w:val="0"/>
                <w:bCs w:val="0"/>
                <w:color w:val="auto"/>
                <w:spacing w:val="-5"/>
                <w:sz w:val="21"/>
                <w:szCs w:val="21"/>
                <w:lang w:val="en-US" w:eastAsia="zh-CN" w:bidi="he-IL"/>
              </w:rPr>
            </w:pPr>
            <w:r>
              <w:rPr>
                <w:rFonts w:hint="default" w:ascii="Times New Roman" w:hAnsi="Times New Roman" w:eastAsia="宋体" w:cs="Times New Roman"/>
                <w:b w:val="0"/>
                <w:bCs w:val="0"/>
                <w:color w:val="auto"/>
                <w:spacing w:val="-5"/>
                <w:sz w:val="21"/>
                <w:szCs w:val="21"/>
                <w:lang w:val="en-US" w:eastAsia="zh-CN" w:bidi="he-IL"/>
              </w:rPr>
              <w:t>机械噪声</w:t>
            </w:r>
          </w:p>
        </w:tc>
        <w:tc>
          <w:tcPr>
            <w:tcW w:w="825" w:type="dxa"/>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b w:val="0"/>
                <w:bCs w:val="0"/>
                <w:color w:val="auto"/>
                <w:spacing w:val="-5"/>
                <w:sz w:val="21"/>
                <w:szCs w:val="21"/>
                <w:lang w:val="en-US" w:eastAsia="zh-CN" w:bidi="he-IL"/>
              </w:rPr>
            </w:pPr>
            <w:r>
              <w:rPr>
                <w:rFonts w:hint="default" w:ascii="Times New Roman" w:hAnsi="Times New Roman" w:eastAsia="宋体" w:cs="Times New Roman"/>
                <w:b w:val="0"/>
                <w:bCs w:val="0"/>
                <w:color w:val="auto"/>
                <w:spacing w:val="-5"/>
                <w:sz w:val="21"/>
                <w:szCs w:val="21"/>
                <w:lang w:val="en-US" w:eastAsia="zh-CN" w:bidi="he-IL"/>
              </w:rPr>
              <w:t>55</w:t>
            </w:r>
          </w:p>
        </w:tc>
        <w:tc>
          <w:tcPr>
            <w:tcW w:w="975" w:type="dxa"/>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b w:val="0"/>
                <w:bCs w:val="0"/>
                <w:color w:val="auto"/>
                <w:spacing w:val="-5"/>
                <w:sz w:val="21"/>
                <w:szCs w:val="21"/>
                <w:lang w:val="en-US" w:eastAsia="zh-CN" w:bidi="he-IL"/>
              </w:rPr>
            </w:pPr>
            <w:r>
              <w:rPr>
                <w:rFonts w:hint="default" w:ascii="Times New Roman" w:hAnsi="Times New Roman" w:eastAsia="宋体" w:cs="Times New Roman"/>
                <w:b w:val="0"/>
                <w:bCs w:val="0"/>
                <w:color w:val="auto"/>
                <w:spacing w:val="-5"/>
                <w:sz w:val="21"/>
                <w:szCs w:val="21"/>
                <w:lang w:val="en-US" w:eastAsia="zh-CN" w:bidi="he-I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6" w:type="dxa"/>
            <w:vMerge w:val="continue"/>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firstLine="0" w:firstLineChars="0"/>
              <w:jc w:val="center"/>
              <w:textAlignment w:val="center"/>
              <w:rPr>
                <w:rFonts w:hint="default" w:ascii="Times New Roman" w:hAnsi="Times New Roman" w:eastAsia="宋体" w:cs="Times New Roman"/>
                <w:b w:val="0"/>
                <w:bCs w:val="0"/>
                <w:color w:val="auto"/>
                <w:sz w:val="21"/>
                <w:szCs w:val="21"/>
                <w:lang w:val="en-US" w:eastAsia="zh-CN"/>
              </w:rPr>
            </w:pPr>
          </w:p>
        </w:tc>
        <w:tc>
          <w:tcPr>
            <w:tcW w:w="930" w:type="dxa"/>
            <w:vMerge w:val="restart"/>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b w:val="0"/>
                <w:bCs w:val="0"/>
                <w:color w:val="auto"/>
                <w:spacing w:val="-5"/>
                <w:sz w:val="21"/>
                <w:szCs w:val="21"/>
                <w:lang w:val="en-US" w:eastAsia="zh-CN" w:bidi="he-IL"/>
              </w:rPr>
            </w:pPr>
            <w:r>
              <w:rPr>
                <w:rFonts w:hint="default" w:ascii="Times New Roman" w:hAnsi="Times New Roman" w:eastAsia="宋体" w:cs="Times New Roman"/>
                <w:b w:val="0"/>
                <w:bCs w:val="0"/>
                <w:color w:val="auto"/>
                <w:spacing w:val="-5"/>
                <w:sz w:val="21"/>
                <w:szCs w:val="21"/>
                <w:lang w:val="en-US" w:eastAsia="zh-CN" w:bidi="he-IL"/>
              </w:rPr>
              <w:t>2023/2/24</w:t>
            </w:r>
          </w:p>
        </w:tc>
        <w:tc>
          <w:tcPr>
            <w:tcW w:w="1305" w:type="dxa"/>
            <w:vMerge w:val="restart"/>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b w:val="0"/>
                <w:bCs w:val="0"/>
                <w:color w:val="auto"/>
                <w:spacing w:val="-5"/>
                <w:sz w:val="21"/>
                <w:szCs w:val="21"/>
                <w:lang w:val="en-US" w:eastAsia="zh-CN" w:bidi="he-IL"/>
              </w:rPr>
            </w:pPr>
            <w:r>
              <w:rPr>
                <w:rFonts w:hint="default" w:ascii="Times New Roman" w:hAnsi="Times New Roman" w:eastAsia="宋体" w:cs="Times New Roman"/>
                <w:b w:val="0"/>
                <w:bCs w:val="0"/>
                <w:color w:val="auto"/>
                <w:spacing w:val="-6"/>
                <w:sz w:val="21"/>
                <w:szCs w:val="21"/>
                <w:lang w:val="en-US" w:eastAsia="zh-CN"/>
              </w:rPr>
              <w:t>厂界东外1m处</w:t>
            </w:r>
          </w:p>
        </w:tc>
        <w:tc>
          <w:tcPr>
            <w:tcW w:w="2145" w:type="dxa"/>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昼间（16:23</w:t>
            </w:r>
            <w:r>
              <w:rPr>
                <w:rFonts w:hint="default" w:ascii="Times New Roman" w:hAnsi="Times New Roman" w:eastAsia="宋体" w:cs="Times New Roman"/>
                <w:b w:val="0"/>
                <w:bCs w:val="0"/>
                <w:color w:val="auto"/>
                <w:spacing w:val="-6"/>
                <w:sz w:val="21"/>
                <w:szCs w:val="21"/>
                <w:lang w:val="en-US" w:eastAsia="zh-CN"/>
              </w:rPr>
              <w:t>～16:33</w:t>
            </w:r>
            <w:r>
              <w:rPr>
                <w:rFonts w:hint="default" w:ascii="Times New Roman" w:hAnsi="Times New Roman" w:eastAsia="宋体" w:cs="Times New Roman"/>
                <w:b w:val="0"/>
                <w:bCs w:val="0"/>
                <w:color w:val="auto"/>
                <w:sz w:val="21"/>
                <w:szCs w:val="21"/>
                <w:lang w:val="en-US" w:eastAsia="zh-CN"/>
              </w:rPr>
              <w:t>）</w:t>
            </w:r>
          </w:p>
        </w:tc>
        <w:tc>
          <w:tcPr>
            <w:tcW w:w="835" w:type="dxa"/>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52.6</w:t>
            </w:r>
          </w:p>
        </w:tc>
        <w:tc>
          <w:tcPr>
            <w:tcW w:w="1110" w:type="dxa"/>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b w:val="0"/>
                <w:bCs w:val="0"/>
                <w:color w:val="auto"/>
                <w:spacing w:val="-5"/>
                <w:sz w:val="21"/>
                <w:szCs w:val="21"/>
                <w:lang w:val="en-US" w:eastAsia="zh-CN" w:bidi="he-IL"/>
              </w:rPr>
            </w:pPr>
            <w:r>
              <w:rPr>
                <w:rFonts w:hint="default" w:ascii="Times New Roman" w:hAnsi="Times New Roman" w:eastAsia="宋体" w:cs="Times New Roman"/>
                <w:b w:val="0"/>
                <w:bCs w:val="0"/>
                <w:color w:val="auto"/>
                <w:spacing w:val="-5"/>
                <w:sz w:val="21"/>
                <w:szCs w:val="21"/>
                <w:lang w:val="en-US" w:eastAsia="zh-CN" w:bidi="he-IL"/>
              </w:rPr>
              <w:t>机械噪声</w:t>
            </w:r>
          </w:p>
        </w:tc>
        <w:tc>
          <w:tcPr>
            <w:tcW w:w="825" w:type="dxa"/>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b w:val="0"/>
                <w:bCs w:val="0"/>
                <w:color w:val="auto"/>
                <w:spacing w:val="-5"/>
                <w:sz w:val="21"/>
                <w:szCs w:val="21"/>
                <w:lang w:val="en-US" w:eastAsia="zh-CN" w:bidi="he-IL"/>
              </w:rPr>
            </w:pPr>
            <w:r>
              <w:rPr>
                <w:rFonts w:hint="default" w:ascii="Times New Roman" w:hAnsi="Times New Roman" w:eastAsia="宋体" w:cs="Times New Roman"/>
                <w:b w:val="0"/>
                <w:bCs w:val="0"/>
                <w:color w:val="auto"/>
                <w:spacing w:val="-5"/>
                <w:sz w:val="21"/>
                <w:szCs w:val="21"/>
                <w:lang w:val="en-US" w:eastAsia="zh-CN" w:bidi="he-IL"/>
              </w:rPr>
              <w:t>65</w:t>
            </w:r>
          </w:p>
        </w:tc>
        <w:tc>
          <w:tcPr>
            <w:tcW w:w="975" w:type="dxa"/>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b w:val="0"/>
                <w:bCs w:val="0"/>
                <w:color w:val="auto"/>
                <w:spacing w:val="-5"/>
                <w:sz w:val="21"/>
                <w:szCs w:val="21"/>
                <w:lang w:val="en-US" w:eastAsia="zh-CN" w:bidi="he-IL"/>
              </w:rPr>
            </w:pPr>
            <w:r>
              <w:rPr>
                <w:rFonts w:hint="default" w:ascii="Times New Roman" w:hAnsi="Times New Roman" w:eastAsia="宋体" w:cs="Times New Roman"/>
                <w:b w:val="0"/>
                <w:bCs w:val="0"/>
                <w:color w:val="auto"/>
                <w:spacing w:val="-5"/>
                <w:sz w:val="21"/>
                <w:szCs w:val="21"/>
                <w:lang w:val="en-US" w:eastAsia="zh-CN" w:bidi="he-I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6" w:type="dxa"/>
            <w:vMerge w:val="continue"/>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firstLine="0" w:firstLineChars="0"/>
              <w:jc w:val="center"/>
              <w:textAlignment w:val="center"/>
              <w:rPr>
                <w:rFonts w:hint="default" w:ascii="Times New Roman" w:hAnsi="Times New Roman" w:eastAsia="宋体" w:cs="Times New Roman"/>
                <w:b w:val="0"/>
                <w:bCs w:val="0"/>
                <w:color w:val="auto"/>
                <w:sz w:val="21"/>
                <w:szCs w:val="21"/>
                <w:lang w:val="en-US" w:eastAsia="zh-CN"/>
              </w:rPr>
            </w:pPr>
          </w:p>
        </w:tc>
        <w:tc>
          <w:tcPr>
            <w:tcW w:w="930" w:type="dxa"/>
            <w:vMerge w:val="continue"/>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b w:val="0"/>
                <w:bCs w:val="0"/>
                <w:color w:val="auto"/>
                <w:spacing w:val="-5"/>
                <w:sz w:val="21"/>
                <w:szCs w:val="21"/>
                <w:lang w:val="en-US" w:eastAsia="zh-CN" w:bidi="he-IL"/>
              </w:rPr>
            </w:pPr>
          </w:p>
        </w:tc>
        <w:tc>
          <w:tcPr>
            <w:tcW w:w="1305" w:type="dxa"/>
            <w:vMerge w:val="continue"/>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b w:val="0"/>
                <w:bCs w:val="0"/>
                <w:color w:val="auto"/>
                <w:spacing w:val="-5"/>
                <w:sz w:val="21"/>
                <w:szCs w:val="21"/>
                <w:lang w:val="en-US" w:eastAsia="zh-CN" w:bidi="he-IL"/>
              </w:rPr>
            </w:pPr>
          </w:p>
        </w:tc>
        <w:tc>
          <w:tcPr>
            <w:tcW w:w="2145" w:type="dxa"/>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夜间（22:20</w:t>
            </w:r>
            <w:r>
              <w:rPr>
                <w:rFonts w:hint="default" w:ascii="Times New Roman" w:hAnsi="Times New Roman" w:eastAsia="宋体" w:cs="Times New Roman"/>
                <w:b w:val="0"/>
                <w:bCs w:val="0"/>
                <w:color w:val="auto"/>
                <w:spacing w:val="-6"/>
                <w:sz w:val="21"/>
                <w:szCs w:val="21"/>
                <w:lang w:val="en-US" w:eastAsia="zh-CN"/>
              </w:rPr>
              <w:t>～22:30</w:t>
            </w:r>
            <w:r>
              <w:rPr>
                <w:rFonts w:hint="default" w:ascii="Times New Roman" w:hAnsi="Times New Roman" w:eastAsia="宋体" w:cs="Times New Roman"/>
                <w:b w:val="0"/>
                <w:bCs w:val="0"/>
                <w:color w:val="auto"/>
                <w:sz w:val="21"/>
                <w:szCs w:val="21"/>
                <w:lang w:val="en-US" w:eastAsia="zh-CN"/>
              </w:rPr>
              <w:t>）</w:t>
            </w:r>
          </w:p>
        </w:tc>
        <w:tc>
          <w:tcPr>
            <w:tcW w:w="835" w:type="dxa"/>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51.2</w:t>
            </w:r>
          </w:p>
        </w:tc>
        <w:tc>
          <w:tcPr>
            <w:tcW w:w="1110" w:type="dxa"/>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b w:val="0"/>
                <w:bCs w:val="0"/>
                <w:color w:val="auto"/>
                <w:spacing w:val="-5"/>
                <w:sz w:val="21"/>
                <w:szCs w:val="21"/>
                <w:lang w:val="en-US" w:eastAsia="zh-CN" w:bidi="he-IL"/>
              </w:rPr>
            </w:pPr>
            <w:r>
              <w:rPr>
                <w:rFonts w:hint="default" w:ascii="Times New Roman" w:hAnsi="Times New Roman" w:eastAsia="宋体" w:cs="Times New Roman"/>
                <w:b w:val="0"/>
                <w:bCs w:val="0"/>
                <w:color w:val="auto"/>
                <w:spacing w:val="-5"/>
                <w:sz w:val="21"/>
                <w:szCs w:val="21"/>
                <w:lang w:val="en-US" w:eastAsia="zh-CN" w:bidi="he-IL"/>
              </w:rPr>
              <w:t>机械噪声</w:t>
            </w:r>
          </w:p>
        </w:tc>
        <w:tc>
          <w:tcPr>
            <w:tcW w:w="825" w:type="dxa"/>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b w:val="0"/>
                <w:bCs w:val="0"/>
                <w:color w:val="auto"/>
                <w:spacing w:val="-5"/>
                <w:sz w:val="21"/>
                <w:szCs w:val="21"/>
                <w:lang w:val="en-US" w:eastAsia="zh-CN" w:bidi="he-IL"/>
              </w:rPr>
            </w:pPr>
            <w:r>
              <w:rPr>
                <w:rFonts w:hint="default" w:ascii="Times New Roman" w:hAnsi="Times New Roman" w:eastAsia="宋体" w:cs="Times New Roman"/>
                <w:b w:val="0"/>
                <w:bCs w:val="0"/>
                <w:color w:val="auto"/>
                <w:spacing w:val="-5"/>
                <w:sz w:val="21"/>
                <w:szCs w:val="21"/>
                <w:lang w:val="en-US" w:eastAsia="zh-CN" w:bidi="he-IL"/>
              </w:rPr>
              <w:t>55</w:t>
            </w:r>
          </w:p>
        </w:tc>
        <w:tc>
          <w:tcPr>
            <w:tcW w:w="975" w:type="dxa"/>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b w:val="0"/>
                <w:bCs w:val="0"/>
                <w:color w:val="auto"/>
                <w:spacing w:val="-5"/>
                <w:sz w:val="21"/>
                <w:szCs w:val="21"/>
                <w:lang w:val="en-US" w:eastAsia="zh-CN" w:bidi="he-IL"/>
              </w:rPr>
            </w:pPr>
            <w:r>
              <w:rPr>
                <w:rFonts w:hint="default" w:ascii="Times New Roman" w:hAnsi="Times New Roman" w:eastAsia="宋体" w:cs="Times New Roman"/>
                <w:b w:val="0"/>
                <w:bCs w:val="0"/>
                <w:color w:val="auto"/>
                <w:spacing w:val="-5"/>
                <w:sz w:val="21"/>
                <w:szCs w:val="21"/>
                <w:lang w:val="en-US" w:eastAsia="zh-CN" w:bidi="he-I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6" w:type="dxa"/>
            <w:vMerge w:val="continue"/>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firstLine="0" w:firstLineChars="0"/>
              <w:jc w:val="center"/>
              <w:textAlignment w:val="center"/>
              <w:rPr>
                <w:rFonts w:hint="default" w:ascii="Times New Roman" w:hAnsi="Times New Roman" w:eastAsia="宋体" w:cs="Times New Roman"/>
                <w:b w:val="0"/>
                <w:bCs w:val="0"/>
                <w:color w:val="auto"/>
                <w:sz w:val="21"/>
                <w:szCs w:val="21"/>
                <w:lang w:val="en-US" w:eastAsia="zh-CN"/>
              </w:rPr>
            </w:pPr>
          </w:p>
        </w:tc>
        <w:tc>
          <w:tcPr>
            <w:tcW w:w="930" w:type="dxa"/>
            <w:vMerge w:val="continue"/>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b w:val="0"/>
                <w:bCs w:val="0"/>
                <w:color w:val="auto"/>
                <w:spacing w:val="-5"/>
                <w:sz w:val="21"/>
                <w:szCs w:val="21"/>
                <w:lang w:val="en-US" w:eastAsia="zh-CN" w:bidi="he-IL"/>
              </w:rPr>
            </w:pPr>
          </w:p>
        </w:tc>
        <w:tc>
          <w:tcPr>
            <w:tcW w:w="1305" w:type="dxa"/>
            <w:vMerge w:val="restart"/>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b w:val="0"/>
                <w:bCs w:val="0"/>
                <w:color w:val="auto"/>
                <w:spacing w:val="-5"/>
                <w:sz w:val="21"/>
                <w:szCs w:val="21"/>
                <w:lang w:val="en-US" w:eastAsia="zh-CN" w:bidi="he-IL"/>
              </w:rPr>
            </w:pPr>
            <w:r>
              <w:rPr>
                <w:rFonts w:hint="default" w:ascii="Times New Roman" w:hAnsi="Times New Roman" w:eastAsia="宋体" w:cs="Times New Roman"/>
                <w:b w:val="0"/>
                <w:bCs w:val="0"/>
                <w:color w:val="auto"/>
                <w:spacing w:val="-6"/>
                <w:sz w:val="21"/>
                <w:szCs w:val="21"/>
                <w:lang w:val="en-US" w:eastAsia="zh-CN"/>
              </w:rPr>
              <w:t>厂界南外1m处</w:t>
            </w:r>
          </w:p>
        </w:tc>
        <w:tc>
          <w:tcPr>
            <w:tcW w:w="2145" w:type="dxa"/>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昼间（16:45</w:t>
            </w:r>
            <w:r>
              <w:rPr>
                <w:rFonts w:hint="default" w:ascii="Times New Roman" w:hAnsi="Times New Roman" w:eastAsia="宋体" w:cs="Times New Roman"/>
                <w:b w:val="0"/>
                <w:bCs w:val="0"/>
                <w:color w:val="auto"/>
                <w:spacing w:val="-6"/>
                <w:sz w:val="21"/>
                <w:szCs w:val="21"/>
                <w:lang w:val="en-US" w:eastAsia="zh-CN"/>
              </w:rPr>
              <w:t>～16:55</w:t>
            </w:r>
            <w:r>
              <w:rPr>
                <w:rFonts w:hint="default" w:ascii="Times New Roman" w:hAnsi="Times New Roman" w:eastAsia="宋体" w:cs="Times New Roman"/>
                <w:b w:val="0"/>
                <w:bCs w:val="0"/>
                <w:color w:val="auto"/>
                <w:sz w:val="21"/>
                <w:szCs w:val="21"/>
                <w:lang w:val="en-US" w:eastAsia="zh-CN"/>
              </w:rPr>
              <w:t>）</w:t>
            </w:r>
          </w:p>
        </w:tc>
        <w:tc>
          <w:tcPr>
            <w:tcW w:w="835" w:type="dxa"/>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51.8</w:t>
            </w:r>
          </w:p>
        </w:tc>
        <w:tc>
          <w:tcPr>
            <w:tcW w:w="1110" w:type="dxa"/>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b w:val="0"/>
                <w:bCs w:val="0"/>
                <w:color w:val="auto"/>
                <w:spacing w:val="-5"/>
                <w:sz w:val="21"/>
                <w:szCs w:val="21"/>
                <w:lang w:val="en-US" w:eastAsia="zh-CN" w:bidi="he-IL"/>
              </w:rPr>
            </w:pPr>
            <w:r>
              <w:rPr>
                <w:rFonts w:hint="default" w:ascii="Times New Roman" w:hAnsi="Times New Roman" w:eastAsia="宋体" w:cs="Times New Roman"/>
                <w:b w:val="0"/>
                <w:bCs w:val="0"/>
                <w:color w:val="auto"/>
                <w:spacing w:val="-5"/>
                <w:sz w:val="21"/>
                <w:szCs w:val="21"/>
                <w:lang w:val="en-US" w:eastAsia="zh-CN" w:bidi="he-IL"/>
              </w:rPr>
              <w:t>机械噪声</w:t>
            </w:r>
          </w:p>
        </w:tc>
        <w:tc>
          <w:tcPr>
            <w:tcW w:w="825" w:type="dxa"/>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b w:val="0"/>
                <w:bCs w:val="0"/>
                <w:color w:val="auto"/>
                <w:spacing w:val="-5"/>
                <w:sz w:val="21"/>
                <w:szCs w:val="21"/>
                <w:lang w:val="en-US" w:eastAsia="zh-CN" w:bidi="he-IL"/>
              </w:rPr>
            </w:pPr>
            <w:r>
              <w:rPr>
                <w:rFonts w:hint="default" w:ascii="Times New Roman" w:hAnsi="Times New Roman" w:eastAsia="宋体" w:cs="Times New Roman"/>
                <w:b w:val="0"/>
                <w:bCs w:val="0"/>
                <w:color w:val="auto"/>
                <w:spacing w:val="-5"/>
                <w:sz w:val="21"/>
                <w:szCs w:val="21"/>
                <w:lang w:val="en-US" w:eastAsia="zh-CN" w:bidi="he-IL"/>
              </w:rPr>
              <w:t>65</w:t>
            </w:r>
          </w:p>
        </w:tc>
        <w:tc>
          <w:tcPr>
            <w:tcW w:w="975" w:type="dxa"/>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b w:val="0"/>
                <w:bCs w:val="0"/>
                <w:color w:val="auto"/>
                <w:spacing w:val="-5"/>
                <w:sz w:val="21"/>
                <w:szCs w:val="21"/>
                <w:lang w:val="en-US" w:eastAsia="zh-CN" w:bidi="he-IL"/>
              </w:rPr>
            </w:pPr>
            <w:r>
              <w:rPr>
                <w:rFonts w:hint="default" w:ascii="Times New Roman" w:hAnsi="Times New Roman" w:eastAsia="宋体" w:cs="Times New Roman"/>
                <w:b w:val="0"/>
                <w:bCs w:val="0"/>
                <w:color w:val="auto"/>
                <w:spacing w:val="-5"/>
                <w:sz w:val="21"/>
                <w:szCs w:val="21"/>
                <w:lang w:val="en-US" w:eastAsia="zh-CN" w:bidi="he-I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6" w:type="dxa"/>
            <w:vMerge w:val="continue"/>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firstLine="0" w:firstLineChars="0"/>
              <w:jc w:val="center"/>
              <w:textAlignment w:val="center"/>
              <w:rPr>
                <w:rFonts w:hint="default" w:ascii="Times New Roman" w:hAnsi="Times New Roman" w:eastAsia="宋体" w:cs="Times New Roman"/>
                <w:b w:val="0"/>
                <w:bCs w:val="0"/>
                <w:color w:val="auto"/>
                <w:sz w:val="21"/>
                <w:szCs w:val="21"/>
                <w:lang w:val="en-US" w:eastAsia="zh-CN"/>
              </w:rPr>
            </w:pPr>
          </w:p>
        </w:tc>
        <w:tc>
          <w:tcPr>
            <w:tcW w:w="930" w:type="dxa"/>
            <w:vMerge w:val="continue"/>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b w:val="0"/>
                <w:bCs w:val="0"/>
                <w:color w:val="auto"/>
                <w:spacing w:val="-5"/>
                <w:sz w:val="21"/>
                <w:szCs w:val="21"/>
                <w:lang w:val="en-US" w:eastAsia="zh-CN" w:bidi="he-IL"/>
              </w:rPr>
            </w:pPr>
          </w:p>
        </w:tc>
        <w:tc>
          <w:tcPr>
            <w:tcW w:w="1305" w:type="dxa"/>
            <w:vMerge w:val="continue"/>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b w:val="0"/>
                <w:bCs w:val="0"/>
                <w:color w:val="auto"/>
                <w:spacing w:val="-5"/>
                <w:sz w:val="21"/>
                <w:szCs w:val="21"/>
                <w:lang w:val="en-US" w:eastAsia="zh-CN" w:bidi="he-IL"/>
              </w:rPr>
            </w:pPr>
          </w:p>
        </w:tc>
        <w:tc>
          <w:tcPr>
            <w:tcW w:w="2145" w:type="dxa"/>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夜间（22:41</w:t>
            </w:r>
            <w:r>
              <w:rPr>
                <w:rFonts w:hint="default" w:ascii="Times New Roman" w:hAnsi="Times New Roman" w:eastAsia="宋体" w:cs="Times New Roman"/>
                <w:b w:val="0"/>
                <w:bCs w:val="0"/>
                <w:color w:val="auto"/>
                <w:spacing w:val="-6"/>
                <w:sz w:val="21"/>
                <w:szCs w:val="21"/>
                <w:lang w:val="en-US" w:eastAsia="zh-CN"/>
              </w:rPr>
              <w:t>～22:51</w:t>
            </w:r>
            <w:r>
              <w:rPr>
                <w:rFonts w:hint="default" w:ascii="Times New Roman" w:hAnsi="Times New Roman" w:eastAsia="宋体" w:cs="Times New Roman"/>
                <w:b w:val="0"/>
                <w:bCs w:val="0"/>
                <w:color w:val="auto"/>
                <w:sz w:val="21"/>
                <w:szCs w:val="21"/>
                <w:lang w:val="en-US" w:eastAsia="zh-CN"/>
              </w:rPr>
              <w:t>）</w:t>
            </w:r>
          </w:p>
        </w:tc>
        <w:tc>
          <w:tcPr>
            <w:tcW w:w="835" w:type="dxa"/>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49.9</w:t>
            </w:r>
          </w:p>
        </w:tc>
        <w:tc>
          <w:tcPr>
            <w:tcW w:w="1110" w:type="dxa"/>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b w:val="0"/>
                <w:bCs w:val="0"/>
                <w:color w:val="auto"/>
                <w:spacing w:val="-5"/>
                <w:sz w:val="21"/>
                <w:szCs w:val="21"/>
                <w:lang w:val="en-US" w:eastAsia="zh-CN" w:bidi="he-IL"/>
              </w:rPr>
            </w:pPr>
            <w:r>
              <w:rPr>
                <w:rFonts w:hint="default" w:ascii="Times New Roman" w:hAnsi="Times New Roman" w:eastAsia="宋体" w:cs="Times New Roman"/>
                <w:b w:val="0"/>
                <w:bCs w:val="0"/>
                <w:color w:val="auto"/>
                <w:spacing w:val="-5"/>
                <w:sz w:val="21"/>
                <w:szCs w:val="21"/>
                <w:lang w:val="en-US" w:eastAsia="zh-CN" w:bidi="he-IL"/>
              </w:rPr>
              <w:t>机械噪声</w:t>
            </w:r>
          </w:p>
        </w:tc>
        <w:tc>
          <w:tcPr>
            <w:tcW w:w="825" w:type="dxa"/>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b w:val="0"/>
                <w:bCs w:val="0"/>
                <w:color w:val="auto"/>
                <w:spacing w:val="-5"/>
                <w:sz w:val="21"/>
                <w:szCs w:val="21"/>
                <w:lang w:val="en-US" w:eastAsia="zh-CN" w:bidi="he-IL"/>
              </w:rPr>
            </w:pPr>
            <w:r>
              <w:rPr>
                <w:rFonts w:hint="default" w:ascii="Times New Roman" w:hAnsi="Times New Roman" w:eastAsia="宋体" w:cs="Times New Roman"/>
                <w:b w:val="0"/>
                <w:bCs w:val="0"/>
                <w:color w:val="auto"/>
                <w:spacing w:val="-5"/>
                <w:sz w:val="21"/>
                <w:szCs w:val="21"/>
                <w:lang w:val="en-US" w:eastAsia="zh-CN" w:bidi="he-IL"/>
              </w:rPr>
              <w:t>55</w:t>
            </w:r>
          </w:p>
        </w:tc>
        <w:tc>
          <w:tcPr>
            <w:tcW w:w="975" w:type="dxa"/>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b w:val="0"/>
                <w:bCs w:val="0"/>
                <w:color w:val="auto"/>
                <w:spacing w:val="-5"/>
                <w:sz w:val="21"/>
                <w:szCs w:val="21"/>
                <w:lang w:val="en-US" w:eastAsia="zh-CN" w:bidi="he-IL"/>
              </w:rPr>
            </w:pPr>
            <w:r>
              <w:rPr>
                <w:rFonts w:hint="default" w:ascii="Times New Roman" w:hAnsi="Times New Roman" w:eastAsia="宋体" w:cs="Times New Roman"/>
                <w:b w:val="0"/>
                <w:bCs w:val="0"/>
                <w:color w:val="auto"/>
                <w:spacing w:val="-5"/>
                <w:sz w:val="21"/>
                <w:szCs w:val="21"/>
                <w:lang w:val="en-US" w:eastAsia="zh-CN" w:bidi="he-I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6" w:type="dxa"/>
            <w:vMerge w:val="continue"/>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firstLine="0" w:firstLineChars="0"/>
              <w:jc w:val="center"/>
              <w:textAlignment w:val="center"/>
              <w:rPr>
                <w:rFonts w:hint="default" w:ascii="Times New Roman" w:hAnsi="Times New Roman" w:eastAsia="宋体" w:cs="Times New Roman"/>
                <w:b w:val="0"/>
                <w:bCs w:val="0"/>
                <w:color w:val="auto"/>
                <w:sz w:val="21"/>
                <w:szCs w:val="21"/>
                <w:lang w:val="en-US" w:eastAsia="zh-CN"/>
              </w:rPr>
            </w:pPr>
          </w:p>
        </w:tc>
        <w:tc>
          <w:tcPr>
            <w:tcW w:w="930" w:type="dxa"/>
            <w:vMerge w:val="continue"/>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b w:val="0"/>
                <w:bCs w:val="0"/>
                <w:color w:val="auto"/>
                <w:spacing w:val="-5"/>
                <w:sz w:val="21"/>
                <w:szCs w:val="21"/>
                <w:lang w:val="en-US" w:eastAsia="zh-CN" w:bidi="he-IL"/>
              </w:rPr>
            </w:pPr>
          </w:p>
        </w:tc>
        <w:tc>
          <w:tcPr>
            <w:tcW w:w="1305" w:type="dxa"/>
            <w:vMerge w:val="restart"/>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b w:val="0"/>
                <w:bCs w:val="0"/>
                <w:color w:val="auto"/>
                <w:spacing w:val="-5"/>
                <w:sz w:val="21"/>
                <w:szCs w:val="21"/>
                <w:lang w:val="en-US" w:eastAsia="zh-CN" w:bidi="he-IL"/>
              </w:rPr>
            </w:pPr>
            <w:r>
              <w:rPr>
                <w:rFonts w:hint="default" w:ascii="Times New Roman" w:hAnsi="Times New Roman" w:eastAsia="宋体" w:cs="Times New Roman"/>
                <w:b w:val="0"/>
                <w:bCs w:val="0"/>
                <w:color w:val="auto"/>
                <w:spacing w:val="-6"/>
                <w:sz w:val="21"/>
                <w:szCs w:val="21"/>
                <w:lang w:val="en-US" w:eastAsia="zh-CN"/>
              </w:rPr>
              <w:t>厂界西外1m处</w:t>
            </w:r>
          </w:p>
        </w:tc>
        <w:tc>
          <w:tcPr>
            <w:tcW w:w="2145" w:type="dxa"/>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昼间（17:06</w:t>
            </w:r>
            <w:r>
              <w:rPr>
                <w:rFonts w:hint="default" w:ascii="Times New Roman" w:hAnsi="Times New Roman" w:eastAsia="宋体" w:cs="Times New Roman"/>
                <w:b w:val="0"/>
                <w:bCs w:val="0"/>
                <w:color w:val="auto"/>
                <w:spacing w:val="-6"/>
                <w:sz w:val="21"/>
                <w:szCs w:val="21"/>
                <w:lang w:val="en-US" w:eastAsia="zh-CN"/>
              </w:rPr>
              <w:t>～17:16</w:t>
            </w:r>
            <w:r>
              <w:rPr>
                <w:rFonts w:hint="default" w:ascii="Times New Roman" w:hAnsi="Times New Roman" w:eastAsia="宋体" w:cs="Times New Roman"/>
                <w:b w:val="0"/>
                <w:bCs w:val="0"/>
                <w:color w:val="auto"/>
                <w:sz w:val="21"/>
                <w:szCs w:val="21"/>
                <w:lang w:val="en-US" w:eastAsia="zh-CN"/>
              </w:rPr>
              <w:t>）</w:t>
            </w:r>
          </w:p>
        </w:tc>
        <w:tc>
          <w:tcPr>
            <w:tcW w:w="835" w:type="dxa"/>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58.7</w:t>
            </w:r>
          </w:p>
        </w:tc>
        <w:tc>
          <w:tcPr>
            <w:tcW w:w="1110" w:type="dxa"/>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b w:val="0"/>
                <w:bCs w:val="0"/>
                <w:color w:val="auto"/>
                <w:spacing w:val="-5"/>
                <w:sz w:val="21"/>
                <w:szCs w:val="21"/>
                <w:lang w:val="en-US" w:eastAsia="zh-CN" w:bidi="he-IL"/>
              </w:rPr>
            </w:pPr>
            <w:r>
              <w:rPr>
                <w:rFonts w:hint="default" w:ascii="Times New Roman" w:hAnsi="Times New Roman" w:eastAsia="宋体" w:cs="Times New Roman"/>
                <w:b w:val="0"/>
                <w:bCs w:val="0"/>
                <w:color w:val="auto"/>
                <w:spacing w:val="-5"/>
                <w:sz w:val="21"/>
                <w:szCs w:val="21"/>
                <w:lang w:val="en-US" w:eastAsia="zh-CN" w:bidi="he-IL"/>
              </w:rPr>
              <w:t>机械噪声</w:t>
            </w:r>
          </w:p>
        </w:tc>
        <w:tc>
          <w:tcPr>
            <w:tcW w:w="825" w:type="dxa"/>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b w:val="0"/>
                <w:bCs w:val="0"/>
                <w:color w:val="auto"/>
                <w:spacing w:val="-5"/>
                <w:sz w:val="21"/>
                <w:szCs w:val="21"/>
                <w:lang w:val="en-US" w:eastAsia="zh-CN" w:bidi="he-IL"/>
              </w:rPr>
            </w:pPr>
            <w:r>
              <w:rPr>
                <w:rFonts w:hint="default" w:ascii="Times New Roman" w:hAnsi="Times New Roman" w:eastAsia="宋体" w:cs="Times New Roman"/>
                <w:b w:val="0"/>
                <w:bCs w:val="0"/>
                <w:color w:val="auto"/>
                <w:spacing w:val="-5"/>
                <w:sz w:val="21"/>
                <w:szCs w:val="21"/>
                <w:lang w:val="en-US" w:eastAsia="zh-CN" w:bidi="he-IL"/>
              </w:rPr>
              <w:t>65</w:t>
            </w:r>
          </w:p>
        </w:tc>
        <w:tc>
          <w:tcPr>
            <w:tcW w:w="975" w:type="dxa"/>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b w:val="0"/>
                <w:bCs w:val="0"/>
                <w:color w:val="auto"/>
                <w:spacing w:val="-5"/>
                <w:sz w:val="21"/>
                <w:szCs w:val="21"/>
                <w:lang w:val="en-US" w:eastAsia="zh-CN" w:bidi="he-IL"/>
              </w:rPr>
            </w:pPr>
            <w:r>
              <w:rPr>
                <w:rFonts w:hint="default" w:ascii="Times New Roman" w:hAnsi="Times New Roman" w:eastAsia="宋体" w:cs="Times New Roman"/>
                <w:b w:val="0"/>
                <w:bCs w:val="0"/>
                <w:color w:val="auto"/>
                <w:spacing w:val="-5"/>
                <w:sz w:val="21"/>
                <w:szCs w:val="21"/>
                <w:lang w:val="en-US" w:eastAsia="zh-CN" w:bidi="he-I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6" w:type="dxa"/>
            <w:vMerge w:val="continue"/>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firstLine="0" w:firstLineChars="0"/>
              <w:jc w:val="center"/>
              <w:textAlignment w:val="center"/>
              <w:rPr>
                <w:rFonts w:hint="default" w:ascii="Times New Roman" w:hAnsi="Times New Roman" w:eastAsia="宋体" w:cs="Times New Roman"/>
                <w:b w:val="0"/>
                <w:bCs w:val="0"/>
                <w:color w:val="auto"/>
                <w:sz w:val="21"/>
                <w:szCs w:val="21"/>
                <w:lang w:val="en-US" w:eastAsia="zh-CN"/>
              </w:rPr>
            </w:pPr>
          </w:p>
        </w:tc>
        <w:tc>
          <w:tcPr>
            <w:tcW w:w="930" w:type="dxa"/>
            <w:vMerge w:val="continue"/>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b w:val="0"/>
                <w:bCs w:val="0"/>
                <w:color w:val="auto"/>
                <w:spacing w:val="-5"/>
                <w:sz w:val="21"/>
                <w:szCs w:val="21"/>
                <w:lang w:val="en-US" w:eastAsia="zh-CN" w:bidi="he-IL"/>
              </w:rPr>
            </w:pPr>
          </w:p>
        </w:tc>
        <w:tc>
          <w:tcPr>
            <w:tcW w:w="1305" w:type="dxa"/>
            <w:vMerge w:val="continue"/>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b w:val="0"/>
                <w:bCs w:val="0"/>
                <w:color w:val="auto"/>
                <w:spacing w:val="-5"/>
                <w:sz w:val="21"/>
                <w:szCs w:val="21"/>
                <w:lang w:val="en-US" w:eastAsia="zh-CN" w:bidi="he-IL"/>
              </w:rPr>
            </w:pPr>
          </w:p>
        </w:tc>
        <w:tc>
          <w:tcPr>
            <w:tcW w:w="2145" w:type="dxa"/>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夜间（22:57</w:t>
            </w:r>
            <w:r>
              <w:rPr>
                <w:rFonts w:hint="default" w:ascii="Times New Roman" w:hAnsi="Times New Roman" w:eastAsia="宋体" w:cs="Times New Roman"/>
                <w:b w:val="0"/>
                <w:bCs w:val="0"/>
                <w:color w:val="auto"/>
                <w:spacing w:val="-6"/>
                <w:sz w:val="21"/>
                <w:szCs w:val="21"/>
                <w:lang w:val="en-US" w:eastAsia="zh-CN"/>
              </w:rPr>
              <w:t>～23:07</w:t>
            </w:r>
            <w:r>
              <w:rPr>
                <w:rFonts w:hint="default" w:ascii="Times New Roman" w:hAnsi="Times New Roman" w:eastAsia="宋体" w:cs="Times New Roman"/>
                <w:b w:val="0"/>
                <w:bCs w:val="0"/>
                <w:color w:val="auto"/>
                <w:sz w:val="21"/>
                <w:szCs w:val="21"/>
                <w:lang w:val="en-US" w:eastAsia="zh-CN"/>
              </w:rPr>
              <w:t>）</w:t>
            </w:r>
          </w:p>
        </w:tc>
        <w:tc>
          <w:tcPr>
            <w:tcW w:w="835" w:type="dxa"/>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54.3</w:t>
            </w:r>
          </w:p>
        </w:tc>
        <w:tc>
          <w:tcPr>
            <w:tcW w:w="1110" w:type="dxa"/>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b w:val="0"/>
                <w:bCs w:val="0"/>
                <w:color w:val="auto"/>
                <w:spacing w:val="-5"/>
                <w:sz w:val="21"/>
                <w:szCs w:val="21"/>
                <w:lang w:val="en-US" w:eastAsia="zh-CN" w:bidi="he-IL"/>
              </w:rPr>
            </w:pPr>
            <w:r>
              <w:rPr>
                <w:rFonts w:hint="default" w:ascii="Times New Roman" w:hAnsi="Times New Roman" w:eastAsia="宋体" w:cs="Times New Roman"/>
                <w:b w:val="0"/>
                <w:bCs w:val="0"/>
                <w:color w:val="auto"/>
                <w:spacing w:val="-5"/>
                <w:sz w:val="21"/>
                <w:szCs w:val="21"/>
                <w:lang w:val="en-US" w:eastAsia="zh-CN" w:bidi="he-IL"/>
              </w:rPr>
              <w:t>机械噪声</w:t>
            </w:r>
          </w:p>
        </w:tc>
        <w:tc>
          <w:tcPr>
            <w:tcW w:w="825" w:type="dxa"/>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b w:val="0"/>
                <w:bCs w:val="0"/>
                <w:color w:val="auto"/>
                <w:spacing w:val="-5"/>
                <w:sz w:val="21"/>
                <w:szCs w:val="21"/>
                <w:lang w:val="en-US" w:eastAsia="zh-CN" w:bidi="he-IL"/>
              </w:rPr>
            </w:pPr>
            <w:r>
              <w:rPr>
                <w:rFonts w:hint="default" w:ascii="Times New Roman" w:hAnsi="Times New Roman" w:eastAsia="宋体" w:cs="Times New Roman"/>
                <w:b w:val="0"/>
                <w:bCs w:val="0"/>
                <w:color w:val="auto"/>
                <w:spacing w:val="-5"/>
                <w:sz w:val="21"/>
                <w:szCs w:val="21"/>
                <w:lang w:val="en-US" w:eastAsia="zh-CN" w:bidi="he-IL"/>
              </w:rPr>
              <w:t>55</w:t>
            </w:r>
          </w:p>
        </w:tc>
        <w:tc>
          <w:tcPr>
            <w:tcW w:w="975" w:type="dxa"/>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b w:val="0"/>
                <w:bCs w:val="0"/>
                <w:color w:val="auto"/>
                <w:spacing w:val="-5"/>
                <w:sz w:val="21"/>
                <w:szCs w:val="21"/>
                <w:lang w:val="en-US" w:eastAsia="zh-CN" w:bidi="he-IL"/>
              </w:rPr>
            </w:pPr>
            <w:r>
              <w:rPr>
                <w:rFonts w:hint="default" w:ascii="Times New Roman" w:hAnsi="Times New Roman" w:eastAsia="宋体" w:cs="Times New Roman"/>
                <w:b w:val="0"/>
                <w:bCs w:val="0"/>
                <w:color w:val="auto"/>
                <w:spacing w:val="-5"/>
                <w:sz w:val="21"/>
                <w:szCs w:val="21"/>
                <w:lang w:val="en-US" w:eastAsia="zh-CN" w:bidi="he-I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6" w:type="dxa"/>
            <w:vMerge w:val="continue"/>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firstLine="0" w:firstLineChars="0"/>
              <w:jc w:val="center"/>
              <w:textAlignment w:val="center"/>
              <w:rPr>
                <w:rFonts w:hint="default" w:ascii="Times New Roman" w:hAnsi="Times New Roman" w:eastAsia="宋体" w:cs="Times New Roman"/>
                <w:b w:val="0"/>
                <w:bCs w:val="0"/>
                <w:color w:val="auto"/>
                <w:sz w:val="21"/>
                <w:szCs w:val="21"/>
                <w:lang w:val="en-US" w:eastAsia="zh-CN"/>
              </w:rPr>
            </w:pPr>
          </w:p>
        </w:tc>
        <w:tc>
          <w:tcPr>
            <w:tcW w:w="930" w:type="dxa"/>
            <w:vMerge w:val="continue"/>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b w:val="0"/>
                <w:bCs w:val="0"/>
                <w:color w:val="auto"/>
                <w:spacing w:val="-5"/>
                <w:sz w:val="21"/>
                <w:szCs w:val="21"/>
                <w:lang w:val="en-US" w:eastAsia="zh-CN" w:bidi="he-IL"/>
              </w:rPr>
            </w:pPr>
          </w:p>
        </w:tc>
        <w:tc>
          <w:tcPr>
            <w:tcW w:w="1305" w:type="dxa"/>
            <w:vMerge w:val="restart"/>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b w:val="0"/>
                <w:bCs w:val="0"/>
                <w:color w:val="auto"/>
                <w:spacing w:val="-5"/>
                <w:sz w:val="21"/>
                <w:szCs w:val="21"/>
                <w:lang w:val="en-US" w:eastAsia="zh-CN" w:bidi="he-IL"/>
              </w:rPr>
            </w:pPr>
            <w:r>
              <w:rPr>
                <w:rFonts w:hint="default" w:ascii="Times New Roman" w:hAnsi="Times New Roman" w:eastAsia="宋体" w:cs="Times New Roman"/>
                <w:b w:val="0"/>
                <w:bCs w:val="0"/>
                <w:color w:val="auto"/>
                <w:spacing w:val="-6"/>
                <w:sz w:val="21"/>
                <w:szCs w:val="21"/>
                <w:lang w:val="en-US" w:eastAsia="zh-CN"/>
              </w:rPr>
              <w:t>厂界北外1m处</w:t>
            </w:r>
          </w:p>
        </w:tc>
        <w:tc>
          <w:tcPr>
            <w:tcW w:w="2145" w:type="dxa"/>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昼间（17:25</w:t>
            </w:r>
            <w:r>
              <w:rPr>
                <w:rFonts w:hint="default" w:ascii="Times New Roman" w:hAnsi="Times New Roman" w:eastAsia="宋体" w:cs="Times New Roman"/>
                <w:b w:val="0"/>
                <w:bCs w:val="0"/>
                <w:color w:val="auto"/>
                <w:spacing w:val="-6"/>
                <w:sz w:val="21"/>
                <w:szCs w:val="21"/>
                <w:lang w:val="en-US" w:eastAsia="zh-CN"/>
              </w:rPr>
              <w:t>～17:35</w:t>
            </w:r>
            <w:r>
              <w:rPr>
                <w:rFonts w:hint="default" w:ascii="Times New Roman" w:hAnsi="Times New Roman" w:eastAsia="宋体" w:cs="Times New Roman"/>
                <w:b w:val="0"/>
                <w:bCs w:val="0"/>
                <w:color w:val="auto"/>
                <w:sz w:val="21"/>
                <w:szCs w:val="21"/>
                <w:lang w:val="en-US" w:eastAsia="zh-CN"/>
              </w:rPr>
              <w:t>）</w:t>
            </w:r>
          </w:p>
        </w:tc>
        <w:tc>
          <w:tcPr>
            <w:tcW w:w="835" w:type="dxa"/>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56.4</w:t>
            </w:r>
          </w:p>
        </w:tc>
        <w:tc>
          <w:tcPr>
            <w:tcW w:w="1110" w:type="dxa"/>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b w:val="0"/>
                <w:bCs w:val="0"/>
                <w:color w:val="auto"/>
                <w:spacing w:val="-5"/>
                <w:sz w:val="21"/>
                <w:szCs w:val="21"/>
                <w:lang w:val="en-US" w:eastAsia="zh-CN" w:bidi="he-IL"/>
              </w:rPr>
            </w:pPr>
            <w:r>
              <w:rPr>
                <w:rFonts w:hint="default" w:ascii="Times New Roman" w:hAnsi="Times New Roman" w:eastAsia="宋体" w:cs="Times New Roman"/>
                <w:b w:val="0"/>
                <w:bCs w:val="0"/>
                <w:color w:val="auto"/>
                <w:spacing w:val="-5"/>
                <w:sz w:val="21"/>
                <w:szCs w:val="21"/>
                <w:lang w:val="en-US" w:eastAsia="zh-CN" w:bidi="he-IL"/>
              </w:rPr>
              <w:t>机械噪声</w:t>
            </w:r>
          </w:p>
        </w:tc>
        <w:tc>
          <w:tcPr>
            <w:tcW w:w="825" w:type="dxa"/>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b w:val="0"/>
                <w:bCs w:val="0"/>
                <w:color w:val="auto"/>
                <w:spacing w:val="-5"/>
                <w:sz w:val="21"/>
                <w:szCs w:val="21"/>
                <w:lang w:val="en-US" w:eastAsia="zh-CN" w:bidi="he-IL"/>
              </w:rPr>
            </w:pPr>
            <w:r>
              <w:rPr>
                <w:rFonts w:hint="default" w:ascii="Times New Roman" w:hAnsi="Times New Roman" w:eastAsia="宋体" w:cs="Times New Roman"/>
                <w:b w:val="0"/>
                <w:bCs w:val="0"/>
                <w:color w:val="auto"/>
                <w:spacing w:val="-5"/>
                <w:sz w:val="21"/>
                <w:szCs w:val="21"/>
                <w:lang w:val="en-US" w:eastAsia="zh-CN" w:bidi="he-IL"/>
              </w:rPr>
              <w:t>65</w:t>
            </w:r>
          </w:p>
        </w:tc>
        <w:tc>
          <w:tcPr>
            <w:tcW w:w="975" w:type="dxa"/>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b w:val="0"/>
                <w:bCs w:val="0"/>
                <w:color w:val="auto"/>
                <w:spacing w:val="-5"/>
                <w:sz w:val="21"/>
                <w:szCs w:val="21"/>
                <w:lang w:val="en-US" w:eastAsia="zh-CN" w:bidi="he-IL"/>
              </w:rPr>
            </w:pPr>
            <w:r>
              <w:rPr>
                <w:rFonts w:hint="default" w:ascii="Times New Roman" w:hAnsi="Times New Roman" w:eastAsia="宋体" w:cs="Times New Roman"/>
                <w:b w:val="0"/>
                <w:bCs w:val="0"/>
                <w:color w:val="auto"/>
                <w:spacing w:val="-5"/>
                <w:sz w:val="21"/>
                <w:szCs w:val="21"/>
                <w:lang w:val="en-US" w:eastAsia="zh-CN" w:bidi="he-I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6" w:type="dxa"/>
            <w:vMerge w:val="continue"/>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firstLine="0" w:firstLineChars="0"/>
              <w:jc w:val="center"/>
              <w:textAlignment w:val="center"/>
              <w:rPr>
                <w:rFonts w:hint="default" w:ascii="Times New Roman" w:hAnsi="Times New Roman" w:eastAsia="宋体" w:cs="Times New Roman"/>
                <w:b w:val="0"/>
                <w:bCs w:val="0"/>
                <w:color w:val="auto"/>
                <w:sz w:val="21"/>
                <w:szCs w:val="21"/>
                <w:lang w:val="en-US" w:eastAsia="zh-CN"/>
              </w:rPr>
            </w:pPr>
          </w:p>
        </w:tc>
        <w:tc>
          <w:tcPr>
            <w:tcW w:w="930" w:type="dxa"/>
            <w:vMerge w:val="continue"/>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b w:val="0"/>
                <w:bCs w:val="0"/>
                <w:color w:val="auto"/>
                <w:spacing w:val="-5"/>
                <w:sz w:val="21"/>
                <w:szCs w:val="21"/>
                <w:lang w:val="en-US" w:eastAsia="zh-CN" w:bidi="he-IL"/>
              </w:rPr>
            </w:pPr>
          </w:p>
        </w:tc>
        <w:tc>
          <w:tcPr>
            <w:tcW w:w="1305" w:type="dxa"/>
            <w:vMerge w:val="continue"/>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b w:val="0"/>
                <w:bCs w:val="0"/>
                <w:color w:val="auto"/>
                <w:spacing w:val="-5"/>
                <w:sz w:val="21"/>
                <w:szCs w:val="21"/>
                <w:lang w:val="en-US" w:eastAsia="zh-CN" w:bidi="he-IL"/>
              </w:rPr>
            </w:pPr>
          </w:p>
        </w:tc>
        <w:tc>
          <w:tcPr>
            <w:tcW w:w="2145" w:type="dxa"/>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夜间（23:15</w:t>
            </w:r>
            <w:r>
              <w:rPr>
                <w:rFonts w:hint="default" w:ascii="Times New Roman" w:hAnsi="Times New Roman" w:eastAsia="宋体" w:cs="Times New Roman"/>
                <w:b w:val="0"/>
                <w:bCs w:val="0"/>
                <w:color w:val="auto"/>
                <w:spacing w:val="-6"/>
                <w:sz w:val="21"/>
                <w:szCs w:val="21"/>
                <w:lang w:val="en-US" w:eastAsia="zh-CN"/>
              </w:rPr>
              <w:t>～23:25</w:t>
            </w:r>
            <w:r>
              <w:rPr>
                <w:rFonts w:hint="default" w:ascii="Times New Roman" w:hAnsi="Times New Roman" w:eastAsia="宋体" w:cs="Times New Roman"/>
                <w:b w:val="0"/>
                <w:bCs w:val="0"/>
                <w:color w:val="auto"/>
                <w:sz w:val="21"/>
                <w:szCs w:val="21"/>
                <w:lang w:val="en-US" w:eastAsia="zh-CN"/>
              </w:rPr>
              <w:t>）</w:t>
            </w:r>
          </w:p>
        </w:tc>
        <w:tc>
          <w:tcPr>
            <w:tcW w:w="835" w:type="dxa"/>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50.9</w:t>
            </w:r>
          </w:p>
        </w:tc>
        <w:tc>
          <w:tcPr>
            <w:tcW w:w="1110" w:type="dxa"/>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b w:val="0"/>
                <w:bCs w:val="0"/>
                <w:color w:val="auto"/>
                <w:spacing w:val="-5"/>
                <w:sz w:val="21"/>
                <w:szCs w:val="21"/>
                <w:lang w:val="en-US" w:eastAsia="zh-CN" w:bidi="he-IL"/>
              </w:rPr>
            </w:pPr>
            <w:r>
              <w:rPr>
                <w:rFonts w:hint="default" w:ascii="Times New Roman" w:hAnsi="Times New Roman" w:eastAsia="宋体" w:cs="Times New Roman"/>
                <w:b w:val="0"/>
                <w:bCs w:val="0"/>
                <w:color w:val="auto"/>
                <w:spacing w:val="-5"/>
                <w:sz w:val="21"/>
                <w:szCs w:val="21"/>
                <w:lang w:val="en-US" w:eastAsia="zh-CN" w:bidi="he-IL"/>
              </w:rPr>
              <w:t>机械噪声</w:t>
            </w:r>
          </w:p>
        </w:tc>
        <w:tc>
          <w:tcPr>
            <w:tcW w:w="825" w:type="dxa"/>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b w:val="0"/>
                <w:bCs w:val="0"/>
                <w:color w:val="auto"/>
                <w:spacing w:val="-5"/>
                <w:sz w:val="21"/>
                <w:szCs w:val="21"/>
                <w:lang w:val="en-US" w:eastAsia="zh-CN" w:bidi="he-IL"/>
              </w:rPr>
            </w:pPr>
            <w:r>
              <w:rPr>
                <w:rFonts w:hint="default" w:ascii="Times New Roman" w:hAnsi="Times New Roman" w:eastAsia="宋体" w:cs="Times New Roman"/>
                <w:b w:val="0"/>
                <w:bCs w:val="0"/>
                <w:color w:val="auto"/>
                <w:spacing w:val="-5"/>
                <w:sz w:val="21"/>
                <w:szCs w:val="21"/>
                <w:lang w:val="en-US" w:eastAsia="zh-CN" w:bidi="he-IL"/>
              </w:rPr>
              <w:t>55</w:t>
            </w:r>
          </w:p>
        </w:tc>
        <w:tc>
          <w:tcPr>
            <w:tcW w:w="975" w:type="dxa"/>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b w:val="0"/>
                <w:bCs w:val="0"/>
                <w:color w:val="auto"/>
                <w:spacing w:val="-5"/>
                <w:sz w:val="21"/>
                <w:szCs w:val="21"/>
                <w:lang w:val="en-US" w:eastAsia="zh-CN" w:bidi="he-IL"/>
              </w:rPr>
            </w:pPr>
            <w:r>
              <w:rPr>
                <w:rFonts w:hint="default" w:ascii="Times New Roman" w:hAnsi="Times New Roman" w:eastAsia="宋体" w:cs="Times New Roman"/>
                <w:b w:val="0"/>
                <w:bCs w:val="0"/>
                <w:color w:val="auto"/>
                <w:spacing w:val="-5"/>
                <w:sz w:val="21"/>
                <w:szCs w:val="21"/>
                <w:lang w:val="en-US" w:eastAsia="zh-CN" w:bidi="he-IL"/>
              </w:rPr>
              <w:t>达标</w:t>
            </w:r>
          </w:p>
        </w:tc>
      </w:tr>
    </w:tbl>
    <w:p>
      <w:pPr>
        <w:pStyle w:val="6"/>
        <w:keepNext/>
        <w:keepLines/>
        <w:pageBreakBefore w:val="0"/>
        <w:widowControl w:val="0"/>
        <w:kinsoku/>
        <w:wordWrap/>
        <w:overflowPunct/>
        <w:topLinePunct w:val="0"/>
        <w:autoSpaceDE/>
        <w:autoSpaceDN/>
        <w:bidi w:val="0"/>
        <w:adjustRightInd/>
        <w:snapToGrid/>
        <w:spacing w:before="157" w:beforeLines="50" w:after="0" w:line="360" w:lineRule="auto"/>
        <w:textAlignment w:val="auto"/>
        <w:rPr>
          <w:rFonts w:hint="default" w:ascii="Times New Roman" w:hAnsi="Times New Roman" w:cs="Times New Roman"/>
          <w:color w:val="auto"/>
          <w:szCs w:val="28"/>
        </w:rPr>
      </w:pPr>
      <w:bookmarkStart w:id="398" w:name="_Toc29086"/>
      <w:r>
        <w:rPr>
          <w:rFonts w:hint="default" w:ascii="Times New Roman" w:hAnsi="Times New Roman" w:cs="Times New Roman"/>
          <w:color w:val="auto"/>
          <w:szCs w:val="28"/>
          <w:lang w:val="en-US" w:eastAsia="zh-CN"/>
        </w:rPr>
        <w:t>4</w:t>
      </w:r>
      <w:r>
        <w:rPr>
          <w:rFonts w:hint="default" w:ascii="Times New Roman" w:hAnsi="Times New Roman" w:cs="Times New Roman"/>
          <w:color w:val="auto"/>
          <w:szCs w:val="28"/>
        </w:rPr>
        <w:t>.3.</w:t>
      </w:r>
      <w:r>
        <w:rPr>
          <w:rFonts w:hint="default" w:ascii="Times New Roman" w:hAnsi="Times New Roman" w:cs="Times New Roman"/>
          <w:color w:val="auto"/>
          <w:szCs w:val="28"/>
          <w:lang w:val="en-US" w:eastAsia="zh-CN"/>
        </w:rPr>
        <w:t>4</w:t>
      </w:r>
      <w:r>
        <w:rPr>
          <w:rFonts w:hint="default" w:ascii="Times New Roman" w:hAnsi="Times New Roman" w:cs="Times New Roman"/>
          <w:color w:val="auto"/>
          <w:szCs w:val="28"/>
          <w:lang w:eastAsia="zh-CN"/>
        </w:rPr>
        <w:t>地下水</w:t>
      </w:r>
      <w:r>
        <w:rPr>
          <w:rFonts w:hint="default" w:ascii="Times New Roman" w:hAnsi="Times New Roman" w:cs="Times New Roman"/>
          <w:color w:val="auto"/>
          <w:szCs w:val="28"/>
        </w:rPr>
        <w:t>环境质量现状分析</w:t>
      </w:r>
      <w:bookmarkEnd w:id="398"/>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根据</w:t>
      </w:r>
      <w:r>
        <w:rPr>
          <w:rFonts w:hint="default" w:ascii="Times New Roman" w:hAnsi="Times New Roman" w:cs="Times New Roman"/>
          <w:color w:val="auto"/>
        </w:rPr>
        <w:t>《环境影响评价技术导则</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rPr>
        <w:t>地下水环境》（HJ610-2016）附录A相关规定，本项目属于“K、机械、电子82、半导体材料、电子陶瓷、有机薄膜、荧光粉、贵金属粉等电子专用材料”，属于IV类项目，可不开展地下水环境影响评价</w:t>
      </w:r>
      <w:r>
        <w:rPr>
          <w:rFonts w:hint="default" w:ascii="Times New Roman" w:hAnsi="Times New Roman" w:cs="Times New Roman"/>
          <w:color w:val="auto"/>
          <w:lang w:eastAsia="zh-CN"/>
        </w:rPr>
        <w:t>，因此本项目未开展地下水环境质量监测。</w:t>
      </w:r>
    </w:p>
    <w:p>
      <w:pPr>
        <w:pStyle w:val="6"/>
        <w:spacing w:before="0" w:after="0" w:line="360" w:lineRule="auto"/>
        <w:rPr>
          <w:rFonts w:hint="default" w:ascii="Times New Roman" w:hAnsi="Times New Roman" w:cs="Times New Roman"/>
          <w:color w:val="auto"/>
          <w:szCs w:val="28"/>
        </w:rPr>
      </w:pPr>
      <w:bookmarkStart w:id="399" w:name="_Toc27537"/>
      <w:r>
        <w:rPr>
          <w:rFonts w:hint="default" w:ascii="Times New Roman" w:hAnsi="Times New Roman" w:cs="Times New Roman"/>
          <w:color w:val="auto"/>
          <w:szCs w:val="28"/>
          <w:lang w:val="en-US" w:eastAsia="zh-CN"/>
        </w:rPr>
        <w:t>4</w:t>
      </w:r>
      <w:r>
        <w:rPr>
          <w:rFonts w:hint="default" w:ascii="Times New Roman" w:hAnsi="Times New Roman" w:cs="Times New Roman"/>
          <w:color w:val="auto"/>
          <w:szCs w:val="28"/>
        </w:rPr>
        <w:t>.3.</w:t>
      </w:r>
      <w:r>
        <w:rPr>
          <w:rFonts w:hint="default" w:ascii="Times New Roman" w:hAnsi="Times New Roman" w:cs="Times New Roman"/>
          <w:color w:val="auto"/>
          <w:szCs w:val="28"/>
          <w:lang w:val="en-US" w:eastAsia="zh-CN"/>
        </w:rPr>
        <w:t>5</w:t>
      </w:r>
      <w:r>
        <w:rPr>
          <w:rFonts w:hint="default" w:ascii="Times New Roman" w:hAnsi="Times New Roman" w:cs="Times New Roman"/>
          <w:color w:val="auto"/>
          <w:szCs w:val="28"/>
        </w:rPr>
        <w:t>土壤环境质量现状分析</w:t>
      </w:r>
      <w:bookmarkEnd w:id="399"/>
    </w:p>
    <w:p>
      <w:pPr>
        <w:spacing w:line="360" w:lineRule="auto"/>
        <w:ind w:firstLine="482"/>
        <w:rPr>
          <w:rFonts w:hint="default" w:ascii="Times New Roman" w:hAnsi="Times New Roman" w:cs="Times New Roman"/>
          <w:b/>
          <w:bCs/>
          <w:color w:val="auto"/>
          <w:spacing w:val="1"/>
        </w:rPr>
      </w:pPr>
      <w:r>
        <w:rPr>
          <w:rFonts w:hint="default" w:ascii="Times New Roman" w:hAnsi="Times New Roman" w:cs="Times New Roman"/>
          <w:color w:val="auto"/>
          <w:kern w:val="21"/>
          <w:lang w:eastAsia="zh-CN" w:bidi="ar"/>
        </w:rPr>
        <w:t>由于项目是依托厂区内已建成的切片车间，没有新增额外用地，切片车间地表均已硬化，不具备采样监测条件，本项目未进行土壤环境质量现状监测。</w:t>
      </w:r>
      <w:bookmarkEnd w:id="386"/>
      <w:bookmarkStart w:id="400" w:name="_Toc10882"/>
      <w:r>
        <w:rPr>
          <w:rFonts w:hint="default" w:ascii="Times New Roman" w:hAnsi="Times New Roman" w:cs="Times New Roman"/>
          <w:color w:val="auto"/>
          <w:lang w:eastAsia="zh-CN"/>
        </w:rPr>
        <w:t>根据原有项目开工建设前的监测资料，项目区土壤环境质量能满足</w:t>
      </w:r>
      <w:r>
        <w:rPr>
          <w:rFonts w:hint="default" w:ascii="Times New Roman" w:hAnsi="Times New Roman" w:cs="Times New Roman"/>
          <w:color w:val="auto"/>
        </w:rPr>
        <w:t>《土壤环境质量建设用地土壤污染风险管控标准（试行）》(GB36600—2018)中第二类用地筛选值要求。</w:t>
      </w:r>
    </w:p>
    <w:p>
      <w:pPr>
        <w:pStyle w:val="133"/>
        <w:tabs>
          <w:tab w:val="left" w:pos="1020"/>
        </w:tabs>
        <w:spacing w:line="360" w:lineRule="auto"/>
        <w:ind w:firstLine="0" w:firstLineChars="0"/>
        <w:jc w:val="center"/>
        <w:rPr>
          <w:rFonts w:hint="default" w:ascii="Times New Roman" w:hAnsi="Times New Roman" w:cs="Times New Roman"/>
          <w:b/>
          <w:bCs/>
          <w:color w:val="FF0000"/>
          <w:spacing w:val="1"/>
        </w:rPr>
      </w:pPr>
    </w:p>
    <w:p>
      <w:pPr>
        <w:pStyle w:val="133"/>
        <w:tabs>
          <w:tab w:val="left" w:pos="1020"/>
        </w:tabs>
        <w:spacing w:line="360" w:lineRule="auto"/>
        <w:ind w:firstLine="0" w:firstLineChars="0"/>
        <w:jc w:val="center"/>
        <w:rPr>
          <w:rFonts w:hint="default" w:ascii="Times New Roman" w:hAnsi="Times New Roman" w:cs="Times New Roman"/>
          <w:b/>
          <w:bCs/>
          <w:color w:val="FF0000"/>
          <w:spacing w:val="1"/>
        </w:rPr>
      </w:pPr>
    </w:p>
    <w:p>
      <w:pPr>
        <w:spacing w:line="360" w:lineRule="auto"/>
        <w:ind w:firstLine="452" w:firstLineChars="200"/>
        <w:rPr>
          <w:rFonts w:hint="default" w:ascii="Times New Roman" w:hAnsi="Times New Roman" w:cs="Times New Roman"/>
          <w:color w:val="FF0000"/>
          <w:spacing w:val="-7"/>
          <w:kern w:val="0"/>
          <w:lang w:bidi="zh-CN"/>
        </w:rPr>
        <w:sectPr>
          <w:pgSz w:w="11906" w:h="16838"/>
          <w:pgMar w:top="1440" w:right="1797" w:bottom="1440" w:left="1797" w:header="851" w:footer="992" w:gutter="0"/>
          <w:pgBorders>
            <w:top w:val="none" w:sz="0" w:space="0"/>
            <w:left w:val="none" w:sz="0" w:space="0"/>
            <w:bottom w:val="none" w:sz="0" w:space="0"/>
            <w:right w:val="none" w:sz="0" w:space="0"/>
          </w:pgBorders>
          <w:cols w:space="720" w:num="1"/>
          <w:docGrid w:linePitch="312" w:charSpace="0"/>
        </w:sectPr>
      </w:pPr>
    </w:p>
    <w:p>
      <w:pPr>
        <w:pStyle w:val="3"/>
        <w:spacing w:beforeLines="0" w:afterLines="100"/>
        <w:jc w:val="center"/>
        <w:rPr>
          <w:rFonts w:hint="default" w:ascii="Times New Roman" w:hAnsi="Times New Roman" w:cs="Times New Roman"/>
          <w:color w:val="auto"/>
        </w:rPr>
      </w:pPr>
      <w:bookmarkStart w:id="401" w:name="_Toc5658"/>
      <w:bookmarkStart w:id="402" w:name="_Toc15579"/>
      <w:bookmarkStart w:id="403" w:name="_Toc24439"/>
      <w:r>
        <w:rPr>
          <w:rFonts w:hint="default" w:ascii="Times New Roman" w:hAnsi="Times New Roman" w:cs="Times New Roman"/>
          <w:color w:val="auto"/>
          <w:lang w:val="en-US" w:eastAsia="zh-CN"/>
        </w:rPr>
        <w:t>5</w:t>
      </w:r>
      <w:r>
        <w:rPr>
          <w:rFonts w:hint="default" w:ascii="Times New Roman" w:hAnsi="Times New Roman" w:cs="Times New Roman"/>
          <w:color w:val="auto"/>
        </w:rPr>
        <w:t>环境影响预测与评价</w:t>
      </w:r>
      <w:bookmarkEnd w:id="401"/>
      <w:bookmarkEnd w:id="402"/>
      <w:bookmarkEnd w:id="403"/>
    </w:p>
    <w:p>
      <w:pPr>
        <w:pStyle w:val="4"/>
        <w:spacing w:before="0" w:after="0" w:line="360" w:lineRule="auto"/>
        <w:rPr>
          <w:rFonts w:hint="default" w:ascii="Times New Roman" w:hAnsi="Times New Roman" w:eastAsia="宋体" w:cs="Times New Roman"/>
          <w:color w:val="auto"/>
          <w:sz w:val="28"/>
          <w:szCs w:val="28"/>
        </w:rPr>
      </w:pPr>
      <w:bookmarkStart w:id="404" w:name="_Toc6535"/>
      <w:bookmarkStart w:id="405" w:name="_Toc23332"/>
      <w:bookmarkStart w:id="406" w:name="_Toc14136"/>
      <w:r>
        <w:rPr>
          <w:rFonts w:hint="default" w:ascii="Times New Roman" w:hAnsi="Times New Roman" w:eastAsia="宋体" w:cs="Times New Roman"/>
          <w:color w:val="auto"/>
          <w:sz w:val="28"/>
          <w:szCs w:val="28"/>
          <w:lang w:val="en-US" w:eastAsia="zh-CN"/>
        </w:rPr>
        <w:t>5</w:t>
      </w:r>
      <w:r>
        <w:rPr>
          <w:rFonts w:hint="default" w:ascii="Times New Roman" w:hAnsi="Times New Roman" w:eastAsia="宋体" w:cs="Times New Roman"/>
          <w:color w:val="auto"/>
          <w:sz w:val="28"/>
          <w:szCs w:val="28"/>
        </w:rPr>
        <w:t>.1施工期环境影响分析</w:t>
      </w:r>
      <w:bookmarkEnd w:id="404"/>
      <w:bookmarkEnd w:id="405"/>
      <w:bookmarkEnd w:id="406"/>
    </w:p>
    <w:p>
      <w:pPr>
        <w:pStyle w:val="6"/>
        <w:spacing w:before="0" w:after="0" w:line="360" w:lineRule="auto"/>
        <w:rPr>
          <w:rFonts w:hint="default" w:ascii="Times New Roman" w:hAnsi="Times New Roman" w:cs="Times New Roman"/>
          <w:color w:val="auto"/>
          <w:szCs w:val="28"/>
        </w:rPr>
      </w:pPr>
      <w:bookmarkStart w:id="407" w:name="_Toc191562457"/>
      <w:bookmarkStart w:id="408" w:name="_Toc181977885"/>
      <w:bookmarkStart w:id="409" w:name="_Toc168927920"/>
      <w:bookmarkStart w:id="410" w:name="_Toc181977063"/>
      <w:bookmarkStart w:id="411" w:name="_Toc181977611"/>
      <w:bookmarkStart w:id="412" w:name="_Toc19334"/>
      <w:r>
        <w:rPr>
          <w:rFonts w:hint="default" w:ascii="Times New Roman" w:hAnsi="Times New Roman" w:cs="Times New Roman"/>
          <w:color w:val="auto"/>
          <w:szCs w:val="28"/>
          <w:lang w:val="en-US" w:eastAsia="zh-CN"/>
        </w:rPr>
        <w:t>5</w:t>
      </w:r>
      <w:r>
        <w:rPr>
          <w:rFonts w:hint="default" w:ascii="Times New Roman" w:hAnsi="Times New Roman" w:cs="Times New Roman"/>
          <w:color w:val="auto"/>
          <w:szCs w:val="28"/>
        </w:rPr>
        <w:t>.1.1施工期环境空气影响分析</w:t>
      </w:r>
      <w:bookmarkEnd w:id="407"/>
      <w:bookmarkEnd w:id="408"/>
      <w:bookmarkEnd w:id="409"/>
      <w:bookmarkEnd w:id="410"/>
      <w:bookmarkEnd w:id="411"/>
      <w:bookmarkEnd w:id="412"/>
    </w:p>
    <w:p>
      <w:pPr>
        <w:widowControl/>
        <w:spacing w:line="360" w:lineRule="auto"/>
        <w:ind w:firstLine="482"/>
        <w:jc w:val="left"/>
        <w:rPr>
          <w:rFonts w:hint="default" w:ascii="Times New Roman" w:hAnsi="Times New Roman" w:cs="Times New Roman"/>
        </w:rPr>
      </w:pPr>
      <w:bookmarkStart w:id="413" w:name="_Toc19507"/>
      <w:bookmarkStart w:id="414" w:name="_Toc31915"/>
      <w:r>
        <w:rPr>
          <w:rFonts w:hint="default" w:ascii="Times New Roman" w:hAnsi="Times New Roman" w:cs="Times New Roman"/>
        </w:rPr>
        <w:t>施工期对环境空气的影响主要为交通运输工具产生的尾气。在项目的施工过程中，由于设备的运输和装卸等过程中，都将会产生不同影响程度的扬尘和尾气。交通运输的扬尘和尾气对环境空气会产生一定的影响。但施工是短暂行为，施工期结束，则影响结束，而设备安装主要在在厂房内进行，基本不会产生废气，对周边环境影响较小。</w:t>
      </w:r>
    </w:p>
    <w:p>
      <w:pPr>
        <w:pStyle w:val="6"/>
        <w:spacing w:before="0" w:after="0" w:line="360" w:lineRule="auto"/>
        <w:rPr>
          <w:rFonts w:hint="default" w:ascii="Times New Roman" w:hAnsi="Times New Roman" w:cs="Times New Roman"/>
          <w:szCs w:val="28"/>
        </w:rPr>
      </w:pPr>
      <w:bookmarkStart w:id="415" w:name="_Toc181977064"/>
      <w:bookmarkStart w:id="416" w:name="_Toc181977612"/>
      <w:bookmarkStart w:id="417" w:name="_Toc191562458"/>
      <w:bookmarkStart w:id="418" w:name="_Toc181977886"/>
      <w:bookmarkStart w:id="419" w:name="_Toc112842263"/>
      <w:bookmarkStart w:id="420" w:name="_Toc79144694"/>
      <w:bookmarkStart w:id="421" w:name="_Toc79810690"/>
      <w:bookmarkStart w:id="422" w:name="_Toc168927921"/>
      <w:bookmarkStart w:id="423" w:name="_Toc85188997"/>
      <w:bookmarkStart w:id="424" w:name="_Toc23063"/>
      <w:bookmarkStart w:id="425" w:name="_Toc67892787"/>
      <w:r>
        <w:rPr>
          <w:rFonts w:hint="default" w:ascii="Times New Roman" w:hAnsi="Times New Roman" w:cs="Times New Roman"/>
          <w:szCs w:val="28"/>
        </w:rPr>
        <w:t>5.1.2施工期水环境影响分析</w:t>
      </w:r>
      <w:bookmarkEnd w:id="415"/>
      <w:bookmarkEnd w:id="416"/>
      <w:bookmarkEnd w:id="417"/>
      <w:bookmarkEnd w:id="418"/>
      <w:bookmarkEnd w:id="419"/>
      <w:bookmarkEnd w:id="420"/>
      <w:bookmarkEnd w:id="421"/>
      <w:bookmarkEnd w:id="422"/>
      <w:bookmarkEnd w:id="423"/>
      <w:bookmarkEnd w:id="424"/>
    </w:p>
    <w:p>
      <w:pPr>
        <w:widowControl/>
        <w:spacing w:line="360" w:lineRule="auto"/>
        <w:ind w:firstLine="482"/>
        <w:jc w:val="left"/>
        <w:rPr>
          <w:rFonts w:hint="default" w:ascii="Times New Roman" w:hAnsi="Times New Roman" w:cs="Times New Roman"/>
        </w:rPr>
      </w:pPr>
      <w:r>
        <w:rPr>
          <w:rFonts w:hint="default" w:ascii="Times New Roman" w:hAnsi="Times New Roman" w:cs="Times New Roman"/>
        </w:rPr>
        <w:t>根据工程分析可知，项目施工期主要进行设备安装，不涉及土建工程，施工期废水主要为施工人员盥洗废水，施工期间施工人员约为100人，不在项目区内食宿，项目工程施工人员废水产生量为2.0m</w:t>
      </w:r>
      <w:r>
        <w:rPr>
          <w:rFonts w:hint="default" w:ascii="Times New Roman" w:hAnsi="Times New Roman" w:cs="Times New Roman"/>
          <w:vertAlign w:val="superscript"/>
        </w:rPr>
        <w:t>3</w:t>
      </w:r>
      <w:r>
        <w:rPr>
          <w:rFonts w:hint="default" w:ascii="Times New Roman" w:hAnsi="Times New Roman" w:cs="Times New Roman"/>
        </w:rPr>
        <w:t>/d。该部分废水依托</w:t>
      </w:r>
      <w:r>
        <w:rPr>
          <w:rFonts w:hint="default" w:ascii="Times New Roman" w:hAnsi="Times New Roman" w:cs="Times New Roman"/>
          <w:lang w:eastAsia="zh-CN"/>
        </w:rPr>
        <w:t>厂区内</w:t>
      </w:r>
      <w:r>
        <w:rPr>
          <w:rFonts w:hint="default" w:ascii="Times New Roman" w:hAnsi="Times New Roman" w:cs="Times New Roman"/>
        </w:rPr>
        <w:t>已建设的化粪池处理后排入市政污水管网，最终进入</w:t>
      </w:r>
      <w:r>
        <w:rPr>
          <w:rFonts w:hint="default" w:ascii="Times New Roman" w:hAnsi="Times New Roman" w:cs="Times New Roman"/>
          <w:lang w:eastAsia="zh-CN"/>
        </w:rPr>
        <w:t>楚雄市富民工业园区污水处理厂进行处理</w:t>
      </w:r>
      <w:r>
        <w:rPr>
          <w:rFonts w:hint="default" w:ascii="Times New Roman" w:hAnsi="Times New Roman" w:cs="Times New Roman"/>
        </w:rPr>
        <w:t>。</w:t>
      </w:r>
    </w:p>
    <w:p>
      <w:pPr>
        <w:pStyle w:val="6"/>
        <w:spacing w:before="0" w:after="0" w:line="360" w:lineRule="auto"/>
        <w:rPr>
          <w:rFonts w:hint="default" w:ascii="Times New Roman" w:hAnsi="Times New Roman" w:cs="Times New Roman"/>
          <w:szCs w:val="28"/>
        </w:rPr>
      </w:pPr>
      <w:bookmarkStart w:id="426" w:name="_Toc112842264"/>
      <w:bookmarkStart w:id="427" w:name="_Toc191562459"/>
      <w:bookmarkStart w:id="428" w:name="_Toc79810692"/>
      <w:bookmarkStart w:id="429" w:name="_Toc85188998"/>
      <w:bookmarkStart w:id="430" w:name="_Toc181977065"/>
      <w:bookmarkStart w:id="431" w:name="_Toc79144695"/>
      <w:bookmarkStart w:id="432" w:name="_Toc168927922"/>
      <w:bookmarkStart w:id="433" w:name="_Toc181977887"/>
      <w:bookmarkStart w:id="434" w:name="_Toc181977613"/>
      <w:bookmarkStart w:id="435" w:name="_Toc12645"/>
      <w:r>
        <w:rPr>
          <w:rFonts w:hint="default" w:ascii="Times New Roman" w:hAnsi="Times New Roman" w:cs="Times New Roman"/>
          <w:szCs w:val="28"/>
        </w:rPr>
        <w:t>5.1.3固体废弃物环境影响分析</w:t>
      </w:r>
      <w:bookmarkEnd w:id="426"/>
      <w:bookmarkEnd w:id="427"/>
      <w:bookmarkEnd w:id="428"/>
      <w:bookmarkEnd w:id="429"/>
      <w:bookmarkEnd w:id="430"/>
      <w:bookmarkEnd w:id="431"/>
      <w:bookmarkEnd w:id="432"/>
      <w:bookmarkEnd w:id="433"/>
      <w:bookmarkEnd w:id="434"/>
      <w:bookmarkEnd w:id="435"/>
    </w:p>
    <w:p>
      <w:pPr>
        <w:widowControl/>
        <w:spacing w:line="360" w:lineRule="auto"/>
        <w:ind w:firstLine="482"/>
        <w:jc w:val="left"/>
        <w:rPr>
          <w:rFonts w:hint="default" w:ascii="Times New Roman" w:hAnsi="Times New Roman" w:cs="Times New Roman"/>
          <w:b/>
        </w:rPr>
      </w:pPr>
      <w:bookmarkStart w:id="436" w:name="_Toc79810693"/>
      <w:r>
        <w:rPr>
          <w:rFonts w:hint="default" w:ascii="Times New Roman" w:hAnsi="Times New Roman" w:cs="Times New Roman"/>
        </w:rPr>
        <w:t>设备安装产生的废弃包装物，产生量约为1t，可外售给废旧资源回收企业；施工期间施工人员约为100人，按0.5kg/d·人的垃圾产生量计算，生活垃圾产生量为50kg/d、18t/a，集中收集一起委托环卫部门定期清运。</w:t>
      </w:r>
    </w:p>
    <w:p>
      <w:pPr>
        <w:pStyle w:val="6"/>
        <w:spacing w:before="0" w:after="0" w:line="360" w:lineRule="auto"/>
        <w:rPr>
          <w:rFonts w:hint="default" w:ascii="Times New Roman" w:hAnsi="Times New Roman" w:cs="Times New Roman"/>
          <w:szCs w:val="28"/>
        </w:rPr>
      </w:pPr>
      <w:bookmarkStart w:id="437" w:name="_Toc181977888"/>
      <w:bookmarkStart w:id="438" w:name="_Toc181977614"/>
      <w:bookmarkStart w:id="439" w:name="_Toc168927923"/>
      <w:bookmarkStart w:id="440" w:name="_Toc181977066"/>
      <w:bookmarkStart w:id="441" w:name="_Toc191562460"/>
      <w:bookmarkStart w:id="442" w:name="_Toc112842265"/>
      <w:bookmarkStart w:id="443" w:name="_Toc79144696"/>
      <w:bookmarkStart w:id="444" w:name="_Toc85188999"/>
      <w:bookmarkStart w:id="445" w:name="_Toc12841"/>
      <w:r>
        <w:rPr>
          <w:rFonts w:hint="default" w:ascii="Times New Roman" w:hAnsi="Times New Roman" w:cs="Times New Roman"/>
          <w:szCs w:val="28"/>
        </w:rPr>
        <w:t>5.1.4噪声对周围环境的影响分析</w:t>
      </w:r>
      <w:bookmarkEnd w:id="436"/>
      <w:bookmarkEnd w:id="437"/>
      <w:bookmarkEnd w:id="438"/>
      <w:bookmarkEnd w:id="439"/>
      <w:bookmarkEnd w:id="440"/>
      <w:bookmarkEnd w:id="441"/>
      <w:bookmarkEnd w:id="442"/>
      <w:bookmarkEnd w:id="443"/>
      <w:bookmarkEnd w:id="444"/>
      <w:bookmarkEnd w:id="445"/>
    </w:p>
    <w:p>
      <w:pPr>
        <w:adjustRightInd w:val="0"/>
        <w:snapToGrid w:val="0"/>
        <w:spacing w:line="360" w:lineRule="auto"/>
        <w:ind w:firstLine="482"/>
        <w:rPr>
          <w:rFonts w:hint="default" w:ascii="Times New Roman" w:hAnsi="Times New Roman" w:cs="Times New Roman"/>
          <w:kern w:val="0"/>
        </w:rPr>
      </w:pPr>
      <w:r>
        <w:rPr>
          <w:rFonts w:hint="default" w:ascii="Times New Roman" w:hAnsi="Times New Roman" w:cs="Times New Roman"/>
          <w:kern w:val="0"/>
        </w:rPr>
        <w:t>施工噪声主要为设备安装产生的机械噪声以及交通运输噪声，多为瞬时噪声，且设备安装多在室内进行，经厂房隔声、距离衰减后对外环境影响较小。</w:t>
      </w:r>
    </w:p>
    <w:p>
      <w:pPr>
        <w:pStyle w:val="6"/>
        <w:spacing w:before="0" w:after="0" w:line="360" w:lineRule="auto"/>
        <w:rPr>
          <w:rFonts w:hint="default" w:ascii="Times New Roman" w:hAnsi="Times New Roman" w:cs="Times New Roman"/>
          <w:szCs w:val="28"/>
        </w:rPr>
      </w:pPr>
      <w:bookmarkStart w:id="446" w:name="_Toc79144697"/>
      <w:bookmarkStart w:id="447" w:name="_Toc11455"/>
      <w:r>
        <w:rPr>
          <w:rFonts w:hint="default" w:ascii="Times New Roman" w:hAnsi="Times New Roman" w:cs="Times New Roman"/>
          <w:szCs w:val="28"/>
        </w:rPr>
        <w:t>5.1.5生态环境的影响分析</w:t>
      </w:r>
      <w:bookmarkEnd w:id="446"/>
      <w:bookmarkEnd w:id="447"/>
    </w:p>
    <w:p>
      <w:pPr>
        <w:adjustRightInd w:val="0"/>
        <w:snapToGrid w:val="0"/>
        <w:spacing w:line="360" w:lineRule="auto"/>
        <w:ind w:firstLine="482"/>
        <w:rPr>
          <w:rFonts w:hint="default" w:ascii="Times New Roman" w:hAnsi="Times New Roman" w:cs="Times New Roman"/>
        </w:rPr>
      </w:pPr>
      <w:r>
        <w:rPr>
          <w:rFonts w:hint="default" w:ascii="Times New Roman" w:hAnsi="Times New Roman" w:cs="Times New Roman"/>
        </w:rPr>
        <w:t>本项目在</w:t>
      </w:r>
      <w:r>
        <w:rPr>
          <w:rFonts w:hint="default" w:ascii="Times New Roman" w:hAnsi="Times New Roman" w:cs="Times New Roman"/>
          <w:lang w:eastAsia="zh-CN"/>
        </w:rPr>
        <w:t>已建成厂区内建设，仅进行设备安装，不涉及土石方开挖回填</w:t>
      </w:r>
      <w:r>
        <w:rPr>
          <w:rFonts w:hint="default" w:ascii="Times New Roman" w:hAnsi="Times New Roman" w:cs="Times New Roman"/>
        </w:rPr>
        <w:t>，且厂房及基础设施均依托原有项目，不会对周边生态环境造成较大影响。</w:t>
      </w:r>
    </w:p>
    <w:bookmarkEnd w:id="425"/>
    <w:p>
      <w:pPr>
        <w:pStyle w:val="4"/>
        <w:spacing w:before="0" w:after="0" w:line="360" w:lineRule="auto"/>
        <w:rPr>
          <w:rFonts w:hint="default" w:ascii="Times New Roman" w:hAnsi="Times New Roman" w:eastAsia="宋体" w:cs="Times New Roman"/>
          <w:color w:val="auto"/>
          <w:sz w:val="28"/>
          <w:szCs w:val="28"/>
        </w:rPr>
      </w:pPr>
      <w:bookmarkStart w:id="448" w:name="_Toc21384"/>
      <w:r>
        <w:rPr>
          <w:rFonts w:hint="default" w:ascii="Times New Roman" w:hAnsi="Times New Roman" w:eastAsia="宋体" w:cs="Times New Roman"/>
          <w:color w:val="auto"/>
          <w:sz w:val="28"/>
          <w:szCs w:val="28"/>
          <w:lang w:val="en-US" w:eastAsia="zh-CN"/>
        </w:rPr>
        <w:t>5</w:t>
      </w:r>
      <w:r>
        <w:rPr>
          <w:rFonts w:hint="default" w:ascii="Times New Roman" w:hAnsi="Times New Roman" w:eastAsia="宋体" w:cs="Times New Roman"/>
          <w:color w:val="auto"/>
          <w:sz w:val="28"/>
          <w:szCs w:val="28"/>
        </w:rPr>
        <w:t>.2运营期环境影响分析</w:t>
      </w:r>
      <w:bookmarkEnd w:id="413"/>
      <w:bookmarkEnd w:id="414"/>
      <w:bookmarkEnd w:id="448"/>
    </w:p>
    <w:p>
      <w:pPr>
        <w:pStyle w:val="6"/>
        <w:spacing w:before="0" w:after="0" w:line="360" w:lineRule="auto"/>
        <w:rPr>
          <w:rFonts w:hint="default" w:ascii="Times New Roman" w:hAnsi="Times New Roman" w:cs="Times New Roman"/>
          <w:color w:val="auto"/>
          <w:szCs w:val="28"/>
        </w:rPr>
      </w:pPr>
      <w:bookmarkStart w:id="449" w:name="_Toc24974"/>
      <w:bookmarkStart w:id="450" w:name="_Toc76771169"/>
      <w:bookmarkStart w:id="451" w:name="_Toc8555"/>
      <w:bookmarkStart w:id="452" w:name="_Toc13307"/>
      <w:r>
        <w:rPr>
          <w:rFonts w:hint="default" w:ascii="Times New Roman" w:hAnsi="Times New Roman" w:cs="Times New Roman"/>
          <w:color w:val="auto"/>
          <w:szCs w:val="28"/>
          <w:lang w:val="en-US" w:eastAsia="zh-CN"/>
        </w:rPr>
        <w:t>5</w:t>
      </w:r>
      <w:r>
        <w:rPr>
          <w:rFonts w:hint="default" w:ascii="Times New Roman" w:hAnsi="Times New Roman" w:cs="Times New Roman"/>
          <w:color w:val="auto"/>
          <w:szCs w:val="28"/>
        </w:rPr>
        <w:t>.2.1运营期环境空气影响分析</w:t>
      </w:r>
      <w:bookmarkEnd w:id="449"/>
      <w:bookmarkEnd w:id="450"/>
      <w:bookmarkEnd w:id="451"/>
      <w:bookmarkEnd w:id="452"/>
    </w:p>
    <w:p>
      <w:pPr>
        <w:spacing w:line="360" w:lineRule="auto"/>
        <w:ind w:firstLine="482" w:firstLineChars="200"/>
        <w:rPr>
          <w:rFonts w:hint="default" w:ascii="Times New Roman" w:hAnsi="Times New Roman" w:cs="Times New Roman"/>
          <w:b/>
          <w:bCs/>
        </w:rPr>
      </w:pPr>
      <w:r>
        <w:rPr>
          <w:rFonts w:hint="default" w:ascii="Times New Roman" w:hAnsi="Times New Roman" w:cs="Times New Roman"/>
          <w:b/>
          <w:bCs/>
        </w:rPr>
        <w:t>1、楚雄市气象特征分析</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楚雄市年平均气温为16.77℃，</w:t>
      </w:r>
      <w:r>
        <w:rPr>
          <w:rFonts w:hint="default" w:ascii="Times New Roman" w:hAnsi="Times New Roman" w:cs="Times New Roman"/>
          <w:snapToGrid w:val="0"/>
        </w:rPr>
        <w:t>多年最高气温为34.20℃(出现时间：2014.6.3)，多年最低气温为-2.50℃(出现时间：1999.1.22)。</w:t>
      </w:r>
      <w:r>
        <w:rPr>
          <w:rFonts w:hint="default" w:ascii="Times New Roman" w:hAnsi="Times New Roman" w:cs="Times New Roman"/>
        </w:rPr>
        <w:t>年平均降雨量为872.77mm。降雨相对集中，干雨季分明，6~10月分为雨季，降雨量占年降雨量的80%，11月至来年5月为干季，降雨量占年降雨量的20%。年平均日照时为2054.22小时。年平均相对湿度为66.54%。主导风向为西南风，历年平均风速为2.03m/s，静风率14.21%。</w:t>
      </w:r>
    </w:p>
    <w:p>
      <w:pPr>
        <w:numPr>
          <w:ilvl w:val="0"/>
          <w:numId w:val="17"/>
        </w:numPr>
        <w:spacing w:line="360" w:lineRule="auto"/>
        <w:ind w:firstLine="482" w:firstLineChars="200"/>
        <w:rPr>
          <w:rFonts w:hint="default" w:ascii="Times New Roman" w:hAnsi="Times New Roman" w:cs="Times New Roman"/>
          <w:b/>
          <w:bCs/>
        </w:rPr>
      </w:pPr>
      <w:r>
        <w:rPr>
          <w:rFonts w:hint="default" w:ascii="Times New Roman" w:hAnsi="Times New Roman" w:cs="Times New Roman"/>
          <w:b/>
          <w:bCs/>
        </w:rPr>
        <w:t>大气环境影响预测</w:t>
      </w:r>
    </w:p>
    <w:p>
      <w:pPr>
        <w:autoSpaceDE w:val="0"/>
        <w:autoSpaceDN w:val="0"/>
        <w:adjustRightInd w:val="0"/>
        <w:spacing w:line="360" w:lineRule="auto"/>
        <w:ind w:firstLine="480" w:firstLineChars="200"/>
        <w:rPr>
          <w:rFonts w:hint="default" w:ascii="Times New Roman" w:hAnsi="Times New Roman" w:cs="Times New Roman"/>
          <w:bCs/>
        </w:rPr>
      </w:pPr>
      <w:r>
        <w:rPr>
          <w:rFonts w:hint="default" w:ascii="Times New Roman" w:hAnsi="Times New Roman" w:cs="Times New Roman"/>
          <w:bCs/>
        </w:rPr>
        <w:t>（1）预测因子</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由前文分析可知，本次评价选取有组织排放的PM</w:t>
      </w:r>
      <w:r>
        <w:rPr>
          <w:rFonts w:hint="default" w:ascii="Times New Roman" w:hAnsi="Times New Roman" w:cs="Times New Roman"/>
          <w:vertAlign w:val="subscript"/>
        </w:rPr>
        <w:t>10</w:t>
      </w:r>
      <w:r>
        <w:rPr>
          <w:rFonts w:hint="default" w:ascii="Times New Roman" w:hAnsi="Times New Roman" w:cs="Times New Roman"/>
        </w:rPr>
        <w:t>、氟化物、NOx、VOCs以及无组织排放的VOCs作为影响预测评价因子。</w:t>
      </w:r>
    </w:p>
    <w:p>
      <w:pPr>
        <w:spacing w:line="360" w:lineRule="auto"/>
        <w:ind w:firstLine="480" w:firstLineChars="200"/>
        <w:rPr>
          <w:rFonts w:hint="default" w:ascii="Times New Roman" w:hAnsi="Times New Roman" w:cs="Times New Roman"/>
          <w:bCs/>
        </w:rPr>
      </w:pPr>
      <w:r>
        <w:rPr>
          <w:rFonts w:hint="default" w:ascii="Times New Roman" w:hAnsi="Times New Roman" w:cs="Times New Roman"/>
        </w:rPr>
        <w:t>（2）污染源源强</w:t>
      </w:r>
    </w:p>
    <w:p>
      <w:pPr>
        <w:autoSpaceDE w:val="0"/>
        <w:autoSpaceDN w:val="0"/>
        <w:adjustRightInd w:val="0"/>
        <w:spacing w:line="360" w:lineRule="auto"/>
        <w:ind w:firstLine="480" w:firstLineChars="200"/>
        <w:rPr>
          <w:rFonts w:hint="default" w:ascii="Times New Roman" w:hAnsi="Times New Roman" w:cs="Times New Roman"/>
          <w:bCs/>
        </w:rPr>
      </w:pPr>
      <w:r>
        <w:rPr>
          <w:rFonts w:hint="default" w:ascii="Times New Roman" w:hAnsi="Times New Roman" w:cs="Times New Roman"/>
          <w:bCs/>
        </w:rPr>
        <w:t>本项目大气污染物均依托原有项目排气筒排放，因此，污染源源强需叠加原有项目污染物源强进行预测，叠加后预测源强详见下表。</w:t>
      </w:r>
    </w:p>
    <w:p>
      <w:pPr>
        <w:pStyle w:val="133"/>
        <w:numPr>
          <w:ilvl w:val="0"/>
          <w:numId w:val="18"/>
        </w:numPr>
        <w:spacing w:line="360" w:lineRule="auto"/>
        <w:ind w:left="0" w:firstLine="0" w:firstLineChars="0"/>
        <w:jc w:val="center"/>
        <w:rPr>
          <w:rFonts w:hint="default" w:ascii="Times New Roman" w:hAnsi="Times New Roman" w:cs="Times New Roman"/>
          <w:b/>
        </w:rPr>
        <w:sectPr>
          <w:pgSz w:w="11906" w:h="16838"/>
          <w:pgMar w:top="1440" w:right="1797" w:bottom="1440" w:left="1797" w:header="851" w:footer="992" w:gutter="0"/>
          <w:pgBorders>
            <w:top w:val="none" w:sz="0" w:space="0"/>
            <w:left w:val="none" w:sz="0" w:space="0"/>
            <w:bottom w:val="none" w:sz="0" w:space="0"/>
            <w:right w:val="none" w:sz="0" w:space="0"/>
          </w:pgBorders>
          <w:cols w:space="720" w:num="1"/>
          <w:docGrid w:linePitch="312" w:charSpace="0"/>
        </w:sectPr>
      </w:pPr>
    </w:p>
    <w:p>
      <w:pPr>
        <w:pStyle w:val="133"/>
        <w:numPr>
          <w:ilvl w:val="0"/>
          <w:numId w:val="18"/>
        </w:numPr>
        <w:spacing w:line="360" w:lineRule="auto"/>
        <w:ind w:left="0" w:firstLine="0" w:firstLineChars="0"/>
        <w:jc w:val="center"/>
        <w:rPr>
          <w:rFonts w:hint="default" w:ascii="Times New Roman" w:hAnsi="Times New Roman" w:cs="Times New Roman"/>
          <w:b/>
        </w:rPr>
      </w:pPr>
      <w:r>
        <w:rPr>
          <w:rFonts w:hint="default" w:ascii="Times New Roman" w:hAnsi="Times New Roman" w:cs="Times New Roman"/>
          <w:b/>
        </w:rPr>
        <w:t>项目点源参数调查清单</w:t>
      </w:r>
    </w:p>
    <w:tbl>
      <w:tblPr>
        <w:tblStyle w:val="44"/>
        <w:tblW w:w="143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7"/>
        <w:gridCol w:w="1097"/>
        <w:gridCol w:w="1120"/>
        <w:gridCol w:w="1043"/>
        <w:gridCol w:w="1471"/>
        <w:gridCol w:w="1134"/>
        <w:gridCol w:w="851"/>
        <w:gridCol w:w="930"/>
        <w:gridCol w:w="1054"/>
        <w:gridCol w:w="1197"/>
        <w:gridCol w:w="959"/>
        <w:gridCol w:w="1179"/>
        <w:gridCol w:w="11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1097" w:type="dxa"/>
            <w:vMerge w:val="restart"/>
            <w:vAlign w:val="center"/>
          </w:tcPr>
          <w:p>
            <w:pPr>
              <w:autoSpaceDE w:val="0"/>
              <w:autoSpaceDN w:val="0"/>
              <w:adjustRightInd w:val="0"/>
              <w:jc w:val="center"/>
              <w:rPr>
                <w:rFonts w:hint="default" w:ascii="Times New Roman" w:hAnsi="Times New Roman" w:cs="Times New Roman"/>
                <w:bCs/>
                <w:sz w:val="21"/>
                <w:szCs w:val="21"/>
              </w:rPr>
            </w:pPr>
            <w:r>
              <w:rPr>
                <w:rFonts w:hint="default" w:ascii="Times New Roman" w:hAnsi="Times New Roman" w:cs="Times New Roman"/>
                <w:bCs/>
                <w:sz w:val="21"/>
                <w:szCs w:val="21"/>
              </w:rPr>
              <w:t>污染物</w:t>
            </w:r>
          </w:p>
        </w:tc>
        <w:tc>
          <w:tcPr>
            <w:tcW w:w="1097" w:type="dxa"/>
            <w:vMerge w:val="restart"/>
            <w:vAlign w:val="center"/>
          </w:tcPr>
          <w:p>
            <w:pPr>
              <w:autoSpaceDE w:val="0"/>
              <w:autoSpaceDN w:val="0"/>
              <w:adjustRightInd w:val="0"/>
              <w:jc w:val="center"/>
              <w:rPr>
                <w:rFonts w:hint="default" w:ascii="Times New Roman" w:hAnsi="Times New Roman" w:cs="Times New Roman"/>
                <w:bCs/>
                <w:sz w:val="21"/>
                <w:szCs w:val="21"/>
              </w:rPr>
            </w:pPr>
            <w:r>
              <w:rPr>
                <w:rFonts w:hint="default" w:ascii="Times New Roman" w:hAnsi="Times New Roman" w:cs="Times New Roman"/>
                <w:bCs/>
                <w:sz w:val="21"/>
                <w:szCs w:val="21"/>
              </w:rPr>
              <w:t>排气筒名称</w:t>
            </w:r>
          </w:p>
        </w:tc>
        <w:tc>
          <w:tcPr>
            <w:tcW w:w="2163" w:type="dxa"/>
            <w:gridSpan w:val="2"/>
            <w:vAlign w:val="center"/>
          </w:tcPr>
          <w:p>
            <w:pPr>
              <w:autoSpaceDE w:val="0"/>
              <w:autoSpaceDN w:val="0"/>
              <w:adjustRightInd w:val="0"/>
              <w:jc w:val="center"/>
              <w:rPr>
                <w:rFonts w:hint="default" w:ascii="Times New Roman" w:hAnsi="Times New Roman" w:cs="Times New Roman"/>
                <w:bCs/>
                <w:sz w:val="21"/>
                <w:szCs w:val="21"/>
              </w:rPr>
            </w:pPr>
            <w:r>
              <w:rPr>
                <w:rFonts w:hint="default" w:ascii="Times New Roman" w:hAnsi="Times New Roman" w:cs="Times New Roman"/>
                <w:bCs/>
                <w:sz w:val="21"/>
                <w:szCs w:val="21"/>
              </w:rPr>
              <w:t>排气筒底部中心坐标</w:t>
            </w:r>
          </w:p>
        </w:tc>
        <w:tc>
          <w:tcPr>
            <w:tcW w:w="1471" w:type="dxa"/>
            <w:vMerge w:val="restart"/>
            <w:vAlign w:val="center"/>
          </w:tcPr>
          <w:p>
            <w:pPr>
              <w:autoSpaceDE w:val="0"/>
              <w:autoSpaceDN w:val="0"/>
              <w:adjustRightInd w:val="0"/>
              <w:jc w:val="center"/>
              <w:rPr>
                <w:rFonts w:hint="default" w:ascii="Times New Roman" w:hAnsi="Times New Roman" w:cs="Times New Roman"/>
                <w:bCs/>
                <w:sz w:val="21"/>
                <w:szCs w:val="21"/>
              </w:rPr>
            </w:pPr>
            <w:r>
              <w:rPr>
                <w:rFonts w:hint="default" w:ascii="Times New Roman" w:hAnsi="Times New Roman" w:cs="Times New Roman"/>
                <w:bCs/>
                <w:sz w:val="21"/>
                <w:szCs w:val="21"/>
              </w:rPr>
              <w:t>排气筒底部海拔高度/m</w:t>
            </w:r>
          </w:p>
        </w:tc>
        <w:tc>
          <w:tcPr>
            <w:tcW w:w="1134" w:type="dxa"/>
            <w:vMerge w:val="restart"/>
            <w:vAlign w:val="center"/>
          </w:tcPr>
          <w:p>
            <w:pPr>
              <w:autoSpaceDE w:val="0"/>
              <w:autoSpaceDN w:val="0"/>
              <w:adjustRightInd w:val="0"/>
              <w:jc w:val="center"/>
              <w:rPr>
                <w:rFonts w:hint="default" w:ascii="Times New Roman" w:hAnsi="Times New Roman" w:cs="Times New Roman"/>
                <w:bCs/>
                <w:sz w:val="21"/>
                <w:szCs w:val="21"/>
              </w:rPr>
            </w:pPr>
            <w:r>
              <w:rPr>
                <w:rFonts w:hint="default" w:ascii="Times New Roman" w:hAnsi="Times New Roman" w:cs="Times New Roman"/>
                <w:bCs/>
                <w:sz w:val="21"/>
                <w:szCs w:val="21"/>
              </w:rPr>
              <w:t>排气筒高度m</w:t>
            </w:r>
          </w:p>
        </w:tc>
        <w:tc>
          <w:tcPr>
            <w:tcW w:w="851" w:type="dxa"/>
            <w:vMerge w:val="restart"/>
            <w:vAlign w:val="center"/>
          </w:tcPr>
          <w:p>
            <w:pPr>
              <w:autoSpaceDE w:val="0"/>
              <w:autoSpaceDN w:val="0"/>
              <w:adjustRightInd w:val="0"/>
              <w:jc w:val="center"/>
              <w:rPr>
                <w:rFonts w:hint="default" w:ascii="Times New Roman" w:hAnsi="Times New Roman" w:cs="Times New Roman"/>
                <w:bCs/>
                <w:sz w:val="21"/>
                <w:szCs w:val="21"/>
              </w:rPr>
            </w:pPr>
            <w:r>
              <w:rPr>
                <w:rFonts w:hint="default" w:ascii="Times New Roman" w:hAnsi="Times New Roman" w:cs="Times New Roman"/>
                <w:bCs/>
                <w:sz w:val="21"/>
                <w:szCs w:val="21"/>
              </w:rPr>
              <w:t>排气筒内径m</w:t>
            </w:r>
          </w:p>
        </w:tc>
        <w:tc>
          <w:tcPr>
            <w:tcW w:w="930" w:type="dxa"/>
            <w:vMerge w:val="restart"/>
            <w:vAlign w:val="center"/>
          </w:tcPr>
          <w:p>
            <w:pPr>
              <w:autoSpaceDE w:val="0"/>
              <w:autoSpaceDN w:val="0"/>
              <w:adjustRightInd w:val="0"/>
              <w:jc w:val="center"/>
              <w:rPr>
                <w:rFonts w:hint="default" w:ascii="Times New Roman" w:hAnsi="Times New Roman" w:cs="Times New Roman"/>
                <w:bCs/>
                <w:sz w:val="21"/>
                <w:szCs w:val="21"/>
              </w:rPr>
            </w:pPr>
            <w:r>
              <w:rPr>
                <w:rFonts w:hint="default" w:ascii="Times New Roman" w:hAnsi="Times New Roman" w:cs="Times New Roman"/>
                <w:bCs/>
                <w:sz w:val="21"/>
                <w:szCs w:val="21"/>
              </w:rPr>
              <w:t>烟气温度℃</w:t>
            </w:r>
          </w:p>
        </w:tc>
        <w:tc>
          <w:tcPr>
            <w:tcW w:w="1054" w:type="dxa"/>
            <w:vMerge w:val="restart"/>
            <w:vAlign w:val="center"/>
          </w:tcPr>
          <w:p>
            <w:pPr>
              <w:autoSpaceDE w:val="0"/>
              <w:autoSpaceDN w:val="0"/>
              <w:adjustRightInd w:val="0"/>
              <w:jc w:val="center"/>
              <w:rPr>
                <w:rFonts w:hint="default" w:ascii="Times New Roman" w:hAnsi="Times New Roman" w:cs="Times New Roman"/>
                <w:bCs/>
                <w:sz w:val="21"/>
                <w:szCs w:val="21"/>
              </w:rPr>
            </w:pPr>
            <w:r>
              <w:rPr>
                <w:rFonts w:hint="default" w:ascii="Times New Roman" w:hAnsi="Times New Roman" w:cs="Times New Roman"/>
                <w:bCs/>
                <w:sz w:val="21"/>
                <w:szCs w:val="21"/>
              </w:rPr>
              <w:t>年排放小时数h</w:t>
            </w:r>
          </w:p>
        </w:tc>
        <w:tc>
          <w:tcPr>
            <w:tcW w:w="1197" w:type="dxa"/>
            <w:vMerge w:val="restart"/>
            <w:vAlign w:val="center"/>
          </w:tcPr>
          <w:p>
            <w:pPr>
              <w:autoSpaceDE w:val="0"/>
              <w:autoSpaceDN w:val="0"/>
              <w:adjustRightInd w:val="0"/>
              <w:jc w:val="center"/>
              <w:rPr>
                <w:rFonts w:hint="default" w:ascii="Times New Roman" w:hAnsi="Times New Roman" w:cs="Times New Roman"/>
                <w:bCs/>
                <w:sz w:val="21"/>
                <w:szCs w:val="21"/>
              </w:rPr>
            </w:pPr>
            <w:r>
              <w:rPr>
                <w:rFonts w:hint="default" w:ascii="Times New Roman" w:hAnsi="Times New Roman" w:cs="Times New Roman"/>
                <w:bCs/>
                <w:sz w:val="21"/>
                <w:szCs w:val="21"/>
              </w:rPr>
              <w:t>排放工况</w:t>
            </w:r>
          </w:p>
        </w:tc>
        <w:tc>
          <w:tcPr>
            <w:tcW w:w="2138" w:type="dxa"/>
            <w:gridSpan w:val="2"/>
            <w:vMerge w:val="restart"/>
            <w:vAlign w:val="center"/>
          </w:tcPr>
          <w:p>
            <w:pPr>
              <w:autoSpaceDE w:val="0"/>
              <w:autoSpaceDN w:val="0"/>
              <w:adjustRightInd w:val="0"/>
              <w:jc w:val="center"/>
              <w:rPr>
                <w:rFonts w:hint="default" w:ascii="Times New Roman" w:hAnsi="Times New Roman" w:cs="Times New Roman"/>
                <w:bCs/>
                <w:sz w:val="21"/>
                <w:szCs w:val="21"/>
              </w:rPr>
            </w:pPr>
            <w:r>
              <w:rPr>
                <w:rFonts w:hint="default" w:ascii="Times New Roman" w:hAnsi="Times New Roman" w:cs="Times New Roman"/>
                <w:bCs/>
                <w:sz w:val="21"/>
                <w:szCs w:val="21"/>
              </w:rPr>
              <w:t>最大排放速率kg/h</w:t>
            </w:r>
          </w:p>
        </w:tc>
        <w:tc>
          <w:tcPr>
            <w:tcW w:w="1179" w:type="dxa"/>
            <w:vMerge w:val="restart"/>
            <w:vAlign w:val="center"/>
          </w:tcPr>
          <w:p>
            <w:pPr>
              <w:autoSpaceDE w:val="0"/>
              <w:autoSpaceDN w:val="0"/>
              <w:adjustRightInd w:val="0"/>
              <w:jc w:val="center"/>
              <w:rPr>
                <w:rFonts w:hint="default" w:ascii="Times New Roman" w:hAnsi="Times New Roman" w:cs="Times New Roman"/>
                <w:bCs/>
                <w:sz w:val="21"/>
                <w:szCs w:val="21"/>
              </w:rPr>
            </w:pPr>
            <w:r>
              <w:rPr>
                <w:rFonts w:hint="default" w:ascii="Times New Roman" w:hAnsi="Times New Roman" w:cs="Times New Roman"/>
                <w:bCs/>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097" w:type="dxa"/>
            <w:vMerge w:val="continue"/>
            <w:vAlign w:val="center"/>
          </w:tcPr>
          <w:p>
            <w:pPr>
              <w:autoSpaceDE w:val="0"/>
              <w:autoSpaceDN w:val="0"/>
              <w:adjustRightInd w:val="0"/>
              <w:jc w:val="center"/>
              <w:rPr>
                <w:rFonts w:hint="default" w:ascii="Times New Roman" w:hAnsi="Times New Roman" w:cs="Times New Roman"/>
                <w:bCs/>
                <w:sz w:val="21"/>
                <w:szCs w:val="21"/>
              </w:rPr>
            </w:pPr>
          </w:p>
        </w:tc>
        <w:tc>
          <w:tcPr>
            <w:tcW w:w="1097" w:type="dxa"/>
            <w:vMerge w:val="continue"/>
            <w:vAlign w:val="center"/>
          </w:tcPr>
          <w:p>
            <w:pPr>
              <w:autoSpaceDE w:val="0"/>
              <w:autoSpaceDN w:val="0"/>
              <w:adjustRightInd w:val="0"/>
              <w:jc w:val="center"/>
              <w:rPr>
                <w:rFonts w:hint="default" w:ascii="Times New Roman" w:hAnsi="Times New Roman" w:cs="Times New Roman"/>
                <w:bCs/>
                <w:sz w:val="21"/>
                <w:szCs w:val="21"/>
              </w:rPr>
            </w:pPr>
          </w:p>
        </w:tc>
        <w:tc>
          <w:tcPr>
            <w:tcW w:w="1120" w:type="dxa"/>
            <w:vAlign w:val="center"/>
          </w:tcPr>
          <w:p>
            <w:pPr>
              <w:autoSpaceDE w:val="0"/>
              <w:autoSpaceDN w:val="0"/>
              <w:adjustRightInd w:val="0"/>
              <w:jc w:val="center"/>
              <w:rPr>
                <w:rFonts w:hint="default" w:ascii="Times New Roman" w:hAnsi="Times New Roman" w:cs="Times New Roman"/>
                <w:bCs/>
                <w:sz w:val="21"/>
                <w:szCs w:val="21"/>
              </w:rPr>
            </w:pPr>
            <w:r>
              <w:rPr>
                <w:rFonts w:hint="default" w:ascii="Times New Roman" w:hAnsi="Times New Roman" w:cs="Times New Roman"/>
                <w:bCs/>
                <w:sz w:val="21"/>
                <w:szCs w:val="21"/>
              </w:rPr>
              <w:t>X</w:t>
            </w:r>
          </w:p>
        </w:tc>
        <w:tc>
          <w:tcPr>
            <w:tcW w:w="1043" w:type="dxa"/>
            <w:vAlign w:val="center"/>
          </w:tcPr>
          <w:p>
            <w:pPr>
              <w:autoSpaceDE w:val="0"/>
              <w:autoSpaceDN w:val="0"/>
              <w:adjustRightInd w:val="0"/>
              <w:jc w:val="center"/>
              <w:rPr>
                <w:rFonts w:hint="default" w:ascii="Times New Roman" w:hAnsi="Times New Roman" w:cs="Times New Roman"/>
                <w:bCs/>
                <w:sz w:val="21"/>
                <w:szCs w:val="21"/>
              </w:rPr>
            </w:pPr>
            <w:r>
              <w:rPr>
                <w:rFonts w:hint="default" w:ascii="Times New Roman" w:hAnsi="Times New Roman" w:cs="Times New Roman"/>
                <w:bCs/>
                <w:sz w:val="21"/>
                <w:szCs w:val="21"/>
              </w:rPr>
              <w:t>Y</w:t>
            </w:r>
          </w:p>
        </w:tc>
        <w:tc>
          <w:tcPr>
            <w:tcW w:w="1471" w:type="dxa"/>
            <w:vMerge w:val="continue"/>
            <w:vAlign w:val="center"/>
          </w:tcPr>
          <w:p>
            <w:pPr>
              <w:autoSpaceDE w:val="0"/>
              <w:autoSpaceDN w:val="0"/>
              <w:adjustRightInd w:val="0"/>
              <w:jc w:val="center"/>
              <w:rPr>
                <w:rFonts w:hint="default" w:ascii="Times New Roman" w:hAnsi="Times New Roman" w:cs="Times New Roman"/>
                <w:bCs/>
                <w:sz w:val="21"/>
                <w:szCs w:val="21"/>
              </w:rPr>
            </w:pPr>
          </w:p>
        </w:tc>
        <w:tc>
          <w:tcPr>
            <w:tcW w:w="1134" w:type="dxa"/>
            <w:vMerge w:val="continue"/>
            <w:vAlign w:val="center"/>
          </w:tcPr>
          <w:p>
            <w:pPr>
              <w:autoSpaceDE w:val="0"/>
              <w:autoSpaceDN w:val="0"/>
              <w:adjustRightInd w:val="0"/>
              <w:jc w:val="center"/>
              <w:rPr>
                <w:rFonts w:hint="default" w:ascii="Times New Roman" w:hAnsi="Times New Roman" w:cs="Times New Roman"/>
                <w:bCs/>
                <w:sz w:val="21"/>
                <w:szCs w:val="21"/>
              </w:rPr>
            </w:pPr>
          </w:p>
        </w:tc>
        <w:tc>
          <w:tcPr>
            <w:tcW w:w="851" w:type="dxa"/>
            <w:vMerge w:val="continue"/>
            <w:vAlign w:val="center"/>
          </w:tcPr>
          <w:p>
            <w:pPr>
              <w:autoSpaceDE w:val="0"/>
              <w:autoSpaceDN w:val="0"/>
              <w:adjustRightInd w:val="0"/>
              <w:jc w:val="center"/>
              <w:rPr>
                <w:rFonts w:hint="default" w:ascii="Times New Roman" w:hAnsi="Times New Roman" w:cs="Times New Roman"/>
                <w:bCs/>
                <w:sz w:val="21"/>
                <w:szCs w:val="21"/>
              </w:rPr>
            </w:pPr>
          </w:p>
        </w:tc>
        <w:tc>
          <w:tcPr>
            <w:tcW w:w="930" w:type="dxa"/>
            <w:vMerge w:val="continue"/>
            <w:vAlign w:val="center"/>
          </w:tcPr>
          <w:p>
            <w:pPr>
              <w:autoSpaceDE w:val="0"/>
              <w:autoSpaceDN w:val="0"/>
              <w:adjustRightInd w:val="0"/>
              <w:jc w:val="center"/>
              <w:rPr>
                <w:rFonts w:hint="default" w:ascii="Times New Roman" w:hAnsi="Times New Roman" w:cs="Times New Roman"/>
                <w:bCs/>
                <w:sz w:val="21"/>
                <w:szCs w:val="21"/>
              </w:rPr>
            </w:pPr>
          </w:p>
        </w:tc>
        <w:tc>
          <w:tcPr>
            <w:tcW w:w="1054" w:type="dxa"/>
            <w:vMerge w:val="continue"/>
            <w:vAlign w:val="center"/>
          </w:tcPr>
          <w:p>
            <w:pPr>
              <w:autoSpaceDE w:val="0"/>
              <w:autoSpaceDN w:val="0"/>
              <w:adjustRightInd w:val="0"/>
              <w:jc w:val="center"/>
              <w:rPr>
                <w:rFonts w:hint="default" w:ascii="Times New Roman" w:hAnsi="Times New Roman" w:cs="Times New Roman"/>
                <w:bCs/>
                <w:sz w:val="21"/>
                <w:szCs w:val="21"/>
              </w:rPr>
            </w:pPr>
          </w:p>
        </w:tc>
        <w:tc>
          <w:tcPr>
            <w:tcW w:w="1197" w:type="dxa"/>
            <w:vMerge w:val="continue"/>
            <w:vAlign w:val="center"/>
          </w:tcPr>
          <w:p>
            <w:pPr>
              <w:autoSpaceDE w:val="0"/>
              <w:autoSpaceDN w:val="0"/>
              <w:adjustRightInd w:val="0"/>
              <w:jc w:val="center"/>
              <w:rPr>
                <w:rFonts w:hint="default" w:ascii="Times New Roman" w:hAnsi="Times New Roman" w:cs="Times New Roman"/>
                <w:bCs/>
                <w:sz w:val="21"/>
                <w:szCs w:val="21"/>
              </w:rPr>
            </w:pPr>
          </w:p>
        </w:tc>
        <w:tc>
          <w:tcPr>
            <w:tcW w:w="2138" w:type="dxa"/>
            <w:gridSpan w:val="2"/>
            <w:vMerge w:val="continue"/>
            <w:vAlign w:val="center"/>
          </w:tcPr>
          <w:p>
            <w:pPr>
              <w:autoSpaceDE w:val="0"/>
              <w:autoSpaceDN w:val="0"/>
              <w:adjustRightInd w:val="0"/>
              <w:jc w:val="center"/>
              <w:rPr>
                <w:rFonts w:hint="default" w:ascii="Times New Roman" w:hAnsi="Times New Roman" w:cs="Times New Roman"/>
                <w:bCs/>
                <w:sz w:val="21"/>
                <w:szCs w:val="21"/>
              </w:rPr>
            </w:pPr>
          </w:p>
        </w:tc>
        <w:tc>
          <w:tcPr>
            <w:tcW w:w="1179" w:type="dxa"/>
            <w:vMerge w:val="continue"/>
            <w:vAlign w:val="center"/>
          </w:tcPr>
          <w:p>
            <w:pPr>
              <w:autoSpaceDE w:val="0"/>
              <w:autoSpaceDN w:val="0"/>
              <w:adjustRightInd w:val="0"/>
              <w:jc w:val="center"/>
              <w:rPr>
                <w:rFonts w:hint="default" w:ascii="Times New Roman" w:hAnsi="Times New Roman" w:cs="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1097" w:type="dxa"/>
            <w:vMerge w:val="restart"/>
            <w:vAlign w:val="center"/>
          </w:tcPr>
          <w:p>
            <w:pPr>
              <w:autoSpaceDE w:val="0"/>
              <w:autoSpaceDN w:val="0"/>
              <w:adjustRightInd w:val="0"/>
              <w:jc w:val="center"/>
              <w:rPr>
                <w:rFonts w:hint="default" w:ascii="Times New Roman" w:hAnsi="Times New Roman" w:eastAsia="宋体" w:cs="Times New Roman"/>
                <w:bCs/>
                <w:sz w:val="21"/>
                <w:szCs w:val="21"/>
                <w:lang w:eastAsia="zh-CN"/>
              </w:rPr>
            </w:pPr>
            <w:r>
              <w:rPr>
                <w:rFonts w:hint="default" w:ascii="Times New Roman" w:hAnsi="Times New Roman" w:cs="Times New Roman"/>
                <w:bCs/>
                <w:sz w:val="21"/>
                <w:szCs w:val="21"/>
                <w:lang w:eastAsia="zh-CN"/>
              </w:rPr>
              <w:t>有机废气</w:t>
            </w:r>
          </w:p>
        </w:tc>
        <w:tc>
          <w:tcPr>
            <w:tcW w:w="1097" w:type="dxa"/>
            <w:vMerge w:val="restart"/>
            <w:vAlign w:val="center"/>
          </w:tcPr>
          <w:p>
            <w:pPr>
              <w:autoSpaceDE w:val="0"/>
              <w:autoSpaceDN w:val="0"/>
              <w:adjustRightInd w:val="0"/>
              <w:jc w:val="center"/>
              <w:rPr>
                <w:rFonts w:hint="default" w:ascii="Times New Roman" w:hAnsi="Times New Roman" w:eastAsia="宋体" w:cs="Times New Roman"/>
                <w:bCs/>
                <w:sz w:val="21"/>
                <w:szCs w:val="21"/>
                <w:lang w:eastAsia="zh-CN"/>
              </w:rPr>
            </w:pPr>
            <w:r>
              <w:rPr>
                <w:rFonts w:hint="default" w:ascii="Times New Roman" w:hAnsi="Times New Roman" w:cs="Times New Roman"/>
                <w:bCs/>
                <w:sz w:val="21"/>
                <w:szCs w:val="21"/>
              </w:rPr>
              <w:t>DA00</w:t>
            </w:r>
            <w:r>
              <w:rPr>
                <w:rFonts w:hint="default" w:ascii="Times New Roman" w:hAnsi="Times New Roman" w:cs="Times New Roman"/>
                <w:bCs/>
                <w:sz w:val="21"/>
                <w:szCs w:val="21"/>
                <w:lang w:val="en-US" w:eastAsia="zh-CN"/>
              </w:rPr>
              <w:t>8</w:t>
            </w:r>
          </w:p>
        </w:tc>
        <w:tc>
          <w:tcPr>
            <w:tcW w:w="1120" w:type="dxa"/>
            <w:vMerge w:val="restart"/>
            <w:vAlign w:val="center"/>
          </w:tcPr>
          <w:p>
            <w:pPr>
              <w:jc w:val="center"/>
              <w:rPr>
                <w:rFonts w:hint="default" w:ascii="Times New Roman" w:hAnsi="Times New Roman" w:eastAsia="宋体" w:cs="Times New Roman"/>
                <w:bCs/>
                <w:sz w:val="21"/>
                <w:szCs w:val="21"/>
                <w:lang w:val="en-US" w:eastAsia="zh-CN"/>
              </w:rPr>
            </w:pPr>
            <w:r>
              <w:rPr>
                <w:rFonts w:hint="default" w:ascii="Times New Roman" w:hAnsi="Times New Roman" w:cs="Times New Roman"/>
                <w:bCs/>
                <w:sz w:val="21"/>
                <w:szCs w:val="21"/>
                <w:lang w:val="en-US" w:eastAsia="zh-CN"/>
              </w:rPr>
              <w:t>101.36156</w:t>
            </w:r>
          </w:p>
        </w:tc>
        <w:tc>
          <w:tcPr>
            <w:tcW w:w="1043" w:type="dxa"/>
            <w:vMerge w:val="restart"/>
            <w:vAlign w:val="center"/>
          </w:tcPr>
          <w:p>
            <w:pPr>
              <w:jc w:val="center"/>
              <w:rPr>
                <w:rFonts w:hint="default" w:ascii="Times New Roman" w:hAnsi="Times New Roman" w:eastAsia="宋体" w:cs="Times New Roman"/>
                <w:bCs/>
                <w:sz w:val="21"/>
                <w:szCs w:val="21"/>
                <w:lang w:val="en-US" w:eastAsia="zh-CN"/>
              </w:rPr>
            </w:pPr>
            <w:r>
              <w:rPr>
                <w:rFonts w:hint="default" w:ascii="Times New Roman" w:hAnsi="Times New Roman" w:cs="Times New Roman"/>
                <w:bCs/>
                <w:sz w:val="21"/>
                <w:szCs w:val="21"/>
                <w:lang w:val="en-US" w:eastAsia="zh-CN"/>
              </w:rPr>
              <w:t>25.01367</w:t>
            </w:r>
          </w:p>
        </w:tc>
        <w:tc>
          <w:tcPr>
            <w:tcW w:w="1471" w:type="dxa"/>
            <w:vMerge w:val="restart"/>
            <w:vAlign w:val="center"/>
          </w:tcPr>
          <w:p>
            <w:pPr>
              <w:autoSpaceDE w:val="0"/>
              <w:autoSpaceDN w:val="0"/>
              <w:adjustRightInd w:val="0"/>
              <w:jc w:val="center"/>
              <w:rPr>
                <w:rFonts w:hint="default" w:ascii="Times New Roman" w:hAnsi="Times New Roman" w:eastAsia="宋体" w:cs="Times New Roman"/>
                <w:bCs/>
                <w:sz w:val="21"/>
                <w:szCs w:val="21"/>
                <w:lang w:val="en-US" w:eastAsia="zh-CN"/>
              </w:rPr>
            </w:pPr>
            <w:r>
              <w:rPr>
                <w:rFonts w:hint="default" w:ascii="Times New Roman" w:hAnsi="Times New Roman" w:cs="Times New Roman"/>
                <w:bCs/>
                <w:sz w:val="21"/>
                <w:szCs w:val="21"/>
                <w:lang w:val="en-US" w:eastAsia="zh-CN"/>
              </w:rPr>
              <w:t>1846</w:t>
            </w:r>
          </w:p>
        </w:tc>
        <w:tc>
          <w:tcPr>
            <w:tcW w:w="1134" w:type="dxa"/>
            <w:vMerge w:val="restart"/>
            <w:vAlign w:val="center"/>
          </w:tcPr>
          <w:p>
            <w:pPr>
              <w:autoSpaceDE w:val="0"/>
              <w:autoSpaceDN w:val="0"/>
              <w:adjustRightInd w:val="0"/>
              <w:jc w:val="center"/>
              <w:rPr>
                <w:rFonts w:hint="default" w:ascii="Times New Roman" w:hAnsi="Times New Roman" w:cs="Times New Roman"/>
                <w:bCs/>
                <w:sz w:val="21"/>
                <w:szCs w:val="21"/>
              </w:rPr>
            </w:pPr>
            <w:r>
              <w:rPr>
                <w:rFonts w:hint="default" w:ascii="Times New Roman" w:hAnsi="Times New Roman" w:cs="Times New Roman"/>
                <w:bCs/>
                <w:sz w:val="21"/>
                <w:szCs w:val="21"/>
                <w:lang w:val="en-US" w:eastAsia="zh-CN"/>
              </w:rPr>
              <w:t>1</w:t>
            </w:r>
            <w:r>
              <w:rPr>
                <w:rFonts w:hint="default" w:ascii="Times New Roman" w:hAnsi="Times New Roman" w:cs="Times New Roman"/>
                <w:bCs/>
                <w:sz w:val="21"/>
                <w:szCs w:val="21"/>
              </w:rPr>
              <w:t>5</w:t>
            </w:r>
          </w:p>
        </w:tc>
        <w:tc>
          <w:tcPr>
            <w:tcW w:w="851" w:type="dxa"/>
            <w:vMerge w:val="restart"/>
            <w:vAlign w:val="center"/>
          </w:tcPr>
          <w:p>
            <w:pPr>
              <w:autoSpaceDE w:val="0"/>
              <w:autoSpaceDN w:val="0"/>
              <w:adjustRightInd w:val="0"/>
              <w:jc w:val="center"/>
              <w:rPr>
                <w:rFonts w:hint="default" w:ascii="Times New Roman" w:hAnsi="Times New Roman" w:cs="Times New Roman"/>
                <w:bCs/>
                <w:sz w:val="21"/>
                <w:szCs w:val="21"/>
              </w:rPr>
            </w:pPr>
            <w:r>
              <w:rPr>
                <w:rFonts w:hint="default" w:ascii="Times New Roman" w:hAnsi="Times New Roman" w:cs="Times New Roman"/>
                <w:bCs/>
                <w:sz w:val="21"/>
                <w:szCs w:val="21"/>
              </w:rPr>
              <w:t>1.1</w:t>
            </w:r>
          </w:p>
        </w:tc>
        <w:tc>
          <w:tcPr>
            <w:tcW w:w="930" w:type="dxa"/>
            <w:vMerge w:val="restart"/>
            <w:vAlign w:val="center"/>
          </w:tcPr>
          <w:p>
            <w:pPr>
              <w:autoSpaceDE w:val="0"/>
              <w:autoSpaceDN w:val="0"/>
              <w:adjustRightInd w:val="0"/>
              <w:jc w:val="center"/>
              <w:rPr>
                <w:rFonts w:hint="default" w:ascii="Times New Roman" w:hAnsi="Times New Roman" w:cs="Times New Roman"/>
                <w:bCs/>
                <w:sz w:val="21"/>
                <w:szCs w:val="21"/>
              </w:rPr>
            </w:pPr>
            <w:r>
              <w:rPr>
                <w:rFonts w:hint="default" w:ascii="Times New Roman" w:hAnsi="Times New Roman" w:cs="Times New Roman"/>
                <w:bCs/>
                <w:sz w:val="21"/>
                <w:szCs w:val="21"/>
              </w:rPr>
              <w:t>25</w:t>
            </w:r>
          </w:p>
        </w:tc>
        <w:tc>
          <w:tcPr>
            <w:tcW w:w="1054" w:type="dxa"/>
            <w:vMerge w:val="restart"/>
            <w:vAlign w:val="center"/>
          </w:tcPr>
          <w:p>
            <w:pPr>
              <w:autoSpaceDE w:val="0"/>
              <w:autoSpaceDN w:val="0"/>
              <w:adjustRightInd w:val="0"/>
              <w:jc w:val="center"/>
              <w:rPr>
                <w:rFonts w:hint="default" w:ascii="Times New Roman" w:hAnsi="Times New Roman" w:eastAsia="宋体" w:cs="Times New Roman"/>
                <w:bCs/>
                <w:sz w:val="21"/>
                <w:szCs w:val="21"/>
                <w:lang w:val="en-US" w:eastAsia="zh-CN"/>
              </w:rPr>
            </w:pPr>
            <w:r>
              <w:rPr>
                <w:rFonts w:hint="default" w:ascii="Times New Roman" w:hAnsi="Times New Roman" w:cs="Times New Roman"/>
                <w:bCs/>
                <w:sz w:val="21"/>
                <w:szCs w:val="21"/>
                <w:lang w:val="en-US" w:eastAsia="zh-CN"/>
              </w:rPr>
              <w:t>8760</w:t>
            </w:r>
          </w:p>
        </w:tc>
        <w:tc>
          <w:tcPr>
            <w:tcW w:w="1197" w:type="dxa"/>
            <w:vMerge w:val="restart"/>
            <w:vAlign w:val="center"/>
          </w:tcPr>
          <w:p>
            <w:pPr>
              <w:autoSpaceDE w:val="0"/>
              <w:autoSpaceDN w:val="0"/>
              <w:adjustRightInd w:val="0"/>
              <w:jc w:val="center"/>
              <w:rPr>
                <w:rFonts w:hint="default" w:ascii="Times New Roman" w:hAnsi="Times New Roman" w:cs="Times New Roman"/>
                <w:bCs/>
                <w:sz w:val="21"/>
                <w:szCs w:val="21"/>
              </w:rPr>
            </w:pPr>
            <w:r>
              <w:rPr>
                <w:rFonts w:hint="default" w:ascii="Times New Roman" w:hAnsi="Times New Roman" w:cs="Times New Roman"/>
                <w:bCs/>
                <w:sz w:val="21"/>
                <w:szCs w:val="21"/>
              </w:rPr>
              <w:t>正常排放</w:t>
            </w:r>
          </w:p>
        </w:tc>
        <w:tc>
          <w:tcPr>
            <w:tcW w:w="959" w:type="dxa"/>
            <w:vAlign w:val="center"/>
          </w:tcPr>
          <w:p>
            <w:pPr>
              <w:autoSpaceDE w:val="0"/>
              <w:autoSpaceDN w:val="0"/>
              <w:adjustRightInd w:val="0"/>
              <w:jc w:val="center"/>
              <w:rPr>
                <w:rFonts w:hint="default" w:ascii="Times New Roman" w:hAnsi="Times New Roman" w:eastAsia="宋体" w:cs="Times New Roman"/>
                <w:bCs/>
                <w:sz w:val="21"/>
                <w:szCs w:val="21"/>
                <w:lang w:val="en-US" w:eastAsia="zh-CN"/>
              </w:rPr>
            </w:pPr>
            <w:r>
              <w:rPr>
                <w:rFonts w:hint="default" w:ascii="Times New Roman" w:hAnsi="Times New Roman" w:cs="Times New Roman"/>
                <w:bCs/>
                <w:sz w:val="21"/>
                <w:szCs w:val="21"/>
                <w:lang w:val="en-US" w:eastAsia="zh-CN"/>
              </w:rPr>
              <w:t>非甲烷总烃</w:t>
            </w:r>
          </w:p>
        </w:tc>
        <w:tc>
          <w:tcPr>
            <w:tcW w:w="1179"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0.381</w:t>
            </w:r>
          </w:p>
        </w:tc>
        <w:tc>
          <w:tcPr>
            <w:tcW w:w="1179" w:type="dxa"/>
            <w:vMerge w:val="restart"/>
            <w:vAlign w:val="center"/>
          </w:tcPr>
          <w:p>
            <w:pPr>
              <w:jc w:val="center"/>
              <w:rPr>
                <w:rFonts w:hint="default" w:ascii="Times New Roman" w:hAnsi="Times New Roman" w:cs="Times New Roman"/>
                <w:bCs/>
                <w:sz w:val="21"/>
                <w:szCs w:val="21"/>
              </w:rPr>
            </w:pPr>
            <w:r>
              <w:rPr>
                <w:rFonts w:hint="default" w:ascii="Times New Roman" w:hAnsi="Times New Roman" w:cs="Times New Roman"/>
                <w:sz w:val="21"/>
                <w:szCs w:val="21"/>
              </w:rPr>
              <w:t>叠加原有项目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7" w:type="dxa"/>
            <w:vMerge w:val="restart"/>
            <w:vAlign w:val="center"/>
          </w:tcPr>
          <w:p>
            <w:pPr>
              <w:jc w:val="center"/>
              <w:rPr>
                <w:rFonts w:hint="default" w:ascii="Times New Roman" w:hAnsi="Times New Roman" w:eastAsia="宋体" w:cs="Times New Roman"/>
                <w:bCs/>
                <w:sz w:val="21"/>
                <w:szCs w:val="21"/>
                <w:lang w:eastAsia="zh-CN"/>
              </w:rPr>
            </w:pPr>
            <w:r>
              <w:rPr>
                <w:rFonts w:hint="default" w:ascii="Times New Roman" w:hAnsi="Times New Roman" w:cs="Times New Roman"/>
                <w:bCs/>
                <w:sz w:val="21"/>
                <w:szCs w:val="21"/>
                <w:lang w:eastAsia="zh-CN"/>
              </w:rPr>
              <w:t>切片粉尘</w:t>
            </w:r>
          </w:p>
        </w:tc>
        <w:tc>
          <w:tcPr>
            <w:tcW w:w="1097" w:type="dxa"/>
            <w:vMerge w:val="restart"/>
            <w:vAlign w:val="center"/>
          </w:tcPr>
          <w:p>
            <w:pPr>
              <w:jc w:val="center"/>
              <w:rPr>
                <w:rFonts w:hint="default" w:ascii="Times New Roman" w:hAnsi="Times New Roman" w:eastAsia="宋体" w:cs="Times New Roman"/>
                <w:bCs/>
                <w:sz w:val="21"/>
                <w:szCs w:val="21"/>
                <w:lang w:eastAsia="zh-CN"/>
              </w:rPr>
            </w:pPr>
            <w:r>
              <w:rPr>
                <w:rFonts w:hint="default" w:ascii="Times New Roman" w:hAnsi="Times New Roman" w:cs="Times New Roman"/>
                <w:bCs/>
                <w:sz w:val="21"/>
                <w:szCs w:val="21"/>
              </w:rPr>
              <w:t>DA00</w:t>
            </w:r>
            <w:r>
              <w:rPr>
                <w:rFonts w:hint="default" w:ascii="Times New Roman" w:hAnsi="Times New Roman" w:cs="Times New Roman"/>
                <w:bCs/>
                <w:sz w:val="21"/>
                <w:szCs w:val="21"/>
                <w:lang w:val="en-US" w:eastAsia="zh-CN"/>
              </w:rPr>
              <w:t>9</w:t>
            </w:r>
          </w:p>
        </w:tc>
        <w:tc>
          <w:tcPr>
            <w:tcW w:w="1120" w:type="dxa"/>
            <w:vMerge w:val="restart"/>
            <w:vAlign w:val="center"/>
          </w:tcPr>
          <w:p>
            <w:pPr>
              <w:jc w:val="center"/>
              <w:rPr>
                <w:rFonts w:hint="default" w:ascii="Times New Roman" w:hAnsi="Times New Roman" w:cs="Times New Roman"/>
                <w:bCs/>
                <w:sz w:val="21"/>
                <w:szCs w:val="21"/>
                <w:lang w:val="en-US"/>
              </w:rPr>
            </w:pPr>
            <w:r>
              <w:rPr>
                <w:rFonts w:hint="default" w:ascii="Times New Roman" w:hAnsi="Times New Roman" w:cs="Times New Roman"/>
                <w:bCs/>
                <w:sz w:val="21"/>
                <w:szCs w:val="21"/>
                <w:lang w:val="en-US" w:eastAsia="zh-CN"/>
              </w:rPr>
              <w:t>101.36153</w:t>
            </w:r>
          </w:p>
        </w:tc>
        <w:tc>
          <w:tcPr>
            <w:tcW w:w="1043" w:type="dxa"/>
            <w:vMerge w:val="restart"/>
            <w:vAlign w:val="center"/>
          </w:tcPr>
          <w:p>
            <w:pPr>
              <w:jc w:val="center"/>
              <w:rPr>
                <w:rFonts w:hint="default" w:ascii="Times New Roman" w:hAnsi="Times New Roman" w:cs="Times New Roman"/>
                <w:bCs/>
                <w:sz w:val="21"/>
                <w:szCs w:val="21"/>
                <w:lang w:val="en-US"/>
              </w:rPr>
            </w:pPr>
            <w:r>
              <w:rPr>
                <w:rFonts w:hint="default" w:ascii="Times New Roman" w:hAnsi="Times New Roman" w:cs="Times New Roman"/>
                <w:bCs/>
                <w:sz w:val="21"/>
                <w:szCs w:val="21"/>
                <w:lang w:val="en-US" w:eastAsia="zh-CN"/>
              </w:rPr>
              <w:t>25.01375</w:t>
            </w:r>
          </w:p>
        </w:tc>
        <w:tc>
          <w:tcPr>
            <w:tcW w:w="1471" w:type="dxa"/>
            <w:vMerge w:val="restart"/>
            <w:vAlign w:val="center"/>
          </w:tcPr>
          <w:p>
            <w:pPr>
              <w:autoSpaceDE w:val="0"/>
              <w:autoSpaceDN w:val="0"/>
              <w:adjustRightInd w:val="0"/>
              <w:jc w:val="center"/>
              <w:rPr>
                <w:rFonts w:hint="default" w:ascii="Times New Roman" w:hAnsi="Times New Roman" w:cs="Times New Roman"/>
                <w:bCs/>
                <w:sz w:val="21"/>
                <w:szCs w:val="21"/>
              </w:rPr>
            </w:pPr>
            <w:r>
              <w:rPr>
                <w:rFonts w:hint="default" w:ascii="Times New Roman" w:hAnsi="Times New Roman" w:cs="Times New Roman"/>
                <w:bCs/>
                <w:sz w:val="21"/>
                <w:szCs w:val="21"/>
                <w:lang w:val="en-US" w:eastAsia="zh-CN"/>
              </w:rPr>
              <w:t>1846</w:t>
            </w:r>
          </w:p>
        </w:tc>
        <w:tc>
          <w:tcPr>
            <w:tcW w:w="1134" w:type="dxa"/>
            <w:vMerge w:val="restart"/>
            <w:vAlign w:val="center"/>
          </w:tcPr>
          <w:p>
            <w:pPr>
              <w:autoSpaceDE w:val="0"/>
              <w:autoSpaceDN w:val="0"/>
              <w:adjustRightInd w:val="0"/>
              <w:jc w:val="center"/>
              <w:rPr>
                <w:rFonts w:hint="default" w:ascii="Times New Roman" w:hAnsi="Times New Roman" w:cs="Times New Roman"/>
                <w:bCs/>
                <w:sz w:val="21"/>
                <w:szCs w:val="21"/>
              </w:rPr>
            </w:pPr>
            <w:r>
              <w:rPr>
                <w:rFonts w:hint="default" w:ascii="Times New Roman" w:hAnsi="Times New Roman" w:cs="Times New Roman"/>
                <w:bCs/>
                <w:sz w:val="21"/>
                <w:szCs w:val="21"/>
                <w:lang w:val="en-US" w:eastAsia="zh-CN"/>
              </w:rPr>
              <w:t>1</w:t>
            </w:r>
            <w:r>
              <w:rPr>
                <w:rFonts w:hint="default" w:ascii="Times New Roman" w:hAnsi="Times New Roman" w:cs="Times New Roman"/>
                <w:bCs/>
                <w:sz w:val="21"/>
                <w:szCs w:val="21"/>
              </w:rPr>
              <w:t>5</w:t>
            </w:r>
          </w:p>
        </w:tc>
        <w:tc>
          <w:tcPr>
            <w:tcW w:w="851" w:type="dxa"/>
            <w:vMerge w:val="restart"/>
            <w:vAlign w:val="center"/>
          </w:tcPr>
          <w:p>
            <w:pPr>
              <w:autoSpaceDE w:val="0"/>
              <w:autoSpaceDN w:val="0"/>
              <w:adjustRightInd w:val="0"/>
              <w:jc w:val="center"/>
              <w:rPr>
                <w:rFonts w:hint="default" w:ascii="Times New Roman" w:hAnsi="Times New Roman" w:eastAsia="宋体" w:cs="Times New Roman"/>
                <w:bCs/>
                <w:sz w:val="21"/>
                <w:szCs w:val="21"/>
                <w:lang w:val="en-US" w:eastAsia="zh-CN"/>
              </w:rPr>
            </w:pPr>
            <w:r>
              <w:rPr>
                <w:rFonts w:hint="default" w:ascii="Times New Roman" w:hAnsi="Times New Roman" w:cs="Times New Roman"/>
                <w:bCs/>
                <w:sz w:val="21"/>
                <w:szCs w:val="21"/>
                <w:lang w:val="en-US" w:eastAsia="zh-CN"/>
              </w:rPr>
              <w:t>1.1</w:t>
            </w:r>
          </w:p>
        </w:tc>
        <w:tc>
          <w:tcPr>
            <w:tcW w:w="930" w:type="dxa"/>
            <w:vMerge w:val="restart"/>
            <w:vAlign w:val="center"/>
          </w:tcPr>
          <w:p>
            <w:pPr>
              <w:autoSpaceDE w:val="0"/>
              <w:autoSpaceDN w:val="0"/>
              <w:adjustRightInd w:val="0"/>
              <w:jc w:val="center"/>
              <w:rPr>
                <w:rFonts w:hint="default" w:ascii="Times New Roman" w:hAnsi="Times New Roman" w:cs="Times New Roman"/>
                <w:bCs/>
                <w:sz w:val="21"/>
                <w:szCs w:val="21"/>
              </w:rPr>
            </w:pPr>
            <w:r>
              <w:rPr>
                <w:rFonts w:hint="default" w:ascii="Times New Roman" w:hAnsi="Times New Roman" w:cs="Times New Roman"/>
                <w:bCs/>
                <w:sz w:val="21"/>
                <w:szCs w:val="21"/>
              </w:rPr>
              <w:t>25</w:t>
            </w:r>
          </w:p>
        </w:tc>
        <w:tc>
          <w:tcPr>
            <w:tcW w:w="1054" w:type="dxa"/>
            <w:vMerge w:val="restart"/>
            <w:vAlign w:val="center"/>
          </w:tcPr>
          <w:p>
            <w:pPr>
              <w:autoSpaceDE w:val="0"/>
              <w:autoSpaceDN w:val="0"/>
              <w:adjustRightInd w:val="0"/>
              <w:jc w:val="center"/>
              <w:rPr>
                <w:rFonts w:hint="default" w:ascii="Times New Roman" w:hAnsi="Times New Roman" w:cs="Times New Roman"/>
                <w:bCs/>
                <w:sz w:val="21"/>
                <w:szCs w:val="21"/>
              </w:rPr>
            </w:pPr>
            <w:r>
              <w:rPr>
                <w:rFonts w:hint="default" w:ascii="Times New Roman" w:hAnsi="Times New Roman" w:cs="Times New Roman"/>
                <w:bCs/>
                <w:sz w:val="21"/>
                <w:szCs w:val="21"/>
                <w:lang w:val="en-US" w:eastAsia="zh-CN"/>
              </w:rPr>
              <w:t>8760</w:t>
            </w:r>
          </w:p>
        </w:tc>
        <w:tc>
          <w:tcPr>
            <w:tcW w:w="1197" w:type="dxa"/>
            <w:vMerge w:val="restart"/>
            <w:vAlign w:val="center"/>
          </w:tcPr>
          <w:p>
            <w:pPr>
              <w:autoSpaceDE w:val="0"/>
              <w:autoSpaceDN w:val="0"/>
              <w:adjustRightInd w:val="0"/>
              <w:jc w:val="center"/>
              <w:rPr>
                <w:rFonts w:hint="default" w:ascii="Times New Roman" w:hAnsi="Times New Roman" w:cs="Times New Roman"/>
                <w:bCs/>
                <w:sz w:val="21"/>
                <w:szCs w:val="21"/>
              </w:rPr>
            </w:pPr>
            <w:r>
              <w:rPr>
                <w:rFonts w:hint="default" w:ascii="Times New Roman" w:hAnsi="Times New Roman" w:cs="Times New Roman"/>
                <w:bCs/>
                <w:sz w:val="21"/>
                <w:szCs w:val="21"/>
              </w:rPr>
              <w:t>正常排放</w:t>
            </w:r>
          </w:p>
        </w:tc>
        <w:tc>
          <w:tcPr>
            <w:tcW w:w="959" w:type="dxa"/>
            <w:vAlign w:val="center"/>
          </w:tcPr>
          <w:p>
            <w:pPr>
              <w:autoSpaceDE w:val="0"/>
              <w:autoSpaceDN w:val="0"/>
              <w:adjustRightInd w:val="0"/>
              <w:jc w:val="center"/>
              <w:rPr>
                <w:rFonts w:hint="default" w:ascii="Times New Roman" w:hAnsi="Times New Roman" w:eastAsia="宋体" w:cs="Times New Roman"/>
                <w:bCs/>
                <w:sz w:val="21"/>
                <w:szCs w:val="21"/>
                <w:lang w:eastAsia="zh-CN"/>
              </w:rPr>
            </w:pPr>
            <w:r>
              <w:rPr>
                <w:rFonts w:hint="default" w:ascii="Times New Roman" w:hAnsi="Times New Roman" w:cs="Times New Roman"/>
                <w:bCs/>
                <w:sz w:val="21"/>
                <w:szCs w:val="21"/>
                <w:lang w:eastAsia="zh-CN"/>
              </w:rPr>
              <w:t>颗粒物</w:t>
            </w:r>
          </w:p>
        </w:tc>
        <w:tc>
          <w:tcPr>
            <w:tcW w:w="1179" w:type="dxa"/>
            <w:vAlign w:val="center"/>
          </w:tcPr>
          <w:p>
            <w:pPr>
              <w:jc w:val="center"/>
              <w:rPr>
                <w:rFonts w:hint="default" w:ascii="Times New Roman" w:hAnsi="Times New Roman" w:eastAsia="宋体" w:cs="Times New Roman"/>
                <w:bCs/>
                <w:sz w:val="21"/>
                <w:szCs w:val="21"/>
                <w:lang w:val="en-US" w:eastAsia="zh-CN"/>
              </w:rPr>
            </w:pPr>
            <w:r>
              <w:rPr>
                <w:rFonts w:hint="default" w:ascii="Times New Roman" w:hAnsi="Times New Roman" w:cs="Times New Roman"/>
                <w:bCs/>
                <w:sz w:val="21"/>
                <w:szCs w:val="21"/>
                <w:lang w:val="en-US" w:eastAsia="zh-CN"/>
              </w:rPr>
              <w:t>0.100</w:t>
            </w:r>
          </w:p>
        </w:tc>
        <w:tc>
          <w:tcPr>
            <w:tcW w:w="1179" w:type="dxa"/>
            <w:vMerge w:val="continue"/>
            <w:vAlign w:val="center"/>
          </w:tcPr>
          <w:p>
            <w:pPr>
              <w:jc w:val="center"/>
              <w:rPr>
                <w:rFonts w:hint="default" w:ascii="Times New Roman" w:hAnsi="Times New Roman" w:cs="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1097" w:type="dxa"/>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cs="Times New Roman"/>
                <w:bCs/>
                <w:sz w:val="21"/>
                <w:szCs w:val="21"/>
                <w:lang w:eastAsia="zh-CN"/>
              </w:rPr>
              <w:t>酸洗废气</w:t>
            </w:r>
          </w:p>
        </w:tc>
        <w:tc>
          <w:tcPr>
            <w:tcW w:w="1097"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bCs/>
                <w:sz w:val="21"/>
                <w:szCs w:val="21"/>
              </w:rPr>
              <w:t>DA0</w:t>
            </w:r>
            <w:r>
              <w:rPr>
                <w:rFonts w:hint="default" w:ascii="Times New Roman" w:hAnsi="Times New Roman" w:cs="Times New Roman"/>
                <w:bCs/>
                <w:sz w:val="21"/>
                <w:szCs w:val="21"/>
                <w:lang w:val="en-US" w:eastAsia="zh-CN"/>
              </w:rPr>
              <w:t>11</w:t>
            </w:r>
          </w:p>
        </w:tc>
        <w:tc>
          <w:tcPr>
            <w:tcW w:w="1120" w:type="dxa"/>
            <w:vAlign w:val="center"/>
          </w:tcPr>
          <w:p>
            <w:pPr>
              <w:jc w:val="center"/>
              <w:rPr>
                <w:rFonts w:hint="default" w:ascii="Times New Roman" w:hAnsi="Times New Roman" w:cs="Times New Roman"/>
                <w:bCs/>
                <w:sz w:val="21"/>
                <w:szCs w:val="21"/>
                <w:lang w:val="en-US"/>
              </w:rPr>
            </w:pPr>
            <w:r>
              <w:rPr>
                <w:rFonts w:hint="default" w:ascii="Times New Roman" w:hAnsi="Times New Roman" w:cs="Times New Roman"/>
                <w:bCs/>
                <w:sz w:val="21"/>
                <w:szCs w:val="21"/>
                <w:lang w:val="en-US" w:eastAsia="zh-CN"/>
              </w:rPr>
              <w:t>101.36145</w:t>
            </w:r>
          </w:p>
        </w:tc>
        <w:tc>
          <w:tcPr>
            <w:tcW w:w="1043" w:type="dxa"/>
            <w:vAlign w:val="center"/>
          </w:tcPr>
          <w:p>
            <w:pPr>
              <w:jc w:val="center"/>
              <w:rPr>
                <w:rFonts w:hint="default" w:ascii="Times New Roman" w:hAnsi="Times New Roman" w:cs="Times New Roman"/>
                <w:bCs/>
                <w:sz w:val="21"/>
                <w:szCs w:val="21"/>
                <w:lang w:val="en-US"/>
              </w:rPr>
            </w:pPr>
            <w:r>
              <w:rPr>
                <w:rFonts w:hint="default" w:ascii="Times New Roman" w:hAnsi="Times New Roman" w:cs="Times New Roman"/>
                <w:bCs/>
                <w:sz w:val="21"/>
                <w:szCs w:val="21"/>
                <w:lang w:val="en-US" w:eastAsia="zh-CN"/>
              </w:rPr>
              <w:t>25.01388</w:t>
            </w:r>
          </w:p>
        </w:tc>
        <w:tc>
          <w:tcPr>
            <w:tcW w:w="1471" w:type="dxa"/>
            <w:vAlign w:val="center"/>
          </w:tcPr>
          <w:p>
            <w:pPr>
              <w:autoSpaceDE w:val="0"/>
              <w:autoSpaceDN w:val="0"/>
              <w:adjustRightInd w:val="0"/>
              <w:jc w:val="center"/>
              <w:rPr>
                <w:rFonts w:hint="default" w:ascii="Times New Roman" w:hAnsi="Times New Roman" w:cs="Times New Roman"/>
                <w:bCs/>
                <w:sz w:val="21"/>
                <w:szCs w:val="21"/>
              </w:rPr>
            </w:pPr>
            <w:r>
              <w:rPr>
                <w:rFonts w:hint="default" w:ascii="Times New Roman" w:hAnsi="Times New Roman" w:cs="Times New Roman"/>
                <w:bCs/>
                <w:sz w:val="21"/>
                <w:szCs w:val="21"/>
                <w:lang w:val="en-US" w:eastAsia="zh-CN"/>
              </w:rPr>
              <w:t>1846</w:t>
            </w:r>
          </w:p>
        </w:tc>
        <w:tc>
          <w:tcPr>
            <w:tcW w:w="1134" w:type="dxa"/>
            <w:vAlign w:val="center"/>
          </w:tcPr>
          <w:p>
            <w:pPr>
              <w:autoSpaceDE w:val="0"/>
              <w:autoSpaceDN w:val="0"/>
              <w:adjustRightInd w:val="0"/>
              <w:jc w:val="center"/>
              <w:rPr>
                <w:rFonts w:hint="default" w:ascii="Times New Roman" w:hAnsi="Times New Roman" w:cs="Times New Roman"/>
                <w:bCs/>
                <w:sz w:val="21"/>
                <w:szCs w:val="21"/>
              </w:rPr>
            </w:pPr>
            <w:r>
              <w:rPr>
                <w:rFonts w:hint="default" w:ascii="Times New Roman" w:hAnsi="Times New Roman" w:cs="Times New Roman"/>
                <w:bCs/>
                <w:sz w:val="21"/>
                <w:szCs w:val="21"/>
                <w:lang w:val="en-US" w:eastAsia="zh-CN"/>
              </w:rPr>
              <w:t>1</w:t>
            </w:r>
            <w:r>
              <w:rPr>
                <w:rFonts w:hint="default" w:ascii="Times New Roman" w:hAnsi="Times New Roman" w:cs="Times New Roman"/>
                <w:bCs/>
                <w:sz w:val="21"/>
                <w:szCs w:val="21"/>
              </w:rPr>
              <w:t>5</w:t>
            </w:r>
          </w:p>
        </w:tc>
        <w:tc>
          <w:tcPr>
            <w:tcW w:w="851" w:type="dxa"/>
            <w:vAlign w:val="center"/>
          </w:tcPr>
          <w:p>
            <w:pPr>
              <w:autoSpaceDE w:val="0"/>
              <w:autoSpaceDN w:val="0"/>
              <w:adjustRightInd w:val="0"/>
              <w:jc w:val="center"/>
              <w:rPr>
                <w:rFonts w:hint="default" w:ascii="Times New Roman" w:hAnsi="Times New Roman" w:eastAsia="宋体" w:cs="Times New Roman"/>
                <w:bCs/>
                <w:sz w:val="21"/>
                <w:szCs w:val="21"/>
                <w:lang w:val="en-US" w:eastAsia="zh-CN"/>
              </w:rPr>
            </w:pPr>
            <w:r>
              <w:rPr>
                <w:rFonts w:hint="default" w:ascii="Times New Roman" w:hAnsi="Times New Roman" w:cs="Times New Roman"/>
                <w:bCs/>
                <w:sz w:val="21"/>
                <w:szCs w:val="21"/>
                <w:lang w:val="en-US" w:eastAsia="zh-CN"/>
              </w:rPr>
              <w:t>1.1</w:t>
            </w:r>
          </w:p>
        </w:tc>
        <w:tc>
          <w:tcPr>
            <w:tcW w:w="930" w:type="dxa"/>
            <w:vAlign w:val="center"/>
          </w:tcPr>
          <w:p>
            <w:pPr>
              <w:autoSpaceDE w:val="0"/>
              <w:autoSpaceDN w:val="0"/>
              <w:adjustRightInd w:val="0"/>
              <w:jc w:val="center"/>
              <w:rPr>
                <w:rFonts w:hint="default" w:ascii="Times New Roman" w:hAnsi="Times New Roman" w:cs="Times New Roman"/>
                <w:bCs/>
                <w:sz w:val="21"/>
                <w:szCs w:val="21"/>
              </w:rPr>
            </w:pPr>
            <w:r>
              <w:rPr>
                <w:rFonts w:hint="default" w:ascii="Times New Roman" w:hAnsi="Times New Roman" w:cs="Times New Roman"/>
                <w:bCs/>
                <w:sz w:val="21"/>
                <w:szCs w:val="21"/>
              </w:rPr>
              <w:t>25</w:t>
            </w:r>
          </w:p>
        </w:tc>
        <w:tc>
          <w:tcPr>
            <w:tcW w:w="1054" w:type="dxa"/>
            <w:vAlign w:val="center"/>
          </w:tcPr>
          <w:p>
            <w:pPr>
              <w:autoSpaceDE w:val="0"/>
              <w:autoSpaceDN w:val="0"/>
              <w:adjustRightInd w:val="0"/>
              <w:jc w:val="center"/>
              <w:rPr>
                <w:rFonts w:hint="default" w:ascii="Times New Roman" w:hAnsi="Times New Roman" w:cs="Times New Roman"/>
                <w:bCs/>
                <w:sz w:val="21"/>
                <w:szCs w:val="21"/>
              </w:rPr>
            </w:pPr>
            <w:r>
              <w:rPr>
                <w:rFonts w:hint="default" w:ascii="Times New Roman" w:hAnsi="Times New Roman" w:cs="Times New Roman"/>
                <w:bCs/>
                <w:sz w:val="21"/>
                <w:szCs w:val="21"/>
                <w:lang w:val="en-US" w:eastAsia="zh-CN"/>
              </w:rPr>
              <w:t>8760</w:t>
            </w:r>
          </w:p>
        </w:tc>
        <w:tc>
          <w:tcPr>
            <w:tcW w:w="1197" w:type="dxa"/>
            <w:vAlign w:val="center"/>
          </w:tcPr>
          <w:p>
            <w:pPr>
              <w:autoSpaceDE w:val="0"/>
              <w:autoSpaceDN w:val="0"/>
              <w:adjustRightInd w:val="0"/>
              <w:jc w:val="center"/>
              <w:rPr>
                <w:rFonts w:hint="default" w:ascii="Times New Roman" w:hAnsi="Times New Roman" w:cs="Times New Roman"/>
                <w:bCs/>
                <w:sz w:val="21"/>
                <w:szCs w:val="21"/>
              </w:rPr>
            </w:pPr>
            <w:r>
              <w:rPr>
                <w:rFonts w:hint="default" w:ascii="Times New Roman" w:hAnsi="Times New Roman" w:cs="Times New Roman"/>
                <w:bCs/>
                <w:sz w:val="21"/>
                <w:szCs w:val="21"/>
              </w:rPr>
              <w:t>正常排放</w:t>
            </w:r>
          </w:p>
        </w:tc>
        <w:tc>
          <w:tcPr>
            <w:tcW w:w="959" w:type="dxa"/>
            <w:vAlign w:val="center"/>
          </w:tcPr>
          <w:p>
            <w:pPr>
              <w:autoSpaceDE w:val="0"/>
              <w:autoSpaceDN w:val="0"/>
              <w:adjustRightInd w:val="0"/>
              <w:jc w:val="center"/>
              <w:rPr>
                <w:rFonts w:hint="default" w:ascii="Times New Roman" w:hAnsi="Times New Roman" w:eastAsia="宋体" w:cs="Times New Roman"/>
                <w:bCs/>
                <w:sz w:val="21"/>
                <w:szCs w:val="21"/>
                <w:lang w:eastAsia="zh-CN"/>
              </w:rPr>
            </w:pPr>
            <w:r>
              <w:rPr>
                <w:rFonts w:hint="default" w:ascii="Times New Roman" w:hAnsi="Times New Roman" w:cs="Times New Roman"/>
                <w:bCs/>
                <w:sz w:val="21"/>
                <w:szCs w:val="21"/>
                <w:lang w:eastAsia="zh-CN"/>
              </w:rPr>
              <w:t>氟化物</w:t>
            </w:r>
          </w:p>
        </w:tc>
        <w:tc>
          <w:tcPr>
            <w:tcW w:w="1179"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0.0016</w:t>
            </w:r>
          </w:p>
        </w:tc>
        <w:tc>
          <w:tcPr>
            <w:tcW w:w="1179" w:type="dxa"/>
            <w:vMerge w:val="continue"/>
            <w:vAlign w:val="center"/>
          </w:tcPr>
          <w:p>
            <w:pPr>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jc w:val="center"/>
        </w:trPr>
        <w:tc>
          <w:tcPr>
            <w:tcW w:w="1097" w:type="dxa"/>
            <w:vMerge w:val="restart"/>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cs="Times New Roman"/>
                <w:bCs/>
                <w:sz w:val="21"/>
                <w:szCs w:val="21"/>
                <w:lang w:eastAsia="zh-CN"/>
              </w:rPr>
              <w:t>污水处理站恶臭</w:t>
            </w:r>
          </w:p>
        </w:tc>
        <w:tc>
          <w:tcPr>
            <w:tcW w:w="1097" w:type="dxa"/>
            <w:vMerge w:val="restart"/>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bCs/>
                <w:sz w:val="21"/>
                <w:szCs w:val="21"/>
              </w:rPr>
              <w:t>DA0</w:t>
            </w:r>
            <w:r>
              <w:rPr>
                <w:rFonts w:hint="default" w:ascii="Times New Roman" w:hAnsi="Times New Roman" w:cs="Times New Roman"/>
                <w:bCs/>
                <w:sz w:val="21"/>
                <w:szCs w:val="21"/>
                <w:lang w:val="en-US" w:eastAsia="zh-CN"/>
              </w:rPr>
              <w:t>10</w:t>
            </w:r>
          </w:p>
        </w:tc>
        <w:tc>
          <w:tcPr>
            <w:tcW w:w="1120" w:type="dxa"/>
            <w:vMerge w:val="restart"/>
            <w:vAlign w:val="center"/>
          </w:tcPr>
          <w:p>
            <w:pPr>
              <w:jc w:val="center"/>
              <w:rPr>
                <w:rFonts w:hint="default" w:ascii="Times New Roman" w:hAnsi="Times New Roman" w:cs="Times New Roman"/>
                <w:bCs/>
                <w:sz w:val="21"/>
                <w:szCs w:val="21"/>
                <w:lang w:val="en-US"/>
              </w:rPr>
            </w:pPr>
            <w:r>
              <w:rPr>
                <w:rFonts w:hint="default" w:ascii="Times New Roman" w:hAnsi="Times New Roman" w:cs="Times New Roman"/>
                <w:bCs/>
                <w:sz w:val="21"/>
                <w:szCs w:val="21"/>
                <w:lang w:val="en-US" w:eastAsia="zh-CN"/>
              </w:rPr>
              <w:t>101.36097</w:t>
            </w:r>
          </w:p>
        </w:tc>
        <w:tc>
          <w:tcPr>
            <w:tcW w:w="1043" w:type="dxa"/>
            <w:vMerge w:val="restart"/>
            <w:vAlign w:val="center"/>
          </w:tcPr>
          <w:p>
            <w:pPr>
              <w:jc w:val="center"/>
              <w:rPr>
                <w:rFonts w:hint="default" w:ascii="Times New Roman" w:hAnsi="Times New Roman" w:cs="Times New Roman"/>
                <w:bCs/>
                <w:sz w:val="21"/>
                <w:szCs w:val="21"/>
                <w:lang w:val="en-US"/>
              </w:rPr>
            </w:pPr>
            <w:r>
              <w:rPr>
                <w:rFonts w:hint="default" w:ascii="Times New Roman" w:hAnsi="Times New Roman" w:cs="Times New Roman"/>
                <w:bCs/>
                <w:sz w:val="21"/>
                <w:szCs w:val="21"/>
                <w:lang w:val="en-US" w:eastAsia="zh-CN"/>
              </w:rPr>
              <w:t>25.01362</w:t>
            </w:r>
          </w:p>
        </w:tc>
        <w:tc>
          <w:tcPr>
            <w:tcW w:w="1471" w:type="dxa"/>
            <w:vMerge w:val="restart"/>
            <w:vAlign w:val="center"/>
          </w:tcPr>
          <w:p>
            <w:pPr>
              <w:autoSpaceDE w:val="0"/>
              <w:autoSpaceDN w:val="0"/>
              <w:adjustRightInd w:val="0"/>
              <w:jc w:val="center"/>
              <w:rPr>
                <w:rFonts w:hint="default" w:ascii="Times New Roman" w:hAnsi="Times New Roman" w:cs="Times New Roman"/>
                <w:bCs/>
                <w:sz w:val="21"/>
                <w:szCs w:val="21"/>
              </w:rPr>
            </w:pPr>
            <w:r>
              <w:rPr>
                <w:rFonts w:hint="default" w:ascii="Times New Roman" w:hAnsi="Times New Roman" w:cs="Times New Roman"/>
                <w:bCs/>
                <w:sz w:val="21"/>
                <w:szCs w:val="21"/>
                <w:lang w:val="en-US" w:eastAsia="zh-CN"/>
              </w:rPr>
              <w:t>1846</w:t>
            </w:r>
          </w:p>
        </w:tc>
        <w:tc>
          <w:tcPr>
            <w:tcW w:w="1134" w:type="dxa"/>
            <w:vMerge w:val="restart"/>
            <w:vAlign w:val="center"/>
          </w:tcPr>
          <w:p>
            <w:pPr>
              <w:autoSpaceDE w:val="0"/>
              <w:autoSpaceDN w:val="0"/>
              <w:adjustRightInd w:val="0"/>
              <w:jc w:val="center"/>
              <w:rPr>
                <w:rFonts w:hint="default" w:ascii="Times New Roman" w:hAnsi="Times New Roman" w:cs="Times New Roman"/>
                <w:bCs/>
                <w:sz w:val="21"/>
                <w:szCs w:val="21"/>
              </w:rPr>
            </w:pPr>
            <w:r>
              <w:rPr>
                <w:rFonts w:hint="default" w:ascii="Times New Roman" w:hAnsi="Times New Roman" w:cs="Times New Roman"/>
                <w:bCs/>
                <w:sz w:val="21"/>
                <w:szCs w:val="21"/>
                <w:lang w:val="en-US" w:eastAsia="zh-CN"/>
              </w:rPr>
              <w:t>1</w:t>
            </w:r>
            <w:r>
              <w:rPr>
                <w:rFonts w:hint="default" w:ascii="Times New Roman" w:hAnsi="Times New Roman" w:cs="Times New Roman"/>
                <w:bCs/>
                <w:sz w:val="21"/>
                <w:szCs w:val="21"/>
              </w:rPr>
              <w:t>5</w:t>
            </w:r>
          </w:p>
        </w:tc>
        <w:tc>
          <w:tcPr>
            <w:tcW w:w="851" w:type="dxa"/>
            <w:vMerge w:val="restart"/>
            <w:vAlign w:val="center"/>
          </w:tcPr>
          <w:p>
            <w:pPr>
              <w:autoSpaceDE w:val="0"/>
              <w:autoSpaceDN w:val="0"/>
              <w:adjustRightInd w:val="0"/>
              <w:jc w:val="center"/>
              <w:rPr>
                <w:rFonts w:hint="default" w:ascii="Times New Roman" w:hAnsi="Times New Roman" w:eastAsia="宋体" w:cs="Times New Roman"/>
                <w:bCs/>
                <w:sz w:val="21"/>
                <w:szCs w:val="21"/>
                <w:lang w:val="en-US" w:eastAsia="zh-CN"/>
              </w:rPr>
            </w:pPr>
            <w:r>
              <w:rPr>
                <w:rFonts w:hint="default" w:ascii="Times New Roman" w:hAnsi="Times New Roman" w:cs="Times New Roman"/>
                <w:bCs/>
                <w:sz w:val="21"/>
                <w:szCs w:val="21"/>
                <w:lang w:val="en-US" w:eastAsia="zh-CN"/>
              </w:rPr>
              <w:t>0.8</w:t>
            </w:r>
          </w:p>
        </w:tc>
        <w:tc>
          <w:tcPr>
            <w:tcW w:w="930" w:type="dxa"/>
            <w:vMerge w:val="restart"/>
            <w:vAlign w:val="center"/>
          </w:tcPr>
          <w:p>
            <w:pPr>
              <w:autoSpaceDE w:val="0"/>
              <w:autoSpaceDN w:val="0"/>
              <w:adjustRightInd w:val="0"/>
              <w:jc w:val="center"/>
              <w:rPr>
                <w:rFonts w:hint="default" w:ascii="Times New Roman" w:hAnsi="Times New Roman" w:cs="Times New Roman"/>
                <w:bCs/>
                <w:sz w:val="21"/>
                <w:szCs w:val="21"/>
              </w:rPr>
            </w:pPr>
            <w:r>
              <w:rPr>
                <w:rFonts w:hint="default" w:ascii="Times New Roman" w:hAnsi="Times New Roman" w:cs="Times New Roman"/>
                <w:bCs/>
                <w:sz w:val="21"/>
                <w:szCs w:val="21"/>
              </w:rPr>
              <w:t>25</w:t>
            </w:r>
          </w:p>
        </w:tc>
        <w:tc>
          <w:tcPr>
            <w:tcW w:w="1054" w:type="dxa"/>
            <w:vMerge w:val="restart"/>
            <w:vAlign w:val="center"/>
          </w:tcPr>
          <w:p>
            <w:pPr>
              <w:autoSpaceDE w:val="0"/>
              <w:autoSpaceDN w:val="0"/>
              <w:adjustRightInd w:val="0"/>
              <w:jc w:val="center"/>
              <w:rPr>
                <w:rFonts w:hint="default" w:ascii="Times New Roman" w:hAnsi="Times New Roman" w:cs="Times New Roman"/>
                <w:bCs/>
                <w:sz w:val="21"/>
                <w:szCs w:val="21"/>
              </w:rPr>
            </w:pPr>
            <w:r>
              <w:rPr>
                <w:rFonts w:hint="default" w:ascii="Times New Roman" w:hAnsi="Times New Roman" w:cs="Times New Roman"/>
                <w:bCs/>
                <w:sz w:val="21"/>
                <w:szCs w:val="21"/>
                <w:lang w:val="en-US" w:eastAsia="zh-CN"/>
              </w:rPr>
              <w:t>8760</w:t>
            </w:r>
          </w:p>
        </w:tc>
        <w:tc>
          <w:tcPr>
            <w:tcW w:w="1197" w:type="dxa"/>
            <w:vMerge w:val="restart"/>
            <w:vAlign w:val="center"/>
          </w:tcPr>
          <w:p>
            <w:pPr>
              <w:autoSpaceDE w:val="0"/>
              <w:autoSpaceDN w:val="0"/>
              <w:adjustRightInd w:val="0"/>
              <w:jc w:val="center"/>
              <w:rPr>
                <w:rFonts w:hint="default" w:ascii="Times New Roman" w:hAnsi="Times New Roman" w:cs="Times New Roman"/>
                <w:bCs/>
                <w:sz w:val="21"/>
                <w:szCs w:val="21"/>
              </w:rPr>
            </w:pPr>
            <w:r>
              <w:rPr>
                <w:rFonts w:hint="default" w:ascii="Times New Roman" w:hAnsi="Times New Roman" w:cs="Times New Roman"/>
                <w:bCs/>
                <w:sz w:val="21"/>
                <w:szCs w:val="21"/>
              </w:rPr>
              <w:t>正常排放</w:t>
            </w:r>
          </w:p>
        </w:tc>
        <w:tc>
          <w:tcPr>
            <w:tcW w:w="959" w:type="dxa"/>
            <w:vAlign w:val="center"/>
          </w:tcPr>
          <w:p>
            <w:pPr>
              <w:autoSpaceDE w:val="0"/>
              <w:autoSpaceDN w:val="0"/>
              <w:adjustRightInd w:val="0"/>
              <w:jc w:val="center"/>
              <w:rPr>
                <w:rFonts w:hint="default" w:ascii="Times New Roman" w:hAnsi="Times New Roman" w:eastAsia="宋体" w:cs="Times New Roman"/>
                <w:bCs/>
                <w:sz w:val="18"/>
                <w:szCs w:val="18"/>
                <w:lang w:eastAsia="zh-CN"/>
              </w:rPr>
            </w:pPr>
            <w:r>
              <w:rPr>
                <w:rFonts w:hint="default" w:ascii="Times New Roman" w:hAnsi="Times New Roman" w:cs="Times New Roman"/>
                <w:bCs/>
                <w:sz w:val="18"/>
                <w:szCs w:val="18"/>
                <w:lang w:eastAsia="zh-CN"/>
              </w:rPr>
              <w:t>氨</w:t>
            </w:r>
          </w:p>
        </w:tc>
        <w:tc>
          <w:tcPr>
            <w:tcW w:w="1179" w:type="dxa"/>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lang w:val="en-US" w:eastAsia="zh-CN"/>
              </w:rPr>
              <w:t>0.10</w:t>
            </w:r>
          </w:p>
        </w:tc>
        <w:tc>
          <w:tcPr>
            <w:tcW w:w="1179" w:type="dxa"/>
            <w:vMerge w:val="continue"/>
            <w:vAlign w:val="center"/>
          </w:tcPr>
          <w:p>
            <w:pPr>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jc w:val="center"/>
        </w:trPr>
        <w:tc>
          <w:tcPr>
            <w:tcW w:w="1097" w:type="dxa"/>
            <w:vMerge w:val="continue"/>
            <w:vAlign w:val="center"/>
          </w:tcPr>
          <w:p>
            <w:pPr>
              <w:jc w:val="center"/>
              <w:rPr>
                <w:rFonts w:hint="default" w:ascii="Times New Roman" w:hAnsi="Times New Roman" w:cs="Times New Roman"/>
              </w:rPr>
            </w:pPr>
          </w:p>
        </w:tc>
        <w:tc>
          <w:tcPr>
            <w:tcW w:w="1097" w:type="dxa"/>
            <w:vMerge w:val="continue"/>
            <w:vAlign w:val="center"/>
          </w:tcPr>
          <w:p>
            <w:pPr>
              <w:jc w:val="center"/>
              <w:rPr>
                <w:rFonts w:hint="default" w:ascii="Times New Roman" w:hAnsi="Times New Roman" w:cs="Times New Roman"/>
              </w:rPr>
            </w:pPr>
          </w:p>
        </w:tc>
        <w:tc>
          <w:tcPr>
            <w:tcW w:w="1120" w:type="dxa"/>
            <w:vMerge w:val="continue"/>
            <w:vAlign w:val="center"/>
          </w:tcPr>
          <w:p>
            <w:pPr>
              <w:jc w:val="center"/>
              <w:rPr>
                <w:rFonts w:hint="default" w:ascii="Times New Roman" w:hAnsi="Times New Roman" w:cs="Times New Roman"/>
              </w:rPr>
            </w:pPr>
          </w:p>
        </w:tc>
        <w:tc>
          <w:tcPr>
            <w:tcW w:w="1043" w:type="dxa"/>
            <w:vMerge w:val="continue"/>
            <w:vAlign w:val="center"/>
          </w:tcPr>
          <w:p>
            <w:pPr>
              <w:jc w:val="center"/>
              <w:rPr>
                <w:rFonts w:hint="default" w:ascii="Times New Roman" w:hAnsi="Times New Roman" w:cs="Times New Roman"/>
              </w:rPr>
            </w:pPr>
          </w:p>
        </w:tc>
        <w:tc>
          <w:tcPr>
            <w:tcW w:w="1471" w:type="dxa"/>
            <w:vMerge w:val="continue"/>
            <w:vAlign w:val="center"/>
          </w:tcPr>
          <w:p>
            <w:pPr>
              <w:jc w:val="center"/>
              <w:rPr>
                <w:rFonts w:hint="default" w:ascii="Times New Roman" w:hAnsi="Times New Roman" w:cs="Times New Roman"/>
              </w:rPr>
            </w:pPr>
          </w:p>
        </w:tc>
        <w:tc>
          <w:tcPr>
            <w:tcW w:w="1134" w:type="dxa"/>
            <w:vMerge w:val="continue"/>
            <w:vAlign w:val="center"/>
          </w:tcPr>
          <w:p>
            <w:pPr>
              <w:jc w:val="center"/>
              <w:rPr>
                <w:rFonts w:hint="default" w:ascii="Times New Roman" w:hAnsi="Times New Roman" w:cs="Times New Roman"/>
              </w:rPr>
            </w:pPr>
          </w:p>
        </w:tc>
        <w:tc>
          <w:tcPr>
            <w:tcW w:w="851" w:type="dxa"/>
            <w:vMerge w:val="continue"/>
            <w:vAlign w:val="center"/>
          </w:tcPr>
          <w:p>
            <w:pPr>
              <w:jc w:val="center"/>
              <w:rPr>
                <w:rFonts w:hint="default" w:ascii="Times New Roman" w:hAnsi="Times New Roman" w:cs="Times New Roman"/>
              </w:rPr>
            </w:pPr>
          </w:p>
        </w:tc>
        <w:tc>
          <w:tcPr>
            <w:tcW w:w="930" w:type="dxa"/>
            <w:vMerge w:val="continue"/>
            <w:vAlign w:val="center"/>
          </w:tcPr>
          <w:p>
            <w:pPr>
              <w:jc w:val="center"/>
              <w:rPr>
                <w:rFonts w:hint="default" w:ascii="Times New Roman" w:hAnsi="Times New Roman" w:cs="Times New Roman"/>
              </w:rPr>
            </w:pPr>
          </w:p>
        </w:tc>
        <w:tc>
          <w:tcPr>
            <w:tcW w:w="1054" w:type="dxa"/>
            <w:vMerge w:val="continue"/>
            <w:vAlign w:val="center"/>
          </w:tcPr>
          <w:p>
            <w:pPr>
              <w:jc w:val="center"/>
              <w:rPr>
                <w:rFonts w:hint="default" w:ascii="Times New Roman" w:hAnsi="Times New Roman" w:cs="Times New Roman"/>
              </w:rPr>
            </w:pPr>
          </w:p>
        </w:tc>
        <w:tc>
          <w:tcPr>
            <w:tcW w:w="1197" w:type="dxa"/>
            <w:vMerge w:val="continue"/>
            <w:vAlign w:val="center"/>
          </w:tcPr>
          <w:p>
            <w:pPr>
              <w:jc w:val="center"/>
              <w:rPr>
                <w:rFonts w:hint="default" w:ascii="Times New Roman" w:hAnsi="Times New Roman" w:cs="Times New Roman"/>
              </w:rPr>
            </w:pPr>
          </w:p>
        </w:tc>
        <w:tc>
          <w:tcPr>
            <w:tcW w:w="959" w:type="dxa"/>
            <w:vAlign w:val="center"/>
          </w:tcPr>
          <w:p>
            <w:pPr>
              <w:jc w:val="center"/>
              <w:rPr>
                <w:rFonts w:hint="default" w:ascii="Times New Roman" w:hAnsi="Times New Roman" w:eastAsia="宋体" w:cs="Times New Roman"/>
                <w:sz w:val="18"/>
                <w:szCs w:val="18"/>
                <w:lang w:eastAsia="zh-CN"/>
              </w:rPr>
            </w:pPr>
            <w:r>
              <w:rPr>
                <w:rFonts w:hint="default" w:ascii="Times New Roman" w:hAnsi="Times New Roman" w:cs="Times New Roman"/>
                <w:sz w:val="18"/>
                <w:szCs w:val="18"/>
                <w:lang w:eastAsia="zh-CN"/>
              </w:rPr>
              <w:t>硫化氢</w:t>
            </w:r>
          </w:p>
        </w:tc>
        <w:tc>
          <w:tcPr>
            <w:tcW w:w="1179" w:type="dxa"/>
            <w:vAlign w:val="center"/>
          </w:tcPr>
          <w:p>
            <w:pPr>
              <w:jc w:val="cente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0.001</w:t>
            </w:r>
          </w:p>
        </w:tc>
        <w:tc>
          <w:tcPr>
            <w:tcW w:w="1179" w:type="dxa"/>
            <w:vMerge w:val="continue"/>
            <w:vAlign w:val="center"/>
          </w:tcPr>
          <w:p>
            <w:pPr>
              <w:jc w:val="center"/>
              <w:rPr>
                <w:rFonts w:hint="default" w:ascii="Times New Roman" w:hAnsi="Times New Roman" w:cs="Times New Roman"/>
                <w:sz w:val="21"/>
                <w:szCs w:val="21"/>
              </w:rPr>
            </w:pPr>
          </w:p>
        </w:tc>
      </w:tr>
    </w:tbl>
    <w:p>
      <w:pPr>
        <w:spacing w:line="360" w:lineRule="auto"/>
        <w:ind w:firstLine="480" w:firstLineChars="200"/>
        <w:jc w:val="left"/>
        <w:rPr>
          <w:rFonts w:hint="default" w:ascii="Times New Roman" w:hAnsi="Times New Roman" w:cs="Times New Roman"/>
        </w:rPr>
      </w:pPr>
    </w:p>
    <w:p>
      <w:pPr>
        <w:pStyle w:val="133"/>
        <w:numPr>
          <w:ilvl w:val="0"/>
          <w:numId w:val="18"/>
        </w:numPr>
        <w:spacing w:beforeLines="50" w:line="360" w:lineRule="auto"/>
        <w:ind w:left="0" w:firstLine="0" w:firstLineChars="0"/>
        <w:jc w:val="center"/>
        <w:rPr>
          <w:rFonts w:hint="default" w:ascii="Times New Roman" w:hAnsi="Times New Roman" w:cs="Times New Roman"/>
          <w:b/>
        </w:rPr>
      </w:pPr>
      <w:r>
        <w:rPr>
          <w:rFonts w:hint="default" w:ascii="Times New Roman" w:hAnsi="Times New Roman" w:cs="Times New Roman"/>
          <w:b/>
        </w:rPr>
        <w:t>项目面源（等效为圆形面源）参数调查清单</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4"/>
        <w:gridCol w:w="1417"/>
        <w:gridCol w:w="851"/>
        <w:gridCol w:w="1134"/>
        <w:gridCol w:w="995"/>
        <w:gridCol w:w="1119"/>
        <w:gridCol w:w="952"/>
        <w:gridCol w:w="1036"/>
        <w:gridCol w:w="1199"/>
        <w:gridCol w:w="1134"/>
        <w:gridCol w:w="1276"/>
        <w:gridCol w:w="935"/>
        <w:gridCol w:w="9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984" w:type="dxa"/>
            <w:vMerge w:val="restart"/>
            <w:vAlign w:val="center"/>
          </w:tcPr>
          <w:p>
            <w:pPr>
              <w:autoSpaceDE w:val="0"/>
              <w:autoSpaceDN w:val="0"/>
              <w:adjustRightInd w:val="0"/>
              <w:jc w:val="center"/>
              <w:rPr>
                <w:rFonts w:hint="default" w:ascii="Times New Roman" w:hAnsi="Times New Roman" w:cs="Times New Roman"/>
                <w:bCs/>
                <w:sz w:val="21"/>
                <w:szCs w:val="21"/>
              </w:rPr>
            </w:pPr>
            <w:r>
              <w:rPr>
                <w:rFonts w:hint="default" w:ascii="Times New Roman" w:hAnsi="Times New Roman" w:cs="Times New Roman"/>
                <w:bCs/>
                <w:sz w:val="21"/>
                <w:szCs w:val="21"/>
              </w:rPr>
              <w:t>位置</w:t>
            </w:r>
          </w:p>
        </w:tc>
        <w:tc>
          <w:tcPr>
            <w:tcW w:w="1417" w:type="dxa"/>
            <w:vMerge w:val="restart"/>
            <w:vAlign w:val="center"/>
          </w:tcPr>
          <w:p>
            <w:pPr>
              <w:autoSpaceDE w:val="0"/>
              <w:autoSpaceDN w:val="0"/>
              <w:adjustRightInd w:val="0"/>
              <w:jc w:val="center"/>
              <w:rPr>
                <w:rFonts w:hint="default" w:ascii="Times New Roman" w:hAnsi="Times New Roman" w:cs="Times New Roman"/>
                <w:bCs/>
                <w:sz w:val="21"/>
                <w:szCs w:val="21"/>
              </w:rPr>
            </w:pPr>
            <w:r>
              <w:rPr>
                <w:rFonts w:hint="default" w:ascii="Times New Roman" w:hAnsi="Times New Roman" w:cs="Times New Roman"/>
                <w:bCs/>
                <w:sz w:val="21"/>
                <w:szCs w:val="21"/>
              </w:rPr>
              <w:t>污染源</w:t>
            </w:r>
          </w:p>
        </w:tc>
        <w:tc>
          <w:tcPr>
            <w:tcW w:w="851" w:type="dxa"/>
            <w:vMerge w:val="restart"/>
            <w:vAlign w:val="center"/>
          </w:tcPr>
          <w:p>
            <w:pPr>
              <w:autoSpaceDE w:val="0"/>
              <w:autoSpaceDN w:val="0"/>
              <w:adjustRightInd w:val="0"/>
              <w:jc w:val="center"/>
              <w:rPr>
                <w:rFonts w:hint="default" w:ascii="Times New Roman" w:hAnsi="Times New Roman" w:cs="Times New Roman"/>
                <w:bCs/>
                <w:sz w:val="21"/>
                <w:szCs w:val="21"/>
              </w:rPr>
            </w:pPr>
            <w:r>
              <w:rPr>
                <w:rFonts w:hint="default" w:ascii="Times New Roman" w:hAnsi="Times New Roman" w:cs="Times New Roman"/>
                <w:bCs/>
                <w:sz w:val="21"/>
                <w:szCs w:val="21"/>
              </w:rPr>
              <w:t>面源</w:t>
            </w:r>
          </w:p>
        </w:tc>
        <w:tc>
          <w:tcPr>
            <w:tcW w:w="2129" w:type="dxa"/>
            <w:gridSpan w:val="2"/>
            <w:vAlign w:val="center"/>
          </w:tcPr>
          <w:p>
            <w:pPr>
              <w:autoSpaceDE w:val="0"/>
              <w:autoSpaceDN w:val="0"/>
              <w:adjustRightInd w:val="0"/>
              <w:jc w:val="center"/>
              <w:rPr>
                <w:rFonts w:hint="default" w:ascii="Times New Roman" w:hAnsi="Times New Roman" w:cs="Times New Roman"/>
                <w:bCs/>
                <w:sz w:val="21"/>
                <w:szCs w:val="21"/>
              </w:rPr>
            </w:pPr>
            <w:r>
              <w:rPr>
                <w:rFonts w:hint="default" w:ascii="Times New Roman" w:hAnsi="Times New Roman" w:cs="Times New Roman"/>
                <w:bCs/>
                <w:sz w:val="21"/>
                <w:szCs w:val="21"/>
              </w:rPr>
              <w:t>面源起点坐标</w:t>
            </w:r>
          </w:p>
        </w:tc>
        <w:tc>
          <w:tcPr>
            <w:tcW w:w="1119" w:type="dxa"/>
            <w:vMerge w:val="restart"/>
            <w:vAlign w:val="center"/>
          </w:tcPr>
          <w:p>
            <w:pPr>
              <w:autoSpaceDE w:val="0"/>
              <w:autoSpaceDN w:val="0"/>
              <w:adjustRightInd w:val="0"/>
              <w:jc w:val="center"/>
              <w:rPr>
                <w:rFonts w:hint="default" w:ascii="Times New Roman" w:hAnsi="Times New Roman" w:cs="Times New Roman"/>
                <w:bCs/>
                <w:sz w:val="21"/>
                <w:szCs w:val="21"/>
              </w:rPr>
            </w:pPr>
            <w:r>
              <w:rPr>
                <w:rFonts w:hint="default" w:ascii="Times New Roman" w:hAnsi="Times New Roman" w:cs="Times New Roman"/>
                <w:bCs/>
                <w:sz w:val="21"/>
                <w:szCs w:val="21"/>
              </w:rPr>
              <w:t>面源海拔高度/m</w:t>
            </w:r>
          </w:p>
        </w:tc>
        <w:tc>
          <w:tcPr>
            <w:tcW w:w="952" w:type="dxa"/>
            <w:vMerge w:val="restart"/>
            <w:vAlign w:val="center"/>
          </w:tcPr>
          <w:p>
            <w:pPr>
              <w:autoSpaceDE w:val="0"/>
              <w:autoSpaceDN w:val="0"/>
              <w:adjustRightInd w:val="0"/>
              <w:jc w:val="center"/>
              <w:rPr>
                <w:rFonts w:hint="default" w:ascii="Times New Roman" w:hAnsi="Times New Roman" w:cs="Times New Roman"/>
                <w:bCs/>
                <w:sz w:val="21"/>
                <w:szCs w:val="21"/>
              </w:rPr>
            </w:pPr>
            <w:r>
              <w:rPr>
                <w:rFonts w:hint="default" w:ascii="Times New Roman" w:hAnsi="Times New Roman" w:cs="Times New Roman"/>
                <w:bCs/>
                <w:sz w:val="21"/>
                <w:szCs w:val="21"/>
              </w:rPr>
              <w:t>面源长度m</w:t>
            </w:r>
          </w:p>
        </w:tc>
        <w:tc>
          <w:tcPr>
            <w:tcW w:w="1036" w:type="dxa"/>
            <w:vMerge w:val="restart"/>
            <w:vAlign w:val="center"/>
          </w:tcPr>
          <w:p>
            <w:pPr>
              <w:autoSpaceDE w:val="0"/>
              <w:autoSpaceDN w:val="0"/>
              <w:adjustRightInd w:val="0"/>
              <w:jc w:val="center"/>
              <w:rPr>
                <w:rFonts w:hint="default" w:ascii="Times New Roman" w:hAnsi="Times New Roman" w:cs="Times New Roman"/>
                <w:bCs/>
                <w:sz w:val="21"/>
                <w:szCs w:val="21"/>
              </w:rPr>
            </w:pPr>
            <w:r>
              <w:rPr>
                <w:rFonts w:hint="default" w:ascii="Times New Roman" w:hAnsi="Times New Roman" w:cs="Times New Roman"/>
                <w:bCs/>
                <w:sz w:val="21"/>
                <w:szCs w:val="21"/>
              </w:rPr>
              <w:t>面源宽度m</w:t>
            </w:r>
          </w:p>
        </w:tc>
        <w:tc>
          <w:tcPr>
            <w:tcW w:w="1199" w:type="dxa"/>
            <w:vMerge w:val="restart"/>
            <w:vAlign w:val="center"/>
          </w:tcPr>
          <w:p>
            <w:pPr>
              <w:autoSpaceDE w:val="0"/>
              <w:autoSpaceDN w:val="0"/>
              <w:adjustRightInd w:val="0"/>
              <w:jc w:val="center"/>
              <w:rPr>
                <w:rFonts w:hint="default" w:ascii="Times New Roman" w:hAnsi="Times New Roman" w:cs="Times New Roman"/>
                <w:bCs/>
                <w:sz w:val="21"/>
                <w:szCs w:val="21"/>
              </w:rPr>
            </w:pPr>
            <w:r>
              <w:rPr>
                <w:rFonts w:hint="default" w:ascii="Times New Roman" w:hAnsi="Times New Roman" w:cs="Times New Roman"/>
                <w:bCs/>
                <w:sz w:val="21"/>
                <w:szCs w:val="21"/>
              </w:rPr>
              <w:t>与正北向夹角°</w:t>
            </w:r>
          </w:p>
        </w:tc>
        <w:tc>
          <w:tcPr>
            <w:tcW w:w="1134" w:type="dxa"/>
            <w:vMerge w:val="restart"/>
            <w:vAlign w:val="center"/>
          </w:tcPr>
          <w:p>
            <w:pPr>
              <w:autoSpaceDE w:val="0"/>
              <w:autoSpaceDN w:val="0"/>
              <w:adjustRightInd w:val="0"/>
              <w:jc w:val="center"/>
              <w:rPr>
                <w:rFonts w:hint="default" w:ascii="Times New Roman" w:hAnsi="Times New Roman" w:cs="Times New Roman"/>
                <w:bCs/>
                <w:sz w:val="21"/>
                <w:szCs w:val="21"/>
              </w:rPr>
            </w:pPr>
            <w:r>
              <w:rPr>
                <w:rFonts w:hint="default" w:ascii="Times New Roman" w:hAnsi="Times New Roman" w:cs="Times New Roman"/>
                <w:bCs/>
                <w:sz w:val="21"/>
                <w:szCs w:val="21"/>
              </w:rPr>
              <w:t>年排放小时数h</w:t>
            </w:r>
          </w:p>
        </w:tc>
        <w:tc>
          <w:tcPr>
            <w:tcW w:w="1276" w:type="dxa"/>
            <w:vMerge w:val="restart"/>
            <w:vAlign w:val="center"/>
          </w:tcPr>
          <w:p>
            <w:pPr>
              <w:autoSpaceDE w:val="0"/>
              <w:autoSpaceDN w:val="0"/>
              <w:adjustRightInd w:val="0"/>
              <w:jc w:val="center"/>
              <w:rPr>
                <w:rFonts w:hint="default" w:ascii="Times New Roman" w:hAnsi="Times New Roman" w:cs="Times New Roman"/>
                <w:bCs/>
                <w:sz w:val="21"/>
                <w:szCs w:val="21"/>
              </w:rPr>
            </w:pPr>
            <w:r>
              <w:rPr>
                <w:rFonts w:hint="default" w:ascii="Times New Roman" w:hAnsi="Times New Roman" w:cs="Times New Roman"/>
                <w:bCs/>
                <w:sz w:val="21"/>
                <w:szCs w:val="21"/>
              </w:rPr>
              <w:t>排放工况</w:t>
            </w:r>
          </w:p>
        </w:tc>
        <w:tc>
          <w:tcPr>
            <w:tcW w:w="1842" w:type="dxa"/>
            <w:gridSpan w:val="2"/>
            <w:vMerge w:val="restart"/>
            <w:vAlign w:val="center"/>
          </w:tcPr>
          <w:p>
            <w:pPr>
              <w:autoSpaceDE w:val="0"/>
              <w:autoSpaceDN w:val="0"/>
              <w:adjustRightInd w:val="0"/>
              <w:jc w:val="center"/>
              <w:rPr>
                <w:rFonts w:hint="default" w:ascii="Times New Roman" w:hAnsi="Times New Roman" w:cs="Times New Roman"/>
                <w:bCs/>
                <w:sz w:val="21"/>
                <w:szCs w:val="21"/>
              </w:rPr>
            </w:pPr>
            <w:r>
              <w:rPr>
                <w:rFonts w:hint="default" w:ascii="Times New Roman" w:hAnsi="Times New Roman" w:cs="Times New Roman"/>
                <w:bCs/>
                <w:sz w:val="21"/>
                <w:szCs w:val="21"/>
              </w:rPr>
              <w:t>最大排放速率kg/h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984" w:type="dxa"/>
            <w:vMerge w:val="continue"/>
            <w:vAlign w:val="center"/>
          </w:tcPr>
          <w:p>
            <w:pPr>
              <w:autoSpaceDE w:val="0"/>
              <w:autoSpaceDN w:val="0"/>
              <w:adjustRightInd w:val="0"/>
              <w:jc w:val="center"/>
              <w:rPr>
                <w:rFonts w:hint="default" w:ascii="Times New Roman" w:hAnsi="Times New Roman" w:cs="Times New Roman"/>
                <w:bCs/>
                <w:sz w:val="21"/>
                <w:szCs w:val="21"/>
              </w:rPr>
            </w:pPr>
          </w:p>
        </w:tc>
        <w:tc>
          <w:tcPr>
            <w:tcW w:w="1417" w:type="dxa"/>
            <w:vMerge w:val="continue"/>
            <w:vAlign w:val="center"/>
          </w:tcPr>
          <w:p>
            <w:pPr>
              <w:autoSpaceDE w:val="0"/>
              <w:autoSpaceDN w:val="0"/>
              <w:adjustRightInd w:val="0"/>
              <w:jc w:val="center"/>
              <w:rPr>
                <w:rFonts w:hint="default" w:ascii="Times New Roman" w:hAnsi="Times New Roman" w:cs="Times New Roman"/>
                <w:bCs/>
                <w:sz w:val="21"/>
                <w:szCs w:val="21"/>
              </w:rPr>
            </w:pPr>
          </w:p>
        </w:tc>
        <w:tc>
          <w:tcPr>
            <w:tcW w:w="851" w:type="dxa"/>
            <w:vMerge w:val="continue"/>
            <w:vAlign w:val="center"/>
          </w:tcPr>
          <w:p>
            <w:pPr>
              <w:autoSpaceDE w:val="0"/>
              <w:autoSpaceDN w:val="0"/>
              <w:adjustRightInd w:val="0"/>
              <w:jc w:val="center"/>
              <w:rPr>
                <w:rFonts w:hint="default" w:ascii="Times New Roman" w:hAnsi="Times New Roman" w:cs="Times New Roman"/>
                <w:bCs/>
                <w:sz w:val="21"/>
                <w:szCs w:val="21"/>
              </w:rPr>
            </w:pPr>
          </w:p>
        </w:tc>
        <w:tc>
          <w:tcPr>
            <w:tcW w:w="1134" w:type="dxa"/>
            <w:vAlign w:val="center"/>
          </w:tcPr>
          <w:p>
            <w:pPr>
              <w:autoSpaceDE w:val="0"/>
              <w:autoSpaceDN w:val="0"/>
              <w:adjustRightInd w:val="0"/>
              <w:jc w:val="center"/>
              <w:rPr>
                <w:rFonts w:hint="default" w:ascii="Times New Roman" w:hAnsi="Times New Roman" w:cs="Times New Roman"/>
                <w:bCs/>
                <w:sz w:val="21"/>
                <w:szCs w:val="21"/>
              </w:rPr>
            </w:pPr>
            <w:r>
              <w:rPr>
                <w:rFonts w:hint="default" w:ascii="Times New Roman" w:hAnsi="Times New Roman" w:cs="Times New Roman"/>
                <w:bCs/>
                <w:sz w:val="21"/>
                <w:szCs w:val="21"/>
              </w:rPr>
              <w:t>X</w:t>
            </w:r>
          </w:p>
        </w:tc>
        <w:tc>
          <w:tcPr>
            <w:tcW w:w="995" w:type="dxa"/>
            <w:vAlign w:val="center"/>
          </w:tcPr>
          <w:p>
            <w:pPr>
              <w:autoSpaceDE w:val="0"/>
              <w:autoSpaceDN w:val="0"/>
              <w:adjustRightInd w:val="0"/>
              <w:jc w:val="center"/>
              <w:rPr>
                <w:rFonts w:hint="default" w:ascii="Times New Roman" w:hAnsi="Times New Roman" w:cs="Times New Roman"/>
                <w:bCs/>
                <w:sz w:val="21"/>
                <w:szCs w:val="21"/>
              </w:rPr>
            </w:pPr>
            <w:r>
              <w:rPr>
                <w:rFonts w:hint="default" w:ascii="Times New Roman" w:hAnsi="Times New Roman" w:cs="Times New Roman"/>
                <w:bCs/>
                <w:sz w:val="21"/>
                <w:szCs w:val="21"/>
              </w:rPr>
              <w:t>Y</w:t>
            </w:r>
          </w:p>
        </w:tc>
        <w:tc>
          <w:tcPr>
            <w:tcW w:w="1119" w:type="dxa"/>
            <w:vMerge w:val="continue"/>
            <w:vAlign w:val="center"/>
          </w:tcPr>
          <w:p>
            <w:pPr>
              <w:autoSpaceDE w:val="0"/>
              <w:autoSpaceDN w:val="0"/>
              <w:adjustRightInd w:val="0"/>
              <w:jc w:val="center"/>
              <w:rPr>
                <w:rFonts w:hint="default" w:ascii="Times New Roman" w:hAnsi="Times New Roman" w:cs="Times New Roman"/>
                <w:bCs/>
                <w:sz w:val="21"/>
                <w:szCs w:val="21"/>
              </w:rPr>
            </w:pPr>
          </w:p>
        </w:tc>
        <w:tc>
          <w:tcPr>
            <w:tcW w:w="952" w:type="dxa"/>
            <w:vMerge w:val="continue"/>
            <w:vAlign w:val="center"/>
          </w:tcPr>
          <w:p>
            <w:pPr>
              <w:autoSpaceDE w:val="0"/>
              <w:autoSpaceDN w:val="0"/>
              <w:adjustRightInd w:val="0"/>
              <w:jc w:val="center"/>
              <w:rPr>
                <w:rFonts w:hint="default" w:ascii="Times New Roman" w:hAnsi="Times New Roman" w:cs="Times New Roman"/>
                <w:bCs/>
                <w:sz w:val="21"/>
                <w:szCs w:val="21"/>
              </w:rPr>
            </w:pPr>
          </w:p>
        </w:tc>
        <w:tc>
          <w:tcPr>
            <w:tcW w:w="1036" w:type="dxa"/>
            <w:vMerge w:val="continue"/>
            <w:vAlign w:val="center"/>
          </w:tcPr>
          <w:p>
            <w:pPr>
              <w:autoSpaceDE w:val="0"/>
              <w:autoSpaceDN w:val="0"/>
              <w:adjustRightInd w:val="0"/>
              <w:jc w:val="center"/>
              <w:rPr>
                <w:rFonts w:hint="default" w:ascii="Times New Roman" w:hAnsi="Times New Roman" w:cs="Times New Roman"/>
                <w:bCs/>
                <w:sz w:val="21"/>
                <w:szCs w:val="21"/>
              </w:rPr>
            </w:pPr>
          </w:p>
        </w:tc>
        <w:tc>
          <w:tcPr>
            <w:tcW w:w="1199" w:type="dxa"/>
            <w:vMerge w:val="continue"/>
            <w:vAlign w:val="center"/>
          </w:tcPr>
          <w:p>
            <w:pPr>
              <w:autoSpaceDE w:val="0"/>
              <w:autoSpaceDN w:val="0"/>
              <w:adjustRightInd w:val="0"/>
              <w:jc w:val="center"/>
              <w:rPr>
                <w:rFonts w:hint="default" w:ascii="Times New Roman" w:hAnsi="Times New Roman" w:cs="Times New Roman"/>
                <w:bCs/>
                <w:sz w:val="21"/>
                <w:szCs w:val="21"/>
              </w:rPr>
            </w:pPr>
          </w:p>
        </w:tc>
        <w:tc>
          <w:tcPr>
            <w:tcW w:w="1134" w:type="dxa"/>
            <w:vMerge w:val="continue"/>
            <w:vAlign w:val="center"/>
          </w:tcPr>
          <w:p>
            <w:pPr>
              <w:autoSpaceDE w:val="0"/>
              <w:autoSpaceDN w:val="0"/>
              <w:adjustRightInd w:val="0"/>
              <w:jc w:val="center"/>
              <w:rPr>
                <w:rFonts w:hint="default" w:ascii="Times New Roman" w:hAnsi="Times New Roman" w:cs="Times New Roman"/>
                <w:bCs/>
                <w:sz w:val="21"/>
                <w:szCs w:val="21"/>
              </w:rPr>
            </w:pPr>
          </w:p>
        </w:tc>
        <w:tc>
          <w:tcPr>
            <w:tcW w:w="1276" w:type="dxa"/>
            <w:vMerge w:val="continue"/>
            <w:vAlign w:val="center"/>
          </w:tcPr>
          <w:p>
            <w:pPr>
              <w:autoSpaceDE w:val="0"/>
              <w:autoSpaceDN w:val="0"/>
              <w:adjustRightInd w:val="0"/>
              <w:jc w:val="center"/>
              <w:rPr>
                <w:rFonts w:hint="default" w:ascii="Times New Roman" w:hAnsi="Times New Roman" w:cs="Times New Roman"/>
                <w:bCs/>
                <w:sz w:val="21"/>
                <w:szCs w:val="21"/>
              </w:rPr>
            </w:pPr>
          </w:p>
        </w:tc>
        <w:tc>
          <w:tcPr>
            <w:tcW w:w="1842" w:type="dxa"/>
            <w:gridSpan w:val="2"/>
            <w:vMerge w:val="continue"/>
            <w:vAlign w:val="center"/>
          </w:tcPr>
          <w:p>
            <w:pPr>
              <w:autoSpaceDE w:val="0"/>
              <w:autoSpaceDN w:val="0"/>
              <w:adjustRightInd w:val="0"/>
              <w:jc w:val="center"/>
              <w:rPr>
                <w:rFonts w:hint="default" w:ascii="Times New Roman" w:hAnsi="Times New Roman" w:cs="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984" w:type="dxa"/>
            <w:vMerge w:val="restart"/>
            <w:vAlign w:val="center"/>
          </w:tcPr>
          <w:p>
            <w:pPr>
              <w:autoSpaceDE w:val="0"/>
              <w:autoSpaceDN w:val="0"/>
              <w:adjustRightInd w:val="0"/>
              <w:jc w:val="center"/>
              <w:rPr>
                <w:rFonts w:hint="default" w:ascii="Times New Roman" w:hAnsi="Times New Roman" w:cs="Times New Roman"/>
                <w:bCs/>
                <w:sz w:val="21"/>
                <w:szCs w:val="21"/>
              </w:rPr>
            </w:pPr>
            <w:r>
              <w:rPr>
                <w:rFonts w:hint="default" w:ascii="Times New Roman" w:hAnsi="Times New Roman" w:cs="Times New Roman"/>
                <w:bCs/>
                <w:sz w:val="21"/>
                <w:szCs w:val="21"/>
              </w:rPr>
              <w:t>切片车间</w:t>
            </w:r>
          </w:p>
        </w:tc>
        <w:tc>
          <w:tcPr>
            <w:tcW w:w="1417" w:type="dxa"/>
            <w:vMerge w:val="restart"/>
            <w:vAlign w:val="center"/>
          </w:tcPr>
          <w:p>
            <w:pPr>
              <w:autoSpaceDE w:val="0"/>
              <w:autoSpaceDN w:val="0"/>
              <w:adjustRightInd w:val="0"/>
              <w:jc w:val="center"/>
              <w:rPr>
                <w:rFonts w:hint="default" w:ascii="Times New Roman" w:hAnsi="Times New Roman" w:eastAsia="宋体" w:cs="Times New Roman"/>
                <w:bCs/>
                <w:sz w:val="21"/>
                <w:szCs w:val="21"/>
                <w:lang w:eastAsia="zh-CN"/>
              </w:rPr>
            </w:pPr>
            <w:r>
              <w:rPr>
                <w:rFonts w:hint="default" w:ascii="Times New Roman" w:hAnsi="Times New Roman" w:cs="Times New Roman"/>
                <w:bCs/>
                <w:sz w:val="21"/>
                <w:szCs w:val="21"/>
                <w:lang w:eastAsia="zh-CN"/>
              </w:rPr>
              <w:t>有机废气</w:t>
            </w:r>
          </w:p>
        </w:tc>
        <w:tc>
          <w:tcPr>
            <w:tcW w:w="851" w:type="dxa"/>
            <w:vMerge w:val="restart"/>
            <w:vAlign w:val="center"/>
          </w:tcPr>
          <w:p>
            <w:pPr>
              <w:autoSpaceDE w:val="0"/>
              <w:autoSpaceDN w:val="0"/>
              <w:adjustRightInd w:val="0"/>
              <w:jc w:val="center"/>
              <w:rPr>
                <w:rFonts w:hint="default" w:ascii="Times New Roman" w:hAnsi="Times New Roman" w:eastAsia="宋体" w:cs="Times New Roman"/>
                <w:bCs/>
                <w:sz w:val="21"/>
                <w:szCs w:val="21"/>
                <w:lang w:eastAsia="zh-CN"/>
              </w:rPr>
            </w:pPr>
            <w:r>
              <w:rPr>
                <w:rFonts w:hint="default" w:ascii="Times New Roman" w:hAnsi="Times New Roman" w:cs="Times New Roman"/>
                <w:bCs/>
                <w:sz w:val="21"/>
                <w:szCs w:val="21"/>
                <w:lang w:eastAsia="zh-CN"/>
              </w:rPr>
              <w:t>切片车间</w:t>
            </w:r>
          </w:p>
        </w:tc>
        <w:tc>
          <w:tcPr>
            <w:tcW w:w="1134" w:type="dxa"/>
            <w:vMerge w:val="restar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101.6036</w:t>
            </w:r>
          </w:p>
        </w:tc>
        <w:tc>
          <w:tcPr>
            <w:tcW w:w="995" w:type="dxa"/>
            <w:vMerge w:val="restar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25.0258</w:t>
            </w:r>
          </w:p>
        </w:tc>
        <w:tc>
          <w:tcPr>
            <w:tcW w:w="1119" w:type="dxa"/>
            <w:vMerge w:val="restart"/>
            <w:vAlign w:val="center"/>
          </w:tcPr>
          <w:p>
            <w:pPr>
              <w:autoSpaceDE w:val="0"/>
              <w:autoSpaceDN w:val="0"/>
              <w:adjustRightInd w:val="0"/>
              <w:jc w:val="center"/>
              <w:rPr>
                <w:rFonts w:hint="default" w:ascii="Times New Roman" w:hAnsi="Times New Roman" w:cs="Times New Roman"/>
                <w:bCs/>
                <w:sz w:val="21"/>
                <w:szCs w:val="21"/>
              </w:rPr>
            </w:pPr>
            <w:r>
              <w:rPr>
                <w:rFonts w:hint="default" w:ascii="Times New Roman" w:hAnsi="Times New Roman" w:cs="Times New Roman"/>
                <w:bCs/>
                <w:sz w:val="21"/>
                <w:szCs w:val="21"/>
              </w:rPr>
              <w:t>1846</w:t>
            </w:r>
          </w:p>
        </w:tc>
        <w:tc>
          <w:tcPr>
            <w:tcW w:w="952" w:type="dxa"/>
            <w:vAlign w:val="center"/>
          </w:tcPr>
          <w:p>
            <w:pPr>
              <w:autoSpaceDE w:val="0"/>
              <w:autoSpaceDN w:val="0"/>
              <w:adjustRightInd w:val="0"/>
              <w:jc w:val="center"/>
              <w:rPr>
                <w:rFonts w:hint="default" w:ascii="Times New Roman" w:hAnsi="Times New Roman" w:cs="Times New Roman"/>
                <w:bCs/>
                <w:sz w:val="21"/>
                <w:szCs w:val="21"/>
              </w:rPr>
            </w:pPr>
            <w:r>
              <w:rPr>
                <w:rFonts w:hint="default" w:ascii="Times New Roman" w:hAnsi="Times New Roman" w:cs="Times New Roman"/>
                <w:bCs/>
                <w:sz w:val="21"/>
                <w:szCs w:val="21"/>
              </w:rPr>
              <w:t>229</w:t>
            </w:r>
          </w:p>
        </w:tc>
        <w:tc>
          <w:tcPr>
            <w:tcW w:w="1036" w:type="dxa"/>
            <w:vAlign w:val="center"/>
          </w:tcPr>
          <w:p>
            <w:pPr>
              <w:autoSpaceDE w:val="0"/>
              <w:autoSpaceDN w:val="0"/>
              <w:adjustRightInd w:val="0"/>
              <w:jc w:val="center"/>
              <w:rPr>
                <w:rFonts w:hint="default" w:ascii="Times New Roman" w:hAnsi="Times New Roman" w:cs="Times New Roman"/>
                <w:bCs/>
                <w:sz w:val="21"/>
                <w:szCs w:val="21"/>
              </w:rPr>
            </w:pPr>
            <w:r>
              <w:rPr>
                <w:rFonts w:hint="default" w:ascii="Times New Roman" w:hAnsi="Times New Roman" w:cs="Times New Roman"/>
                <w:bCs/>
                <w:sz w:val="21"/>
                <w:szCs w:val="21"/>
              </w:rPr>
              <w:t>122</w:t>
            </w:r>
          </w:p>
        </w:tc>
        <w:tc>
          <w:tcPr>
            <w:tcW w:w="1199" w:type="dxa"/>
            <w:vMerge w:val="restart"/>
            <w:vAlign w:val="center"/>
          </w:tcPr>
          <w:p>
            <w:pPr>
              <w:autoSpaceDE w:val="0"/>
              <w:autoSpaceDN w:val="0"/>
              <w:adjustRightInd w:val="0"/>
              <w:jc w:val="center"/>
              <w:rPr>
                <w:rFonts w:hint="default" w:ascii="Times New Roman" w:hAnsi="Times New Roman" w:cs="Times New Roman"/>
                <w:bCs/>
                <w:sz w:val="21"/>
                <w:szCs w:val="21"/>
              </w:rPr>
            </w:pPr>
            <w:r>
              <w:rPr>
                <w:rFonts w:hint="default" w:ascii="Times New Roman" w:hAnsi="Times New Roman" w:cs="Times New Roman"/>
                <w:bCs/>
                <w:sz w:val="21"/>
                <w:szCs w:val="21"/>
              </w:rPr>
              <w:t>64</w:t>
            </w:r>
          </w:p>
        </w:tc>
        <w:tc>
          <w:tcPr>
            <w:tcW w:w="1134" w:type="dxa"/>
            <w:vMerge w:val="restart"/>
            <w:vAlign w:val="center"/>
          </w:tcPr>
          <w:p>
            <w:pPr>
              <w:autoSpaceDE w:val="0"/>
              <w:autoSpaceDN w:val="0"/>
              <w:adjustRightInd w:val="0"/>
              <w:jc w:val="center"/>
              <w:rPr>
                <w:rFonts w:hint="default" w:ascii="Times New Roman" w:hAnsi="Times New Roman" w:cs="Times New Roman"/>
                <w:bCs/>
                <w:sz w:val="21"/>
                <w:szCs w:val="21"/>
              </w:rPr>
            </w:pPr>
            <w:r>
              <w:rPr>
                <w:rFonts w:hint="default" w:ascii="Times New Roman" w:hAnsi="Times New Roman" w:cs="Times New Roman"/>
                <w:bCs/>
                <w:sz w:val="21"/>
                <w:szCs w:val="21"/>
              </w:rPr>
              <w:t>8760</w:t>
            </w:r>
          </w:p>
        </w:tc>
        <w:tc>
          <w:tcPr>
            <w:tcW w:w="1276" w:type="dxa"/>
            <w:vMerge w:val="restart"/>
            <w:vAlign w:val="center"/>
          </w:tcPr>
          <w:p>
            <w:pPr>
              <w:autoSpaceDE w:val="0"/>
              <w:autoSpaceDN w:val="0"/>
              <w:adjustRightInd w:val="0"/>
              <w:jc w:val="center"/>
              <w:rPr>
                <w:rFonts w:hint="default" w:ascii="Times New Roman" w:hAnsi="Times New Roman" w:cs="Times New Roman"/>
                <w:bCs/>
                <w:sz w:val="21"/>
                <w:szCs w:val="21"/>
              </w:rPr>
            </w:pPr>
            <w:r>
              <w:rPr>
                <w:rFonts w:hint="default" w:ascii="Times New Roman" w:hAnsi="Times New Roman" w:cs="Times New Roman"/>
                <w:bCs/>
                <w:sz w:val="21"/>
                <w:szCs w:val="21"/>
              </w:rPr>
              <w:t>正常排放</w:t>
            </w:r>
          </w:p>
        </w:tc>
        <w:tc>
          <w:tcPr>
            <w:tcW w:w="935" w:type="dxa"/>
            <w:vMerge w:val="restart"/>
            <w:vAlign w:val="center"/>
          </w:tcPr>
          <w:p>
            <w:pPr>
              <w:autoSpaceDE w:val="0"/>
              <w:autoSpaceDN w:val="0"/>
              <w:adjustRightInd w:val="0"/>
              <w:jc w:val="center"/>
              <w:rPr>
                <w:rFonts w:hint="default" w:ascii="Times New Roman" w:hAnsi="Times New Roman" w:cs="Times New Roman"/>
                <w:bCs/>
                <w:sz w:val="21"/>
                <w:szCs w:val="21"/>
              </w:rPr>
            </w:pPr>
            <w:r>
              <w:rPr>
                <w:rFonts w:hint="default" w:ascii="Times New Roman" w:hAnsi="Times New Roman" w:cs="Times New Roman"/>
                <w:bCs/>
                <w:sz w:val="21"/>
                <w:szCs w:val="21"/>
                <w:lang w:val="en-US" w:eastAsia="zh-CN"/>
              </w:rPr>
              <w:t>非甲烷总烃</w:t>
            </w:r>
          </w:p>
        </w:tc>
        <w:tc>
          <w:tcPr>
            <w:tcW w:w="907" w:type="dxa"/>
            <w:vMerge w:val="restart"/>
            <w:vAlign w:val="center"/>
          </w:tcPr>
          <w:p>
            <w:pPr>
              <w:autoSpaceDE w:val="0"/>
              <w:autoSpaceDN w:val="0"/>
              <w:adjustRightInd w:val="0"/>
              <w:jc w:val="center"/>
              <w:rPr>
                <w:rFonts w:hint="default" w:ascii="Times New Roman" w:hAnsi="Times New Roman" w:eastAsia="宋体" w:cs="Times New Roman"/>
                <w:bCs/>
                <w:sz w:val="21"/>
                <w:szCs w:val="21"/>
                <w:lang w:val="en-US" w:eastAsia="zh-CN"/>
              </w:rPr>
            </w:pPr>
            <w:r>
              <w:rPr>
                <w:rFonts w:hint="default" w:ascii="Times New Roman" w:hAnsi="Times New Roman" w:cs="Times New Roman"/>
                <w:bCs/>
                <w:sz w:val="21"/>
                <w:szCs w:val="21"/>
                <w:lang w:val="en-US" w:eastAsia="zh-CN"/>
              </w:rPr>
              <w:t>0.106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984" w:type="dxa"/>
            <w:vMerge w:val="continue"/>
            <w:vAlign w:val="center"/>
          </w:tcPr>
          <w:p>
            <w:pPr>
              <w:autoSpaceDE w:val="0"/>
              <w:autoSpaceDN w:val="0"/>
              <w:adjustRightInd w:val="0"/>
              <w:jc w:val="center"/>
              <w:rPr>
                <w:rFonts w:hint="default" w:ascii="Times New Roman" w:hAnsi="Times New Roman" w:cs="Times New Roman"/>
                <w:bCs/>
                <w:sz w:val="21"/>
                <w:szCs w:val="21"/>
              </w:rPr>
            </w:pPr>
          </w:p>
        </w:tc>
        <w:tc>
          <w:tcPr>
            <w:tcW w:w="1417" w:type="dxa"/>
            <w:vMerge w:val="continue"/>
            <w:vAlign w:val="center"/>
          </w:tcPr>
          <w:p>
            <w:pPr>
              <w:autoSpaceDE w:val="0"/>
              <w:autoSpaceDN w:val="0"/>
              <w:adjustRightInd w:val="0"/>
              <w:jc w:val="center"/>
              <w:rPr>
                <w:rFonts w:hint="default" w:ascii="Times New Roman" w:hAnsi="Times New Roman" w:cs="Times New Roman"/>
                <w:bCs/>
                <w:sz w:val="21"/>
                <w:szCs w:val="21"/>
              </w:rPr>
            </w:pPr>
          </w:p>
        </w:tc>
        <w:tc>
          <w:tcPr>
            <w:tcW w:w="851" w:type="dxa"/>
            <w:vMerge w:val="continue"/>
            <w:vAlign w:val="center"/>
          </w:tcPr>
          <w:p>
            <w:pPr>
              <w:autoSpaceDE w:val="0"/>
              <w:autoSpaceDN w:val="0"/>
              <w:adjustRightInd w:val="0"/>
              <w:jc w:val="center"/>
              <w:rPr>
                <w:rFonts w:hint="default" w:ascii="Times New Roman" w:hAnsi="Times New Roman" w:cs="Times New Roman"/>
                <w:bCs/>
                <w:sz w:val="21"/>
                <w:szCs w:val="21"/>
              </w:rPr>
            </w:pPr>
          </w:p>
        </w:tc>
        <w:tc>
          <w:tcPr>
            <w:tcW w:w="1134" w:type="dxa"/>
            <w:vMerge w:val="continue"/>
            <w:vAlign w:val="center"/>
          </w:tcPr>
          <w:p>
            <w:pPr>
              <w:jc w:val="center"/>
              <w:rPr>
                <w:rFonts w:hint="default" w:ascii="Times New Roman" w:hAnsi="Times New Roman" w:cs="Times New Roman"/>
                <w:sz w:val="21"/>
                <w:szCs w:val="21"/>
              </w:rPr>
            </w:pPr>
          </w:p>
        </w:tc>
        <w:tc>
          <w:tcPr>
            <w:tcW w:w="995" w:type="dxa"/>
            <w:vMerge w:val="continue"/>
            <w:vAlign w:val="center"/>
          </w:tcPr>
          <w:p>
            <w:pPr>
              <w:jc w:val="center"/>
              <w:rPr>
                <w:rFonts w:hint="default" w:ascii="Times New Roman" w:hAnsi="Times New Roman" w:cs="Times New Roman"/>
                <w:sz w:val="21"/>
                <w:szCs w:val="21"/>
              </w:rPr>
            </w:pPr>
          </w:p>
        </w:tc>
        <w:tc>
          <w:tcPr>
            <w:tcW w:w="1119" w:type="dxa"/>
            <w:vMerge w:val="continue"/>
            <w:vAlign w:val="center"/>
          </w:tcPr>
          <w:p>
            <w:pPr>
              <w:autoSpaceDE w:val="0"/>
              <w:autoSpaceDN w:val="0"/>
              <w:adjustRightInd w:val="0"/>
              <w:jc w:val="center"/>
              <w:rPr>
                <w:rFonts w:hint="default" w:ascii="Times New Roman" w:hAnsi="Times New Roman" w:cs="Times New Roman"/>
                <w:bCs/>
                <w:sz w:val="21"/>
                <w:szCs w:val="21"/>
              </w:rPr>
            </w:pPr>
          </w:p>
        </w:tc>
        <w:tc>
          <w:tcPr>
            <w:tcW w:w="1988" w:type="dxa"/>
            <w:gridSpan w:val="2"/>
            <w:vAlign w:val="center"/>
          </w:tcPr>
          <w:p>
            <w:pPr>
              <w:autoSpaceDE w:val="0"/>
              <w:autoSpaceDN w:val="0"/>
              <w:adjustRightInd w:val="0"/>
              <w:jc w:val="center"/>
              <w:rPr>
                <w:rFonts w:hint="default" w:ascii="Times New Roman" w:hAnsi="Times New Roman" w:cs="Times New Roman"/>
                <w:bCs/>
                <w:sz w:val="21"/>
                <w:szCs w:val="21"/>
              </w:rPr>
            </w:pPr>
            <w:r>
              <w:rPr>
                <w:rFonts w:hint="default" w:ascii="Times New Roman" w:hAnsi="Times New Roman" w:cs="Times New Roman"/>
                <w:bCs/>
                <w:sz w:val="21"/>
                <w:szCs w:val="21"/>
              </w:rPr>
              <w:t>等效后半径为94.33m</w:t>
            </w:r>
          </w:p>
        </w:tc>
        <w:tc>
          <w:tcPr>
            <w:tcW w:w="1199" w:type="dxa"/>
            <w:vMerge w:val="continue"/>
            <w:vAlign w:val="center"/>
          </w:tcPr>
          <w:p>
            <w:pPr>
              <w:autoSpaceDE w:val="0"/>
              <w:autoSpaceDN w:val="0"/>
              <w:adjustRightInd w:val="0"/>
              <w:jc w:val="center"/>
              <w:rPr>
                <w:rFonts w:hint="default" w:ascii="Times New Roman" w:hAnsi="Times New Roman" w:cs="Times New Roman"/>
                <w:bCs/>
                <w:sz w:val="21"/>
                <w:szCs w:val="21"/>
              </w:rPr>
            </w:pPr>
          </w:p>
        </w:tc>
        <w:tc>
          <w:tcPr>
            <w:tcW w:w="1134" w:type="dxa"/>
            <w:vMerge w:val="continue"/>
            <w:vAlign w:val="center"/>
          </w:tcPr>
          <w:p>
            <w:pPr>
              <w:autoSpaceDE w:val="0"/>
              <w:autoSpaceDN w:val="0"/>
              <w:adjustRightInd w:val="0"/>
              <w:jc w:val="center"/>
              <w:rPr>
                <w:rFonts w:hint="default" w:ascii="Times New Roman" w:hAnsi="Times New Roman" w:cs="Times New Roman"/>
                <w:bCs/>
                <w:sz w:val="21"/>
                <w:szCs w:val="21"/>
              </w:rPr>
            </w:pPr>
          </w:p>
        </w:tc>
        <w:tc>
          <w:tcPr>
            <w:tcW w:w="1276" w:type="dxa"/>
            <w:vMerge w:val="continue"/>
            <w:vAlign w:val="center"/>
          </w:tcPr>
          <w:p>
            <w:pPr>
              <w:autoSpaceDE w:val="0"/>
              <w:autoSpaceDN w:val="0"/>
              <w:adjustRightInd w:val="0"/>
              <w:jc w:val="center"/>
              <w:rPr>
                <w:rFonts w:hint="default" w:ascii="Times New Roman" w:hAnsi="Times New Roman" w:cs="Times New Roman"/>
                <w:bCs/>
                <w:sz w:val="21"/>
                <w:szCs w:val="21"/>
              </w:rPr>
            </w:pPr>
          </w:p>
        </w:tc>
        <w:tc>
          <w:tcPr>
            <w:tcW w:w="935" w:type="dxa"/>
            <w:vMerge w:val="continue"/>
            <w:vAlign w:val="center"/>
          </w:tcPr>
          <w:p>
            <w:pPr>
              <w:autoSpaceDE w:val="0"/>
              <w:autoSpaceDN w:val="0"/>
              <w:adjustRightInd w:val="0"/>
              <w:jc w:val="center"/>
              <w:rPr>
                <w:rFonts w:hint="default" w:ascii="Times New Roman" w:hAnsi="Times New Roman" w:cs="Times New Roman"/>
                <w:bCs/>
                <w:sz w:val="21"/>
                <w:szCs w:val="21"/>
              </w:rPr>
            </w:pPr>
          </w:p>
        </w:tc>
        <w:tc>
          <w:tcPr>
            <w:tcW w:w="907" w:type="dxa"/>
            <w:vMerge w:val="continue"/>
            <w:vAlign w:val="center"/>
          </w:tcPr>
          <w:p>
            <w:pPr>
              <w:autoSpaceDE w:val="0"/>
              <w:autoSpaceDN w:val="0"/>
              <w:adjustRightInd w:val="0"/>
              <w:jc w:val="center"/>
              <w:rPr>
                <w:rFonts w:hint="default" w:ascii="Times New Roman" w:hAnsi="Times New Roman" w:cs="Times New Roman"/>
                <w:bCs/>
                <w:sz w:val="21"/>
                <w:szCs w:val="21"/>
              </w:rPr>
            </w:pPr>
          </w:p>
        </w:tc>
      </w:tr>
    </w:tbl>
    <w:p>
      <w:pPr>
        <w:autoSpaceDE w:val="0"/>
        <w:autoSpaceDN w:val="0"/>
        <w:adjustRightInd w:val="0"/>
        <w:spacing w:beforeLines="50" w:line="360" w:lineRule="auto"/>
        <w:ind w:firstLine="480" w:firstLineChars="200"/>
        <w:rPr>
          <w:rFonts w:hint="default" w:ascii="Times New Roman" w:hAnsi="Times New Roman" w:cs="Times New Roman"/>
          <w:bCs/>
          <w:color w:val="FF0000"/>
        </w:rPr>
      </w:pPr>
    </w:p>
    <w:p>
      <w:pPr>
        <w:autoSpaceDE w:val="0"/>
        <w:autoSpaceDN w:val="0"/>
        <w:adjustRightInd w:val="0"/>
        <w:spacing w:beforeLines="50" w:line="360" w:lineRule="auto"/>
        <w:ind w:firstLine="480" w:firstLineChars="200"/>
        <w:rPr>
          <w:rFonts w:hint="default" w:ascii="Times New Roman" w:hAnsi="Times New Roman" w:cs="Times New Roman"/>
          <w:bCs/>
          <w:color w:val="FF0000"/>
        </w:rPr>
      </w:pPr>
    </w:p>
    <w:p>
      <w:pPr>
        <w:autoSpaceDE w:val="0"/>
        <w:autoSpaceDN w:val="0"/>
        <w:adjustRightInd w:val="0"/>
        <w:spacing w:beforeLines="50" w:line="360" w:lineRule="auto"/>
        <w:ind w:firstLine="480" w:firstLineChars="200"/>
        <w:rPr>
          <w:rFonts w:hint="default" w:ascii="Times New Roman" w:hAnsi="Times New Roman" w:cs="Times New Roman"/>
          <w:bCs/>
          <w:color w:val="FF0000"/>
        </w:rPr>
      </w:pPr>
    </w:p>
    <w:p>
      <w:pPr>
        <w:autoSpaceDE w:val="0"/>
        <w:autoSpaceDN w:val="0"/>
        <w:adjustRightInd w:val="0"/>
        <w:spacing w:beforeLines="50" w:line="360" w:lineRule="auto"/>
        <w:ind w:firstLine="480" w:firstLineChars="200"/>
        <w:rPr>
          <w:rFonts w:hint="default" w:ascii="Times New Roman" w:hAnsi="Times New Roman" w:cs="Times New Roman"/>
          <w:bCs/>
          <w:color w:val="FF0000"/>
        </w:rPr>
        <w:sectPr>
          <w:pgSz w:w="16838" w:h="11906" w:orient="landscape"/>
          <w:pgMar w:top="1797" w:right="1440" w:bottom="1797" w:left="1440" w:header="851" w:footer="992" w:gutter="0"/>
          <w:pgBorders>
            <w:top w:val="none" w:sz="0" w:space="0"/>
            <w:left w:val="none" w:sz="0" w:space="0"/>
            <w:bottom w:val="none" w:sz="0" w:space="0"/>
            <w:right w:val="none" w:sz="0" w:space="0"/>
          </w:pgBorders>
          <w:cols w:space="720" w:num="1"/>
          <w:docGrid w:linePitch="312" w:charSpace="0"/>
        </w:sectPr>
      </w:pPr>
    </w:p>
    <w:p>
      <w:pPr>
        <w:autoSpaceDE w:val="0"/>
        <w:autoSpaceDN w:val="0"/>
        <w:adjustRightInd w:val="0"/>
        <w:spacing w:beforeLines="50" w:line="360" w:lineRule="auto"/>
        <w:ind w:firstLine="480" w:firstLineChars="200"/>
        <w:rPr>
          <w:rFonts w:hint="default" w:ascii="Times New Roman" w:hAnsi="Times New Roman" w:cs="Times New Roman"/>
          <w:bCs/>
          <w:color w:val="auto"/>
        </w:rPr>
      </w:pPr>
      <w:r>
        <w:rPr>
          <w:rFonts w:hint="default" w:ascii="Times New Roman" w:hAnsi="Times New Roman" w:cs="Times New Roman"/>
          <w:bCs/>
          <w:color w:val="auto"/>
          <w:lang w:val="en-US" w:eastAsia="zh-CN"/>
        </w:rPr>
        <w:t>3、</w:t>
      </w:r>
      <w:r>
        <w:rPr>
          <w:rFonts w:hint="default" w:ascii="Times New Roman" w:hAnsi="Times New Roman" w:cs="Times New Roman"/>
          <w:bCs/>
          <w:color w:val="auto"/>
        </w:rPr>
        <w:t>预测内容</w:t>
      </w:r>
    </w:p>
    <w:p>
      <w:pPr>
        <w:spacing w:line="360" w:lineRule="auto"/>
        <w:ind w:firstLine="480" w:firstLineChars="200"/>
        <w:rPr>
          <w:rFonts w:hint="default" w:ascii="Times New Roman" w:hAnsi="Times New Roman" w:cs="Times New Roman"/>
          <w:color w:val="auto"/>
          <w:szCs w:val="32"/>
        </w:rPr>
      </w:pPr>
      <w:r>
        <w:rPr>
          <w:rFonts w:hint="default" w:ascii="Times New Roman" w:hAnsi="Times New Roman" w:cs="Times New Roman"/>
          <w:color w:val="auto"/>
        </w:rPr>
        <w:t>按照</w:t>
      </w:r>
      <w:r>
        <w:rPr>
          <w:rFonts w:hint="default" w:ascii="Times New Roman" w:hAnsi="Times New Roman" w:cs="Times New Roman"/>
          <w:color w:val="auto"/>
          <w:szCs w:val="32"/>
        </w:rPr>
        <w:t>《环境影响评价技术导则大气环境》（HJ2.2-2018）的要求预测排放的污染物在不同距离处的质量浓度及占标率。</w:t>
      </w:r>
    </w:p>
    <w:p>
      <w:pPr>
        <w:spacing w:line="360" w:lineRule="auto"/>
        <w:ind w:firstLine="480" w:firstLineChars="200"/>
        <w:rPr>
          <w:rFonts w:hint="default" w:ascii="Times New Roman" w:hAnsi="Times New Roman" w:cs="Times New Roman"/>
          <w:color w:val="auto"/>
          <w:szCs w:val="32"/>
        </w:rPr>
      </w:pPr>
      <w:r>
        <w:rPr>
          <w:rFonts w:hint="default" w:ascii="Times New Roman" w:hAnsi="Times New Roman" w:cs="Times New Roman"/>
          <w:color w:val="auto"/>
          <w:szCs w:val="32"/>
          <w:lang w:val="en-US" w:eastAsia="zh-CN"/>
        </w:rPr>
        <w:t>4、</w:t>
      </w:r>
      <w:r>
        <w:rPr>
          <w:rFonts w:hint="default" w:ascii="Times New Roman" w:hAnsi="Times New Roman" w:cs="Times New Roman"/>
          <w:color w:val="auto"/>
          <w:szCs w:val="32"/>
        </w:rPr>
        <w:t>预测模式</w:t>
      </w:r>
    </w:p>
    <w:p>
      <w:pPr>
        <w:spacing w:line="360" w:lineRule="auto"/>
        <w:ind w:firstLine="480" w:firstLineChars="200"/>
        <w:rPr>
          <w:rFonts w:hint="default" w:ascii="Times New Roman" w:hAnsi="Times New Roman" w:cs="Times New Roman"/>
          <w:color w:val="auto"/>
          <w:szCs w:val="32"/>
        </w:rPr>
      </w:pPr>
      <w:r>
        <w:rPr>
          <w:rFonts w:hint="default" w:ascii="Times New Roman" w:hAnsi="Times New Roman" w:cs="Times New Roman"/>
          <w:color w:val="auto"/>
          <w:szCs w:val="32"/>
        </w:rPr>
        <w:t>根据《环境影响评价技术导则大气环境》（HJ2.2-2018）的要求，采用AerScreen估算模式进行预测，估算模型参数见下表。</w:t>
      </w:r>
    </w:p>
    <w:p>
      <w:pPr>
        <w:pStyle w:val="178"/>
        <w:keepNext w:val="0"/>
        <w:keepLines w:val="0"/>
        <w:pageBreakBefore w:val="0"/>
        <w:widowControl/>
        <w:numPr>
          <w:ilvl w:val="0"/>
          <w:numId w:val="7"/>
        </w:numPr>
        <w:kinsoku/>
        <w:wordWrap/>
        <w:overflowPunct/>
        <w:topLinePunct w:val="0"/>
        <w:autoSpaceDE/>
        <w:autoSpaceDN/>
        <w:bidi w:val="0"/>
        <w:adjustRightInd/>
        <w:snapToGrid/>
        <w:spacing w:beforeLines="0" w:afterLines="0" w:line="360" w:lineRule="auto"/>
        <w:ind w:left="0" w:leftChars="0" w:firstLine="0" w:firstLineChars="0"/>
        <w:textAlignment w:val="auto"/>
        <w:rPr>
          <w:rFonts w:hint="default" w:ascii="Times New Roman" w:hAnsi="Times New Roman" w:cs="Times New Roman"/>
          <w:b/>
          <w:color w:val="auto"/>
        </w:rPr>
      </w:pPr>
      <w:r>
        <w:rPr>
          <w:rFonts w:hint="default" w:ascii="Times New Roman" w:hAnsi="Times New Roman" w:cs="Times New Roman"/>
          <w:b/>
          <w:color w:val="auto"/>
        </w:rPr>
        <w:t>估算模型参数表</w:t>
      </w:r>
    </w:p>
    <w:tbl>
      <w:tblPr>
        <w:tblStyle w:val="44"/>
        <w:tblW w:w="75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0"/>
        <w:gridCol w:w="2471"/>
        <w:gridCol w:w="40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501" w:type="dxa"/>
            <w:gridSpan w:val="2"/>
            <w:shd w:val="clear" w:color="auto" w:fill="auto"/>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参数</w:t>
            </w:r>
          </w:p>
        </w:tc>
        <w:tc>
          <w:tcPr>
            <w:tcW w:w="4073" w:type="dxa"/>
            <w:shd w:val="clear" w:color="auto" w:fill="auto"/>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取值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30" w:type="dxa"/>
            <w:vMerge w:val="restart"/>
            <w:shd w:val="clear" w:color="auto" w:fill="auto"/>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城市/农村选项</w:t>
            </w:r>
          </w:p>
        </w:tc>
        <w:tc>
          <w:tcPr>
            <w:tcW w:w="2471" w:type="dxa"/>
            <w:shd w:val="clear" w:color="auto" w:fill="auto"/>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城市/农村</w:t>
            </w:r>
          </w:p>
        </w:tc>
        <w:tc>
          <w:tcPr>
            <w:tcW w:w="4073" w:type="dxa"/>
            <w:shd w:val="clear" w:color="auto" w:fill="auto"/>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1030" w:type="dxa"/>
            <w:vMerge w:val="continue"/>
            <w:vAlign w:val="center"/>
          </w:tcPr>
          <w:p>
            <w:pPr>
              <w:widowControl/>
              <w:jc w:val="left"/>
              <w:rPr>
                <w:rFonts w:hint="default" w:ascii="Times New Roman" w:hAnsi="Times New Roman" w:cs="Times New Roman"/>
                <w:color w:val="auto"/>
                <w:kern w:val="0"/>
                <w:sz w:val="21"/>
                <w:szCs w:val="21"/>
              </w:rPr>
            </w:pPr>
          </w:p>
        </w:tc>
        <w:tc>
          <w:tcPr>
            <w:tcW w:w="2471" w:type="dxa"/>
            <w:shd w:val="clear" w:color="auto" w:fill="auto"/>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人口数（城市选项时）</w:t>
            </w:r>
          </w:p>
        </w:tc>
        <w:tc>
          <w:tcPr>
            <w:tcW w:w="4073" w:type="dxa"/>
            <w:shd w:val="clear" w:color="auto" w:fill="auto"/>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540632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1030" w:type="dxa"/>
            <w:vMerge w:val="continue"/>
            <w:vAlign w:val="center"/>
          </w:tcPr>
          <w:p>
            <w:pPr>
              <w:widowControl/>
              <w:jc w:val="left"/>
              <w:rPr>
                <w:rFonts w:hint="default" w:ascii="Times New Roman" w:hAnsi="Times New Roman" w:cs="Times New Roman"/>
                <w:color w:val="auto"/>
                <w:kern w:val="0"/>
                <w:sz w:val="21"/>
                <w:szCs w:val="21"/>
              </w:rPr>
            </w:pPr>
          </w:p>
        </w:tc>
        <w:tc>
          <w:tcPr>
            <w:tcW w:w="2471" w:type="dxa"/>
            <w:shd w:val="clear" w:color="auto" w:fill="auto"/>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最小环境距离/m</w:t>
            </w:r>
          </w:p>
        </w:tc>
        <w:tc>
          <w:tcPr>
            <w:tcW w:w="4073" w:type="dxa"/>
            <w:shd w:val="clear" w:color="auto" w:fill="auto"/>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1（默认）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501" w:type="dxa"/>
            <w:gridSpan w:val="2"/>
            <w:shd w:val="clear" w:color="auto" w:fill="auto"/>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最大计算距离/m</w:t>
            </w:r>
          </w:p>
        </w:tc>
        <w:tc>
          <w:tcPr>
            <w:tcW w:w="4073" w:type="dxa"/>
            <w:shd w:val="clear" w:color="auto" w:fill="auto"/>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501" w:type="dxa"/>
            <w:gridSpan w:val="2"/>
            <w:shd w:val="clear" w:color="auto" w:fill="auto"/>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是否使用离散点</w:t>
            </w:r>
          </w:p>
        </w:tc>
        <w:tc>
          <w:tcPr>
            <w:tcW w:w="4073" w:type="dxa"/>
            <w:shd w:val="clear" w:color="auto" w:fill="auto"/>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501" w:type="dxa"/>
            <w:gridSpan w:val="2"/>
            <w:shd w:val="clear" w:color="auto" w:fill="auto"/>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是否考虑接受点高度</w:t>
            </w:r>
          </w:p>
        </w:tc>
        <w:tc>
          <w:tcPr>
            <w:tcW w:w="4073" w:type="dxa"/>
            <w:shd w:val="clear" w:color="auto" w:fill="auto"/>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501" w:type="dxa"/>
            <w:gridSpan w:val="2"/>
            <w:shd w:val="clear" w:color="auto" w:fill="auto"/>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最高环境温度/K</w:t>
            </w:r>
          </w:p>
        </w:tc>
        <w:tc>
          <w:tcPr>
            <w:tcW w:w="4073" w:type="dxa"/>
            <w:shd w:val="clear" w:color="auto" w:fill="auto"/>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307.35K（34.2℃）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501" w:type="dxa"/>
            <w:gridSpan w:val="2"/>
            <w:shd w:val="clear" w:color="auto" w:fill="auto"/>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最低环境温度/K</w:t>
            </w:r>
          </w:p>
        </w:tc>
        <w:tc>
          <w:tcPr>
            <w:tcW w:w="4073" w:type="dxa"/>
            <w:shd w:val="clear" w:color="auto" w:fill="auto"/>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270.65K（-2.5℃）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501" w:type="dxa"/>
            <w:gridSpan w:val="2"/>
            <w:shd w:val="clear" w:color="auto" w:fill="auto"/>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最小风速/m/s</w:t>
            </w:r>
          </w:p>
        </w:tc>
        <w:tc>
          <w:tcPr>
            <w:tcW w:w="4073" w:type="dxa"/>
            <w:shd w:val="clear" w:color="auto" w:fill="auto"/>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0.5（默认）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501" w:type="dxa"/>
            <w:gridSpan w:val="2"/>
            <w:shd w:val="clear" w:color="auto" w:fill="auto"/>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风速计算高度/m</w:t>
            </w:r>
          </w:p>
        </w:tc>
        <w:tc>
          <w:tcPr>
            <w:tcW w:w="4073" w:type="dxa"/>
            <w:shd w:val="clear" w:color="auto" w:fill="auto"/>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10（默认）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501" w:type="dxa"/>
            <w:gridSpan w:val="2"/>
            <w:shd w:val="clear" w:color="auto" w:fill="auto"/>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土地利用类型</w:t>
            </w:r>
          </w:p>
        </w:tc>
        <w:tc>
          <w:tcPr>
            <w:tcW w:w="4073" w:type="dxa"/>
            <w:shd w:val="clear" w:color="auto" w:fill="auto"/>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501" w:type="dxa"/>
            <w:gridSpan w:val="2"/>
            <w:shd w:val="clear" w:color="auto" w:fill="auto"/>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区域湿度条件</w:t>
            </w:r>
          </w:p>
        </w:tc>
        <w:tc>
          <w:tcPr>
            <w:tcW w:w="4073" w:type="dxa"/>
            <w:shd w:val="clear" w:color="auto" w:fill="auto"/>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潮湿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30" w:type="dxa"/>
            <w:vMerge w:val="restart"/>
            <w:shd w:val="clear" w:color="auto" w:fill="auto"/>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是否考虑地形</w:t>
            </w:r>
          </w:p>
        </w:tc>
        <w:tc>
          <w:tcPr>
            <w:tcW w:w="2471" w:type="dxa"/>
            <w:shd w:val="clear" w:color="auto" w:fill="auto"/>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考虑地形</w:t>
            </w:r>
          </w:p>
        </w:tc>
        <w:tc>
          <w:tcPr>
            <w:tcW w:w="4073" w:type="dxa"/>
            <w:shd w:val="clear" w:color="auto" w:fill="auto"/>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030" w:type="dxa"/>
            <w:vMerge w:val="continue"/>
            <w:vAlign w:val="center"/>
          </w:tcPr>
          <w:p>
            <w:pPr>
              <w:widowControl/>
              <w:jc w:val="left"/>
              <w:rPr>
                <w:rFonts w:hint="default" w:ascii="Times New Roman" w:hAnsi="Times New Roman" w:cs="Times New Roman"/>
                <w:color w:val="auto"/>
                <w:kern w:val="0"/>
                <w:sz w:val="21"/>
                <w:szCs w:val="21"/>
              </w:rPr>
            </w:pPr>
          </w:p>
        </w:tc>
        <w:tc>
          <w:tcPr>
            <w:tcW w:w="2471" w:type="dxa"/>
            <w:shd w:val="clear" w:color="auto" w:fill="auto"/>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地形数据分辨率/m</w:t>
            </w:r>
          </w:p>
        </w:tc>
        <w:tc>
          <w:tcPr>
            <w:tcW w:w="4073" w:type="dxa"/>
            <w:shd w:val="clear" w:color="auto" w:fill="auto"/>
            <w:vAlign w:val="center"/>
          </w:tcPr>
          <w:p>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1030" w:type="dxa"/>
            <w:vMerge w:val="restart"/>
            <w:shd w:val="clear" w:color="auto" w:fill="auto"/>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是否考虑岸线熏烟</w:t>
            </w:r>
          </w:p>
        </w:tc>
        <w:tc>
          <w:tcPr>
            <w:tcW w:w="2471" w:type="dxa"/>
            <w:shd w:val="clear" w:color="auto" w:fill="auto"/>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考虑岸线熏烟</w:t>
            </w:r>
          </w:p>
        </w:tc>
        <w:tc>
          <w:tcPr>
            <w:tcW w:w="4073" w:type="dxa"/>
            <w:shd w:val="clear" w:color="auto" w:fill="auto"/>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1030" w:type="dxa"/>
            <w:vMerge w:val="continue"/>
            <w:vAlign w:val="center"/>
          </w:tcPr>
          <w:p>
            <w:pPr>
              <w:widowControl/>
              <w:jc w:val="left"/>
              <w:rPr>
                <w:rFonts w:hint="default" w:ascii="Times New Roman" w:hAnsi="Times New Roman" w:cs="Times New Roman"/>
                <w:color w:val="auto"/>
                <w:kern w:val="0"/>
                <w:sz w:val="21"/>
                <w:szCs w:val="21"/>
              </w:rPr>
            </w:pPr>
          </w:p>
        </w:tc>
        <w:tc>
          <w:tcPr>
            <w:tcW w:w="2471" w:type="dxa"/>
            <w:shd w:val="clear" w:color="auto" w:fill="auto"/>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岸线距离/km</w:t>
            </w:r>
          </w:p>
        </w:tc>
        <w:tc>
          <w:tcPr>
            <w:tcW w:w="4073" w:type="dxa"/>
            <w:shd w:val="clear" w:color="auto" w:fill="auto"/>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30" w:type="dxa"/>
            <w:vMerge w:val="continue"/>
            <w:vAlign w:val="center"/>
          </w:tcPr>
          <w:p>
            <w:pPr>
              <w:widowControl/>
              <w:jc w:val="left"/>
              <w:rPr>
                <w:rFonts w:hint="default" w:ascii="Times New Roman" w:hAnsi="Times New Roman" w:cs="Times New Roman"/>
                <w:color w:val="auto"/>
                <w:kern w:val="0"/>
                <w:sz w:val="21"/>
                <w:szCs w:val="21"/>
              </w:rPr>
            </w:pPr>
          </w:p>
        </w:tc>
        <w:tc>
          <w:tcPr>
            <w:tcW w:w="2471" w:type="dxa"/>
            <w:shd w:val="clear" w:color="auto" w:fill="auto"/>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岸线方向/°</w:t>
            </w:r>
          </w:p>
        </w:tc>
        <w:tc>
          <w:tcPr>
            <w:tcW w:w="4073" w:type="dxa"/>
            <w:shd w:val="clear" w:color="auto" w:fill="auto"/>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w:t>
            </w:r>
          </w:p>
        </w:tc>
      </w:tr>
    </w:tbl>
    <w:p>
      <w:pPr>
        <w:spacing w:beforeLines="50" w:line="360" w:lineRule="auto"/>
        <w:ind w:firstLine="480" w:firstLineChars="200"/>
        <w:rPr>
          <w:rFonts w:hint="default" w:ascii="Times New Roman" w:hAnsi="Times New Roman" w:cs="Times New Roman"/>
          <w:color w:val="auto"/>
          <w:szCs w:val="32"/>
        </w:rPr>
      </w:pPr>
      <w:r>
        <w:rPr>
          <w:rFonts w:hint="default" w:ascii="Times New Roman" w:hAnsi="Times New Roman" w:cs="Times New Roman"/>
          <w:color w:val="auto"/>
          <w:szCs w:val="32"/>
          <w:lang w:val="en-US" w:eastAsia="zh-CN"/>
        </w:rPr>
        <w:t>5、</w:t>
      </w:r>
      <w:r>
        <w:rPr>
          <w:rFonts w:hint="default" w:ascii="Times New Roman" w:hAnsi="Times New Roman" w:cs="Times New Roman"/>
          <w:color w:val="auto"/>
          <w:szCs w:val="32"/>
          <w:lang w:eastAsia="zh-CN"/>
        </w:rPr>
        <w:t>估算</w:t>
      </w:r>
      <w:r>
        <w:rPr>
          <w:rFonts w:hint="default" w:ascii="Times New Roman" w:hAnsi="Times New Roman" w:cs="Times New Roman"/>
          <w:color w:val="auto"/>
          <w:szCs w:val="32"/>
        </w:rPr>
        <w:t>结果</w:t>
      </w:r>
    </w:p>
    <w:p>
      <w:pPr>
        <w:pStyle w:val="178"/>
        <w:keepNext w:val="0"/>
        <w:keepLines w:val="0"/>
        <w:pageBreakBefore w:val="0"/>
        <w:widowControl/>
        <w:numPr>
          <w:ilvl w:val="0"/>
          <w:numId w:val="7"/>
        </w:numPr>
        <w:kinsoku/>
        <w:wordWrap/>
        <w:overflowPunct/>
        <w:topLinePunct w:val="0"/>
        <w:autoSpaceDE/>
        <w:autoSpaceDN/>
        <w:bidi w:val="0"/>
        <w:adjustRightInd/>
        <w:snapToGrid/>
        <w:spacing w:beforeLines="0" w:afterLines="0" w:line="360" w:lineRule="auto"/>
        <w:ind w:left="0" w:leftChars="0" w:firstLine="0" w:firstLineChars="0"/>
        <w:textAlignment w:val="auto"/>
        <w:rPr>
          <w:rFonts w:hint="default" w:ascii="Times New Roman" w:hAnsi="Times New Roman" w:cs="Times New Roman"/>
          <w:b/>
          <w:color w:val="FF0000"/>
        </w:rPr>
        <w:sectPr>
          <w:pgSz w:w="11906" w:h="16838"/>
          <w:pgMar w:top="1440" w:right="1797" w:bottom="1440" w:left="1797" w:header="851" w:footer="992" w:gutter="0"/>
          <w:pgBorders>
            <w:top w:val="none" w:sz="0" w:space="0"/>
            <w:left w:val="none" w:sz="0" w:space="0"/>
            <w:bottom w:val="none" w:sz="0" w:space="0"/>
            <w:right w:val="none" w:sz="0" w:space="0"/>
          </w:pgBorders>
          <w:cols w:space="720" w:num="1"/>
          <w:docGrid w:linePitch="312" w:charSpace="0"/>
        </w:sectPr>
      </w:pPr>
    </w:p>
    <w:p>
      <w:pPr>
        <w:pStyle w:val="178"/>
        <w:keepNext w:val="0"/>
        <w:keepLines w:val="0"/>
        <w:pageBreakBefore w:val="0"/>
        <w:widowControl/>
        <w:numPr>
          <w:ilvl w:val="0"/>
          <w:numId w:val="7"/>
        </w:numPr>
        <w:kinsoku/>
        <w:wordWrap/>
        <w:overflowPunct/>
        <w:topLinePunct w:val="0"/>
        <w:autoSpaceDE/>
        <w:autoSpaceDN/>
        <w:bidi w:val="0"/>
        <w:adjustRightInd/>
        <w:snapToGrid/>
        <w:spacing w:beforeLines="0" w:afterLines="0" w:line="360" w:lineRule="auto"/>
        <w:ind w:left="0" w:leftChars="0" w:firstLine="0" w:firstLineChars="0"/>
        <w:textAlignment w:val="auto"/>
        <w:rPr>
          <w:rFonts w:hint="default" w:ascii="Times New Roman" w:hAnsi="Times New Roman" w:cs="Times New Roman"/>
          <w:b/>
          <w:color w:val="auto"/>
        </w:rPr>
      </w:pPr>
      <w:r>
        <w:rPr>
          <w:rFonts w:hint="default" w:ascii="Times New Roman" w:hAnsi="Times New Roman" w:cs="Times New Roman"/>
          <w:b/>
          <w:color w:val="auto"/>
        </w:rPr>
        <w:t>有组织排放大气污染物估算模式计算结果</w:t>
      </w:r>
    </w:p>
    <w:tbl>
      <w:tblPr>
        <w:tblStyle w:val="44"/>
        <w:tblW w:w="131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6"/>
        <w:gridCol w:w="1319"/>
        <w:gridCol w:w="1310"/>
        <w:gridCol w:w="1107"/>
        <w:gridCol w:w="1107"/>
        <w:gridCol w:w="1107"/>
        <w:gridCol w:w="1107"/>
        <w:gridCol w:w="1107"/>
        <w:gridCol w:w="1107"/>
        <w:gridCol w:w="1107"/>
        <w:gridCol w:w="11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616" w:type="dxa"/>
            <w:vMerge w:val="restart"/>
            <w:shd w:val="clear" w:color="auto" w:fill="auto"/>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距离（m）</w:t>
            </w:r>
          </w:p>
        </w:tc>
        <w:tc>
          <w:tcPr>
            <w:tcW w:w="2629" w:type="dxa"/>
            <w:gridSpan w:val="2"/>
            <w:shd w:val="clear" w:color="auto" w:fill="auto"/>
          </w:tcPr>
          <w:p>
            <w:pPr>
              <w:widowControl/>
              <w:jc w:val="center"/>
              <w:rPr>
                <w:rFonts w:hint="default" w:ascii="Times New Roman" w:hAnsi="Times New Roman" w:eastAsia="宋体" w:cs="Times New Roman"/>
                <w:color w:val="auto"/>
                <w:kern w:val="0"/>
                <w:sz w:val="21"/>
                <w:szCs w:val="21"/>
                <w:lang w:eastAsia="zh-CN"/>
              </w:rPr>
            </w:pPr>
            <w:r>
              <w:rPr>
                <w:rFonts w:hint="default" w:ascii="Times New Roman" w:hAnsi="Times New Roman" w:cs="Times New Roman"/>
                <w:color w:val="auto"/>
                <w:kern w:val="0"/>
                <w:sz w:val="21"/>
                <w:szCs w:val="21"/>
                <w:lang w:eastAsia="zh-CN"/>
              </w:rPr>
              <w:t>DA008</w:t>
            </w:r>
          </w:p>
        </w:tc>
        <w:tc>
          <w:tcPr>
            <w:tcW w:w="2214" w:type="dxa"/>
            <w:gridSpan w:val="2"/>
            <w:shd w:val="clear" w:color="auto" w:fill="auto"/>
          </w:tcPr>
          <w:p>
            <w:pPr>
              <w:widowControl/>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DA009</w:t>
            </w:r>
          </w:p>
        </w:tc>
        <w:tc>
          <w:tcPr>
            <w:tcW w:w="2214" w:type="dxa"/>
            <w:gridSpan w:val="2"/>
            <w:shd w:val="clear" w:color="auto" w:fill="auto"/>
          </w:tcPr>
          <w:p>
            <w:pPr>
              <w:widowControl/>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DA011</w:t>
            </w:r>
          </w:p>
        </w:tc>
        <w:tc>
          <w:tcPr>
            <w:tcW w:w="4428" w:type="dxa"/>
            <w:gridSpan w:val="4"/>
            <w:shd w:val="clear" w:color="auto" w:fill="auto"/>
          </w:tcPr>
          <w:p>
            <w:pPr>
              <w:widowControl/>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DA010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616" w:type="dxa"/>
            <w:vMerge w:val="continue"/>
            <w:vAlign w:val="center"/>
          </w:tcPr>
          <w:p>
            <w:pPr>
              <w:widowControl/>
              <w:jc w:val="left"/>
              <w:rPr>
                <w:rFonts w:hint="default" w:ascii="Times New Roman" w:hAnsi="Times New Roman" w:cs="Times New Roman"/>
                <w:color w:val="auto"/>
                <w:kern w:val="0"/>
                <w:sz w:val="21"/>
                <w:szCs w:val="21"/>
              </w:rPr>
            </w:pPr>
          </w:p>
        </w:tc>
        <w:tc>
          <w:tcPr>
            <w:tcW w:w="2629" w:type="dxa"/>
            <w:gridSpan w:val="2"/>
            <w:shd w:val="clear" w:color="auto" w:fill="auto"/>
          </w:tcPr>
          <w:p>
            <w:pPr>
              <w:widowControl/>
              <w:jc w:val="center"/>
              <w:rPr>
                <w:rFonts w:hint="default" w:ascii="Times New Roman" w:hAnsi="Times New Roman" w:eastAsia="宋体" w:cs="Times New Roman"/>
                <w:color w:val="auto"/>
                <w:kern w:val="0"/>
                <w:sz w:val="21"/>
                <w:szCs w:val="21"/>
                <w:lang w:eastAsia="zh-CN"/>
              </w:rPr>
            </w:pPr>
            <w:r>
              <w:rPr>
                <w:rFonts w:hint="default" w:ascii="Times New Roman" w:hAnsi="Times New Roman" w:cs="Times New Roman"/>
                <w:color w:val="auto"/>
                <w:kern w:val="0"/>
                <w:sz w:val="21"/>
                <w:szCs w:val="21"/>
                <w:lang w:eastAsia="zh-CN"/>
              </w:rPr>
              <w:t>非甲烷总烃</w:t>
            </w:r>
          </w:p>
        </w:tc>
        <w:tc>
          <w:tcPr>
            <w:tcW w:w="2214" w:type="dxa"/>
            <w:gridSpan w:val="2"/>
            <w:shd w:val="clear" w:color="auto" w:fill="auto"/>
          </w:tcPr>
          <w:p>
            <w:pPr>
              <w:widowControl/>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颗粒物</w:t>
            </w:r>
          </w:p>
        </w:tc>
        <w:tc>
          <w:tcPr>
            <w:tcW w:w="2214" w:type="dxa"/>
            <w:gridSpan w:val="2"/>
            <w:shd w:val="clear" w:color="auto" w:fill="auto"/>
          </w:tcPr>
          <w:p>
            <w:pPr>
              <w:widowControl/>
              <w:jc w:val="center"/>
              <w:rPr>
                <w:rFonts w:hint="default" w:ascii="Times New Roman" w:hAnsi="Times New Roman" w:cs="Times New Roman"/>
                <w:color w:val="auto"/>
                <w:kern w:val="0"/>
                <w:sz w:val="21"/>
                <w:szCs w:val="21"/>
                <w:lang w:eastAsia="zh-CN"/>
              </w:rPr>
            </w:pPr>
            <w:r>
              <w:rPr>
                <w:rFonts w:hint="default" w:ascii="Times New Roman" w:hAnsi="Times New Roman" w:cs="Times New Roman"/>
                <w:color w:val="auto"/>
                <w:kern w:val="0"/>
                <w:sz w:val="21"/>
                <w:szCs w:val="21"/>
                <w:lang w:eastAsia="zh-CN"/>
              </w:rPr>
              <w:t>氟化物</w:t>
            </w:r>
          </w:p>
        </w:tc>
        <w:tc>
          <w:tcPr>
            <w:tcW w:w="2214" w:type="dxa"/>
            <w:gridSpan w:val="2"/>
            <w:shd w:val="clear" w:color="auto" w:fill="auto"/>
          </w:tcPr>
          <w:p>
            <w:pPr>
              <w:widowControl/>
              <w:jc w:val="center"/>
              <w:rPr>
                <w:rFonts w:hint="default" w:ascii="Times New Roman" w:hAnsi="Times New Roman" w:cs="Times New Roman"/>
                <w:color w:val="auto"/>
                <w:kern w:val="0"/>
                <w:sz w:val="21"/>
                <w:szCs w:val="21"/>
                <w:lang w:eastAsia="zh-CN"/>
              </w:rPr>
            </w:pPr>
            <w:r>
              <w:rPr>
                <w:rFonts w:hint="default" w:ascii="Times New Roman" w:hAnsi="Times New Roman" w:cs="Times New Roman"/>
                <w:color w:val="auto"/>
                <w:kern w:val="0"/>
                <w:sz w:val="21"/>
                <w:szCs w:val="21"/>
                <w:lang w:eastAsia="zh-CN"/>
              </w:rPr>
              <w:t>氨</w:t>
            </w:r>
          </w:p>
        </w:tc>
        <w:tc>
          <w:tcPr>
            <w:tcW w:w="2214" w:type="dxa"/>
            <w:gridSpan w:val="2"/>
            <w:shd w:val="clear" w:color="auto" w:fill="auto"/>
          </w:tcPr>
          <w:p>
            <w:pPr>
              <w:widowControl/>
              <w:jc w:val="center"/>
              <w:rPr>
                <w:rFonts w:hint="default" w:ascii="Times New Roman" w:hAnsi="Times New Roman" w:cs="Times New Roman"/>
                <w:color w:val="auto"/>
                <w:kern w:val="0"/>
                <w:sz w:val="21"/>
                <w:szCs w:val="21"/>
                <w:lang w:eastAsia="zh-CN"/>
              </w:rPr>
            </w:pPr>
            <w:r>
              <w:rPr>
                <w:rFonts w:hint="default" w:ascii="Times New Roman" w:hAnsi="Times New Roman" w:cs="Times New Roman"/>
                <w:color w:val="auto"/>
                <w:kern w:val="0"/>
                <w:sz w:val="21"/>
                <w:szCs w:val="21"/>
                <w:lang w:eastAsia="zh-CN"/>
              </w:rPr>
              <w:t>硫化氢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616" w:type="dxa"/>
            <w:vMerge w:val="continue"/>
            <w:vAlign w:val="center"/>
          </w:tcPr>
          <w:p>
            <w:pPr>
              <w:widowControl/>
              <w:jc w:val="left"/>
              <w:rPr>
                <w:rFonts w:hint="default" w:ascii="Times New Roman" w:hAnsi="Times New Roman" w:cs="Times New Roman"/>
                <w:color w:val="auto"/>
                <w:kern w:val="0"/>
                <w:sz w:val="21"/>
                <w:szCs w:val="21"/>
              </w:rPr>
            </w:pPr>
          </w:p>
        </w:tc>
        <w:tc>
          <w:tcPr>
            <w:tcW w:w="1319" w:type="dxa"/>
            <w:shd w:val="clear" w:color="auto" w:fill="auto"/>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预测浓度ug/m</w:t>
            </w:r>
            <w:r>
              <w:rPr>
                <w:rFonts w:hint="default" w:ascii="Times New Roman" w:hAnsi="Times New Roman" w:cs="Times New Roman"/>
                <w:color w:val="auto"/>
                <w:kern w:val="0"/>
                <w:sz w:val="21"/>
                <w:szCs w:val="21"/>
                <w:vertAlign w:val="superscript"/>
              </w:rPr>
              <w:t>3</w:t>
            </w:r>
          </w:p>
        </w:tc>
        <w:tc>
          <w:tcPr>
            <w:tcW w:w="1310" w:type="dxa"/>
            <w:shd w:val="clear" w:color="auto" w:fill="auto"/>
            <w:vAlign w:val="center"/>
          </w:tcPr>
          <w:p>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rPr>
              <w:t>占标率</w:t>
            </w:r>
            <w:r>
              <w:rPr>
                <w:rFonts w:hint="default" w:ascii="Times New Roman" w:hAnsi="Times New Roman" w:cs="Times New Roman"/>
                <w:color w:val="auto"/>
                <w:kern w:val="0"/>
                <w:sz w:val="21"/>
                <w:szCs w:val="21"/>
                <w:lang w:val="en-US" w:eastAsia="zh-CN"/>
              </w:rPr>
              <w:t>%</w:t>
            </w:r>
          </w:p>
        </w:tc>
        <w:tc>
          <w:tcPr>
            <w:tcW w:w="1107" w:type="dxa"/>
            <w:shd w:val="clear" w:color="auto" w:fill="auto"/>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预测浓度ug/m</w:t>
            </w:r>
            <w:r>
              <w:rPr>
                <w:rFonts w:hint="default" w:ascii="Times New Roman" w:hAnsi="Times New Roman" w:cs="Times New Roman"/>
                <w:color w:val="auto"/>
                <w:kern w:val="0"/>
                <w:sz w:val="21"/>
                <w:szCs w:val="21"/>
                <w:vertAlign w:val="superscript"/>
              </w:rPr>
              <w:t>3</w:t>
            </w:r>
          </w:p>
        </w:tc>
        <w:tc>
          <w:tcPr>
            <w:tcW w:w="1107" w:type="dxa"/>
            <w:shd w:val="clear" w:color="auto" w:fill="auto"/>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占标率</w:t>
            </w:r>
            <w:r>
              <w:rPr>
                <w:rFonts w:hint="default" w:ascii="Times New Roman" w:hAnsi="Times New Roman" w:cs="Times New Roman"/>
                <w:color w:val="auto"/>
                <w:kern w:val="0"/>
                <w:sz w:val="21"/>
                <w:szCs w:val="21"/>
                <w:lang w:val="en-US" w:eastAsia="zh-CN"/>
              </w:rPr>
              <w:t>%</w:t>
            </w:r>
          </w:p>
        </w:tc>
        <w:tc>
          <w:tcPr>
            <w:tcW w:w="1107" w:type="dxa"/>
            <w:shd w:val="clear" w:color="auto" w:fill="auto"/>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预测浓度ug/m</w:t>
            </w:r>
            <w:r>
              <w:rPr>
                <w:rFonts w:hint="default" w:ascii="Times New Roman" w:hAnsi="Times New Roman" w:cs="Times New Roman"/>
                <w:color w:val="auto"/>
                <w:kern w:val="0"/>
                <w:sz w:val="21"/>
                <w:szCs w:val="21"/>
                <w:vertAlign w:val="superscript"/>
              </w:rPr>
              <w:t>3</w:t>
            </w:r>
          </w:p>
        </w:tc>
        <w:tc>
          <w:tcPr>
            <w:tcW w:w="1107" w:type="dxa"/>
            <w:shd w:val="clear" w:color="auto" w:fill="auto"/>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占标率</w:t>
            </w:r>
            <w:r>
              <w:rPr>
                <w:rFonts w:hint="default" w:ascii="Times New Roman" w:hAnsi="Times New Roman" w:cs="Times New Roman"/>
                <w:color w:val="auto"/>
                <w:kern w:val="0"/>
                <w:sz w:val="21"/>
                <w:szCs w:val="21"/>
                <w:lang w:val="en-US" w:eastAsia="zh-CN"/>
              </w:rPr>
              <w:t>%</w:t>
            </w:r>
          </w:p>
        </w:tc>
        <w:tc>
          <w:tcPr>
            <w:tcW w:w="1107" w:type="dxa"/>
            <w:shd w:val="clear" w:color="auto" w:fill="auto"/>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预测浓度ug/m</w:t>
            </w:r>
            <w:r>
              <w:rPr>
                <w:rFonts w:hint="default" w:ascii="Times New Roman" w:hAnsi="Times New Roman" w:cs="Times New Roman"/>
                <w:color w:val="auto"/>
                <w:kern w:val="0"/>
                <w:sz w:val="21"/>
                <w:szCs w:val="21"/>
                <w:vertAlign w:val="superscript"/>
              </w:rPr>
              <w:t>3</w:t>
            </w:r>
          </w:p>
        </w:tc>
        <w:tc>
          <w:tcPr>
            <w:tcW w:w="1107" w:type="dxa"/>
            <w:shd w:val="clear" w:color="auto" w:fill="auto"/>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占标率</w:t>
            </w:r>
            <w:r>
              <w:rPr>
                <w:rFonts w:hint="default" w:ascii="Times New Roman" w:hAnsi="Times New Roman" w:cs="Times New Roman"/>
                <w:color w:val="auto"/>
                <w:kern w:val="0"/>
                <w:sz w:val="21"/>
                <w:szCs w:val="21"/>
                <w:lang w:val="en-US" w:eastAsia="zh-CN"/>
              </w:rPr>
              <w:t>%</w:t>
            </w:r>
          </w:p>
        </w:tc>
        <w:tc>
          <w:tcPr>
            <w:tcW w:w="1107" w:type="dxa"/>
            <w:shd w:val="clear" w:color="auto" w:fill="auto"/>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预测浓度ug/m</w:t>
            </w:r>
            <w:r>
              <w:rPr>
                <w:rFonts w:hint="default" w:ascii="Times New Roman" w:hAnsi="Times New Roman" w:cs="Times New Roman"/>
                <w:color w:val="auto"/>
                <w:kern w:val="0"/>
                <w:sz w:val="21"/>
                <w:szCs w:val="21"/>
                <w:vertAlign w:val="superscript"/>
              </w:rPr>
              <w:t>3</w:t>
            </w:r>
          </w:p>
        </w:tc>
        <w:tc>
          <w:tcPr>
            <w:tcW w:w="1107" w:type="dxa"/>
            <w:shd w:val="clear" w:color="auto" w:fill="auto"/>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占标率</w:t>
            </w:r>
            <w:r>
              <w:rPr>
                <w:rFonts w:hint="default" w:ascii="Times New Roman" w:hAnsi="Times New Roman" w:cs="Times New Roman"/>
                <w:color w:val="auto"/>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616" w:type="dxa"/>
            <w:shd w:val="clear" w:color="auto" w:fill="auto"/>
            <w:vAlign w:val="center"/>
          </w:tcPr>
          <w:p>
            <w:pPr>
              <w:widowControl/>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50.0</w:t>
            </w:r>
          </w:p>
        </w:tc>
        <w:tc>
          <w:tcPr>
            <w:tcW w:w="1319"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35.167</w:t>
            </w:r>
          </w:p>
        </w:tc>
        <w:tc>
          <w:tcPr>
            <w:tcW w:w="1310"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1.7584</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10.122</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1.1247</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0.1619</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0.8096</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9.3496</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4.6748</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0.0935</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616" w:type="dxa"/>
            <w:shd w:val="clear" w:color="auto" w:fill="auto"/>
            <w:vAlign w:val="center"/>
          </w:tcPr>
          <w:p>
            <w:pPr>
              <w:widowControl/>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100.0</w:t>
            </w:r>
          </w:p>
        </w:tc>
        <w:tc>
          <w:tcPr>
            <w:tcW w:w="1319"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43.157</w:t>
            </w:r>
          </w:p>
        </w:tc>
        <w:tc>
          <w:tcPr>
            <w:tcW w:w="1310"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2.1578</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11.925</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1.325</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0.1908</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0.9538</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11.75</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5.875</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0.1175</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616" w:type="dxa"/>
            <w:shd w:val="clear" w:color="auto" w:fill="auto"/>
            <w:vAlign w:val="center"/>
          </w:tcPr>
          <w:p>
            <w:pPr>
              <w:widowControl/>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200.0</w:t>
            </w:r>
          </w:p>
        </w:tc>
        <w:tc>
          <w:tcPr>
            <w:tcW w:w="1319"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28.173</w:t>
            </w:r>
          </w:p>
        </w:tc>
        <w:tc>
          <w:tcPr>
            <w:tcW w:w="1310"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1.4086</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7.4278</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0.8253</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0.1188</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0.5941</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7.4088</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3.7044</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0.0741</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0.7409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616" w:type="dxa"/>
            <w:shd w:val="clear" w:color="auto" w:fill="auto"/>
            <w:vAlign w:val="center"/>
          </w:tcPr>
          <w:p>
            <w:pPr>
              <w:widowControl/>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300.0</w:t>
            </w:r>
          </w:p>
        </w:tc>
        <w:tc>
          <w:tcPr>
            <w:tcW w:w="1319"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19.2</w:t>
            </w:r>
          </w:p>
        </w:tc>
        <w:tc>
          <w:tcPr>
            <w:tcW w:w="1310"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0.96</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5.0225</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0.5581</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0.0804</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0.4018</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4.9498</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2.4749</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0.0495</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0.495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616" w:type="dxa"/>
            <w:shd w:val="clear" w:color="auto" w:fill="auto"/>
            <w:vAlign w:val="center"/>
          </w:tcPr>
          <w:p>
            <w:pPr>
              <w:widowControl/>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400.0</w:t>
            </w:r>
          </w:p>
        </w:tc>
        <w:tc>
          <w:tcPr>
            <w:tcW w:w="1319"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14.278</w:t>
            </w:r>
          </w:p>
        </w:tc>
        <w:tc>
          <w:tcPr>
            <w:tcW w:w="1310"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0.7139</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3.7489</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0.4165</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0.06</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0.2999</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3.7455</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1.8727</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0.0375</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0.3745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616" w:type="dxa"/>
            <w:shd w:val="clear" w:color="auto" w:fill="auto"/>
            <w:vAlign w:val="center"/>
          </w:tcPr>
          <w:p>
            <w:pPr>
              <w:widowControl/>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500.0</w:t>
            </w:r>
          </w:p>
        </w:tc>
        <w:tc>
          <w:tcPr>
            <w:tcW w:w="1319"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11.218</w:t>
            </w:r>
          </w:p>
        </w:tc>
        <w:tc>
          <w:tcPr>
            <w:tcW w:w="1310"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0.5609</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2.9456</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0.3273</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0.0471</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0.2356</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2.9455</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1.4728</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0.0295</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0.2945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616" w:type="dxa"/>
            <w:shd w:val="clear" w:color="auto" w:fill="auto"/>
            <w:vAlign w:val="center"/>
          </w:tcPr>
          <w:p>
            <w:pPr>
              <w:widowControl/>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600.0</w:t>
            </w:r>
          </w:p>
        </w:tc>
        <w:tc>
          <w:tcPr>
            <w:tcW w:w="1319"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9.1456</w:t>
            </w:r>
          </w:p>
        </w:tc>
        <w:tc>
          <w:tcPr>
            <w:tcW w:w="1310"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0.4573</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2.4013</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0.2668</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0.0384</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0.1921</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2.3976</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1.1988</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0.024</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0.2398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616" w:type="dxa"/>
            <w:shd w:val="clear" w:color="auto" w:fill="auto"/>
            <w:vAlign w:val="center"/>
          </w:tcPr>
          <w:p>
            <w:pPr>
              <w:widowControl/>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700.0</w:t>
            </w:r>
          </w:p>
        </w:tc>
        <w:tc>
          <w:tcPr>
            <w:tcW w:w="1319"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7.6248</w:t>
            </w:r>
          </w:p>
        </w:tc>
        <w:tc>
          <w:tcPr>
            <w:tcW w:w="1310"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0.3812</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2.0079</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0.2231</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0.0321</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0.1606</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2.0101</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1.005</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0.0201</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616" w:type="dxa"/>
            <w:shd w:val="clear" w:color="auto" w:fill="auto"/>
            <w:vAlign w:val="center"/>
          </w:tcPr>
          <w:p>
            <w:pPr>
              <w:widowControl/>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800.0</w:t>
            </w:r>
          </w:p>
        </w:tc>
        <w:tc>
          <w:tcPr>
            <w:tcW w:w="1319"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6.4</w:t>
            </w:r>
          </w:p>
        </w:tc>
        <w:tc>
          <w:tcPr>
            <w:tcW w:w="1310"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0.32</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1.7182</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0.1909</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0.0275</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0.1374</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1.7189</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0.8594</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0.0172</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0.1719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616" w:type="dxa"/>
            <w:shd w:val="clear" w:color="auto" w:fill="auto"/>
            <w:vAlign w:val="center"/>
          </w:tcPr>
          <w:p>
            <w:pPr>
              <w:widowControl/>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900.0</w:t>
            </w:r>
          </w:p>
        </w:tc>
        <w:tc>
          <w:tcPr>
            <w:tcW w:w="1319"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5.5785</w:t>
            </w:r>
          </w:p>
        </w:tc>
        <w:tc>
          <w:tcPr>
            <w:tcW w:w="1310"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0.2789</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1.4937</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0.166</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0.0239</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0.1195</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1.4938</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0.7469</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0.0149</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0.1494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616" w:type="dxa"/>
            <w:shd w:val="clear" w:color="auto" w:fill="auto"/>
            <w:vAlign w:val="center"/>
          </w:tcPr>
          <w:p>
            <w:pPr>
              <w:widowControl/>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1000.0</w:t>
            </w:r>
          </w:p>
        </w:tc>
        <w:tc>
          <w:tcPr>
            <w:tcW w:w="1319"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5.0085</w:t>
            </w:r>
          </w:p>
        </w:tc>
        <w:tc>
          <w:tcPr>
            <w:tcW w:w="1310"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0.2504</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1.2997</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0.1444</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0.0208</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0.104</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1.3066</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0.6533</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0.0131</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0.1307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616" w:type="dxa"/>
            <w:shd w:val="clear" w:color="auto" w:fill="auto"/>
            <w:vAlign w:val="center"/>
          </w:tcPr>
          <w:p>
            <w:pPr>
              <w:widowControl/>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1200.0</w:t>
            </w:r>
          </w:p>
        </w:tc>
        <w:tc>
          <w:tcPr>
            <w:tcW w:w="1319"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4.0038</w:t>
            </w:r>
          </w:p>
        </w:tc>
        <w:tc>
          <w:tcPr>
            <w:tcW w:w="1310"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0.2002</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1.0468</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0.1163</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0.0168</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0.0838</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1.0505</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0.5252</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0.0105</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0.1051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616" w:type="dxa"/>
            <w:shd w:val="clear" w:color="auto" w:fill="auto"/>
            <w:vAlign w:val="center"/>
          </w:tcPr>
          <w:p>
            <w:pPr>
              <w:widowControl/>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1400.0</w:t>
            </w:r>
          </w:p>
        </w:tc>
        <w:tc>
          <w:tcPr>
            <w:tcW w:w="1319"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3.3006</w:t>
            </w:r>
          </w:p>
        </w:tc>
        <w:tc>
          <w:tcPr>
            <w:tcW w:w="1310"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0.165</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0.8665</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0.0963</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0.0139</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0.0693</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0.8673</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0.4336</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0.0087</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0.0867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616" w:type="dxa"/>
            <w:shd w:val="clear" w:color="auto" w:fill="auto"/>
            <w:vAlign w:val="center"/>
          </w:tcPr>
          <w:p>
            <w:pPr>
              <w:widowControl/>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1600.0</w:t>
            </w:r>
          </w:p>
        </w:tc>
        <w:tc>
          <w:tcPr>
            <w:tcW w:w="1319"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2.7862</w:t>
            </w:r>
          </w:p>
        </w:tc>
        <w:tc>
          <w:tcPr>
            <w:tcW w:w="1310"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0.1393</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0.7288</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0.081</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0.0117</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0.0583</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0.7318</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0.3659</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0.0073</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0.0732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616" w:type="dxa"/>
            <w:shd w:val="clear" w:color="auto" w:fill="auto"/>
            <w:vAlign w:val="center"/>
          </w:tcPr>
          <w:p>
            <w:pPr>
              <w:widowControl/>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1800.0</w:t>
            </w:r>
          </w:p>
        </w:tc>
        <w:tc>
          <w:tcPr>
            <w:tcW w:w="1319"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2.391</w:t>
            </w:r>
          </w:p>
        </w:tc>
        <w:tc>
          <w:tcPr>
            <w:tcW w:w="1310"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0.1195</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0.621</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0.069</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0.0099</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0.0497</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0.6261</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0.3131</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0.0063</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0.0626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616" w:type="dxa"/>
            <w:shd w:val="clear" w:color="auto" w:fill="auto"/>
            <w:vAlign w:val="center"/>
          </w:tcPr>
          <w:p>
            <w:pPr>
              <w:widowControl/>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2000.0</w:t>
            </w:r>
          </w:p>
        </w:tc>
        <w:tc>
          <w:tcPr>
            <w:tcW w:w="1319"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2.0909</w:t>
            </w:r>
          </w:p>
        </w:tc>
        <w:tc>
          <w:tcPr>
            <w:tcW w:w="1310"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0.1045</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0.5504</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0.0612</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0.0088</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0.044</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0.5506</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0.2753</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0.0055</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0.0551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616" w:type="dxa"/>
            <w:shd w:val="clear" w:color="auto" w:fill="auto"/>
            <w:vAlign w:val="center"/>
          </w:tcPr>
          <w:p>
            <w:pPr>
              <w:widowControl/>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2500.0</w:t>
            </w:r>
          </w:p>
        </w:tc>
        <w:tc>
          <w:tcPr>
            <w:tcW w:w="1319"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1.5669</w:t>
            </w:r>
          </w:p>
        </w:tc>
        <w:tc>
          <w:tcPr>
            <w:tcW w:w="1310"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0.0783</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0.4115</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0.0457</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0.0066</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0.0329</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0.4115</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0.2058</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0.0041</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616" w:type="dxa"/>
            <w:shd w:val="clear" w:color="auto" w:fill="auto"/>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下风向最大落地浓度</w:t>
            </w:r>
          </w:p>
        </w:tc>
        <w:tc>
          <w:tcPr>
            <w:tcW w:w="1319"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44.726</w:t>
            </w:r>
          </w:p>
        </w:tc>
        <w:tc>
          <w:tcPr>
            <w:tcW w:w="1310"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2.2363</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12.45</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1.3833</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0.1992</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0.9958</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11.877</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5.9385</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0.1188</w:t>
            </w:r>
          </w:p>
        </w:tc>
        <w:tc>
          <w:tcPr>
            <w:tcW w:w="1107" w:type="dxa"/>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1.1877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616" w:type="dxa"/>
            <w:shd w:val="clear" w:color="auto" w:fill="auto"/>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最大落地浓度距离m</w:t>
            </w:r>
          </w:p>
        </w:tc>
        <w:tc>
          <w:tcPr>
            <w:tcW w:w="2629" w:type="dxa"/>
            <w:gridSpan w:val="2"/>
            <w:shd w:val="clear" w:color="auto" w:fill="auto"/>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lang w:val="en-US" w:eastAsia="zh-CN"/>
              </w:rPr>
              <w:t>84</w:t>
            </w:r>
            <w:r>
              <w:rPr>
                <w:rFonts w:hint="default" w:ascii="Times New Roman" w:hAnsi="Times New Roman" w:cs="Times New Roman"/>
                <w:color w:val="auto"/>
                <w:kern w:val="0"/>
                <w:sz w:val="21"/>
                <w:szCs w:val="21"/>
              </w:rPr>
              <w:t>m</w:t>
            </w:r>
          </w:p>
        </w:tc>
        <w:tc>
          <w:tcPr>
            <w:tcW w:w="2214" w:type="dxa"/>
            <w:gridSpan w:val="2"/>
            <w:shd w:val="clear" w:color="auto" w:fill="auto"/>
            <w:vAlign w:val="center"/>
          </w:tcPr>
          <w:p>
            <w:pPr>
              <w:widowControl/>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80m</w:t>
            </w:r>
          </w:p>
        </w:tc>
        <w:tc>
          <w:tcPr>
            <w:tcW w:w="2214" w:type="dxa"/>
            <w:gridSpan w:val="2"/>
            <w:shd w:val="clear" w:color="auto" w:fill="auto"/>
            <w:vAlign w:val="center"/>
          </w:tcPr>
          <w:p>
            <w:pPr>
              <w:widowControl/>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80m</w:t>
            </w:r>
          </w:p>
        </w:tc>
        <w:tc>
          <w:tcPr>
            <w:tcW w:w="2214" w:type="dxa"/>
            <w:gridSpan w:val="2"/>
            <w:shd w:val="clear" w:color="auto" w:fill="auto"/>
            <w:vAlign w:val="center"/>
          </w:tcPr>
          <w:p>
            <w:pPr>
              <w:widowControl/>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85m</w:t>
            </w:r>
          </w:p>
        </w:tc>
        <w:tc>
          <w:tcPr>
            <w:tcW w:w="2214" w:type="dxa"/>
            <w:gridSpan w:val="2"/>
            <w:shd w:val="clear" w:color="auto" w:fill="auto"/>
            <w:vAlign w:val="center"/>
          </w:tcPr>
          <w:p>
            <w:pPr>
              <w:widowControl/>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85m</w:t>
            </w:r>
          </w:p>
        </w:tc>
      </w:tr>
    </w:tbl>
    <w:p>
      <w:pPr>
        <w:pStyle w:val="178"/>
        <w:keepNext w:val="0"/>
        <w:keepLines w:val="0"/>
        <w:pageBreakBefore w:val="0"/>
        <w:widowControl/>
        <w:numPr>
          <w:ilvl w:val="0"/>
          <w:numId w:val="7"/>
        </w:numPr>
        <w:kinsoku/>
        <w:wordWrap/>
        <w:overflowPunct/>
        <w:topLinePunct w:val="0"/>
        <w:autoSpaceDE/>
        <w:autoSpaceDN/>
        <w:bidi w:val="0"/>
        <w:adjustRightInd/>
        <w:snapToGrid/>
        <w:spacing w:before="157" w:beforeLines="50" w:afterLines="0" w:line="360" w:lineRule="auto"/>
        <w:ind w:left="0" w:leftChars="0" w:firstLine="0" w:firstLineChars="0"/>
        <w:textAlignment w:val="auto"/>
        <w:rPr>
          <w:rFonts w:hint="default" w:ascii="Times New Roman" w:hAnsi="Times New Roman" w:cs="Times New Roman"/>
          <w:b/>
          <w:color w:val="FF0000"/>
        </w:rPr>
        <w:sectPr>
          <w:pgSz w:w="16838" w:h="11906" w:orient="landscape"/>
          <w:pgMar w:top="1797" w:right="1440" w:bottom="1797" w:left="1440" w:header="851" w:footer="992" w:gutter="0"/>
          <w:pgBorders>
            <w:top w:val="none" w:sz="0" w:space="0"/>
            <w:left w:val="none" w:sz="0" w:space="0"/>
            <w:bottom w:val="none" w:sz="0" w:space="0"/>
            <w:right w:val="none" w:sz="0" w:space="0"/>
          </w:pgBorders>
          <w:cols w:space="0" w:num="1"/>
          <w:rtlGutter w:val="0"/>
          <w:docGrid w:linePitch="312" w:charSpace="0"/>
        </w:sectPr>
      </w:pPr>
    </w:p>
    <w:p>
      <w:pPr>
        <w:pStyle w:val="178"/>
        <w:keepNext w:val="0"/>
        <w:keepLines w:val="0"/>
        <w:pageBreakBefore w:val="0"/>
        <w:widowControl/>
        <w:numPr>
          <w:ilvl w:val="0"/>
          <w:numId w:val="7"/>
        </w:numPr>
        <w:kinsoku/>
        <w:wordWrap/>
        <w:overflowPunct/>
        <w:topLinePunct w:val="0"/>
        <w:autoSpaceDE/>
        <w:autoSpaceDN/>
        <w:bidi w:val="0"/>
        <w:adjustRightInd/>
        <w:snapToGrid/>
        <w:spacing w:before="157" w:beforeLines="50" w:afterLines="0" w:line="360" w:lineRule="auto"/>
        <w:ind w:left="0" w:leftChars="0" w:firstLine="0" w:firstLineChars="0"/>
        <w:textAlignment w:val="auto"/>
        <w:rPr>
          <w:rFonts w:hint="default" w:ascii="Times New Roman" w:hAnsi="Times New Roman" w:cs="Times New Roman"/>
          <w:b/>
          <w:color w:val="auto"/>
        </w:rPr>
      </w:pPr>
      <w:r>
        <w:rPr>
          <w:rFonts w:hint="default" w:ascii="Times New Roman" w:hAnsi="Times New Roman" w:cs="Times New Roman"/>
          <w:b/>
          <w:color w:val="auto"/>
        </w:rPr>
        <w:t>无组织排放大气污染物估算模式计算结果</w:t>
      </w:r>
    </w:p>
    <w:tbl>
      <w:tblPr>
        <w:tblStyle w:val="44"/>
        <w:tblW w:w="470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98"/>
        <w:gridCol w:w="2465"/>
        <w:gridCol w:w="33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pct"/>
            <w:vMerge w:val="restart"/>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距离（m）</w:t>
            </w:r>
          </w:p>
        </w:tc>
        <w:tc>
          <w:tcPr>
            <w:tcW w:w="3631" w:type="pct"/>
            <w:gridSpan w:val="2"/>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切片车间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pct"/>
            <w:vMerge w:val="continue"/>
            <w:vAlign w:val="center"/>
          </w:tcPr>
          <w:p>
            <w:pPr>
              <w:jc w:val="center"/>
              <w:rPr>
                <w:rFonts w:hint="default" w:ascii="Times New Roman" w:hAnsi="Times New Roman" w:cs="Times New Roman"/>
                <w:color w:val="auto"/>
                <w:sz w:val="21"/>
                <w:szCs w:val="21"/>
              </w:rPr>
            </w:pPr>
          </w:p>
        </w:tc>
        <w:tc>
          <w:tcPr>
            <w:tcW w:w="3631" w:type="pct"/>
            <w:gridSpan w:val="2"/>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bCs/>
                <w:color w:val="auto"/>
                <w:sz w:val="21"/>
                <w:szCs w:val="21"/>
                <w:lang w:eastAsia="zh-CN"/>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1368" w:type="pct"/>
            <w:vMerge w:val="continue"/>
            <w:vAlign w:val="center"/>
          </w:tcPr>
          <w:p>
            <w:pPr>
              <w:jc w:val="center"/>
              <w:rPr>
                <w:rFonts w:hint="default" w:ascii="Times New Roman" w:hAnsi="Times New Roman" w:cs="Times New Roman"/>
                <w:color w:val="auto"/>
                <w:sz w:val="21"/>
                <w:szCs w:val="21"/>
              </w:rPr>
            </w:pPr>
          </w:p>
        </w:tc>
        <w:tc>
          <w:tcPr>
            <w:tcW w:w="1534" w:type="pct"/>
            <w:vAlign w:val="center"/>
          </w:tcPr>
          <w:p>
            <w:pPr>
              <w:jc w:val="center"/>
              <w:rPr>
                <w:rFonts w:hint="default" w:ascii="Times New Roman" w:hAnsi="Times New Roman" w:cs="Times New Roman"/>
                <w:color w:val="auto"/>
                <w:sz w:val="21"/>
                <w:szCs w:val="21"/>
                <w:vertAlign w:val="superscript"/>
              </w:rPr>
            </w:pPr>
            <w:r>
              <w:rPr>
                <w:rFonts w:hint="default" w:ascii="Times New Roman" w:hAnsi="Times New Roman" w:cs="Times New Roman"/>
                <w:color w:val="auto"/>
                <w:sz w:val="21"/>
                <w:szCs w:val="21"/>
              </w:rPr>
              <w:t>预测浓度ug/m</w:t>
            </w:r>
            <w:r>
              <w:rPr>
                <w:rFonts w:hint="default" w:ascii="Times New Roman" w:hAnsi="Times New Roman" w:cs="Times New Roman"/>
                <w:color w:val="auto"/>
                <w:sz w:val="21"/>
                <w:szCs w:val="21"/>
                <w:vertAlign w:val="superscript"/>
              </w:rPr>
              <w:t>3</w:t>
            </w:r>
          </w:p>
        </w:tc>
        <w:tc>
          <w:tcPr>
            <w:tcW w:w="2096" w:type="pct"/>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占标率</w:t>
            </w:r>
            <w:r>
              <w:rPr>
                <w:rFonts w:hint="default" w:ascii="Times New Roman" w:hAnsi="Times New Roman"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pct"/>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50.0</w:t>
            </w:r>
          </w:p>
        </w:tc>
        <w:tc>
          <w:tcPr>
            <w:tcW w:w="2465"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b w:val="0"/>
                <w:color w:val="auto"/>
                <w:sz w:val="21"/>
                <w:szCs w:val="21"/>
              </w:rPr>
              <w:t>18.7340</w:t>
            </w:r>
          </w:p>
        </w:tc>
        <w:tc>
          <w:tcPr>
            <w:tcW w:w="3369"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b w:val="0"/>
                <w:color w:val="auto"/>
                <w:sz w:val="21"/>
                <w:szCs w:val="21"/>
              </w:rPr>
              <w:t>0.9367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pct"/>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100.0</w:t>
            </w:r>
          </w:p>
        </w:tc>
        <w:tc>
          <w:tcPr>
            <w:tcW w:w="2465"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b w:val="0"/>
                <w:color w:val="auto"/>
                <w:sz w:val="21"/>
                <w:szCs w:val="21"/>
              </w:rPr>
              <w:t>22.0420</w:t>
            </w:r>
          </w:p>
        </w:tc>
        <w:tc>
          <w:tcPr>
            <w:tcW w:w="3369"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b w:val="0"/>
                <w:color w:val="auto"/>
                <w:sz w:val="21"/>
                <w:szCs w:val="21"/>
              </w:rPr>
              <w:t>1.1021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pct"/>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200.0</w:t>
            </w:r>
          </w:p>
        </w:tc>
        <w:tc>
          <w:tcPr>
            <w:tcW w:w="2465"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b w:val="0"/>
                <w:color w:val="auto"/>
                <w:sz w:val="21"/>
                <w:szCs w:val="21"/>
              </w:rPr>
              <w:t>11.3250</w:t>
            </w:r>
          </w:p>
        </w:tc>
        <w:tc>
          <w:tcPr>
            <w:tcW w:w="3369"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b w:val="0"/>
                <w:color w:val="auto"/>
                <w:sz w:val="21"/>
                <w:szCs w:val="21"/>
              </w:rPr>
              <w:t>0.5663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pct"/>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300.0</w:t>
            </w:r>
          </w:p>
        </w:tc>
        <w:tc>
          <w:tcPr>
            <w:tcW w:w="2465"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b w:val="0"/>
                <w:color w:val="auto"/>
                <w:sz w:val="21"/>
                <w:szCs w:val="21"/>
              </w:rPr>
              <w:t>7.6177</w:t>
            </w:r>
          </w:p>
        </w:tc>
        <w:tc>
          <w:tcPr>
            <w:tcW w:w="3369"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b w:val="0"/>
                <w:color w:val="auto"/>
                <w:sz w:val="21"/>
                <w:szCs w:val="21"/>
              </w:rPr>
              <w:t>0.3809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pct"/>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400.0</w:t>
            </w:r>
          </w:p>
        </w:tc>
        <w:tc>
          <w:tcPr>
            <w:tcW w:w="2465"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b w:val="0"/>
                <w:color w:val="auto"/>
                <w:sz w:val="21"/>
                <w:szCs w:val="21"/>
              </w:rPr>
              <w:t>5.7167</w:t>
            </w:r>
          </w:p>
        </w:tc>
        <w:tc>
          <w:tcPr>
            <w:tcW w:w="3369"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b w:val="0"/>
                <w:color w:val="auto"/>
                <w:sz w:val="21"/>
                <w:szCs w:val="21"/>
              </w:rPr>
              <w:t>0.2858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pct"/>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500.0</w:t>
            </w:r>
          </w:p>
        </w:tc>
        <w:tc>
          <w:tcPr>
            <w:tcW w:w="2465"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b w:val="0"/>
                <w:color w:val="auto"/>
                <w:sz w:val="21"/>
                <w:szCs w:val="21"/>
              </w:rPr>
              <w:t>4.5388</w:t>
            </w:r>
          </w:p>
        </w:tc>
        <w:tc>
          <w:tcPr>
            <w:tcW w:w="3369"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b w:val="0"/>
                <w:color w:val="auto"/>
                <w:sz w:val="21"/>
                <w:szCs w:val="21"/>
              </w:rPr>
              <w:t>0.2269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pct"/>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600.0</w:t>
            </w:r>
          </w:p>
        </w:tc>
        <w:tc>
          <w:tcPr>
            <w:tcW w:w="2465"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b w:val="0"/>
                <w:color w:val="auto"/>
                <w:sz w:val="21"/>
                <w:szCs w:val="21"/>
              </w:rPr>
              <w:t>3.7429</w:t>
            </w:r>
          </w:p>
        </w:tc>
        <w:tc>
          <w:tcPr>
            <w:tcW w:w="3369"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b w:val="0"/>
                <w:color w:val="auto"/>
                <w:sz w:val="21"/>
                <w:szCs w:val="21"/>
              </w:rPr>
              <w:t>0.1871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pct"/>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700.0</w:t>
            </w:r>
          </w:p>
        </w:tc>
        <w:tc>
          <w:tcPr>
            <w:tcW w:w="2465"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b w:val="0"/>
                <w:color w:val="auto"/>
                <w:sz w:val="21"/>
                <w:szCs w:val="21"/>
              </w:rPr>
              <w:t>3.1488</w:t>
            </w:r>
          </w:p>
        </w:tc>
        <w:tc>
          <w:tcPr>
            <w:tcW w:w="3369"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b w:val="0"/>
                <w:color w:val="auto"/>
                <w:sz w:val="21"/>
                <w:szCs w:val="21"/>
              </w:rPr>
              <w:t>0.1574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pct"/>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800.0</w:t>
            </w:r>
          </w:p>
        </w:tc>
        <w:tc>
          <w:tcPr>
            <w:tcW w:w="2465"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b w:val="0"/>
                <w:color w:val="auto"/>
                <w:sz w:val="21"/>
                <w:szCs w:val="21"/>
              </w:rPr>
              <w:t>2.7281</w:t>
            </w:r>
          </w:p>
        </w:tc>
        <w:tc>
          <w:tcPr>
            <w:tcW w:w="3369"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b w:val="0"/>
                <w:color w:val="auto"/>
                <w:sz w:val="21"/>
                <w:szCs w:val="21"/>
              </w:rPr>
              <w:t>0.1364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pct"/>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900.0</w:t>
            </w:r>
          </w:p>
        </w:tc>
        <w:tc>
          <w:tcPr>
            <w:tcW w:w="2465"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b w:val="0"/>
                <w:color w:val="auto"/>
                <w:sz w:val="21"/>
                <w:szCs w:val="21"/>
              </w:rPr>
              <w:t>2.3857</w:t>
            </w:r>
          </w:p>
        </w:tc>
        <w:tc>
          <w:tcPr>
            <w:tcW w:w="3369"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b w:val="0"/>
                <w:color w:val="auto"/>
                <w:sz w:val="21"/>
                <w:szCs w:val="21"/>
              </w:rPr>
              <w:t>0.1193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pct"/>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1000.0</w:t>
            </w:r>
          </w:p>
        </w:tc>
        <w:tc>
          <w:tcPr>
            <w:tcW w:w="2465"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b w:val="0"/>
                <w:color w:val="auto"/>
                <w:sz w:val="21"/>
                <w:szCs w:val="21"/>
              </w:rPr>
              <w:t>2.1154</w:t>
            </w:r>
          </w:p>
        </w:tc>
        <w:tc>
          <w:tcPr>
            <w:tcW w:w="3369"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b w:val="0"/>
                <w:color w:val="auto"/>
                <w:sz w:val="21"/>
                <w:szCs w:val="21"/>
              </w:rPr>
              <w:t>0.1058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pct"/>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1200.0</w:t>
            </w:r>
          </w:p>
        </w:tc>
        <w:tc>
          <w:tcPr>
            <w:tcW w:w="2465"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b w:val="0"/>
                <w:color w:val="auto"/>
                <w:sz w:val="21"/>
                <w:szCs w:val="21"/>
              </w:rPr>
              <w:t>1.7069</w:t>
            </w:r>
          </w:p>
        </w:tc>
        <w:tc>
          <w:tcPr>
            <w:tcW w:w="3369"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b w:val="0"/>
                <w:color w:val="auto"/>
                <w:sz w:val="21"/>
                <w:szCs w:val="21"/>
              </w:rPr>
              <w:t>0.0853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pct"/>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1400.0</w:t>
            </w:r>
          </w:p>
        </w:tc>
        <w:tc>
          <w:tcPr>
            <w:tcW w:w="2465"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b w:val="0"/>
                <w:color w:val="auto"/>
                <w:sz w:val="21"/>
                <w:szCs w:val="21"/>
              </w:rPr>
              <w:t>1.4189</w:t>
            </w:r>
          </w:p>
        </w:tc>
        <w:tc>
          <w:tcPr>
            <w:tcW w:w="3369"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b w:val="0"/>
                <w:color w:val="auto"/>
                <w:sz w:val="21"/>
                <w:szCs w:val="21"/>
              </w:rPr>
              <w:t>0.0709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pct"/>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1600.0</w:t>
            </w:r>
          </w:p>
        </w:tc>
        <w:tc>
          <w:tcPr>
            <w:tcW w:w="2465"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b w:val="0"/>
                <w:color w:val="auto"/>
                <w:sz w:val="21"/>
                <w:szCs w:val="21"/>
              </w:rPr>
              <w:t>1.2048</w:t>
            </w:r>
          </w:p>
        </w:tc>
        <w:tc>
          <w:tcPr>
            <w:tcW w:w="3369"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b w:val="0"/>
                <w:color w:val="auto"/>
                <w:sz w:val="21"/>
                <w:szCs w:val="21"/>
              </w:rPr>
              <w:t>0.0602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pct"/>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1800.0</w:t>
            </w:r>
          </w:p>
        </w:tc>
        <w:tc>
          <w:tcPr>
            <w:tcW w:w="2465"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b w:val="0"/>
                <w:color w:val="auto"/>
                <w:sz w:val="21"/>
                <w:szCs w:val="21"/>
              </w:rPr>
              <w:t>1.0414</w:t>
            </w:r>
          </w:p>
        </w:tc>
        <w:tc>
          <w:tcPr>
            <w:tcW w:w="3369"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b w:val="0"/>
                <w:color w:val="auto"/>
                <w:sz w:val="21"/>
                <w:szCs w:val="21"/>
              </w:rPr>
              <w:t>0.0521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pct"/>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2000.0</w:t>
            </w:r>
          </w:p>
        </w:tc>
        <w:tc>
          <w:tcPr>
            <w:tcW w:w="2465"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b w:val="0"/>
                <w:color w:val="auto"/>
                <w:sz w:val="21"/>
                <w:szCs w:val="21"/>
              </w:rPr>
              <w:t>0.9149</w:t>
            </w:r>
          </w:p>
        </w:tc>
        <w:tc>
          <w:tcPr>
            <w:tcW w:w="3369"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b w:val="0"/>
                <w:color w:val="auto"/>
                <w:sz w:val="21"/>
                <w:szCs w:val="21"/>
              </w:rPr>
              <w:t>0.0457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pct"/>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2500.0</w:t>
            </w:r>
          </w:p>
        </w:tc>
        <w:tc>
          <w:tcPr>
            <w:tcW w:w="2465"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b w:val="0"/>
                <w:color w:val="auto"/>
                <w:sz w:val="21"/>
                <w:szCs w:val="21"/>
              </w:rPr>
              <w:t>0.6915</w:t>
            </w:r>
          </w:p>
        </w:tc>
        <w:tc>
          <w:tcPr>
            <w:tcW w:w="3369"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b w:val="0"/>
                <w:color w:val="auto"/>
                <w:sz w:val="21"/>
                <w:szCs w:val="21"/>
              </w:rPr>
              <w:t>0.0346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pct"/>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下风向最大落地浓度</w:t>
            </w:r>
          </w:p>
        </w:tc>
        <w:tc>
          <w:tcPr>
            <w:tcW w:w="2465"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b w:val="0"/>
                <w:color w:val="auto"/>
                <w:sz w:val="21"/>
                <w:szCs w:val="21"/>
              </w:rPr>
              <w:t>22.1550</w:t>
            </w:r>
          </w:p>
        </w:tc>
        <w:tc>
          <w:tcPr>
            <w:tcW w:w="3369"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b w:val="0"/>
                <w:color w:val="auto"/>
                <w:sz w:val="21"/>
                <w:szCs w:val="21"/>
              </w:rPr>
              <w:t>1.1078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pct"/>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最大落地浓度距离m</w:t>
            </w:r>
          </w:p>
        </w:tc>
        <w:tc>
          <w:tcPr>
            <w:tcW w:w="3631" w:type="pct"/>
            <w:gridSpan w:val="2"/>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96</w:t>
            </w:r>
            <w:r>
              <w:rPr>
                <w:rFonts w:hint="default" w:ascii="Times New Roman" w:hAnsi="Times New Roman" w:cs="Times New Roman"/>
                <w:color w:val="auto"/>
                <w:sz w:val="21"/>
                <w:szCs w:val="21"/>
              </w:rPr>
              <w:t>m</w:t>
            </w:r>
          </w:p>
        </w:tc>
      </w:tr>
    </w:tbl>
    <w:p>
      <w:pPr>
        <w:spacing w:beforeLines="50" w:line="360" w:lineRule="auto"/>
        <w:ind w:firstLine="480" w:firstLineChars="200"/>
        <w:rPr>
          <w:rFonts w:hint="default" w:ascii="Times New Roman" w:hAnsi="Times New Roman" w:eastAsia="宋体" w:cs="Times New Roman"/>
          <w:color w:val="auto"/>
          <w:lang w:eastAsia="zh-CN"/>
        </w:rPr>
      </w:pPr>
      <w:r>
        <w:rPr>
          <w:rFonts w:hint="default" w:ascii="Times New Roman" w:hAnsi="Times New Roman" w:cs="Times New Roman"/>
          <w:color w:val="auto"/>
        </w:rPr>
        <w:t>由表</w:t>
      </w:r>
      <w:r>
        <w:rPr>
          <w:rFonts w:hint="default" w:ascii="Times New Roman" w:hAnsi="Times New Roman" w:cs="Times New Roman"/>
          <w:color w:val="auto"/>
          <w:lang w:val="en-US" w:eastAsia="zh-CN"/>
        </w:rPr>
        <w:t>5-4</w:t>
      </w:r>
      <w:r>
        <w:rPr>
          <w:rFonts w:hint="default" w:ascii="Times New Roman" w:hAnsi="Times New Roman" w:cs="Times New Roman"/>
          <w:color w:val="auto"/>
        </w:rPr>
        <w:t>和表</w:t>
      </w:r>
      <w:r>
        <w:rPr>
          <w:rFonts w:hint="default" w:ascii="Times New Roman" w:hAnsi="Times New Roman" w:cs="Times New Roman"/>
          <w:color w:val="auto"/>
          <w:lang w:val="en-US" w:eastAsia="zh-CN"/>
        </w:rPr>
        <w:t>5-5</w:t>
      </w:r>
      <w:r>
        <w:rPr>
          <w:rFonts w:hint="default" w:ascii="Times New Roman" w:hAnsi="Times New Roman" w:cs="Times New Roman"/>
          <w:color w:val="auto"/>
        </w:rPr>
        <w:t>可知，</w:t>
      </w:r>
      <w:r>
        <w:rPr>
          <w:rFonts w:hint="default" w:ascii="Times New Roman" w:hAnsi="Times New Roman" w:cs="Times New Roman"/>
          <w:color w:val="auto"/>
          <w:lang w:eastAsia="zh-CN"/>
        </w:rPr>
        <w:t>DA008</w:t>
      </w:r>
      <w:r>
        <w:rPr>
          <w:rFonts w:hint="default" w:ascii="Times New Roman" w:hAnsi="Times New Roman" w:cs="Times New Roman"/>
          <w:color w:val="auto"/>
        </w:rPr>
        <w:t>有组织排放的</w:t>
      </w:r>
      <w:r>
        <w:rPr>
          <w:rFonts w:hint="default" w:ascii="Times New Roman" w:hAnsi="Times New Roman" w:cs="Times New Roman"/>
          <w:color w:val="auto"/>
          <w:lang w:eastAsia="zh-CN"/>
        </w:rPr>
        <w:t>非甲烷总烃</w:t>
      </w:r>
      <w:r>
        <w:rPr>
          <w:rFonts w:hint="default" w:ascii="Times New Roman" w:hAnsi="Times New Roman" w:cs="Times New Roman"/>
          <w:color w:val="auto"/>
        </w:rPr>
        <w:t>下风向最大落地浓度为</w:t>
      </w:r>
      <w:r>
        <w:rPr>
          <w:rFonts w:hint="default" w:ascii="Times New Roman" w:hAnsi="Times New Roman" w:cs="Times New Roman"/>
          <w:color w:val="auto"/>
          <w:lang w:val="en-US" w:eastAsia="zh-CN"/>
        </w:rPr>
        <w:t>44.726</w:t>
      </w:r>
      <w:r>
        <w:rPr>
          <w:rFonts w:hint="default" w:ascii="Times New Roman" w:hAnsi="Times New Roman" w:cs="Times New Roman"/>
          <w:color w:val="auto"/>
        </w:rPr>
        <w:t>ug/m</w:t>
      </w:r>
      <w:r>
        <w:rPr>
          <w:rFonts w:hint="default" w:ascii="Times New Roman" w:hAnsi="Times New Roman" w:cs="Times New Roman"/>
          <w:color w:val="auto"/>
          <w:vertAlign w:val="superscript"/>
        </w:rPr>
        <w:t>3</w:t>
      </w:r>
      <w:r>
        <w:rPr>
          <w:rFonts w:hint="default" w:ascii="Times New Roman" w:hAnsi="Times New Roman" w:cs="Times New Roman"/>
          <w:color w:val="auto"/>
        </w:rPr>
        <w:t>，对应最大浓度占标率为</w:t>
      </w:r>
      <w:r>
        <w:rPr>
          <w:rFonts w:hint="default" w:ascii="Times New Roman" w:hAnsi="Times New Roman" w:cs="Times New Roman"/>
          <w:color w:val="auto"/>
          <w:lang w:val="en-US" w:eastAsia="zh-CN"/>
        </w:rPr>
        <w:t>2.2363</w:t>
      </w:r>
      <w:r>
        <w:rPr>
          <w:rFonts w:hint="default" w:ascii="Times New Roman" w:hAnsi="Times New Roman" w:cs="Times New Roman"/>
          <w:color w:val="auto"/>
        </w:rPr>
        <w:t>%，落地距离为下风向</w:t>
      </w:r>
      <w:r>
        <w:rPr>
          <w:rFonts w:hint="default" w:ascii="Times New Roman" w:hAnsi="Times New Roman" w:cs="Times New Roman"/>
          <w:color w:val="auto"/>
          <w:lang w:val="en-US" w:eastAsia="zh-CN"/>
        </w:rPr>
        <w:t>84</w:t>
      </w:r>
      <w:r>
        <w:rPr>
          <w:rFonts w:hint="default" w:ascii="Times New Roman" w:hAnsi="Times New Roman" w:cs="Times New Roman"/>
          <w:color w:val="auto"/>
        </w:rPr>
        <w:t>m处；</w:t>
      </w:r>
      <w:r>
        <w:rPr>
          <w:rFonts w:hint="default" w:ascii="Times New Roman" w:hAnsi="Times New Roman" w:cs="Times New Roman"/>
          <w:color w:val="auto"/>
          <w:lang w:eastAsia="zh-CN"/>
        </w:rPr>
        <w:t>DA00</w:t>
      </w:r>
      <w:r>
        <w:rPr>
          <w:rFonts w:hint="default" w:ascii="Times New Roman" w:hAnsi="Times New Roman" w:cs="Times New Roman"/>
          <w:color w:val="auto"/>
          <w:lang w:val="en-US" w:eastAsia="zh-CN"/>
        </w:rPr>
        <w:t>9</w:t>
      </w:r>
      <w:r>
        <w:rPr>
          <w:rFonts w:hint="default" w:ascii="Times New Roman" w:hAnsi="Times New Roman" w:cs="Times New Roman"/>
          <w:color w:val="auto"/>
        </w:rPr>
        <w:t>有组织排放的</w:t>
      </w:r>
      <w:r>
        <w:rPr>
          <w:rFonts w:hint="default" w:ascii="Times New Roman" w:hAnsi="Times New Roman" w:cs="Times New Roman"/>
          <w:color w:val="auto"/>
          <w:lang w:eastAsia="zh-CN"/>
        </w:rPr>
        <w:t>颗粒物</w:t>
      </w:r>
      <w:r>
        <w:rPr>
          <w:rFonts w:hint="default" w:ascii="Times New Roman" w:hAnsi="Times New Roman" w:cs="Times New Roman"/>
          <w:color w:val="auto"/>
        </w:rPr>
        <w:t>下风向最大落地浓度为</w:t>
      </w:r>
      <w:r>
        <w:rPr>
          <w:rFonts w:hint="default" w:ascii="Times New Roman" w:hAnsi="Times New Roman" w:cs="Times New Roman"/>
          <w:color w:val="auto"/>
          <w:lang w:val="en-US" w:eastAsia="zh-CN"/>
        </w:rPr>
        <w:t>12.45</w:t>
      </w:r>
      <w:r>
        <w:rPr>
          <w:rFonts w:hint="default" w:ascii="Times New Roman" w:hAnsi="Times New Roman" w:cs="Times New Roman"/>
          <w:color w:val="auto"/>
        </w:rPr>
        <w:t>ug/m</w:t>
      </w:r>
      <w:r>
        <w:rPr>
          <w:rFonts w:hint="default" w:ascii="Times New Roman" w:hAnsi="Times New Roman" w:cs="Times New Roman"/>
          <w:color w:val="auto"/>
          <w:vertAlign w:val="superscript"/>
        </w:rPr>
        <w:t>3</w:t>
      </w:r>
      <w:r>
        <w:rPr>
          <w:rFonts w:hint="default" w:ascii="Times New Roman" w:hAnsi="Times New Roman" w:cs="Times New Roman"/>
          <w:color w:val="auto"/>
        </w:rPr>
        <w:t>，对应最大浓度占标率为</w:t>
      </w:r>
      <w:r>
        <w:rPr>
          <w:rFonts w:hint="default" w:ascii="Times New Roman" w:hAnsi="Times New Roman" w:cs="Times New Roman"/>
          <w:color w:val="auto"/>
          <w:lang w:val="en-US" w:eastAsia="zh-CN"/>
        </w:rPr>
        <w:t>1.3833</w:t>
      </w:r>
      <w:r>
        <w:rPr>
          <w:rFonts w:hint="default" w:ascii="Times New Roman" w:hAnsi="Times New Roman" w:cs="Times New Roman"/>
          <w:color w:val="auto"/>
        </w:rPr>
        <w:t>%，落地距离为下风向</w:t>
      </w:r>
      <w:r>
        <w:rPr>
          <w:rFonts w:hint="default" w:ascii="Times New Roman" w:hAnsi="Times New Roman" w:cs="Times New Roman"/>
          <w:color w:val="auto"/>
          <w:lang w:val="en-US" w:eastAsia="zh-CN"/>
        </w:rPr>
        <w:t>80</w:t>
      </w:r>
      <w:r>
        <w:rPr>
          <w:rFonts w:hint="default" w:ascii="Times New Roman" w:hAnsi="Times New Roman" w:cs="Times New Roman"/>
          <w:color w:val="auto"/>
        </w:rPr>
        <w:t>m处；</w:t>
      </w:r>
      <w:r>
        <w:rPr>
          <w:rFonts w:hint="default" w:ascii="Times New Roman" w:hAnsi="Times New Roman" w:cs="Times New Roman"/>
          <w:color w:val="auto"/>
          <w:lang w:eastAsia="zh-CN"/>
        </w:rPr>
        <w:t>DA0</w:t>
      </w:r>
      <w:r>
        <w:rPr>
          <w:rFonts w:hint="default" w:ascii="Times New Roman" w:hAnsi="Times New Roman" w:cs="Times New Roman"/>
          <w:color w:val="auto"/>
          <w:lang w:val="en-US" w:eastAsia="zh-CN"/>
        </w:rPr>
        <w:t>11</w:t>
      </w:r>
      <w:r>
        <w:rPr>
          <w:rFonts w:hint="default" w:ascii="Times New Roman" w:hAnsi="Times New Roman" w:cs="Times New Roman"/>
          <w:color w:val="auto"/>
        </w:rPr>
        <w:t>有组织排放的</w:t>
      </w:r>
      <w:r>
        <w:rPr>
          <w:rFonts w:hint="default" w:ascii="Times New Roman" w:hAnsi="Times New Roman" w:cs="Times New Roman"/>
          <w:color w:val="auto"/>
          <w:lang w:eastAsia="zh-CN"/>
        </w:rPr>
        <w:t>氟化物</w:t>
      </w:r>
      <w:r>
        <w:rPr>
          <w:rFonts w:hint="default" w:ascii="Times New Roman" w:hAnsi="Times New Roman" w:cs="Times New Roman"/>
          <w:color w:val="auto"/>
        </w:rPr>
        <w:t>下风向最大落地浓度为</w:t>
      </w:r>
      <w:r>
        <w:rPr>
          <w:rFonts w:hint="default" w:ascii="Times New Roman" w:hAnsi="Times New Roman" w:cs="Times New Roman"/>
          <w:color w:val="auto"/>
          <w:lang w:val="en-US" w:eastAsia="zh-CN"/>
        </w:rPr>
        <w:t>0.1992</w:t>
      </w:r>
      <w:r>
        <w:rPr>
          <w:rFonts w:hint="default" w:ascii="Times New Roman" w:hAnsi="Times New Roman" w:cs="Times New Roman"/>
          <w:color w:val="auto"/>
        </w:rPr>
        <w:t>ug/m</w:t>
      </w:r>
      <w:r>
        <w:rPr>
          <w:rFonts w:hint="default" w:ascii="Times New Roman" w:hAnsi="Times New Roman" w:cs="Times New Roman"/>
          <w:color w:val="auto"/>
          <w:vertAlign w:val="superscript"/>
        </w:rPr>
        <w:t>3</w:t>
      </w:r>
      <w:r>
        <w:rPr>
          <w:rFonts w:hint="default" w:ascii="Times New Roman" w:hAnsi="Times New Roman" w:cs="Times New Roman"/>
          <w:color w:val="auto"/>
        </w:rPr>
        <w:t>，对应最大浓度占标率为</w:t>
      </w:r>
      <w:r>
        <w:rPr>
          <w:rFonts w:hint="default" w:ascii="Times New Roman" w:hAnsi="Times New Roman" w:cs="Times New Roman"/>
          <w:color w:val="auto"/>
          <w:lang w:val="en-US" w:eastAsia="zh-CN"/>
        </w:rPr>
        <w:t>0.9958</w:t>
      </w:r>
      <w:r>
        <w:rPr>
          <w:rFonts w:hint="default" w:ascii="Times New Roman" w:hAnsi="Times New Roman" w:cs="Times New Roman"/>
          <w:color w:val="auto"/>
        </w:rPr>
        <w:t>%，落地距离为下风向</w:t>
      </w:r>
      <w:r>
        <w:rPr>
          <w:rFonts w:hint="default" w:ascii="Times New Roman" w:hAnsi="Times New Roman" w:cs="Times New Roman"/>
          <w:color w:val="auto"/>
          <w:lang w:val="en-US" w:eastAsia="zh-CN"/>
        </w:rPr>
        <w:t>80</w:t>
      </w:r>
      <w:r>
        <w:rPr>
          <w:rFonts w:hint="default" w:ascii="Times New Roman" w:hAnsi="Times New Roman" w:cs="Times New Roman"/>
          <w:color w:val="auto"/>
        </w:rPr>
        <w:t>m处；</w:t>
      </w:r>
      <w:r>
        <w:rPr>
          <w:rFonts w:hint="default" w:ascii="Times New Roman" w:hAnsi="Times New Roman" w:cs="Times New Roman"/>
          <w:color w:val="auto"/>
          <w:lang w:eastAsia="zh-CN"/>
        </w:rPr>
        <w:t>DA0</w:t>
      </w:r>
      <w:r>
        <w:rPr>
          <w:rFonts w:hint="default" w:ascii="Times New Roman" w:hAnsi="Times New Roman" w:cs="Times New Roman"/>
          <w:color w:val="auto"/>
          <w:lang w:val="en-US" w:eastAsia="zh-CN"/>
        </w:rPr>
        <w:t>10</w:t>
      </w:r>
      <w:r>
        <w:rPr>
          <w:rFonts w:hint="default" w:ascii="Times New Roman" w:hAnsi="Times New Roman" w:cs="Times New Roman"/>
          <w:color w:val="auto"/>
        </w:rPr>
        <w:t>有组织排放的</w:t>
      </w:r>
      <w:r>
        <w:rPr>
          <w:rFonts w:hint="default" w:ascii="Times New Roman" w:hAnsi="Times New Roman" w:cs="Times New Roman"/>
          <w:color w:val="auto"/>
          <w:lang w:eastAsia="zh-CN"/>
        </w:rPr>
        <w:t>氨</w:t>
      </w:r>
      <w:r>
        <w:rPr>
          <w:rFonts w:hint="default" w:ascii="Times New Roman" w:hAnsi="Times New Roman" w:cs="Times New Roman"/>
          <w:color w:val="auto"/>
        </w:rPr>
        <w:t>下风向最大落地浓度为</w:t>
      </w:r>
      <w:r>
        <w:rPr>
          <w:rFonts w:hint="default" w:ascii="Times New Roman" w:hAnsi="Times New Roman" w:cs="Times New Roman"/>
          <w:color w:val="auto"/>
          <w:lang w:val="en-US" w:eastAsia="zh-CN"/>
        </w:rPr>
        <w:t>11.877</w:t>
      </w:r>
      <w:r>
        <w:rPr>
          <w:rFonts w:hint="default" w:ascii="Times New Roman" w:hAnsi="Times New Roman" w:cs="Times New Roman"/>
          <w:color w:val="auto"/>
        </w:rPr>
        <w:t>ug/m</w:t>
      </w:r>
      <w:r>
        <w:rPr>
          <w:rFonts w:hint="default" w:ascii="Times New Roman" w:hAnsi="Times New Roman" w:cs="Times New Roman"/>
          <w:color w:val="auto"/>
          <w:vertAlign w:val="superscript"/>
        </w:rPr>
        <w:t>3</w:t>
      </w:r>
      <w:r>
        <w:rPr>
          <w:rFonts w:hint="default" w:ascii="Times New Roman" w:hAnsi="Times New Roman" w:cs="Times New Roman"/>
          <w:color w:val="auto"/>
        </w:rPr>
        <w:t>，对应最大浓度占标率为</w:t>
      </w:r>
      <w:r>
        <w:rPr>
          <w:rFonts w:hint="default" w:ascii="Times New Roman" w:hAnsi="Times New Roman" w:cs="Times New Roman"/>
          <w:color w:val="auto"/>
          <w:lang w:val="en-US" w:eastAsia="zh-CN"/>
        </w:rPr>
        <w:t>5.9385</w:t>
      </w:r>
      <w:r>
        <w:rPr>
          <w:rFonts w:hint="default" w:ascii="Times New Roman" w:hAnsi="Times New Roman" w:cs="Times New Roman"/>
          <w:color w:val="auto"/>
        </w:rPr>
        <w:t>%，落地距离为下风向</w:t>
      </w:r>
      <w:r>
        <w:rPr>
          <w:rFonts w:hint="default" w:ascii="Times New Roman" w:hAnsi="Times New Roman" w:cs="Times New Roman"/>
          <w:color w:val="auto"/>
          <w:lang w:val="en-US" w:eastAsia="zh-CN"/>
        </w:rPr>
        <w:t>85</w:t>
      </w:r>
      <w:r>
        <w:rPr>
          <w:rFonts w:hint="default" w:ascii="Times New Roman" w:hAnsi="Times New Roman" w:cs="Times New Roman"/>
          <w:color w:val="auto"/>
        </w:rPr>
        <w:t>m处；</w:t>
      </w:r>
      <w:r>
        <w:rPr>
          <w:rFonts w:hint="default" w:ascii="Times New Roman" w:hAnsi="Times New Roman" w:cs="Times New Roman"/>
          <w:color w:val="auto"/>
          <w:lang w:eastAsia="zh-CN"/>
        </w:rPr>
        <w:t>DA0</w:t>
      </w:r>
      <w:r>
        <w:rPr>
          <w:rFonts w:hint="default" w:ascii="Times New Roman" w:hAnsi="Times New Roman" w:cs="Times New Roman"/>
          <w:color w:val="auto"/>
          <w:lang w:val="en-US" w:eastAsia="zh-CN"/>
        </w:rPr>
        <w:t>10</w:t>
      </w:r>
      <w:r>
        <w:rPr>
          <w:rFonts w:hint="default" w:ascii="Times New Roman" w:hAnsi="Times New Roman" w:cs="Times New Roman"/>
          <w:color w:val="auto"/>
        </w:rPr>
        <w:t>有组织排放的</w:t>
      </w:r>
      <w:r>
        <w:rPr>
          <w:rFonts w:hint="default" w:ascii="Times New Roman" w:hAnsi="Times New Roman" w:cs="Times New Roman"/>
          <w:color w:val="auto"/>
          <w:lang w:eastAsia="zh-CN"/>
        </w:rPr>
        <w:t>硫化氢</w:t>
      </w:r>
      <w:r>
        <w:rPr>
          <w:rFonts w:hint="default" w:ascii="Times New Roman" w:hAnsi="Times New Roman" w:cs="Times New Roman"/>
          <w:color w:val="auto"/>
        </w:rPr>
        <w:t>下风向最大落地浓度为</w:t>
      </w:r>
      <w:r>
        <w:rPr>
          <w:rFonts w:hint="default" w:ascii="Times New Roman" w:hAnsi="Times New Roman" w:cs="Times New Roman"/>
          <w:color w:val="auto"/>
          <w:lang w:val="en-US" w:eastAsia="zh-CN"/>
        </w:rPr>
        <w:t>0.1188</w:t>
      </w:r>
      <w:r>
        <w:rPr>
          <w:rFonts w:hint="default" w:ascii="Times New Roman" w:hAnsi="Times New Roman" w:cs="Times New Roman"/>
          <w:color w:val="auto"/>
        </w:rPr>
        <w:t>ug/m</w:t>
      </w:r>
      <w:r>
        <w:rPr>
          <w:rFonts w:hint="default" w:ascii="Times New Roman" w:hAnsi="Times New Roman" w:cs="Times New Roman"/>
          <w:color w:val="auto"/>
          <w:vertAlign w:val="superscript"/>
        </w:rPr>
        <w:t>3</w:t>
      </w:r>
      <w:r>
        <w:rPr>
          <w:rFonts w:hint="default" w:ascii="Times New Roman" w:hAnsi="Times New Roman" w:cs="Times New Roman"/>
          <w:color w:val="auto"/>
        </w:rPr>
        <w:t>，对应最大浓度占标率为</w:t>
      </w:r>
      <w:r>
        <w:rPr>
          <w:rFonts w:hint="default" w:ascii="Times New Roman" w:hAnsi="Times New Roman" w:cs="Times New Roman"/>
          <w:color w:val="auto"/>
          <w:lang w:val="en-US" w:eastAsia="zh-CN"/>
        </w:rPr>
        <w:t>1.1877</w:t>
      </w:r>
      <w:r>
        <w:rPr>
          <w:rFonts w:hint="default" w:ascii="Times New Roman" w:hAnsi="Times New Roman" w:cs="Times New Roman"/>
          <w:color w:val="auto"/>
        </w:rPr>
        <w:t>%，落地距离为下风向</w:t>
      </w:r>
      <w:r>
        <w:rPr>
          <w:rFonts w:hint="default" w:ascii="Times New Roman" w:hAnsi="Times New Roman" w:cs="Times New Roman"/>
          <w:color w:val="auto"/>
          <w:lang w:val="en-US" w:eastAsia="zh-CN"/>
        </w:rPr>
        <w:t>85</w:t>
      </w:r>
      <w:r>
        <w:rPr>
          <w:rFonts w:hint="default" w:ascii="Times New Roman" w:hAnsi="Times New Roman" w:cs="Times New Roman"/>
          <w:color w:val="auto"/>
        </w:rPr>
        <w:t>m处；无组织排放的</w:t>
      </w:r>
      <w:r>
        <w:rPr>
          <w:rFonts w:hint="default" w:ascii="Times New Roman" w:hAnsi="Times New Roman" w:cs="Times New Roman"/>
          <w:color w:val="auto"/>
          <w:lang w:eastAsia="zh-CN"/>
        </w:rPr>
        <w:t>非甲烷总烃</w:t>
      </w:r>
      <w:r>
        <w:rPr>
          <w:rFonts w:hint="default" w:ascii="Times New Roman" w:hAnsi="Times New Roman" w:cs="Times New Roman"/>
          <w:color w:val="auto"/>
        </w:rPr>
        <w:t>下风向最大落地浓度为</w:t>
      </w:r>
      <w:r>
        <w:rPr>
          <w:rFonts w:hint="default" w:ascii="Times New Roman" w:hAnsi="Times New Roman" w:cs="Times New Roman"/>
          <w:color w:val="auto"/>
          <w:kern w:val="0"/>
          <w:sz w:val="22"/>
          <w:szCs w:val="22"/>
          <w:lang w:val="en-US" w:eastAsia="zh-CN"/>
        </w:rPr>
        <w:t>22.155</w:t>
      </w:r>
      <w:r>
        <w:rPr>
          <w:rFonts w:hint="default" w:ascii="Times New Roman" w:hAnsi="Times New Roman" w:cs="Times New Roman"/>
          <w:color w:val="auto"/>
        </w:rPr>
        <w:t>ug/m</w:t>
      </w:r>
      <w:r>
        <w:rPr>
          <w:rFonts w:hint="default" w:ascii="Times New Roman" w:hAnsi="Times New Roman" w:cs="Times New Roman"/>
          <w:color w:val="auto"/>
          <w:vertAlign w:val="superscript"/>
        </w:rPr>
        <w:t>3</w:t>
      </w:r>
      <w:r>
        <w:rPr>
          <w:rFonts w:hint="default" w:ascii="Times New Roman" w:hAnsi="Times New Roman" w:cs="Times New Roman"/>
          <w:color w:val="auto"/>
        </w:rPr>
        <w:t>，对应最大浓度占标率为</w:t>
      </w:r>
      <w:r>
        <w:rPr>
          <w:rFonts w:hint="default" w:ascii="Times New Roman" w:hAnsi="Times New Roman" w:cs="Times New Roman"/>
          <w:color w:val="auto"/>
          <w:lang w:val="en-US" w:eastAsia="zh-CN"/>
        </w:rPr>
        <w:t>1.1078</w:t>
      </w:r>
      <w:r>
        <w:rPr>
          <w:rFonts w:hint="default" w:ascii="Times New Roman" w:hAnsi="Times New Roman" w:cs="Times New Roman"/>
          <w:color w:val="auto"/>
        </w:rPr>
        <w:t>%，落地距离为下风向</w:t>
      </w:r>
      <w:r>
        <w:rPr>
          <w:rFonts w:hint="default" w:ascii="Times New Roman" w:hAnsi="Times New Roman" w:cs="Times New Roman"/>
          <w:color w:val="auto"/>
          <w:lang w:val="en-US" w:eastAsia="zh-CN"/>
        </w:rPr>
        <w:t>96</w:t>
      </w:r>
      <w:r>
        <w:rPr>
          <w:rFonts w:hint="default" w:ascii="Times New Roman" w:hAnsi="Times New Roman" w:cs="Times New Roman"/>
          <w:color w:val="auto"/>
        </w:rPr>
        <w:t>m处。</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根据估算，Pmax为</w:t>
      </w:r>
      <w:r>
        <w:rPr>
          <w:rFonts w:hint="default" w:ascii="Times New Roman" w:hAnsi="Times New Roman" w:cs="Times New Roman"/>
          <w:color w:val="auto"/>
          <w:lang w:val="en-US" w:eastAsia="zh-CN"/>
        </w:rPr>
        <w:t>5.9385</w:t>
      </w:r>
      <w:r>
        <w:rPr>
          <w:rFonts w:hint="default" w:ascii="Times New Roman" w:hAnsi="Times New Roman" w:cs="Times New Roman"/>
          <w:color w:val="auto"/>
        </w:rPr>
        <w:t>%，判定项目大气评价等级为二级评价，根据导则要求，二级评价不进行进一步预测评价，只对污染物排放量进行核算。</w:t>
      </w:r>
    </w:p>
    <w:p>
      <w:pPr>
        <w:pStyle w:val="136"/>
        <w:spacing w:line="360" w:lineRule="auto"/>
        <w:ind w:firstLine="482" w:firstLineChars="200"/>
        <w:rPr>
          <w:rFonts w:hint="default" w:ascii="Times New Roman" w:hAnsi="Times New Roman" w:eastAsia="宋体" w:cs="Times New Roman"/>
          <w:b/>
          <w:color w:val="auto"/>
        </w:rPr>
      </w:pPr>
      <w:r>
        <w:rPr>
          <w:rFonts w:hint="default" w:ascii="Times New Roman" w:hAnsi="Times New Roman" w:eastAsia="宋体" w:cs="Times New Roman"/>
          <w:b/>
          <w:color w:val="auto"/>
        </w:rPr>
        <w:t>4、污染物排放量核算表</w:t>
      </w:r>
    </w:p>
    <w:p>
      <w:pPr>
        <w:pStyle w:val="136"/>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根据《排污许可证申请与核发技术规范</w:t>
      </w:r>
      <w:r>
        <w:rPr>
          <w:rFonts w:hint="default"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rPr>
        <w:t>电子工业》（HJ1031-2019）中相关规定，对生产工艺、大气污染物产生环节、污染物种类等进行识别，本项目</w:t>
      </w:r>
      <w:r>
        <w:rPr>
          <w:rFonts w:hint="default" w:ascii="Times New Roman" w:hAnsi="Times New Roman" w:eastAsia="宋体" w:cs="Times New Roman"/>
          <w:color w:val="auto"/>
          <w:lang w:eastAsia="zh-CN"/>
        </w:rPr>
        <w:t>有机废气</w:t>
      </w:r>
      <w:r>
        <w:rPr>
          <w:rFonts w:hint="default" w:ascii="Times New Roman" w:hAnsi="Times New Roman" w:eastAsia="宋体" w:cs="Times New Roman"/>
          <w:color w:val="auto"/>
        </w:rPr>
        <w:t>排放口类型为一般排放口。</w:t>
      </w:r>
    </w:p>
    <w:p>
      <w:pPr>
        <w:pStyle w:val="178"/>
        <w:keepNext w:val="0"/>
        <w:keepLines w:val="0"/>
        <w:pageBreakBefore w:val="0"/>
        <w:widowControl/>
        <w:numPr>
          <w:ilvl w:val="0"/>
          <w:numId w:val="7"/>
        </w:numPr>
        <w:kinsoku/>
        <w:wordWrap/>
        <w:overflowPunct/>
        <w:topLinePunct w:val="0"/>
        <w:autoSpaceDE/>
        <w:autoSpaceDN/>
        <w:bidi w:val="0"/>
        <w:adjustRightInd/>
        <w:snapToGrid/>
        <w:spacing w:beforeLines="0" w:afterLines="0" w:line="360" w:lineRule="auto"/>
        <w:ind w:left="0" w:leftChars="0" w:firstLine="0" w:firstLineChars="0"/>
        <w:textAlignment w:val="auto"/>
        <w:rPr>
          <w:rFonts w:hint="default" w:ascii="Times New Roman" w:hAnsi="Times New Roman" w:cs="Times New Roman"/>
          <w:b/>
          <w:color w:val="auto"/>
        </w:rPr>
      </w:pPr>
      <w:r>
        <w:rPr>
          <w:rFonts w:hint="default" w:ascii="Times New Roman" w:hAnsi="Times New Roman" w:cs="Times New Roman"/>
          <w:b/>
          <w:color w:val="auto"/>
        </w:rPr>
        <w:t>本项目大气污染物有组织排放量核算表</w:t>
      </w:r>
    </w:p>
    <w:tbl>
      <w:tblPr>
        <w:tblStyle w:val="44"/>
        <w:tblW w:w="90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6"/>
        <w:gridCol w:w="1266"/>
        <w:gridCol w:w="1363"/>
        <w:gridCol w:w="1706"/>
        <w:gridCol w:w="1706"/>
        <w:gridCol w:w="1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6" w:type="dxa"/>
            <w:vAlign w:val="center"/>
          </w:tcPr>
          <w:p>
            <w:pPr>
              <w:pStyle w:val="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位置</w:t>
            </w:r>
          </w:p>
        </w:tc>
        <w:tc>
          <w:tcPr>
            <w:tcW w:w="1266" w:type="dxa"/>
            <w:vAlign w:val="center"/>
          </w:tcPr>
          <w:p>
            <w:pPr>
              <w:pStyle w:val="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排放口编号</w:t>
            </w:r>
          </w:p>
        </w:tc>
        <w:tc>
          <w:tcPr>
            <w:tcW w:w="1363" w:type="dxa"/>
            <w:vAlign w:val="center"/>
          </w:tcPr>
          <w:p>
            <w:pPr>
              <w:pStyle w:val="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w:t>
            </w:r>
          </w:p>
        </w:tc>
        <w:tc>
          <w:tcPr>
            <w:tcW w:w="1706" w:type="dxa"/>
            <w:vAlign w:val="center"/>
          </w:tcPr>
          <w:p>
            <w:pPr>
              <w:pStyle w:val="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核算排放浓度（mg/m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1706" w:type="dxa"/>
            <w:vAlign w:val="center"/>
          </w:tcPr>
          <w:p>
            <w:pPr>
              <w:pStyle w:val="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核算排放速率（kg/h）</w:t>
            </w:r>
          </w:p>
        </w:tc>
        <w:tc>
          <w:tcPr>
            <w:tcW w:w="1706" w:type="dxa"/>
            <w:vAlign w:val="center"/>
          </w:tcPr>
          <w:p>
            <w:pPr>
              <w:pStyle w:val="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核算年排放量（t/a）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13" w:type="dxa"/>
            <w:gridSpan w:val="6"/>
            <w:vAlign w:val="center"/>
          </w:tcPr>
          <w:p>
            <w:pPr>
              <w:pStyle w:val="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6"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sz w:val="21"/>
                <w:szCs w:val="21"/>
              </w:rPr>
              <w:t>切片车间</w:t>
            </w:r>
          </w:p>
        </w:tc>
        <w:tc>
          <w:tcPr>
            <w:tcW w:w="1266" w:type="dxa"/>
            <w:vAlign w:val="center"/>
          </w:tcPr>
          <w:p>
            <w:pPr>
              <w:jc w:val="center"/>
              <w:rPr>
                <w:rFonts w:hint="default" w:ascii="Times New Roman" w:hAnsi="Times New Roman" w:eastAsia="宋体" w:cs="Times New Roman"/>
                <w:color w:val="auto"/>
                <w:lang w:eastAsia="zh-CN"/>
              </w:rPr>
            </w:pPr>
            <w:r>
              <w:rPr>
                <w:rFonts w:hint="default" w:ascii="Times New Roman" w:hAnsi="Times New Roman" w:cs="Times New Roman"/>
                <w:color w:val="auto"/>
                <w:sz w:val="21"/>
                <w:szCs w:val="21"/>
                <w:lang w:eastAsia="zh-CN"/>
              </w:rPr>
              <w:t>DA008</w:t>
            </w:r>
          </w:p>
        </w:tc>
        <w:tc>
          <w:tcPr>
            <w:tcW w:w="1363" w:type="dxa"/>
            <w:vAlign w:val="center"/>
          </w:tcPr>
          <w:p>
            <w:pPr>
              <w:pStyle w:val="136"/>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非甲烷总烃</w:t>
            </w:r>
          </w:p>
        </w:tc>
        <w:tc>
          <w:tcPr>
            <w:tcW w:w="1706" w:type="dxa"/>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3.18</w:t>
            </w:r>
          </w:p>
        </w:tc>
        <w:tc>
          <w:tcPr>
            <w:tcW w:w="1706" w:type="dxa"/>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0.143</w:t>
            </w:r>
          </w:p>
        </w:tc>
        <w:tc>
          <w:tcPr>
            <w:tcW w:w="1706" w:type="dxa"/>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1.253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6" w:type="dxa"/>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切片车间</w:t>
            </w:r>
          </w:p>
        </w:tc>
        <w:tc>
          <w:tcPr>
            <w:tcW w:w="1266"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DA009</w:t>
            </w:r>
          </w:p>
        </w:tc>
        <w:tc>
          <w:tcPr>
            <w:tcW w:w="1363" w:type="dxa"/>
            <w:vAlign w:val="center"/>
          </w:tcPr>
          <w:p>
            <w:pPr>
              <w:pStyle w:val="136"/>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颗粒物</w:t>
            </w:r>
          </w:p>
        </w:tc>
        <w:tc>
          <w:tcPr>
            <w:tcW w:w="1706" w:type="dxa"/>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0.836</w:t>
            </w:r>
          </w:p>
        </w:tc>
        <w:tc>
          <w:tcPr>
            <w:tcW w:w="1706"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0.038</w:t>
            </w:r>
          </w:p>
        </w:tc>
        <w:tc>
          <w:tcPr>
            <w:tcW w:w="1706"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6" w:type="dxa"/>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切片车间</w:t>
            </w:r>
          </w:p>
        </w:tc>
        <w:tc>
          <w:tcPr>
            <w:tcW w:w="1266"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DA011</w:t>
            </w:r>
          </w:p>
        </w:tc>
        <w:tc>
          <w:tcPr>
            <w:tcW w:w="1363" w:type="dxa"/>
            <w:vAlign w:val="center"/>
          </w:tcPr>
          <w:p>
            <w:pPr>
              <w:pStyle w:val="136"/>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氟化物</w:t>
            </w:r>
          </w:p>
        </w:tc>
        <w:tc>
          <w:tcPr>
            <w:tcW w:w="1706" w:type="dxa"/>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1.02</w:t>
            </w:r>
          </w:p>
        </w:tc>
        <w:tc>
          <w:tcPr>
            <w:tcW w:w="1706"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0.0006</w:t>
            </w:r>
          </w:p>
        </w:tc>
        <w:tc>
          <w:tcPr>
            <w:tcW w:w="1706"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266" w:type="dxa"/>
            <w:vMerge w:val="restart"/>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综合污水处理站</w:t>
            </w:r>
          </w:p>
        </w:tc>
        <w:tc>
          <w:tcPr>
            <w:tcW w:w="1266" w:type="dxa"/>
            <w:vMerge w:val="restart"/>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DA010</w:t>
            </w:r>
          </w:p>
        </w:tc>
        <w:tc>
          <w:tcPr>
            <w:tcW w:w="1363" w:type="dxa"/>
            <w:vAlign w:val="center"/>
          </w:tcPr>
          <w:p>
            <w:pPr>
              <w:pStyle w:val="136"/>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氨</w:t>
            </w:r>
          </w:p>
        </w:tc>
        <w:tc>
          <w:tcPr>
            <w:tcW w:w="1706" w:type="dxa"/>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1.44</w:t>
            </w:r>
          </w:p>
        </w:tc>
        <w:tc>
          <w:tcPr>
            <w:tcW w:w="1706" w:type="dxa"/>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0.022</w:t>
            </w:r>
          </w:p>
        </w:tc>
        <w:tc>
          <w:tcPr>
            <w:tcW w:w="1706" w:type="dxa"/>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w:t>
            </w:r>
            <w:r>
              <w:rPr>
                <w:rFonts w:hint="default" w:ascii="Times New Roman" w:hAnsi="Times New Roman" w:cs="Times New Roman"/>
                <w:color w:val="auto"/>
                <w:sz w:val="21"/>
                <w:szCs w:val="21"/>
                <w:lang w:val="en-US" w:eastAsia="zh-CN"/>
              </w:rPr>
              <w:t>193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266" w:type="dxa"/>
            <w:vMerge w:val="continue"/>
            <w:vAlign w:val="center"/>
          </w:tcPr>
          <w:p>
            <w:pPr>
              <w:pStyle w:val="136"/>
              <w:jc w:val="center"/>
              <w:rPr>
                <w:rFonts w:hint="default" w:ascii="Times New Roman" w:hAnsi="Times New Roman" w:cs="Times New Roman"/>
                <w:color w:val="auto"/>
              </w:rPr>
            </w:pPr>
          </w:p>
        </w:tc>
        <w:tc>
          <w:tcPr>
            <w:tcW w:w="1266" w:type="dxa"/>
            <w:vMerge w:val="continue"/>
            <w:vAlign w:val="center"/>
          </w:tcPr>
          <w:p>
            <w:pPr>
              <w:pStyle w:val="136"/>
              <w:jc w:val="center"/>
              <w:rPr>
                <w:rFonts w:hint="default" w:ascii="Times New Roman" w:hAnsi="Times New Roman" w:cs="Times New Roman"/>
                <w:color w:val="auto"/>
              </w:rPr>
            </w:pPr>
          </w:p>
        </w:tc>
        <w:tc>
          <w:tcPr>
            <w:tcW w:w="1363" w:type="dxa"/>
            <w:vAlign w:val="center"/>
          </w:tcPr>
          <w:p>
            <w:pPr>
              <w:pStyle w:val="136"/>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硫化氢</w:t>
            </w:r>
          </w:p>
        </w:tc>
        <w:tc>
          <w:tcPr>
            <w:tcW w:w="1706" w:type="dxa"/>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0.0</w:t>
            </w:r>
            <w:r>
              <w:rPr>
                <w:rFonts w:hint="default" w:ascii="Times New Roman" w:hAnsi="Times New Roman" w:cs="Times New Roman"/>
                <w:color w:val="auto"/>
                <w:sz w:val="21"/>
                <w:szCs w:val="21"/>
                <w:lang w:val="en-US" w:eastAsia="zh-CN"/>
              </w:rPr>
              <w:t>015</w:t>
            </w:r>
          </w:p>
        </w:tc>
        <w:tc>
          <w:tcPr>
            <w:tcW w:w="1706" w:type="dxa"/>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0.000</w:t>
            </w:r>
            <w:r>
              <w:rPr>
                <w:rFonts w:hint="default" w:ascii="Times New Roman" w:hAnsi="Times New Roman" w:cs="Times New Roman"/>
                <w:color w:val="auto"/>
                <w:sz w:val="21"/>
                <w:szCs w:val="21"/>
                <w:lang w:val="en-US" w:eastAsia="zh-CN"/>
              </w:rPr>
              <w:t>2</w:t>
            </w:r>
          </w:p>
        </w:tc>
        <w:tc>
          <w:tcPr>
            <w:tcW w:w="1706" w:type="dxa"/>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0.00</w:t>
            </w:r>
            <w:r>
              <w:rPr>
                <w:rFonts w:hint="default" w:ascii="Times New Roman" w:hAnsi="Times New Roman" w:cs="Times New Roman"/>
                <w:color w:val="auto"/>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532" w:type="dxa"/>
            <w:gridSpan w:val="2"/>
            <w:vMerge w:val="restart"/>
            <w:vAlign w:val="center"/>
          </w:tcPr>
          <w:p>
            <w:pPr>
              <w:pStyle w:val="136"/>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有组织排放总计</w:t>
            </w:r>
          </w:p>
        </w:tc>
        <w:tc>
          <w:tcPr>
            <w:tcW w:w="4775" w:type="dxa"/>
            <w:gridSpan w:val="3"/>
            <w:vAlign w:val="center"/>
          </w:tcPr>
          <w:p>
            <w:pPr>
              <w:pStyle w:val="136"/>
              <w:jc w:val="center"/>
              <w:rPr>
                <w:rFonts w:hint="default" w:ascii="Times New Roman" w:hAnsi="Times New Roman" w:cs="Times New Roman"/>
                <w:color w:val="auto"/>
                <w:kern w:val="0"/>
                <w:sz w:val="21"/>
                <w:szCs w:val="21"/>
              </w:rPr>
            </w:pPr>
            <w:r>
              <w:rPr>
                <w:rFonts w:hint="default" w:ascii="Times New Roman" w:hAnsi="Times New Roman" w:eastAsia="宋体" w:cs="Times New Roman"/>
                <w:color w:val="auto"/>
                <w:sz w:val="21"/>
                <w:szCs w:val="21"/>
                <w:lang w:eastAsia="zh-CN"/>
              </w:rPr>
              <w:t>非甲烷总烃</w:t>
            </w:r>
          </w:p>
        </w:tc>
        <w:tc>
          <w:tcPr>
            <w:tcW w:w="1706" w:type="dxa"/>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1.253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32" w:type="dxa"/>
            <w:gridSpan w:val="2"/>
            <w:vMerge w:val="continue"/>
            <w:vAlign w:val="center"/>
          </w:tcPr>
          <w:p>
            <w:pPr>
              <w:pStyle w:val="136"/>
              <w:jc w:val="center"/>
              <w:rPr>
                <w:rFonts w:hint="default" w:ascii="Times New Roman" w:hAnsi="Times New Roman" w:eastAsia="宋体" w:cs="Times New Roman"/>
                <w:color w:val="auto"/>
                <w:sz w:val="21"/>
                <w:szCs w:val="21"/>
                <w:lang w:eastAsia="zh-CN"/>
              </w:rPr>
            </w:pPr>
          </w:p>
        </w:tc>
        <w:tc>
          <w:tcPr>
            <w:tcW w:w="4775" w:type="dxa"/>
            <w:gridSpan w:val="3"/>
            <w:vAlign w:val="center"/>
          </w:tcPr>
          <w:p>
            <w:pPr>
              <w:pStyle w:val="136"/>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颗粒物</w:t>
            </w:r>
          </w:p>
        </w:tc>
        <w:tc>
          <w:tcPr>
            <w:tcW w:w="1706"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32" w:type="dxa"/>
            <w:gridSpan w:val="2"/>
            <w:vMerge w:val="continue"/>
            <w:vAlign w:val="center"/>
          </w:tcPr>
          <w:p>
            <w:pPr>
              <w:pStyle w:val="136"/>
              <w:jc w:val="center"/>
              <w:rPr>
                <w:rFonts w:hint="default" w:ascii="Times New Roman" w:hAnsi="Times New Roman" w:eastAsia="宋体" w:cs="Times New Roman"/>
                <w:color w:val="auto"/>
                <w:sz w:val="21"/>
                <w:szCs w:val="21"/>
                <w:lang w:eastAsia="zh-CN"/>
              </w:rPr>
            </w:pPr>
          </w:p>
        </w:tc>
        <w:tc>
          <w:tcPr>
            <w:tcW w:w="4775" w:type="dxa"/>
            <w:gridSpan w:val="3"/>
            <w:vAlign w:val="center"/>
          </w:tcPr>
          <w:p>
            <w:pPr>
              <w:pStyle w:val="136"/>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氟化物</w:t>
            </w:r>
          </w:p>
        </w:tc>
        <w:tc>
          <w:tcPr>
            <w:tcW w:w="1706"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32" w:type="dxa"/>
            <w:gridSpan w:val="2"/>
            <w:vMerge w:val="continue"/>
            <w:vAlign w:val="center"/>
          </w:tcPr>
          <w:p>
            <w:pPr>
              <w:pStyle w:val="136"/>
              <w:jc w:val="center"/>
              <w:rPr>
                <w:rFonts w:hint="default" w:ascii="Times New Roman" w:hAnsi="Times New Roman" w:eastAsia="宋体" w:cs="Times New Roman"/>
                <w:color w:val="auto"/>
                <w:sz w:val="21"/>
                <w:szCs w:val="21"/>
                <w:lang w:eastAsia="zh-CN"/>
              </w:rPr>
            </w:pPr>
          </w:p>
        </w:tc>
        <w:tc>
          <w:tcPr>
            <w:tcW w:w="4775" w:type="dxa"/>
            <w:gridSpan w:val="3"/>
            <w:vAlign w:val="center"/>
          </w:tcPr>
          <w:p>
            <w:pPr>
              <w:pStyle w:val="136"/>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氨</w:t>
            </w:r>
          </w:p>
        </w:tc>
        <w:tc>
          <w:tcPr>
            <w:tcW w:w="1706"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w:t>
            </w:r>
            <w:r>
              <w:rPr>
                <w:rFonts w:hint="default" w:ascii="Times New Roman" w:hAnsi="Times New Roman" w:cs="Times New Roman"/>
                <w:color w:val="auto"/>
                <w:sz w:val="21"/>
                <w:szCs w:val="21"/>
                <w:lang w:val="en-US" w:eastAsia="zh-CN"/>
              </w:rPr>
              <w:t>193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32" w:type="dxa"/>
            <w:gridSpan w:val="2"/>
            <w:vMerge w:val="continue"/>
            <w:vAlign w:val="center"/>
          </w:tcPr>
          <w:p>
            <w:pPr>
              <w:pStyle w:val="136"/>
              <w:jc w:val="center"/>
              <w:rPr>
                <w:rFonts w:hint="default" w:ascii="Times New Roman" w:hAnsi="Times New Roman" w:eastAsia="宋体" w:cs="Times New Roman"/>
                <w:color w:val="auto"/>
                <w:sz w:val="21"/>
                <w:szCs w:val="21"/>
                <w:lang w:eastAsia="zh-CN"/>
              </w:rPr>
            </w:pPr>
          </w:p>
        </w:tc>
        <w:tc>
          <w:tcPr>
            <w:tcW w:w="4775" w:type="dxa"/>
            <w:gridSpan w:val="3"/>
            <w:vAlign w:val="center"/>
          </w:tcPr>
          <w:p>
            <w:pPr>
              <w:pStyle w:val="136"/>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硫化氢</w:t>
            </w:r>
          </w:p>
        </w:tc>
        <w:tc>
          <w:tcPr>
            <w:tcW w:w="1706"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0.00</w:t>
            </w:r>
            <w:r>
              <w:rPr>
                <w:rFonts w:hint="default" w:ascii="Times New Roman" w:hAnsi="Times New Roman" w:cs="Times New Roman"/>
                <w:color w:val="auto"/>
                <w:sz w:val="21"/>
                <w:szCs w:val="21"/>
                <w:lang w:val="en-US" w:eastAsia="zh-CN"/>
              </w:rPr>
              <w:t>2</w:t>
            </w:r>
          </w:p>
        </w:tc>
      </w:tr>
    </w:tbl>
    <w:p>
      <w:pPr>
        <w:pStyle w:val="178"/>
        <w:keepNext w:val="0"/>
        <w:keepLines w:val="0"/>
        <w:pageBreakBefore w:val="0"/>
        <w:widowControl/>
        <w:numPr>
          <w:ilvl w:val="0"/>
          <w:numId w:val="7"/>
        </w:numPr>
        <w:kinsoku/>
        <w:wordWrap/>
        <w:overflowPunct/>
        <w:topLinePunct w:val="0"/>
        <w:autoSpaceDE/>
        <w:autoSpaceDN/>
        <w:bidi w:val="0"/>
        <w:adjustRightInd/>
        <w:snapToGrid/>
        <w:spacing w:before="157" w:beforeLines="50" w:afterLines="0" w:line="360" w:lineRule="auto"/>
        <w:ind w:left="0" w:leftChars="0" w:firstLine="0" w:firstLineChars="0"/>
        <w:textAlignment w:val="auto"/>
        <w:rPr>
          <w:rFonts w:hint="default" w:ascii="Times New Roman" w:hAnsi="Times New Roman" w:cs="Times New Roman"/>
          <w:b/>
          <w:color w:val="auto"/>
        </w:rPr>
      </w:pPr>
      <w:r>
        <w:rPr>
          <w:rFonts w:hint="default" w:ascii="Times New Roman" w:hAnsi="Times New Roman" w:cs="Times New Roman"/>
          <w:b/>
          <w:color w:val="auto"/>
        </w:rPr>
        <w:t>大气污染物无组织排放量核算表</w:t>
      </w:r>
    </w:p>
    <w:tbl>
      <w:tblPr>
        <w:tblStyle w:val="44"/>
        <w:tblW w:w="90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7"/>
        <w:gridCol w:w="850"/>
        <w:gridCol w:w="851"/>
        <w:gridCol w:w="1134"/>
        <w:gridCol w:w="2126"/>
        <w:gridCol w:w="2268"/>
        <w:gridCol w:w="8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07" w:type="dxa"/>
            <w:vMerge w:val="restart"/>
            <w:vAlign w:val="center"/>
          </w:tcPr>
          <w:p>
            <w:pPr>
              <w:pStyle w:val="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排放口编号</w:t>
            </w:r>
          </w:p>
        </w:tc>
        <w:tc>
          <w:tcPr>
            <w:tcW w:w="850" w:type="dxa"/>
            <w:vMerge w:val="restart"/>
            <w:vAlign w:val="center"/>
          </w:tcPr>
          <w:p>
            <w:pPr>
              <w:pStyle w:val="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产污环节</w:t>
            </w:r>
          </w:p>
        </w:tc>
        <w:tc>
          <w:tcPr>
            <w:tcW w:w="851" w:type="dxa"/>
            <w:vMerge w:val="restart"/>
            <w:vAlign w:val="center"/>
          </w:tcPr>
          <w:p>
            <w:pPr>
              <w:pStyle w:val="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w:t>
            </w:r>
          </w:p>
        </w:tc>
        <w:tc>
          <w:tcPr>
            <w:tcW w:w="1134" w:type="dxa"/>
            <w:vMerge w:val="restart"/>
            <w:vAlign w:val="center"/>
          </w:tcPr>
          <w:p>
            <w:pPr>
              <w:pStyle w:val="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主要污染防治措施</w:t>
            </w:r>
          </w:p>
        </w:tc>
        <w:tc>
          <w:tcPr>
            <w:tcW w:w="4394" w:type="dxa"/>
            <w:gridSpan w:val="2"/>
            <w:vAlign w:val="center"/>
          </w:tcPr>
          <w:p>
            <w:pPr>
              <w:pStyle w:val="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国家或地方污染物排放标准</w:t>
            </w:r>
          </w:p>
        </w:tc>
        <w:tc>
          <w:tcPr>
            <w:tcW w:w="877" w:type="dxa"/>
            <w:vMerge w:val="restart"/>
            <w:vAlign w:val="center"/>
          </w:tcPr>
          <w:p>
            <w:pPr>
              <w:pStyle w:val="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07" w:type="dxa"/>
            <w:vMerge w:val="continue"/>
            <w:vAlign w:val="center"/>
          </w:tcPr>
          <w:p>
            <w:pPr>
              <w:pStyle w:val="136"/>
              <w:jc w:val="center"/>
              <w:rPr>
                <w:rFonts w:hint="default" w:ascii="Times New Roman" w:hAnsi="Times New Roman" w:eastAsia="宋体" w:cs="Times New Roman"/>
                <w:color w:val="auto"/>
                <w:sz w:val="21"/>
                <w:szCs w:val="21"/>
              </w:rPr>
            </w:pPr>
          </w:p>
        </w:tc>
        <w:tc>
          <w:tcPr>
            <w:tcW w:w="850" w:type="dxa"/>
            <w:vMerge w:val="continue"/>
            <w:vAlign w:val="center"/>
          </w:tcPr>
          <w:p>
            <w:pPr>
              <w:pStyle w:val="136"/>
              <w:jc w:val="center"/>
              <w:rPr>
                <w:rFonts w:hint="default" w:ascii="Times New Roman" w:hAnsi="Times New Roman" w:eastAsia="宋体" w:cs="Times New Roman"/>
                <w:color w:val="auto"/>
                <w:sz w:val="21"/>
                <w:szCs w:val="21"/>
              </w:rPr>
            </w:pPr>
          </w:p>
        </w:tc>
        <w:tc>
          <w:tcPr>
            <w:tcW w:w="851" w:type="dxa"/>
            <w:vMerge w:val="continue"/>
            <w:vAlign w:val="center"/>
          </w:tcPr>
          <w:p>
            <w:pPr>
              <w:pStyle w:val="136"/>
              <w:jc w:val="center"/>
              <w:rPr>
                <w:rFonts w:hint="default" w:ascii="Times New Roman" w:hAnsi="Times New Roman" w:eastAsia="宋体" w:cs="Times New Roman"/>
                <w:color w:val="auto"/>
                <w:sz w:val="21"/>
                <w:szCs w:val="21"/>
              </w:rPr>
            </w:pPr>
          </w:p>
        </w:tc>
        <w:tc>
          <w:tcPr>
            <w:tcW w:w="1134" w:type="dxa"/>
            <w:vMerge w:val="continue"/>
            <w:vAlign w:val="center"/>
          </w:tcPr>
          <w:p>
            <w:pPr>
              <w:pStyle w:val="136"/>
              <w:jc w:val="center"/>
              <w:rPr>
                <w:rFonts w:hint="default" w:ascii="Times New Roman" w:hAnsi="Times New Roman" w:eastAsia="宋体" w:cs="Times New Roman"/>
                <w:color w:val="auto"/>
                <w:sz w:val="21"/>
                <w:szCs w:val="21"/>
              </w:rPr>
            </w:pPr>
          </w:p>
        </w:tc>
        <w:tc>
          <w:tcPr>
            <w:tcW w:w="2126" w:type="dxa"/>
            <w:vAlign w:val="center"/>
          </w:tcPr>
          <w:p>
            <w:pPr>
              <w:pStyle w:val="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标准名称</w:t>
            </w:r>
          </w:p>
        </w:tc>
        <w:tc>
          <w:tcPr>
            <w:tcW w:w="2268" w:type="dxa"/>
            <w:vAlign w:val="center"/>
          </w:tcPr>
          <w:p>
            <w:pPr>
              <w:pStyle w:val="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浓度限值（ug/m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877" w:type="dxa"/>
            <w:vMerge w:val="continue"/>
            <w:vAlign w:val="center"/>
          </w:tcPr>
          <w:p>
            <w:pPr>
              <w:pStyle w:val="136"/>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07" w:type="dxa"/>
            <w:vAlign w:val="center"/>
          </w:tcPr>
          <w:p>
            <w:pPr>
              <w:pStyle w:val="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切片车间</w:t>
            </w:r>
          </w:p>
        </w:tc>
        <w:tc>
          <w:tcPr>
            <w:tcW w:w="850" w:type="dxa"/>
            <w:vAlign w:val="center"/>
          </w:tcPr>
          <w:p>
            <w:pPr>
              <w:pStyle w:val="136"/>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粘胶</w:t>
            </w:r>
          </w:p>
        </w:tc>
        <w:tc>
          <w:tcPr>
            <w:tcW w:w="851" w:type="dxa"/>
            <w:vAlign w:val="center"/>
          </w:tcPr>
          <w:p>
            <w:pPr>
              <w:pStyle w:val="136"/>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非甲烷总烃</w:t>
            </w:r>
          </w:p>
        </w:tc>
        <w:tc>
          <w:tcPr>
            <w:tcW w:w="1134" w:type="dxa"/>
            <w:vAlign w:val="center"/>
          </w:tcPr>
          <w:p>
            <w:pPr>
              <w:pStyle w:val="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w:t>
            </w:r>
          </w:p>
        </w:tc>
        <w:tc>
          <w:tcPr>
            <w:tcW w:w="2126" w:type="dxa"/>
            <w:vAlign w:val="center"/>
          </w:tcPr>
          <w:p>
            <w:pPr>
              <w:pStyle w:val="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《挥发性有机物无组织排放控制标准》</w:t>
            </w:r>
          </w:p>
        </w:tc>
        <w:tc>
          <w:tcPr>
            <w:tcW w:w="2268" w:type="dxa"/>
            <w:vAlign w:val="center"/>
          </w:tcPr>
          <w:p>
            <w:pPr>
              <w:pStyle w:val="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（1h平均浓度）</w:t>
            </w:r>
          </w:p>
          <w:p>
            <w:pPr>
              <w:pStyle w:val="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（1次浓度）</w:t>
            </w:r>
          </w:p>
        </w:tc>
        <w:tc>
          <w:tcPr>
            <w:tcW w:w="877" w:type="dxa"/>
            <w:vAlign w:val="center"/>
          </w:tcPr>
          <w:p>
            <w:pPr>
              <w:pStyle w:val="136"/>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jc w:val="center"/>
        </w:trPr>
        <w:tc>
          <w:tcPr>
            <w:tcW w:w="9013" w:type="dxa"/>
            <w:gridSpan w:val="7"/>
            <w:vAlign w:val="center"/>
          </w:tcPr>
          <w:p>
            <w:pPr>
              <w:pStyle w:val="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无组织排放总计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3742" w:type="dxa"/>
            <w:gridSpan w:val="4"/>
            <w:vAlign w:val="center"/>
          </w:tcPr>
          <w:p>
            <w:pPr>
              <w:pStyle w:val="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无组织排放总计</w:t>
            </w:r>
          </w:p>
        </w:tc>
        <w:tc>
          <w:tcPr>
            <w:tcW w:w="4394" w:type="dxa"/>
            <w:gridSpan w:val="2"/>
            <w:vAlign w:val="center"/>
          </w:tcPr>
          <w:p>
            <w:pPr>
              <w:pStyle w:val="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非甲烷总烃</w:t>
            </w:r>
          </w:p>
        </w:tc>
        <w:tc>
          <w:tcPr>
            <w:tcW w:w="877" w:type="dxa"/>
            <w:vAlign w:val="center"/>
          </w:tcPr>
          <w:p>
            <w:pPr>
              <w:pStyle w:val="136"/>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0.</w:t>
            </w:r>
            <w:r>
              <w:rPr>
                <w:rFonts w:hint="default" w:ascii="Times New Roman" w:hAnsi="Times New Roman" w:eastAsia="宋体" w:cs="Times New Roman"/>
                <w:color w:val="auto"/>
                <w:sz w:val="21"/>
                <w:szCs w:val="21"/>
                <w:lang w:val="en-US" w:eastAsia="zh-CN"/>
              </w:rPr>
              <w:t>350</w:t>
            </w:r>
          </w:p>
        </w:tc>
      </w:tr>
    </w:tbl>
    <w:p>
      <w:pPr>
        <w:adjustRightInd w:val="0"/>
        <w:snapToGrid w:val="0"/>
        <w:spacing w:beforeLines="50" w:line="360" w:lineRule="auto"/>
        <w:ind w:firstLine="482" w:firstLineChars="200"/>
        <w:rPr>
          <w:rFonts w:hint="default" w:ascii="Times New Roman" w:hAnsi="Times New Roman" w:cs="Times New Roman"/>
          <w:b/>
          <w:color w:val="auto"/>
        </w:rPr>
      </w:pPr>
      <w:r>
        <w:rPr>
          <w:rFonts w:hint="default" w:ascii="Times New Roman" w:hAnsi="Times New Roman" w:cs="Times New Roman"/>
          <w:b/>
          <w:color w:val="auto"/>
        </w:rPr>
        <w:t>5、环境防护距离</w:t>
      </w:r>
    </w:p>
    <w:p>
      <w:pPr>
        <w:pStyle w:val="136"/>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根据《环境影响评价技术导则大气环境》（HJ2.2-2018），为保护人群健康，减少正常排放条件下大气污染物对居住区的环境影响，在污染源与居住区之间设置环境防护区域，在大气环境防护距离内不应有长期居住的人群。本项目为二级评价，不进行进一步预测。项目大气污染物厂界内外短期贡献浓度未超过环境质量浓度限值，不需设置大气防护距离。</w:t>
      </w:r>
    </w:p>
    <w:p>
      <w:pPr>
        <w:pStyle w:val="136"/>
        <w:spacing w:line="360" w:lineRule="auto"/>
        <w:ind w:firstLine="482" w:firstLineChars="200"/>
        <w:rPr>
          <w:rFonts w:hint="default" w:ascii="Times New Roman" w:hAnsi="Times New Roman" w:eastAsia="宋体" w:cs="Times New Roman"/>
          <w:b/>
          <w:color w:val="auto"/>
        </w:rPr>
      </w:pPr>
      <w:r>
        <w:rPr>
          <w:rFonts w:hint="default" w:ascii="Times New Roman" w:hAnsi="Times New Roman" w:eastAsia="宋体" w:cs="Times New Roman"/>
          <w:b/>
          <w:color w:val="auto"/>
        </w:rPr>
        <w:t>6、卫生防护距离</w:t>
      </w:r>
    </w:p>
    <w:p>
      <w:pPr>
        <w:spacing w:line="360" w:lineRule="auto"/>
        <w:ind w:firstLine="482"/>
        <w:rPr>
          <w:rFonts w:hint="default" w:ascii="Times New Roman" w:hAnsi="Times New Roman" w:cs="Times New Roman"/>
          <w:color w:val="auto"/>
        </w:rPr>
      </w:pPr>
      <w:r>
        <w:rPr>
          <w:rFonts w:hint="default" w:ascii="Times New Roman" w:hAnsi="Times New Roman" w:cs="Times New Roman"/>
          <w:color w:val="auto"/>
        </w:rPr>
        <w:pict>
          <v:shape id="_x0000_s1096" o:spid="_x0000_s1096" o:spt="75" type="#_x0000_t75" style="position:absolute;left:0pt;margin-left:152.15pt;margin-top:39.7pt;height:33.75pt;width:137.85pt;z-index:251661312;mso-width-relative:page;mso-height-relative:page;" o:ole="t" filled="f" o:preferrelative="t" stroked="f" coordsize="21600,21600">
            <v:path/>
            <v:fill on="f" focussize="0,0"/>
            <v:stroke on="f" joinstyle="miter"/>
            <v:imagedata r:id="rId28" o:title=""/>
            <o:lock v:ext="edit" aspectratio="f"/>
          </v:shape>
          <o:OLEObject Type="Embed" ProgID="Equations" ShapeID="_x0000_s1096" DrawAspect="Content" ObjectID="_1468075731" r:id="rId27">
            <o:LockedField>false</o:LockedField>
          </o:OLEObject>
        </w:pict>
      </w:r>
      <w:r>
        <w:rPr>
          <w:rFonts w:hint="default" w:ascii="Times New Roman" w:hAnsi="Times New Roman" w:cs="Times New Roman"/>
          <w:color w:val="auto"/>
        </w:rPr>
        <w:t>本项目采用《大气有害物质无组织排放卫生防护距离推导技术导则》(GB/T39499-2020)推荐的公式进行计算卫生防护距离，公式如下：</w:t>
      </w:r>
    </w:p>
    <w:p>
      <w:pPr>
        <w:spacing w:line="360" w:lineRule="auto"/>
        <w:ind w:firstLine="480" w:firstLineChars="200"/>
        <w:rPr>
          <w:rFonts w:hint="default" w:ascii="Times New Roman" w:hAnsi="Times New Roman" w:cs="Times New Roman"/>
          <w:color w:val="auto"/>
        </w:rPr>
      </w:pPr>
    </w:p>
    <w:p>
      <w:pPr>
        <w:spacing w:beforeLines="50"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式中：C</w:t>
      </w:r>
      <w:r>
        <w:rPr>
          <w:rFonts w:hint="default" w:ascii="Times New Roman" w:hAnsi="Times New Roman" w:cs="Times New Roman"/>
          <w:color w:val="auto"/>
          <w:vertAlign w:val="subscript"/>
        </w:rPr>
        <w:t>m</w:t>
      </w:r>
      <w:r>
        <w:rPr>
          <w:rFonts w:hint="default" w:ascii="Times New Roman" w:hAnsi="Times New Roman" w:cs="Times New Roman"/>
          <w:color w:val="auto"/>
        </w:rPr>
        <w:t>—标准浓度限值；</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L—工业企业所需卫生防护距离；</w:t>
      </w:r>
    </w:p>
    <w:p>
      <w:pPr>
        <w:spacing w:line="360" w:lineRule="auto"/>
        <w:ind w:firstLine="480" w:firstLineChars="200"/>
        <w:rPr>
          <w:rFonts w:hint="default" w:ascii="Times New Roman" w:hAnsi="Times New Roman" w:cs="Times New Roman"/>
          <w:color w:val="auto"/>
          <w:lang w:val="en-GB"/>
        </w:rPr>
      </w:pPr>
      <w:r>
        <w:rPr>
          <w:rFonts w:hint="default" w:ascii="Times New Roman" w:hAnsi="Times New Roman" w:cs="Times New Roman"/>
          <w:color w:val="auto"/>
        </w:rPr>
        <w:t>r—有害气体无组织排放源所在生产单元等效半径，m；</w:t>
      </w:r>
    </w:p>
    <w:p>
      <w:pPr>
        <w:spacing w:line="360" w:lineRule="auto"/>
        <w:ind w:firstLine="480" w:firstLineChars="200"/>
        <w:rPr>
          <w:rFonts w:hint="default" w:ascii="Times New Roman" w:hAnsi="Times New Roman" w:cs="Times New Roman"/>
          <w:color w:val="auto"/>
          <w:lang w:val="en-GB"/>
        </w:rPr>
      </w:pPr>
      <w:r>
        <w:rPr>
          <w:rFonts w:hint="default" w:ascii="Times New Roman" w:hAnsi="Times New Roman" w:cs="Times New Roman"/>
          <w:color w:val="auto"/>
        </w:rPr>
        <w:t>A、B、C、D—卫生防护距离计算系数；</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Qc—工业企业有害气体可达到的控制水平。</w:t>
      </w:r>
    </w:p>
    <w:p>
      <w:pPr>
        <w:pStyle w:val="178"/>
        <w:keepNext w:val="0"/>
        <w:keepLines w:val="0"/>
        <w:pageBreakBefore w:val="0"/>
        <w:widowControl/>
        <w:numPr>
          <w:ilvl w:val="0"/>
          <w:numId w:val="7"/>
        </w:numPr>
        <w:kinsoku/>
        <w:wordWrap/>
        <w:overflowPunct/>
        <w:topLinePunct w:val="0"/>
        <w:autoSpaceDE/>
        <w:autoSpaceDN/>
        <w:bidi w:val="0"/>
        <w:adjustRightInd/>
        <w:snapToGrid/>
        <w:spacing w:beforeLines="0" w:afterLines="0" w:line="360" w:lineRule="auto"/>
        <w:ind w:left="0" w:leftChars="0" w:firstLine="0" w:firstLineChars="0"/>
        <w:textAlignment w:val="auto"/>
        <w:rPr>
          <w:rFonts w:hint="default" w:ascii="Times New Roman" w:hAnsi="Times New Roman" w:cs="Times New Roman"/>
          <w:b/>
          <w:color w:val="auto"/>
        </w:rPr>
      </w:pPr>
      <w:r>
        <w:rPr>
          <w:rFonts w:hint="default" w:ascii="Times New Roman" w:hAnsi="Times New Roman" w:cs="Times New Roman"/>
          <w:b/>
          <w:color w:val="auto"/>
        </w:rPr>
        <w:t>卫生防护距离计算系数</w:t>
      </w:r>
    </w:p>
    <w:tbl>
      <w:tblPr>
        <w:tblStyle w:val="4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1"/>
        <w:gridCol w:w="1349"/>
        <w:gridCol w:w="747"/>
        <w:gridCol w:w="672"/>
        <w:gridCol w:w="820"/>
        <w:gridCol w:w="747"/>
        <w:gridCol w:w="747"/>
        <w:gridCol w:w="747"/>
        <w:gridCol w:w="747"/>
        <w:gridCol w:w="747"/>
        <w:gridCol w:w="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rPr>
        <w:tc>
          <w:tcPr>
            <w:tcW w:w="270" w:type="pct"/>
            <w:vMerge w:val="restart"/>
            <w:vAlign w:val="center"/>
          </w:tcPr>
          <w:p>
            <w:pPr>
              <w:widowControl/>
              <w:jc w:val="center"/>
              <w:rPr>
                <w:rFonts w:hint="default" w:ascii="Times New Roman" w:hAnsi="Times New Roman" w:cs="Times New Roman"/>
                <w:color w:val="auto"/>
                <w:kern w:val="0"/>
                <w:sz w:val="21"/>
              </w:rPr>
            </w:pPr>
            <w:bookmarkStart w:id="453" w:name="_Toc418170923"/>
            <w:bookmarkStart w:id="454" w:name="_Toc463377949"/>
            <w:bookmarkStart w:id="455" w:name="_Toc417839147"/>
            <w:bookmarkStart w:id="456" w:name="_Toc417842588"/>
            <w:bookmarkStart w:id="457" w:name="_Toc417887889"/>
            <w:bookmarkStart w:id="458" w:name="_Toc418091263"/>
            <w:r>
              <w:rPr>
                <w:rFonts w:hint="default" w:ascii="Times New Roman" w:hAnsi="Times New Roman" w:cs="Times New Roman"/>
                <w:color w:val="auto"/>
                <w:kern w:val="0"/>
                <w:sz w:val="21"/>
              </w:rPr>
              <w:t>计算系数</w:t>
            </w:r>
            <w:bookmarkEnd w:id="453"/>
            <w:bookmarkEnd w:id="454"/>
            <w:bookmarkEnd w:id="455"/>
            <w:bookmarkEnd w:id="456"/>
            <w:bookmarkEnd w:id="457"/>
            <w:bookmarkEnd w:id="458"/>
          </w:p>
        </w:tc>
        <w:tc>
          <w:tcPr>
            <w:tcW w:w="791" w:type="pct"/>
            <w:vMerge w:val="restart"/>
            <w:vAlign w:val="center"/>
          </w:tcPr>
          <w:p>
            <w:pPr>
              <w:widowControl/>
              <w:jc w:val="center"/>
              <w:rPr>
                <w:rFonts w:hint="default" w:ascii="Times New Roman" w:hAnsi="Times New Roman" w:cs="Times New Roman"/>
                <w:color w:val="auto"/>
                <w:kern w:val="0"/>
                <w:sz w:val="21"/>
              </w:rPr>
            </w:pPr>
            <w:bookmarkStart w:id="459" w:name="_Toc417839148"/>
            <w:bookmarkStart w:id="460" w:name="_Toc417842589"/>
            <w:bookmarkStart w:id="461" w:name="_Toc417887890"/>
            <w:bookmarkStart w:id="462" w:name="_Toc418170924"/>
            <w:bookmarkStart w:id="463" w:name="_Toc463377950"/>
            <w:bookmarkStart w:id="464" w:name="_Toc418091264"/>
            <w:r>
              <w:rPr>
                <w:rFonts w:hint="default" w:ascii="Times New Roman" w:hAnsi="Times New Roman" w:cs="Times New Roman"/>
                <w:color w:val="auto"/>
                <w:kern w:val="0"/>
                <w:sz w:val="21"/>
              </w:rPr>
              <w:t>工业企业所在地区近五年平均风速（m/s）</w:t>
            </w:r>
            <w:bookmarkEnd w:id="459"/>
            <w:bookmarkEnd w:id="460"/>
            <w:bookmarkEnd w:id="461"/>
            <w:bookmarkEnd w:id="462"/>
            <w:bookmarkEnd w:id="463"/>
            <w:bookmarkEnd w:id="464"/>
          </w:p>
        </w:tc>
        <w:tc>
          <w:tcPr>
            <w:tcW w:w="3939" w:type="pct"/>
            <w:gridSpan w:val="9"/>
            <w:vAlign w:val="center"/>
          </w:tcPr>
          <w:p>
            <w:pPr>
              <w:widowControl/>
              <w:jc w:val="center"/>
              <w:rPr>
                <w:rFonts w:hint="default" w:ascii="Times New Roman" w:hAnsi="Times New Roman" w:cs="Times New Roman"/>
                <w:color w:val="auto"/>
                <w:kern w:val="0"/>
                <w:sz w:val="21"/>
              </w:rPr>
            </w:pPr>
            <w:bookmarkStart w:id="465" w:name="_Toc417842590"/>
            <w:bookmarkStart w:id="466" w:name="_Toc417839149"/>
            <w:bookmarkStart w:id="467" w:name="_Toc417887891"/>
            <w:bookmarkStart w:id="468" w:name="_Toc418091265"/>
            <w:bookmarkStart w:id="469" w:name="_Toc418170925"/>
            <w:bookmarkStart w:id="470" w:name="_Toc463377951"/>
            <w:r>
              <w:rPr>
                <w:rFonts w:hint="default" w:ascii="Times New Roman" w:hAnsi="Times New Roman" w:cs="Times New Roman"/>
                <w:color w:val="auto"/>
                <w:kern w:val="0"/>
                <w:sz w:val="21"/>
              </w:rPr>
              <w:t>卫生防护距离L（m）</w:t>
            </w:r>
            <w:bookmarkEnd w:id="465"/>
            <w:bookmarkEnd w:id="466"/>
            <w:bookmarkEnd w:id="467"/>
            <w:bookmarkEnd w:id="468"/>
            <w:bookmarkEnd w:id="469"/>
            <w:bookmarkEnd w:id="47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rPr>
        <w:tc>
          <w:tcPr>
            <w:tcW w:w="270" w:type="pct"/>
            <w:vMerge w:val="continue"/>
            <w:vAlign w:val="center"/>
          </w:tcPr>
          <w:p>
            <w:pPr>
              <w:widowControl/>
              <w:jc w:val="center"/>
              <w:rPr>
                <w:rFonts w:hint="default" w:ascii="Times New Roman" w:hAnsi="Times New Roman" w:cs="Times New Roman"/>
                <w:color w:val="auto"/>
                <w:kern w:val="0"/>
                <w:sz w:val="21"/>
              </w:rPr>
            </w:pPr>
          </w:p>
        </w:tc>
        <w:tc>
          <w:tcPr>
            <w:tcW w:w="791" w:type="pct"/>
            <w:vMerge w:val="continue"/>
            <w:vAlign w:val="center"/>
          </w:tcPr>
          <w:p>
            <w:pPr>
              <w:widowControl/>
              <w:jc w:val="center"/>
              <w:rPr>
                <w:rFonts w:hint="default" w:ascii="Times New Roman" w:hAnsi="Times New Roman" w:cs="Times New Roman"/>
                <w:color w:val="auto"/>
                <w:kern w:val="0"/>
                <w:sz w:val="21"/>
              </w:rPr>
            </w:pPr>
          </w:p>
        </w:tc>
        <w:tc>
          <w:tcPr>
            <w:tcW w:w="1313" w:type="pct"/>
            <w:gridSpan w:val="3"/>
            <w:vAlign w:val="center"/>
          </w:tcPr>
          <w:p>
            <w:pPr>
              <w:widowControl/>
              <w:jc w:val="center"/>
              <w:rPr>
                <w:rFonts w:hint="default" w:ascii="Times New Roman" w:hAnsi="Times New Roman" w:cs="Times New Roman"/>
                <w:color w:val="auto"/>
                <w:kern w:val="0"/>
                <w:sz w:val="21"/>
              </w:rPr>
            </w:pPr>
            <w:bookmarkStart w:id="471" w:name="_Toc417839150"/>
            <w:bookmarkStart w:id="472" w:name="_Toc417842591"/>
            <w:bookmarkStart w:id="473" w:name="_Toc417887892"/>
            <w:bookmarkStart w:id="474" w:name="_Toc418091266"/>
            <w:bookmarkStart w:id="475" w:name="_Toc418170926"/>
            <w:bookmarkStart w:id="476" w:name="_Toc463377952"/>
            <w:r>
              <w:rPr>
                <w:rFonts w:hint="default" w:ascii="Times New Roman" w:hAnsi="Times New Roman" w:cs="Times New Roman"/>
                <w:color w:val="auto"/>
                <w:kern w:val="0"/>
                <w:sz w:val="21"/>
              </w:rPr>
              <w:t>L≤1000</w:t>
            </w:r>
            <w:bookmarkEnd w:id="471"/>
            <w:bookmarkEnd w:id="472"/>
            <w:bookmarkEnd w:id="473"/>
            <w:bookmarkEnd w:id="474"/>
            <w:bookmarkEnd w:id="475"/>
            <w:bookmarkEnd w:id="476"/>
          </w:p>
        </w:tc>
        <w:tc>
          <w:tcPr>
            <w:tcW w:w="1313" w:type="pct"/>
            <w:gridSpan w:val="3"/>
            <w:vAlign w:val="center"/>
          </w:tcPr>
          <w:p>
            <w:pPr>
              <w:widowControl/>
              <w:jc w:val="center"/>
              <w:rPr>
                <w:rFonts w:hint="default" w:ascii="Times New Roman" w:hAnsi="Times New Roman" w:cs="Times New Roman"/>
                <w:color w:val="auto"/>
                <w:kern w:val="0"/>
                <w:sz w:val="21"/>
              </w:rPr>
            </w:pPr>
            <w:bookmarkStart w:id="477" w:name="_Toc417839151"/>
            <w:bookmarkStart w:id="478" w:name="_Toc417842592"/>
            <w:bookmarkStart w:id="479" w:name="_Toc417887893"/>
            <w:bookmarkStart w:id="480" w:name="_Toc418091267"/>
            <w:bookmarkStart w:id="481" w:name="_Toc418170927"/>
            <w:bookmarkStart w:id="482" w:name="_Toc463377953"/>
            <w:r>
              <w:rPr>
                <w:rFonts w:hint="default" w:ascii="Times New Roman" w:hAnsi="Times New Roman" w:cs="Times New Roman"/>
                <w:color w:val="auto"/>
                <w:kern w:val="0"/>
                <w:sz w:val="21"/>
              </w:rPr>
              <w:t>1000＜L≤2000</w:t>
            </w:r>
            <w:bookmarkEnd w:id="477"/>
            <w:bookmarkEnd w:id="478"/>
            <w:bookmarkEnd w:id="479"/>
            <w:bookmarkEnd w:id="480"/>
            <w:bookmarkEnd w:id="481"/>
            <w:bookmarkEnd w:id="482"/>
          </w:p>
        </w:tc>
        <w:tc>
          <w:tcPr>
            <w:tcW w:w="1313" w:type="pct"/>
            <w:gridSpan w:val="3"/>
            <w:vAlign w:val="center"/>
          </w:tcPr>
          <w:p>
            <w:pPr>
              <w:widowControl/>
              <w:jc w:val="center"/>
              <w:rPr>
                <w:rFonts w:hint="default" w:ascii="Times New Roman" w:hAnsi="Times New Roman" w:cs="Times New Roman"/>
                <w:color w:val="auto"/>
                <w:kern w:val="0"/>
                <w:sz w:val="21"/>
              </w:rPr>
            </w:pPr>
            <w:bookmarkStart w:id="483" w:name="_Toc417842593"/>
            <w:bookmarkStart w:id="484" w:name="_Toc417887894"/>
            <w:bookmarkStart w:id="485" w:name="_Toc418091268"/>
            <w:bookmarkStart w:id="486" w:name="_Toc418170928"/>
            <w:bookmarkStart w:id="487" w:name="_Toc463377954"/>
            <w:bookmarkStart w:id="488" w:name="_Toc417839152"/>
            <w:r>
              <w:rPr>
                <w:rFonts w:hint="default" w:ascii="Times New Roman" w:hAnsi="Times New Roman" w:cs="Times New Roman"/>
                <w:color w:val="auto"/>
                <w:kern w:val="0"/>
                <w:sz w:val="21"/>
              </w:rPr>
              <w:t>＞2000</w:t>
            </w:r>
            <w:bookmarkEnd w:id="483"/>
            <w:bookmarkEnd w:id="484"/>
            <w:bookmarkEnd w:id="485"/>
            <w:bookmarkEnd w:id="486"/>
            <w:bookmarkEnd w:id="487"/>
            <w:bookmarkEnd w:id="48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rPr>
        <w:tc>
          <w:tcPr>
            <w:tcW w:w="270" w:type="pct"/>
            <w:vMerge w:val="continue"/>
            <w:vAlign w:val="center"/>
          </w:tcPr>
          <w:p>
            <w:pPr>
              <w:widowControl/>
              <w:jc w:val="center"/>
              <w:rPr>
                <w:rFonts w:hint="default" w:ascii="Times New Roman" w:hAnsi="Times New Roman" w:cs="Times New Roman"/>
                <w:color w:val="auto"/>
                <w:kern w:val="0"/>
                <w:sz w:val="21"/>
              </w:rPr>
            </w:pPr>
          </w:p>
        </w:tc>
        <w:tc>
          <w:tcPr>
            <w:tcW w:w="791" w:type="pct"/>
            <w:vMerge w:val="continue"/>
            <w:vAlign w:val="center"/>
          </w:tcPr>
          <w:p>
            <w:pPr>
              <w:widowControl/>
              <w:jc w:val="center"/>
              <w:rPr>
                <w:rFonts w:hint="default" w:ascii="Times New Roman" w:hAnsi="Times New Roman" w:cs="Times New Roman"/>
                <w:color w:val="auto"/>
                <w:kern w:val="0"/>
                <w:sz w:val="21"/>
              </w:rPr>
            </w:pPr>
          </w:p>
        </w:tc>
        <w:tc>
          <w:tcPr>
            <w:tcW w:w="3939" w:type="pct"/>
            <w:gridSpan w:val="9"/>
            <w:vAlign w:val="center"/>
          </w:tcPr>
          <w:p>
            <w:pPr>
              <w:widowControl/>
              <w:jc w:val="center"/>
              <w:rPr>
                <w:rFonts w:hint="default" w:ascii="Times New Roman" w:hAnsi="Times New Roman" w:cs="Times New Roman"/>
                <w:color w:val="auto"/>
                <w:kern w:val="0"/>
                <w:sz w:val="21"/>
              </w:rPr>
            </w:pPr>
            <w:bookmarkStart w:id="489" w:name="_Toc463377955"/>
            <w:bookmarkStart w:id="490" w:name="_Toc418170929"/>
            <w:bookmarkStart w:id="491" w:name="_Toc417839153"/>
            <w:bookmarkStart w:id="492" w:name="_Toc417842594"/>
            <w:bookmarkStart w:id="493" w:name="_Toc417887895"/>
            <w:bookmarkStart w:id="494" w:name="_Toc418091269"/>
            <w:r>
              <w:rPr>
                <w:rFonts w:hint="default" w:ascii="Times New Roman" w:hAnsi="Times New Roman" w:cs="Times New Roman"/>
                <w:color w:val="auto"/>
                <w:kern w:val="0"/>
                <w:sz w:val="21"/>
              </w:rPr>
              <w:t>工业企业大气污染源构成类别</w:t>
            </w:r>
            <w:bookmarkEnd w:id="489"/>
            <w:bookmarkEnd w:id="490"/>
            <w:bookmarkEnd w:id="491"/>
            <w:bookmarkEnd w:id="492"/>
            <w:bookmarkEnd w:id="493"/>
            <w:bookmarkEnd w:id="49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rPr>
        <w:tc>
          <w:tcPr>
            <w:tcW w:w="270" w:type="pct"/>
            <w:vMerge w:val="continue"/>
            <w:vAlign w:val="center"/>
          </w:tcPr>
          <w:p>
            <w:pPr>
              <w:widowControl/>
              <w:jc w:val="center"/>
              <w:rPr>
                <w:rFonts w:hint="default" w:ascii="Times New Roman" w:hAnsi="Times New Roman" w:cs="Times New Roman"/>
                <w:color w:val="auto"/>
                <w:kern w:val="0"/>
                <w:sz w:val="21"/>
              </w:rPr>
            </w:pPr>
          </w:p>
        </w:tc>
        <w:tc>
          <w:tcPr>
            <w:tcW w:w="791" w:type="pct"/>
            <w:vMerge w:val="continue"/>
            <w:vAlign w:val="center"/>
          </w:tcPr>
          <w:p>
            <w:pPr>
              <w:widowControl/>
              <w:jc w:val="center"/>
              <w:rPr>
                <w:rFonts w:hint="default" w:ascii="Times New Roman" w:hAnsi="Times New Roman" w:cs="Times New Roman"/>
                <w:color w:val="auto"/>
                <w:kern w:val="0"/>
                <w:sz w:val="21"/>
              </w:rPr>
            </w:pPr>
          </w:p>
        </w:tc>
        <w:tc>
          <w:tcPr>
            <w:tcW w:w="438" w:type="pct"/>
            <w:vAlign w:val="center"/>
          </w:tcPr>
          <w:p>
            <w:pPr>
              <w:widowControl/>
              <w:jc w:val="center"/>
              <w:rPr>
                <w:rFonts w:hint="default" w:ascii="Times New Roman" w:hAnsi="Times New Roman" w:cs="Times New Roman"/>
                <w:color w:val="auto"/>
                <w:kern w:val="0"/>
                <w:sz w:val="21"/>
              </w:rPr>
            </w:pPr>
            <w:bookmarkStart w:id="495" w:name="_Toc417839154"/>
            <w:bookmarkStart w:id="496" w:name="_Toc417842595"/>
            <w:bookmarkStart w:id="497" w:name="_Toc417887896"/>
            <w:bookmarkStart w:id="498" w:name="_Toc418091270"/>
            <w:bookmarkStart w:id="499" w:name="_Toc418170930"/>
            <w:bookmarkStart w:id="500" w:name="_Toc463377956"/>
            <w:r>
              <w:rPr>
                <w:rFonts w:hint="default" w:ascii="Times New Roman" w:hAnsi="Times New Roman" w:cs="Times New Roman"/>
                <w:color w:val="auto"/>
                <w:kern w:val="0"/>
                <w:sz w:val="21"/>
              </w:rPr>
              <w:t>I</w:t>
            </w:r>
            <w:bookmarkEnd w:id="495"/>
            <w:bookmarkEnd w:id="496"/>
            <w:bookmarkEnd w:id="497"/>
            <w:bookmarkEnd w:id="498"/>
            <w:bookmarkEnd w:id="499"/>
            <w:bookmarkEnd w:id="500"/>
          </w:p>
        </w:tc>
        <w:tc>
          <w:tcPr>
            <w:tcW w:w="394" w:type="pct"/>
            <w:vAlign w:val="center"/>
          </w:tcPr>
          <w:p>
            <w:pPr>
              <w:widowControl/>
              <w:jc w:val="center"/>
              <w:rPr>
                <w:rFonts w:hint="default" w:ascii="Times New Roman" w:hAnsi="Times New Roman" w:cs="Times New Roman"/>
                <w:color w:val="auto"/>
                <w:kern w:val="0"/>
                <w:sz w:val="21"/>
              </w:rPr>
            </w:pPr>
            <w:bookmarkStart w:id="501" w:name="_Toc463377957"/>
            <w:bookmarkStart w:id="502" w:name="_Toc418170931"/>
            <w:bookmarkStart w:id="503" w:name="_Toc418091271"/>
            <w:bookmarkStart w:id="504" w:name="_Toc417887897"/>
            <w:bookmarkStart w:id="505" w:name="_Toc417842596"/>
            <w:bookmarkStart w:id="506" w:name="_Toc417839155"/>
            <w:r>
              <w:rPr>
                <w:rFonts w:hint="default" w:ascii="Times New Roman" w:hAnsi="Times New Roman" w:cs="Times New Roman"/>
                <w:color w:val="auto"/>
                <w:kern w:val="0"/>
                <w:sz w:val="21"/>
              </w:rPr>
              <w:t>II</w:t>
            </w:r>
            <w:bookmarkEnd w:id="501"/>
            <w:bookmarkEnd w:id="502"/>
            <w:bookmarkEnd w:id="503"/>
            <w:bookmarkEnd w:id="504"/>
            <w:bookmarkEnd w:id="505"/>
            <w:bookmarkEnd w:id="506"/>
          </w:p>
        </w:tc>
        <w:tc>
          <w:tcPr>
            <w:tcW w:w="481" w:type="pct"/>
            <w:vAlign w:val="center"/>
          </w:tcPr>
          <w:p>
            <w:pPr>
              <w:widowControl/>
              <w:jc w:val="center"/>
              <w:rPr>
                <w:rFonts w:hint="default" w:ascii="Times New Roman" w:hAnsi="Times New Roman" w:cs="Times New Roman"/>
                <w:color w:val="auto"/>
                <w:kern w:val="0"/>
                <w:sz w:val="21"/>
              </w:rPr>
            </w:pPr>
            <w:bookmarkStart w:id="507" w:name="_Toc417839156"/>
            <w:bookmarkStart w:id="508" w:name="_Toc417842597"/>
            <w:bookmarkStart w:id="509" w:name="_Toc417887898"/>
            <w:bookmarkStart w:id="510" w:name="_Toc418091272"/>
            <w:bookmarkStart w:id="511" w:name="_Toc418170932"/>
            <w:bookmarkStart w:id="512" w:name="_Toc463377958"/>
            <w:r>
              <w:rPr>
                <w:rFonts w:hint="default" w:ascii="Times New Roman" w:hAnsi="Times New Roman" w:cs="Times New Roman"/>
                <w:color w:val="auto"/>
                <w:kern w:val="0"/>
                <w:sz w:val="21"/>
              </w:rPr>
              <w:t>III</w:t>
            </w:r>
            <w:bookmarkEnd w:id="507"/>
            <w:bookmarkEnd w:id="508"/>
            <w:bookmarkEnd w:id="509"/>
            <w:bookmarkEnd w:id="510"/>
            <w:bookmarkEnd w:id="511"/>
            <w:bookmarkEnd w:id="512"/>
          </w:p>
        </w:tc>
        <w:tc>
          <w:tcPr>
            <w:tcW w:w="438" w:type="pct"/>
            <w:vAlign w:val="center"/>
          </w:tcPr>
          <w:p>
            <w:pPr>
              <w:widowControl/>
              <w:jc w:val="center"/>
              <w:rPr>
                <w:rFonts w:hint="default" w:ascii="Times New Roman" w:hAnsi="Times New Roman" w:cs="Times New Roman"/>
                <w:color w:val="auto"/>
                <w:kern w:val="0"/>
                <w:sz w:val="21"/>
              </w:rPr>
            </w:pPr>
            <w:bookmarkStart w:id="513" w:name="_Toc418170933"/>
            <w:bookmarkStart w:id="514" w:name="_Toc463377959"/>
            <w:bookmarkStart w:id="515" w:name="_Toc418091273"/>
            <w:bookmarkStart w:id="516" w:name="_Toc417839157"/>
            <w:bookmarkStart w:id="517" w:name="_Toc417842598"/>
            <w:bookmarkStart w:id="518" w:name="_Toc417887899"/>
            <w:r>
              <w:rPr>
                <w:rFonts w:hint="default" w:ascii="Times New Roman" w:hAnsi="Times New Roman" w:cs="Times New Roman"/>
                <w:color w:val="auto"/>
                <w:kern w:val="0"/>
                <w:sz w:val="21"/>
              </w:rPr>
              <w:t>I</w:t>
            </w:r>
            <w:bookmarkEnd w:id="513"/>
            <w:bookmarkEnd w:id="514"/>
            <w:bookmarkEnd w:id="515"/>
            <w:bookmarkEnd w:id="516"/>
            <w:bookmarkEnd w:id="517"/>
            <w:bookmarkEnd w:id="518"/>
          </w:p>
        </w:tc>
        <w:tc>
          <w:tcPr>
            <w:tcW w:w="438" w:type="pct"/>
            <w:vAlign w:val="center"/>
          </w:tcPr>
          <w:p>
            <w:pPr>
              <w:widowControl/>
              <w:jc w:val="center"/>
              <w:rPr>
                <w:rFonts w:hint="default" w:ascii="Times New Roman" w:hAnsi="Times New Roman" w:cs="Times New Roman"/>
                <w:color w:val="auto"/>
                <w:kern w:val="0"/>
                <w:sz w:val="21"/>
              </w:rPr>
            </w:pPr>
            <w:bookmarkStart w:id="519" w:name="_Toc418091274"/>
            <w:bookmarkStart w:id="520" w:name="_Toc417887900"/>
            <w:bookmarkStart w:id="521" w:name="_Toc417842599"/>
            <w:bookmarkStart w:id="522" w:name="_Toc417839158"/>
            <w:bookmarkStart w:id="523" w:name="_Toc418170934"/>
            <w:bookmarkStart w:id="524" w:name="_Toc463377960"/>
            <w:r>
              <w:rPr>
                <w:rFonts w:hint="default" w:ascii="Times New Roman" w:hAnsi="Times New Roman" w:cs="Times New Roman"/>
                <w:color w:val="auto"/>
                <w:kern w:val="0"/>
                <w:sz w:val="21"/>
              </w:rPr>
              <w:t>II</w:t>
            </w:r>
            <w:bookmarkEnd w:id="519"/>
            <w:bookmarkEnd w:id="520"/>
            <w:bookmarkEnd w:id="521"/>
            <w:bookmarkEnd w:id="522"/>
            <w:bookmarkEnd w:id="523"/>
            <w:bookmarkEnd w:id="524"/>
          </w:p>
        </w:tc>
        <w:tc>
          <w:tcPr>
            <w:tcW w:w="438" w:type="pct"/>
            <w:vAlign w:val="center"/>
          </w:tcPr>
          <w:p>
            <w:pPr>
              <w:widowControl/>
              <w:jc w:val="center"/>
              <w:rPr>
                <w:rFonts w:hint="default" w:ascii="Times New Roman" w:hAnsi="Times New Roman" w:cs="Times New Roman"/>
                <w:color w:val="auto"/>
                <w:kern w:val="0"/>
                <w:sz w:val="21"/>
              </w:rPr>
            </w:pPr>
            <w:bookmarkStart w:id="525" w:name="_Toc417842600"/>
            <w:bookmarkStart w:id="526" w:name="_Toc417839159"/>
            <w:bookmarkStart w:id="527" w:name="_Toc417887901"/>
            <w:bookmarkStart w:id="528" w:name="_Toc418091275"/>
            <w:bookmarkStart w:id="529" w:name="_Toc418170935"/>
            <w:bookmarkStart w:id="530" w:name="_Toc463377961"/>
            <w:r>
              <w:rPr>
                <w:rFonts w:hint="default" w:ascii="Times New Roman" w:hAnsi="Times New Roman" w:cs="Times New Roman"/>
                <w:color w:val="auto"/>
                <w:kern w:val="0"/>
                <w:sz w:val="21"/>
              </w:rPr>
              <w:t>III</w:t>
            </w:r>
            <w:bookmarkEnd w:id="525"/>
            <w:bookmarkEnd w:id="526"/>
            <w:bookmarkEnd w:id="527"/>
            <w:bookmarkEnd w:id="528"/>
            <w:bookmarkEnd w:id="529"/>
            <w:bookmarkEnd w:id="530"/>
          </w:p>
        </w:tc>
        <w:tc>
          <w:tcPr>
            <w:tcW w:w="438" w:type="pct"/>
            <w:vAlign w:val="center"/>
          </w:tcPr>
          <w:p>
            <w:pPr>
              <w:widowControl/>
              <w:jc w:val="center"/>
              <w:rPr>
                <w:rFonts w:hint="default" w:ascii="Times New Roman" w:hAnsi="Times New Roman" w:cs="Times New Roman"/>
                <w:color w:val="auto"/>
                <w:kern w:val="0"/>
                <w:sz w:val="21"/>
              </w:rPr>
            </w:pPr>
            <w:bookmarkStart w:id="531" w:name="_Toc463377962"/>
            <w:bookmarkStart w:id="532" w:name="_Toc418170936"/>
            <w:bookmarkStart w:id="533" w:name="_Toc418091276"/>
            <w:bookmarkStart w:id="534" w:name="_Toc417839160"/>
            <w:bookmarkStart w:id="535" w:name="_Toc417842601"/>
            <w:bookmarkStart w:id="536" w:name="_Toc417887902"/>
            <w:r>
              <w:rPr>
                <w:rFonts w:hint="default" w:ascii="Times New Roman" w:hAnsi="Times New Roman" w:cs="Times New Roman"/>
                <w:color w:val="auto"/>
                <w:kern w:val="0"/>
                <w:sz w:val="21"/>
              </w:rPr>
              <w:t>I</w:t>
            </w:r>
            <w:bookmarkEnd w:id="531"/>
            <w:bookmarkEnd w:id="532"/>
            <w:bookmarkEnd w:id="533"/>
            <w:bookmarkEnd w:id="534"/>
            <w:bookmarkEnd w:id="535"/>
            <w:bookmarkEnd w:id="536"/>
          </w:p>
        </w:tc>
        <w:tc>
          <w:tcPr>
            <w:tcW w:w="438" w:type="pct"/>
            <w:vAlign w:val="center"/>
          </w:tcPr>
          <w:p>
            <w:pPr>
              <w:widowControl/>
              <w:jc w:val="center"/>
              <w:rPr>
                <w:rFonts w:hint="default" w:ascii="Times New Roman" w:hAnsi="Times New Roman" w:cs="Times New Roman"/>
                <w:color w:val="auto"/>
                <w:kern w:val="0"/>
                <w:sz w:val="21"/>
              </w:rPr>
            </w:pPr>
            <w:bookmarkStart w:id="537" w:name="_Toc417842602"/>
            <w:bookmarkStart w:id="538" w:name="_Toc417887903"/>
            <w:bookmarkStart w:id="539" w:name="_Toc417839161"/>
            <w:bookmarkStart w:id="540" w:name="_Toc418091277"/>
            <w:bookmarkStart w:id="541" w:name="_Toc418170937"/>
            <w:bookmarkStart w:id="542" w:name="_Toc463377963"/>
            <w:r>
              <w:rPr>
                <w:rFonts w:hint="default" w:ascii="Times New Roman" w:hAnsi="Times New Roman" w:cs="Times New Roman"/>
                <w:color w:val="auto"/>
                <w:kern w:val="0"/>
                <w:sz w:val="21"/>
              </w:rPr>
              <w:t>II</w:t>
            </w:r>
            <w:bookmarkEnd w:id="537"/>
            <w:bookmarkEnd w:id="538"/>
            <w:bookmarkEnd w:id="539"/>
            <w:bookmarkEnd w:id="540"/>
            <w:bookmarkEnd w:id="541"/>
            <w:bookmarkEnd w:id="542"/>
          </w:p>
        </w:tc>
        <w:tc>
          <w:tcPr>
            <w:tcW w:w="438" w:type="pct"/>
            <w:vAlign w:val="center"/>
          </w:tcPr>
          <w:p>
            <w:pPr>
              <w:widowControl/>
              <w:jc w:val="center"/>
              <w:rPr>
                <w:rFonts w:hint="default" w:ascii="Times New Roman" w:hAnsi="Times New Roman" w:cs="Times New Roman"/>
                <w:color w:val="auto"/>
                <w:kern w:val="0"/>
                <w:sz w:val="21"/>
              </w:rPr>
            </w:pPr>
            <w:bookmarkStart w:id="543" w:name="_Toc417839162"/>
            <w:bookmarkStart w:id="544" w:name="_Toc417842603"/>
            <w:bookmarkStart w:id="545" w:name="_Toc417887904"/>
            <w:bookmarkStart w:id="546" w:name="_Toc418091278"/>
            <w:bookmarkStart w:id="547" w:name="_Toc418170938"/>
            <w:bookmarkStart w:id="548" w:name="_Toc463377964"/>
            <w:r>
              <w:rPr>
                <w:rFonts w:hint="default" w:ascii="Times New Roman" w:hAnsi="Times New Roman" w:cs="Times New Roman"/>
                <w:color w:val="auto"/>
                <w:kern w:val="0"/>
                <w:sz w:val="21"/>
              </w:rPr>
              <w:t>III</w:t>
            </w:r>
            <w:bookmarkEnd w:id="543"/>
            <w:bookmarkEnd w:id="544"/>
            <w:bookmarkEnd w:id="545"/>
            <w:bookmarkEnd w:id="546"/>
            <w:bookmarkEnd w:id="547"/>
            <w:bookmarkEnd w:id="54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rPr>
        <w:tc>
          <w:tcPr>
            <w:tcW w:w="270" w:type="pct"/>
            <w:vMerge w:val="restart"/>
            <w:vAlign w:val="center"/>
          </w:tcPr>
          <w:p>
            <w:pPr>
              <w:widowControl/>
              <w:jc w:val="center"/>
              <w:rPr>
                <w:rFonts w:hint="default" w:ascii="Times New Roman" w:hAnsi="Times New Roman" w:cs="Times New Roman"/>
                <w:color w:val="auto"/>
                <w:kern w:val="0"/>
                <w:sz w:val="21"/>
              </w:rPr>
            </w:pPr>
            <w:bookmarkStart w:id="549" w:name="_Toc463377965"/>
            <w:bookmarkStart w:id="550" w:name="_Toc417839163"/>
            <w:bookmarkStart w:id="551" w:name="_Toc417842604"/>
            <w:bookmarkStart w:id="552" w:name="_Toc417887905"/>
            <w:bookmarkStart w:id="553" w:name="_Toc418091279"/>
            <w:bookmarkStart w:id="554" w:name="_Toc418170939"/>
            <w:r>
              <w:rPr>
                <w:rFonts w:hint="default" w:ascii="Times New Roman" w:hAnsi="Times New Roman" w:cs="Times New Roman"/>
                <w:color w:val="auto"/>
                <w:kern w:val="0"/>
                <w:sz w:val="21"/>
              </w:rPr>
              <w:t>A</w:t>
            </w:r>
            <w:bookmarkEnd w:id="549"/>
            <w:bookmarkEnd w:id="550"/>
            <w:bookmarkEnd w:id="551"/>
            <w:bookmarkEnd w:id="552"/>
            <w:bookmarkEnd w:id="553"/>
            <w:bookmarkEnd w:id="554"/>
          </w:p>
        </w:tc>
        <w:tc>
          <w:tcPr>
            <w:tcW w:w="791" w:type="pct"/>
            <w:vAlign w:val="center"/>
          </w:tcPr>
          <w:p>
            <w:pPr>
              <w:widowControl/>
              <w:jc w:val="center"/>
              <w:rPr>
                <w:rFonts w:hint="default" w:ascii="Times New Roman" w:hAnsi="Times New Roman" w:cs="Times New Roman"/>
                <w:color w:val="auto"/>
                <w:kern w:val="0"/>
                <w:sz w:val="21"/>
              </w:rPr>
            </w:pPr>
            <w:bookmarkStart w:id="555" w:name="_Toc417842605"/>
            <w:bookmarkStart w:id="556" w:name="_Toc417887906"/>
            <w:bookmarkStart w:id="557" w:name="_Toc418091280"/>
            <w:bookmarkStart w:id="558" w:name="_Toc417839164"/>
            <w:bookmarkStart w:id="559" w:name="_Toc463377966"/>
            <w:bookmarkStart w:id="560" w:name="_Toc418170940"/>
            <w:r>
              <w:rPr>
                <w:rFonts w:hint="default" w:ascii="Times New Roman" w:hAnsi="Times New Roman" w:cs="Times New Roman"/>
                <w:color w:val="auto"/>
                <w:kern w:val="0"/>
                <w:sz w:val="21"/>
              </w:rPr>
              <w:t>＜2</w:t>
            </w:r>
            <w:bookmarkEnd w:id="555"/>
            <w:bookmarkEnd w:id="556"/>
            <w:bookmarkEnd w:id="557"/>
            <w:bookmarkEnd w:id="558"/>
            <w:bookmarkEnd w:id="559"/>
            <w:bookmarkEnd w:id="560"/>
          </w:p>
        </w:tc>
        <w:tc>
          <w:tcPr>
            <w:tcW w:w="438" w:type="pct"/>
            <w:vAlign w:val="center"/>
          </w:tcPr>
          <w:p>
            <w:pPr>
              <w:widowControl/>
              <w:jc w:val="center"/>
              <w:rPr>
                <w:rFonts w:hint="default" w:ascii="Times New Roman" w:hAnsi="Times New Roman" w:cs="Times New Roman"/>
                <w:color w:val="auto"/>
                <w:kern w:val="0"/>
                <w:sz w:val="21"/>
              </w:rPr>
            </w:pPr>
            <w:bookmarkStart w:id="561" w:name="_Toc417839165"/>
            <w:bookmarkStart w:id="562" w:name="_Toc417842606"/>
            <w:bookmarkStart w:id="563" w:name="_Toc417887907"/>
            <w:bookmarkStart w:id="564" w:name="_Toc418091281"/>
            <w:bookmarkStart w:id="565" w:name="_Toc418170941"/>
            <w:bookmarkStart w:id="566" w:name="_Toc463377967"/>
            <w:r>
              <w:rPr>
                <w:rFonts w:hint="default" w:ascii="Times New Roman" w:hAnsi="Times New Roman" w:cs="Times New Roman"/>
                <w:color w:val="auto"/>
                <w:kern w:val="0"/>
                <w:sz w:val="21"/>
              </w:rPr>
              <w:t>400</w:t>
            </w:r>
            <w:bookmarkEnd w:id="561"/>
            <w:bookmarkEnd w:id="562"/>
            <w:bookmarkEnd w:id="563"/>
            <w:bookmarkEnd w:id="564"/>
            <w:bookmarkEnd w:id="565"/>
            <w:bookmarkEnd w:id="566"/>
          </w:p>
        </w:tc>
        <w:tc>
          <w:tcPr>
            <w:tcW w:w="394" w:type="pct"/>
            <w:vAlign w:val="center"/>
          </w:tcPr>
          <w:p>
            <w:pPr>
              <w:widowControl/>
              <w:jc w:val="center"/>
              <w:rPr>
                <w:rFonts w:hint="default" w:ascii="Times New Roman" w:hAnsi="Times New Roman" w:cs="Times New Roman"/>
                <w:color w:val="auto"/>
                <w:kern w:val="0"/>
                <w:sz w:val="21"/>
              </w:rPr>
            </w:pPr>
            <w:bookmarkStart w:id="567" w:name="_Toc463377968"/>
            <w:bookmarkStart w:id="568" w:name="_Toc417839166"/>
            <w:bookmarkStart w:id="569" w:name="_Toc417842607"/>
            <w:bookmarkStart w:id="570" w:name="_Toc417887908"/>
            <w:bookmarkStart w:id="571" w:name="_Toc418091282"/>
            <w:bookmarkStart w:id="572" w:name="_Toc418170942"/>
            <w:r>
              <w:rPr>
                <w:rFonts w:hint="default" w:ascii="Times New Roman" w:hAnsi="Times New Roman" w:cs="Times New Roman"/>
                <w:color w:val="auto"/>
                <w:kern w:val="0"/>
                <w:sz w:val="21"/>
              </w:rPr>
              <w:t>400</w:t>
            </w:r>
            <w:bookmarkEnd w:id="567"/>
            <w:bookmarkEnd w:id="568"/>
            <w:bookmarkEnd w:id="569"/>
            <w:bookmarkEnd w:id="570"/>
            <w:bookmarkEnd w:id="571"/>
            <w:bookmarkEnd w:id="572"/>
          </w:p>
        </w:tc>
        <w:tc>
          <w:tcPr>
            <w:tcW w:w="481" w:type="pct"/>
            <w:vAlign w:val="center"/>
          </w:tcPr>
          <w:p>
            <w:pPr>
              <w:widowControl/>
              <w:jc w:val="center"/>
              <w:rPr>
                <w:rFonts w:hint="default" w:ascii="Times New Roman" w:hAnsi="Times New Roman" w:cs="Times New Roman"/>
                <w:color w:val="auto"/>
                <w:kern w:val="0"/>
                <w:sz w:val="21"/>
              </w:rPr>
            </w:pPr>
            <w:bookmarkStart w:id="573" w:name="_Toc418091283"/>
            <w:bookmarkStart w:id="574" w:name="_Toc418170943"/>
            <w:bookmarkStart w:id="575" w:name="_Toc463377969"/>
            <w:bookmarkStart w:id="576" w:name="_Toc417839167"/>
            <w:bookmarkStart w:id="577" w:name="_Toc417842608"/>
            <w:bookmarkStart w:id="578" w:name="_Toc417887909"/>
            <w:r>
              <w:rPr>
                <w:rFonts w:hint="default" w:ascii="Times New Roman" w:hAnsi="Times New Roman" w:cs="Times New Roman"/>
                <w:color w:val="auto"/>
                <w:kern w:val="0"/>
                <w:sz w:val="21"/>
              </w:rPr>
              <w:t>400</w:t>
            </w:r>
            <w:bookmarkEnd w:id="573"/>
            <w:bookmarkEnd w:id="574"/>
            <w:bookmarkEnd w:id="575"/>
            <w:bookmarkEnd w:id="576"/>
            <w:bookmarkEnd w:id="577"/>
            <w:bookmarkEnd w:id="578"/>
          </w:p>
        </w:tc>
        <w:tc>
          <w:tcPr>
            <w:tcW w:w="438" w:type="pct"/>
            <w:vAlign w:val="center"/>
          </w:tcPr>
          <w:p>
            <w:pPr>
              <w:widowControl/>
              <w:jc w:val="center"/>
              <w:rPr>
                <w:rFonts w:hint="default" w:ascii="Times New Roman" w:hAnsi="Times New Roman" w:cs="Times New Roman"/>
                <w:color w:val="auto"/>
                <w:kern w:val="0"/>
                <w:sz w:val="21"/>
              </w:rPr>
            </w:pPr>
            <w:bookmarkStart w:id="579" w:name="_Toc417839168"/>
            <w:bookmarkStart w:id="580" w:name="_Toc417842609"/>
            <w:bookmarkStart w:id="581" w:name="_Toc417887910"/>
            <w:bookmarkStart w:id="582" w:name="_Toc418091284"/>
            <w:bookmarkStart w:id="583" w:name="_Toc418170944"/>
            <w:bookmarkStart w:id="584" w:name="_Toc463377970"/>
            <w:r>
              <w:rPr>
                <w:rFonts w:hint="default" w:ascii="Times New Roman" w:hAnsi="Times New Roman" w:cs="Times New Roman"/>
                <w:color w:val="auto"/>
                <w:kern w:val="0"/>
                <w:sz w:val="21"/>
              </w:rPr>
              <w:t>400</w:t>
            </w:r>
            <w:bookmarkEnd w:id="579"/>
            <w:bookmarkEnd w:id="580"/>
            <w:bookmarkEnd w:id="581"/>
            <w:bookmarkEnd w:id="582"/>
            <w:bookmarkEnd w:id="583"/>
            <w:bookmarkEnd w:id="584"/>
          </w:p>
        </w:tc>
        <w:tc>
          <w:tcPr>
            <w:tcW w:w="438" w:type="pct"/>
            <w:vAlign w:val="center"/>
          </w:tcPr>
          <w:p>
            <w:pPr>
              <w:widowControl/>
              <w:jc w:val="center"/>
              <w:rPr>
                <w:rFonts w:hint="default" w:ascii="Times New Roman" w:hAnsi="Times New Roman" w:cs="Times New Roman"/>
                <w:color w:val="auto"/>
                <w:kern w:val="0"/>
                <w:sz w:val="21"/>
              </w:rPr>
            </w:pPr>
            <w:bookmarkStart w:id="585" w:name="_Toc417839169"/>
            <w:bookmarkStart w:id="586" w:name="_Toc417842610"/>
            <w:bookmarkStart w:id="587" w:name="_Toc417887911"/>
            <w:bookmarkStart w:id="588" w:name="_Toc418091285"/>
            <w:bookmarkStart w:id="589" w:name="_Toc418170945"/>
            <w:bookmarkStart w:id="590" w:name="_Toc463377971"/>
            <w:r>
              <w:rPr>
                <w:rFonts w:hint="default" w:ascii="Times New Roman" w:hAnsi="Times New Roman" w:cs="Times New Roman"/>
                <w:color w:val="auto"/>
                <w:kern w:val="0"/>
                <w:sz w:val="21"/>
              </w:rPr>
              <w:t>400</w:t>
            </w:r>
            <w:bookmarkEnd w:id="585"/>
            <w:bookmarkEnd w:id="586"/>
            <w:bookmarkEnd w:id="587"/>
            <w:bookmarkEnd w:id="588"/>
            <w:bookmarkEnd w:id="589"/>
            <w:bookmarkEnd w:id="590"/>
          </w:p>
        </w:tc>
        <w:tc>
          <w:tcPr>
            <w:tcW w:w="438" w:type="pct"/>
            <w:vAlign w:val="center"/>
          </w:tcPr>
          <w:p>
            <w:pPr>
              <w:widowControl/>
              <w:jc w:val="center"/>
              <w:rPr>
                <w:rFonts w:hint="default" w:ascii="Times New Roman" w:hAnsi="Times New Roman" w:cs="Times New Roman"/>
                <w:color w:val="auto"/>
                <w:kern w:val="0"/>
                <w:sz w:val="21"/>
              </w:rPr>
            </w:pPr>
            <w:bookmarkStart w:id="591" w:name="_Toc417839170"/>
            <w:bookmarkStart w:id="592" w:name="_Toc417842611"/>
            <w:bookmarkStart w:id="593" w:name="_Toc417887912"/>
            <w:bookmarkStart w:id="594" w:name="_Toc418091286"/>
            <w:bookmarkStart w:id="595" w:name="_Toc418170946"/>
            <w:bookmarkStart w:id="596" w:name="_Toc463377972"/>
            <w:r>
              <w:rPr>
                <w:rFonts w:hint="default" w:ascii="Times New Roman" w:hAnsi="Times New Roman" w:cs="Times New Roman"/>
                <w:color w:val="auto"/>
                <w:kern w:val="0"/>
                <w:sz w:val="21"/>
              </w:rPr>
              <w:t>400</w:t>
            </w:r>
            <w:bookmarkEnd w:id="591"/>
            <w:bookmarkEnd w:id="592"/>
            <w:bookmarkEnd w:id="593"/>
            <w:bookmarkEnd w:id="594"/>
            <w:bookmarkEnd w:id="595"/>
            <w:bookmarkEnd w:id="596"/>
          </w:p>
        </w:tc>
        <w:tc>
          <w:tcPr>
            <w:tcW w:w="438" w:type="pct"/>
            <w:vAlign w:val="center"/>
          </w:tcPr>
          <w:p>
            <w:pPr>
              <w:widowControl/>
              <w:jc w:val="center"/>
              <w:rPr>
                <w:rFonts w:hint="default" w:ascii="Times New Roman" w:hAnsi="Times New Roman" w:cs="Times New Roman"/>
                <w:color w:val="auto"/>
                <w:kern w:val="0"/>
                <w:sz w:val="21"/>
              </w:rPr>
            </w:pPr>
            <w:bookmarkStart w:id="597" w:name="_Toc418170947"/>
            <w:bookmarkStart w:id="598" w:name="_Toc418091287"/>
            <w:bookmarkStart w:id="599" w:name="_Toc417839171"/>
            <w:bookmarkStart w:id="600" w:name="_Toc417842612"/>
            <w:bookmarkStart w:id="601" w:name="_Toc417887913"/>
            <w:bookmarkStart w:id="602" w:name="_Toc463377973"/>
            <w:r>
              <w:rPr>
                <w:rFonts w:hint="default" w:ascii="Times New Roman" w:hAnsi="Times New Roman" w:cs="Times New Roman"/>
                <w:color w:val="auto"/>
                <w:kern w:val="0"/>
                <w:sz w:val="21"/>
              </w:rPr>
              <w:t>80</w:t>
            </w:r>
            <w:bookmarkEnd w:id="597"/>
            <w:bookmarkEnd w:id="598"/>
            <w:bookmarkEnd w:id="599"/>
            <w:bookmarkEnd w:id="600"/>
            <w:bookmarkEnd w:id="601"/>
            <w:bookmarkEnd w:id="602"/>
          </w:p>
        </w:tc>
        <w:tc>
          <w:tcPr>
            <w:tcW w:w="438" w:type="pct"/>
            <w:vAlign w:val="center"/>
          </w:tcPr>
          <w:p>
            <w:pPr>
              <w:widowControl/>
              <w:jc w:val="center"/>
              <w:rPr>
                <w:rFonts w:hint="default" w:ascii="Times New Roman" w:hAnsi="Times New Roman" w:cs="Times New Roman"/>
                <w:color w:val="auto"/>
                <w:kern w:val="0"/>
                <w:sz w:val="21"/>
              </w:rPr>
            </w:pPr>
            <w:bookmarkStart w:id="603" w:name="_Toc417839172"/>
            <w:bookmarkStart w:id="604" w:name="_Toc417842613"/>
            <w:bookmarkStart w:id="605" w:name="_Toc417887914"/>
            <w:bookmarkStart w:id="606" w:name="_Toc418091288"/>
            <w:bookmarkStart w:id="607" w:name="_Toc418170948"/>
            <w:bookmarkStart w:id="608" w:name="_Toc463377974"/>
            <w:r>
              <w:rPr>
                <w:rFonts w:hint="default" w:ascii="Times New Roman" w:hAnsi="Times New Roman" w:cs="Times New Roman"/>
                <w:color w:val="auto"/>
                <w:kern w:val="0"/>
                <w:sz w:val="21"/>
              </w:rPr>
              <w:t>80</w:t>
            </w:r>
            <w:bookmarkEnd w:id="603"/>
            <w:bookmarkEnd w:id="604"/>
            <w:bookmarkEnd w:id="605"/>
            <w:bookmarkEnd w:id="606"/>
            <w:bookmarkEnd w:id="607"/>
            <w:bookmarkEnd w:id="608"/>
          </w:p>
        </w:tc>
        <w:tc>
          <w:tcPr>
            <w:tcW w:w="438" w:type="pct"/>
            <w:vAlign w:val="center"/>
          </w:tcPr>
          <w:p>
            <w:pPr>
              <w:widowControl/>
              <w:jc w:val="center"/>
              <w:rPr>
                <w:rFonts w:hint="default" w:ascii="Times New Roman" w:hAnsi="Times New Roman" w:cs="Times New Roman"/>
                <w:color w:val="auto"/>
                <w:kern w:val="0"/>
                <w:sz w:val="21"/>
              </w:rPr>
            </w:pPr>
            <w:bookmarkStart w:id="609" w:name="_Toc417839173"/>
            <w:bookmarkStart w:id="610" w:name="_Toc417842614"/>
            <w:bookmarkStart w:id="611" w:name="_Toc417887915"/>
            <w:bookmarkStart w:id="612" w:name="_Toc418091289"/>
            <w:bookmarkStart w:id="613" w:name="_Toc418170949"/>
            <w:bookmarkStart w:id="614" w:name="_Toc463377975"/>
            <w:r>
              <w:rPr>
                <w:rFonts w:hint="default" w:ascii="Times New Roman" w:hAnsi="Times New Roman" w:cs="Times New Roman"/>
                <w:color w:val="auto"/>
                <w:kern w:val="0"/>
                <w:sz w:val="21"/>
              </w:rPr>
              <w:t>80</w:t>
            </w:r>
            <w:bookmarkEnd w:id="609"/>
            <w:bookmarkEnd w:id="610"/>
            <w:bookmarkEnd w:id="611"/>
            <w:bookmarkEnd w:id="612"/>
            <w:bookmarkEnd w:id="613"/>
            <w:bookmarkEnd w:id="61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rPr>
        <w:tc>
          <w:tcPr>
            <w:tcW w:w="270" w:type="pct"/>
            <w:vMerge w:val="continue"/>
            <w:vAlign w:val="center"/>
          </w:tcPr>
          <w:p>
            <w:pPr>
              <w:widowControl/>
              <w:jc w:val="center"/>
              <w:rPr>
                <w:rFonts w:hint="default" w:ascii="Times New Roman" w:hAnsi="Times New Roman" w:cs="Times New Roman"/>
                <w:color w:val="auto"/>
                <w:kern w:val="0"/>
                <w:sz w:val="21"/>
              </w:rPr>
            </w:pPr>
          </w:p>
        </w:tc>
        <w:tc>
          <w:tcPr>
            <w:tcW w:w="791" w:type="pct"/>
            <w:vAlign w:val="center"/>
          </w:tcPr>
          <w:p>
            <w:pPr>
              <w:widowControl/>
              <w:jc w:val="center"/>
              <w:rPr>
                <w:rFonts w:hint="default" w:ascii="Times New Roman" w:hAnsi="Times New Roman" w:cs="Times New Roman"/>
                <w:color w:val="auto"/>
                <w:kern w:val="0"/>
                <w:sz w:val="21"/>
              </w:rPr>
            </w:pPr>
            <w:bookmarkStart w:id="615" w:name="_Toc417839174"/>
            <w:bookmarkStart w:id="616" w:name="_Toc417842615"/>
            <w:bookmarkStart w:id="617" w:name="_Toc417887916"/>
            <w:bookmarkStart w:id="618" w:name="_Toc418091290"/>
            <w:bookmarkStart w:id="619" w:name="_Toc418170950"/>
            <w:bookmarkStart w:id="620" w:name="_Toc463377976"/>
            <w:r>
              <w:rPr>
                <w:rFonts w:hint="default" w:ascii="Times New Roman" w:hAnsi="Times New Roman" w:cs="Times New Roman"/>
                <w:color w:val="auto"/>
                <w:kern w:val="0"/>
                <w:sz w:val="21"/>
              </w:rPr>
              <w:t>2-4</w:t>
            </w:r>
            <w:bookmarkEnd w:id="615"/>
            <w:bookmarkEnd w:id="616"/>
            <w:bookmarkEnd w:id="617"/>
            <w:bookmarkEnd w:id="618"/>
            <w:bookmarkEnd w:id="619"/>
            <w:bookmarkEnd w:id="620"/>
          </w:p>
        </w:tc>
        <w:tc>
          <w:tcPr>
            <w:tcW w:w="438" w:type="pct"/>
            <w:vAlign w:val="center"/>
          </w:tcPr>
          <w:p>
            <w:pPr>
              <w:widowControl/>
              <w:jc w:val="center"/>
              <w:rPr>
                <w:rFonts w:hint="default" w:ascii="Times New Roman" w:hAnsi="Times New Roman" w:cs="Times New Roman"/>
                <w:color w:val="auto"/>
                <w:kern w:val="0"/>
                <w:sz w:val="21"/>
              </w:rPr>
            </w:pPr>
            <w:bookmarkStart w:id="621" w:name="_Toc417839175"/>
            <w:bookmarkStart w:id="622" w:name="_Toc417842616"/>
            <w:bookmarkStart w:id="623" w:name="_Toc417887917"/>
            <w:bookmarkStart w:id="624" w:name="_Toc418091291"/>
            <w:bookmarkStart w:id="625" w:name="_Toc418170951"/>
            <w:bookmarkStart w:id="626" w:name="_Toc463377977"/>
            <w:r>
              <w:rPr>
                <w:rFonts w:hint="default" w:ascii="Times New Roman" w:hAnsi="Times New Roman" w:cs="Times New Roman"/>
                <w:color w:val="auto"/>
                <w:kern w:val="0"/>
                <w:sz w:val="21"/>
              </w:rPr>
              <w:t>700</w:t>
            </w:r>
            <w:bookmarkEnd w:id="621"/>
            <w:bookmarkEnd w:id="622"/>
            <w:bookmarkEnd w:id="623"/>
            <w:bookmarkEnd w:id="624"/>
            <w:bookmarkEnd w:id="625"/>
            <w:bookmarkEnd w:id="626"/>
          </w:p>
        </w:tc>
        <w:tc>
          <w:tcPr>
            <w:tcW w:w="394" w:type="pct"/>
            <w:vAlign w:val="center"/>
          </w:tcPr>
          <w:p>
            <w:pPr>
              <w:widowControl/>
              <w:jc w:val="center"/>
              <w:rPr>
                <w:rFonts w:hint="default" w:ascii="Times New Roman" w:hAnsi="Times New Roman" w:cs="Times New Roman"/>
                <w:color w:val="auto"/>
                <w:kern w:val="0"/>
                <w:sz w:val="21"/>
              </w:rPr>
            </w:pPr>
            <w:bookmarkStart w:id="627" w:name="_Toc417842617"/>
            <w:bookmarkStart w:id="628" w:name="_Toc418170952"/>
            <w:bookmarkStart w:id="629" w:name="_Toc418091292"/>
            <w:bookmarkStart w:id="630" w:name="_Toc417887918"/>
            <w:bookmarkStart w:id="631" w:name="_Toc463377978"/>
            <w:bookmarkStart w:id="632" w:name="_Toc417839176"/>
            <w:r>
              <w:rPr>
                <w:rFonts w:hint="default" w:ascii="Times New Roman" w:hAnsi="Times New Roman" w:cs="Times New Roman"/>
                <w:color w:val="auto"/>
                <w:kern w:val="0"/>
                <w:sz w:val="21"/>
              </w:rPr>
              <w:t>470</w:t>
            </w:r>
            <w:bookmarkEnd w:id="627"/>
            <w:bookmarkEnd w:id="628"/>
            <w:bookmarkEnd w:id="629"/>
            <w:bookmarkEnd w:id="630"/>
            <w:bookmarkEnd w:id="631"/>
            <w:bookmarkEnd w:id="632"/>
          </w:p>
        </w:tc>
        <w:tc>
          <w:tcPr>
            <w:tcW w:w="481" w:type="pct"/>
            <w:vAlign w:val="center"/>
          </w:tcPr>
          <w:p>
            <w:pPr>
              <w:widowControl/>
              <w:jc w:val="center"/>
              <w:rPr>
                <w:rFonts w:hint="default" w:ascii="Times New Roman" w:hAnsi="Times New Roman" w:cs="Times New Roman"/>
                <w:color w:val="auto"/>
                <w:kern w:val="0"/>
                <w:sz w:val="21"/>
              </w:rPr>
            </w:pPr>
            <w:bookmarkStart w:id="633" w:name="_Toc463377979"/>
            <w:bookmarkStart w:id="634" w:name="_Toc417839177"/>
            <w:bookmarkStart w:id="635" w:name="_Toc417842618"/>
            <w:bookmarkStart w:id="636" w:name="_Toc417887919"/>
            <w:bookmarkStart w:id="637" w:name="_Toc418091293"/>
            <w:bookmarkStart w:id="638" w:name="_Toc418170953"/>
            <w:r>
              <w:rPr>
                <w:rFonts w:hint="default" w:ascii="Times New Roman" w:hAnsi="Times New Roman" w:cs="Times New Roman"/>
                <w:color w:val="auto"/>
                <w:kern w:val="0"/>
                <w:sz w:val="21"/>
              </w:rPr>
              <w:t>350</w:t>
            </w:r>
            <w:bookmarkEnd w:id="633"/>
            <w:bookmarkEnd w:id="634"/>
            <w:bookmarkEnd w:id="635"/>
            <w:bookmarkEnd w:id="636"/>
            <w:bookmarkEnd w:id="637"/>
            <w:bookmarkEnd w:id="638"/>
          </w:p>
        </w:tc>
        <w:tc>
          <w:tcPr>
            <w:tcW w:w="438" w:type="pct"/>
            <w:vAlign w:val="center"/>
          </w:tcPr>
          <w:p>
            <w:pPr>
              <w:widowControl/>
              <w:jc w:val="center"/>
              <w:rPr>
                <w:rFonts w:hint="default" w:ascii="Times New Roman" w:hAnsi="Times New Roman" w:cs="Times New Roman"/>
                <w:color w:val="auto"/>
                <w:kern w:val="0"/>
                <w:sz w:val="21"/>
              </w:rPr>
            </w:pPr>
            <w:bookmarkStart w:id="639" w:name="_Toc418091294"/>
            <w:bookmarkStart w:id="640" w:name="_Toc417839178"/>
            <w:bookmarkStart w:id="641" w:name="_Toc417842619"/>
            <w:bookmarkStart w:id="642" w:name="_Toc417887920"/>
            <w:bookmarkStart w:id="643" w:name="_Toc418170954"/>
            <w:bookmarkStart w:id="644" w:name="_Toc463377980"/>
            <w:r>
              <w:rPr>
                <w:rFonts w:hint="default" w:ascii="Times New Roman" w:hAnsi="Times New Roman" w:cs="Times New Roman"/>
                <w:color w:val="auto"/>
                <w:kern w:val="0"/>
                <w:sz w:val="21"/>
              </w:rPr>
              <w:t>700</w:t>
            </w:r>
            <w:bookmarkEnd w:id="639"/>
            <w:bookmarkEnd w:id="640"/>
            <w:bookmarkEnd w:id="641"/>
            <w:bookmarkEnd w:id="642"/>
            <w:bookmarkEnd w:id="643"/>
            <w:bookmarkEnd w:id="644"/>
          </w:p>
        </w:tc>
        <w:tc>
          <w:tcPr>
            <w:tcW w:w="438" w:type="pct"/>
            <w:vAlign w:val="center"/>
          </w:tcPr>
          <w:p>
            <w:pPr>
              <w:widowControl/>
              <w:jc w:val="center"/>
              <w:rPr>
                <w:rFonts w:hint="default" w:ascii="Times New Roman" w:hAnsi="Times New Roman" w:cs="Times New Roman"/>
                <w:color w:val="auto"/>
                <w:kern w:val="0"/>
                <w:sz w:val="21"/>
              </w:rPr>
            </w:pPr>
            <w:bookmarkStart w:id="645" w:name="_Toc417839179"/>
            <w:bookmarkStart w:id="646" w:name="_Toc417842620"/>
            <w:bookmarkStart w:id="647" w:name="_Toc417887921"/>
            <w:bookmarkStart w:id="648" w:name="_Toc418091295"/>
            <w:bookmarkStart w:id="649" w:name="_Toc418170955"/>
            <w:bookmarkStart w:id="650" w:name="_Toc463377981"/>
            <w:r>
              <w:rPr>
                <w:rFonts w:hint="default" w:ascii="Times New Roman" w:hAnsi="Times New Roman" w:cs="Times New Roman"/>
                <w:color w:val="auto"/>
                <w:kern w:val="0"/>
                <w:sz w:val="21"/>
              </w:rPr>
              <w:t>470</w:t>
            </w:r>
            <w:bookmarkEnd w:id="645"/>
            <w:bookmarkEnd w:id="646"/>
            <w:bookmarkEnd w:id="647"/>
            <w:bookmarkEnd w:id="648"/>
            <w:bookmarkEnd w:id="649"/>
            <w:bookmarkEnd w:id="650"/>
          </w:p>
        </w:tc>
        <w:tc>
          <w:tcPr>
            <w:tcW w:w="438" w:type="pct"/>
            <w:vAlign w:val="center"/>
          </w:tcPr>
          <w:p>
            <w:pPr>
              <w:widowControl/>
              <w:jc w:val="center"/>
              <w:rPr>
                <w:rFonts w:hint="default" w:ascii="Times New Roman" w:hAnsi="Times New Roman" w:cs="Times New Roman"/>
                <w:color w:val="auto"/>
                <w:kern w:val="0"/>
                <w:sz w:val="21"/>
              </w:rPr>
            </w:pPr>
            <w:bookmarkStart w:id="651" w:name="_Toc417839180"/>
            <w:bookmarkStart w:id="652" w:name="_Toc417842621"/>
            <w:bookmarkStart w:id="653" w:name="_Toc417887922"/>
            <w:bookmarkStart w:id="654" w:name="_Toc418091296"/>
            <w:bookmarkStart w:id="655" w:name="_Toc418170956"/>
            <w:bookmarkStart w:id="656" w:name="_Toc463377982"/>
            <w:r>
              <w:rPr>
                <w:rFonts w:hint="default" w:ascii="Times New Roman" w:hAnsi="Times New Roman" w:cs="Times New Roman"/>
                <w:color w:val="auto"/>
                <w:kern w:val="0"/>
                <w:sz w:val="21"/>
              </w:rPr>
              <w:t>350</w:t>
            </w:r>
            <w:bookmarkEnd w:id="651"/>
            <w:bookmarkEnd w:id="652"/>
            <w:bookmarkEnd w:id="653"/>
            <w:bookmarkEnd w:id="654"/>
            <w:bookmarkEnd w:id="655"/>
            <w:bookmarkEnd w:id="656"/>
          </w:p>
        </w:tc>
        <w:tc>
          <w:tcPr>
            <w:tcW w:w="438" w:type="pct"/>
            <w:vAlign w:val="center"/>
          </w:tcPr>
          <w:p>
            <w:pPr>
              <w:widowControl/>
              <w:jc w:val="center"/>
              <w:rPr>
                <w:rFonts w:hint="default" w:ascii="Times New Roman" w:hAnsi="Times New Roman" w:cs="Times New Roman"/>
                <w:color w:val="auto"/>
                <w:kern w:val="0"/>
                <w:sz w:val="21"/>
              </w:rPr>
            </w:pPr>
            <w:bookmarkStart w:id="657" w:name="_Toc417839181"/>
            <w:bookmarkStart w:id="658" w:name="_Toc417842622"/>
            <w:bookmarkStart w:id="659" w:name="_Toc417887923"/>
            <w:bookmarkStart w:id="660" w:name="_Toc418091297"/>
            <w:bookmarkStart w:id="661" w:name="_Toc418170957"/>
            <w:bookmarkStart w:id="662" w:name="_Toc463377983"/>
            <w:r>
              <w:rPr>
                <w:rFonts w:hint="default" w:ascii="Times New Roman" w:hAnsi="Times New Roman" w:cs="Times New Roman"/>
                <w:color w:val="auto"/>
                <w:kern w:val="0"/>
                <w:sz w:val="21"/>
              </w:rPr>
              <w:t>380</w:t>
            </w:r>
            <w:bookmarkEnd w:id="657"/>
            <w:bookmarkEnd w:id="658"/>
            <w:bookmarkEnd w:id="659"/>
            <w:bookmarkEnd w:id="660"/>
            <w:bookmarkEnd w:id="661"/>
            <w:bookmarkEnd w:id="662"/>
          </w:p>
        </w:tc>
        <w:tc>
          <w:tcPr>
            <w:tcW w:w="438" w:type="pct"/>
            <w:vAlign w:val="center"/>
          </w:tcPr>
          <w:p>
            <w:pPr>
              <w:widowControl/>
              <w:jc w:val="center"/>
              <w:rPr>
                <w:rFonts w:hint="default" w:ascii="Times New Roman" w:hAnsi="Times New Roman" w:cs="Times New Roman"/>
                <w:color w:val="auto"/>
                <w:kern w:val="0"/>
                <w:sz w:val="21"/>
              </w:rPr>
            </w:pPr>
            <w:bookmarkStart w:id="663" w:name="_Toc463377984"/>
            <w:bookmarkStart w:id="664" w:name="_Toc417839182"/>
            <w:bookmarkStart w:id="665" w:name="_Toc417842623"/>
            <w:bookmarkStart w:id="666" w:name="_Toc417887924"/>
            <w:bookmarkStart w:id="667" w:name="_Toc418091298"/>
            <w:bookmarkStart w:id="668" w:name="_Toc418170958"/>
            <w:r>
              <w:rPr>
                <w:rFonts w:hint="default" w:ascii="Times New Roman" w:hAnsi="Times New Roman" w:cs="Times New Roman"/>
                <w:color w:val="auto"/>
                <w:kern w:val="0"/>
                <w:sz w:val="21"/>
              </w:rPr>
              <w:t>250</w:t>
            </w:r>
            <w:bookmarkEnd w:id="663"/>
            <w:bookmarkEnd w:id="664"/>
            <w:bookmarkEnd w:id="665"/>
            <w:bookmarkEnd w:id="666"/>
            <w:bookmarkEnd w:id="667"/>
            <w:bookmarkEnd w:id="668"/>
          </w:p>
        </w:tc>
        <w:tc>
          <w:tcPr>
            <w:tcW w:w="438" w:type="pct"/>
            <w:vAlign w:val="center"/>
          </w:tcPr>
          <w:p>
            <w:pPr>
              <w:widowControl/>
              <w:jc w:val="center"/>
              <w:rPr>
                <w:rFonts w:hint="default" w:ascii="Times New Roman" w:hAnsi="Times New Roman" w:cs="Times New Roman"/>
                <w:color w:val="auto"/>
                <w:kern w:val="0"/>
                <w:sz w:val="21"/>
              </w:rPr>
            </w:pPr>
            <w:bookmarkStart w:id="669" w:name="_Toc417839183"/>
            <w:bookmarkStart w:id="670" w:name="_Toc417842624"/>
            <w:bookmarkStart w:id="671" w:name="_Toc417887925"/>
            <w:bookmarkStart w:id="672" w:name="_Toc418091299"/>
            <w:bookmarkStart w:id="673" w:name="_Toc418170959"/>
            <w:bookmarkStart w:id="674" w:name="_Toc463377985"/>
            <w:r>
              <w:rPr>
                <w:rFonts w:hint="default" w:ascii="Times New Roman" w:hAnsi="Times New Roman" w:cs="Times New Roman"/>
                <w:color w:val="auto"/>
                <w:kern w:val="0"/>
                <w:sz w:val="21"/>
              </w:rPr>
              <w:t>190</w:t>
            </w:r>
            <w:bookmarkEnd w:id="669"/>
            <w:bookmarkEnd w:id="670"/>
            <w:bookmarkEnd w:id="671"/>
            <w:bookmarkEnd w:id="672"/>
            <w:bookmarkEnd w:id="673"/>
            <w:bookmarkEnd w:id="67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rPr>
        <w:tc>
          <w:tcPr>
            <w:tcW w:w="270" w:type="pct"/>
            <w:vMerge w:val="continue"/>
            <w:vAlign w:val="center"/>
          </w:tcPr>
          <w:p>
            <w:pPr>
              <w:widowControl/>
              <w:jc w:val="center"/>
              <w:rPr>
                <w:rFonts w:hint="default" w:ascii="Times New Roman" w:hAnsi="Times New Roman" w:cs="Times New Roman"/>
                <w:color w:val="auto"/>
                <w:kern w:val="0"/>
                <w:sz w:val="21"/>
              </w:rPr>
            </w:pPr>
          </w:p>
        </w:tc>
        <w:tc>
          <w:tcPr>
            <w:tcW w:w="791" w:type="pct"/>
            <w:vAlign w:val="center"/>
          </w:tcPr>
          <w:p>
            <w:pPr>
              <w:widowControl/>
              <w:jc w:val="center"/>
              <w:rPr>
                <w:rFonts w:hint="default" w:ascii="Times New Roman" w:hAnsi="Times New Roman" w:cs="Times New Roman"/>
                <w:color w:val="auto"/>
                <w:kern w:val="0"/>
                <w:sz w:val="21"/>
              </w:rPr>
            </w:pPr>
            <w:bookmarkStart w:id="675" w:name="_Toc417839184"/>
            <w:bookmarkStart w:id="676" w:name="_Toc417842625"/>
            <w:bookmarkStart w:id="677" w:name="_Toc417887926"/>
            <w:bookmarkStart w:id="678" w:name="_Toc418091300"/>
            <w:bookmarkStart w:id="679" w:name="_Toc418170960"/>
            <w:bookmarkStart w:id="680" w:name="_Toc463377986"/>
            <w:r>
              <w:rPr>
                <w:rFonts w:hint="default" w:ascii="Times New Roman" w:hAnsi="Times New Roman" w:cs="Times New Roman"/>
                <w:color w:val="auto"/>
                <w:kern w:val="0"/>
                <w:sz w:val="21"/>
              </w:rPr>
              <w:t>＞4</w:t>
            </w:r>
            <w:bookmarkEnd w:id="675"/>
            <w:bookmarkEnd w:id="676"/>
            <w:bookmarkEnd w:id="677"/>
            <w:bookmarkEnd w:id="678"/>
            <w:bookmarkEnd w:id="679"/>
            <w:bookmarkEnd w:id="680"/>
          </w:p>
        </w:tc>
        <w:tc>
          <w:tcPr>
            <w:tcW w:w="438" w:type="pct"/>
            <w:vAlign w:val="center"/>
          </w:tcPr>
          <w:p>
            <w:pPr>
              <w:widowControl/>
              <w:jc w:val="center"/>
              <w:rPr>
                <w:rFonts w:hint="default" w:ascii="Times New Roman" w:hAnsi="Times New Roman" w:cs="Times New Roman"/>
                <w:color w:val="auto"/>
                <w:kern w:val="0"/>
                <w:sz w:val="21"/>
              </w:rPr>
            </w:pPr>
            <w:bookmarkStart w:id="681" w:name="_Toc417839185"/>
            <w:bookmarkStart w:id="682" w:name="_Toc417842626"/>
            <w:bookmarkStart w:id="683" w:name="_Toc417887927"/>
            <w:bookmarkStart w:id="684" w:name="_Toc418091301"/>
            <w:bookmarkStart w:id="685" w:name="_Toc418170961"/>
            <w:bookmarkStart w:id="686" w:name="_Toc463377987"/>
            <w:r>
              <w:rPr>
                <w:rFonts w:hint="default" w:ascii="Times New Roman" w:hAnsi="Times New Roman" w:cs="Times New Roman"/>
                <w:color w:val="auto"/>
                <w:kern w:val="0"/>
                <w:sz w:val="21"/>
              </w:rPr>
              <w:t>530</w:t>
            </w:r>
            <w:bookmarkEnd w:id="681"/>
            <w:bookmarkEnd w:id="682"/>
            <w:bookmarkEnd w:id="683"/>
            <w:bookmarkEnd w:id="684"/>
            <w:bookmarkEnd w:id="685"/>
            <w:bookmarkEnd w:id="686"/>
          </w:p>
        </w:tc>
        <w:tc>
          <w:tcPr>
            <w:tcW w:w="394" w:type="pct"/>
            <w:vAlign w:val="center"/>
          </w:tcPr>
          <w:p>
            <w:pPr>
              <w:widowControl/>
              <w:jc w:val="center"/>
              <w:rPr>
                <w:rFonts w:hint="default" w:ascii="Times New Roman" w:hAnsi="Times New Roman" w:cs="Times New Roman"/>
                <w:color w:val="auto"/>
                <w:kern w:val="0"/>
                <w:sz w:val="21"/>
              </w:rPr>
            </w:pPr>
            <w:bookmarkStart w:id="687" w:name="_Toc417839186"/>
            <w:bookmarkStart w:id="688" w:name="_Toc417842627"/>
            <w:bookmarkStart w:id="689" w:name="_Toc417887928"/>
            <w:bookmarkStart w:id="690" w:name="_Toc418091302"/>
            <w:bookmarkStart w:id="691" w:name="_Toc418170962"/>
            <w:bookmarkStart w:id="692" w:name="_Toc463377988"/>
            <w:r>
              <w:rPr>
                <w:rFonts w:hint="default" w:ascii="Times New Roman" w:hAnsi="Times New Roman" w:cs="Times New Roman"/>
                <w:color w:val="auto"/>
                <w:kern w:val="0"/>
                <w:sz w:val="21"/>
              </w:rPr>
              <w:t>350</w:t>
            </w:r>
            <w:bookmarkEnd w:id="687"/>
            <w:bookmarkEnd w:id="688"/>
            <w:bookmarkEnd w:id="689"/>
            <w:bookmarkEnd w:id="690"/>
            <w:bookmarkEnd w:id="691"/>
            <w:bookmarkEnd w:id="692"/>
          </w:p>
        </w:tc>
        <w:tc>
          <w:tcPr>
            <w:tcW w:w="481" w:type="pct"/>
            <w:vAlign w:val="center"/>
          </w:tcPr>
          <w:p>
            <w:pPr>
              <w:widowControl/>
              <w:jc w:val="center"/>
              <w:rPr>
                <w:rFonts w:hint="default" w:ascii="Times New Roman" w:hAnsi="Times New Roman" w:cs="Times New Roman"/>
                <w:color w:val="auto"/>
                <w:kern w:val="0"/>
                <w:sz w:val="21"/>
              </w:rPr>
            </w:pPr>
            <w:bookmarkStart w:id="693" w:name="_Toc417839187"/>
            <w:bookmarkStart w:id="694" w:name="_Toc417842628"/>
            <w:bookmarkStart w:id="695" w:name="_Toc417887929"/>
            <w:bookmarkStart w:id="696" w:name="_Toc418091303"/>
            <w:bookmarkStart w:id="697" w:name="_Toc418170963"/>
            <w:bookmarkStart w:id="698" w:name="_Toc463377989"/>
            <w:r>
              <w:rPr>
                <w:rFonts w:hint="default" w:ascii="Times New Roman" w:hAnsi="Times New Roman" w:cs="Times New Roman"/>
                <w:color w:val="auto"/>
                <w:kern w:val="0"/>
                <w:sz w:val="21"/>
              </w:rPr>
              <w:t>260</w:t>
            </w:r>
            <w:bookmarkEnd w:id="693"/>
            <w:bookmarkEnd w:id="694"/>
            <w:bookmarkEnd w:id="695"/>
            <w:bookmarkEnd w:id="696"/>
            <w:bookmarkEnd w:id="697"/>
            <w:bookmarkEnd w:id="698"/>
          </w:p>
        </w:tc>
        <w:tc>
          <w:tcPr>
            <w:tcW w:w="438" w:type="pct"/>
            <w:vAlign w:val="center"/>
          </w:tcPr>
          <w:p>
            <w:pPr>
              <w:widowControl/>
              <w:jc w:val="center"/>
              <w:rPr>
                <w:rFonts w:hint="default" w:ascii="Times New Roman" w:hAnsi="Times New Roman" w:cs="Times New Roman"/>
                <w:color w:val="auto"/>
                <w:kern w:val="0"/>
                <w:sz w:val="21"/>
              </w:rPr>
            </w:pPr>
            <w:bookmarkStart w:id="699" w:name="_Toc417839188"/>
            <w:bookmarkStart w:id="700" w:name="_Toc417842629"/>
            <w:bookmarkStart w:id="701" w:name="_Toc417887930"/>
            <w:bookmarkStart w:id="702" w:name="_Toc418091304"/>
            <w:bookmarkStart w:id="703" w:name="_Toc418170964"/>
            <w:bookmarkStart w:id="704" w:name="_Toc463377990"/>
            <w:r>
              <w:rPr>
                <w:rFonts w:hint="default" w:ascii="Times New Roman" w:hAnsi="Times New Roman" w:cs="Times New Roman"/>
                <w:color w:val="auto"/>
                <w:kern w:val="0"/>
                <w:sz w:val="21"/>
              </w:rPr>
              <w:t>530</w:t>
            </w:r>
            <w:bookmarkEnd w:id="699"/>
            <w:bookmarkEnd w:id="700"/>
            <w:bookmarkEnd w:id="701"/>
            <w:bookmarkEnd w:id="702"/>
            <w:bookmarkEnd w:id="703"/>
            <w:bookmarkEnd w:id="704"/>
          </w:p>
        </w:tc>
        <w:tc>
          <w:tcPr>
            <w:tcW w:w="438" w:type="pct"/>
            <w:vAlign w:val="center"/>
          </w:tcPr>
          <w:p>
            <w:pPr>
              <w:widowControl/>
              <w:jc w:val="center"/>
              <w:rPr>
                <w:rFonts w:hint="default" w:ascii="Times New Roman" w:hAnsi="Times New Roman" w:cs="Times New Roman"/>
                <w:color w:val="auto"/>
                <w:kern w:val="0"/>
                <w:sz w:val="21"/>
              </w:rPr>
            </w:pPr>
            <w:bookmarkStart w:id="705" w:name="_Toc417839189"/>
            <w:bookmarkStart w:id="706" w:name="_Toc417842630"/>
            <w:bookmarkStart w:id="707" w:name="_Toc417887931"/>
            <w:bookmarkStart w:id="708" w:name="_Toc418091305"/>
            <w:bookmarkStart w:id="709" w:name="_Toc418170965"/>
            <w:bookmarkStart w:id="710" w:name="_Toc463377991"/>
            <w:r>
              <w:rPr>
                <w:rFonts w:hint="default" w:ascii="Times New Roman" w:hAnsi="Times New Roman" w:cs="Times New Roman"/>
                <w:color w:val="auto"/>
                <w:kern w:val="0"/>
                <w:sz w:val="21"/>
              </w:rPr>
              <w:t>350</w:t>
            </w:r>
            <w:bookmarkEnd w:id="705"/>
            <w:bookmarkEnd w:id="706"/>
            <w:bookmarkEnd w:id="707"/>
            <w:bookmarkEnd w:id="708"/>
            <w:bookmarkEnd w:id="709"/>
            <w:bookmarkEnd w:id="710"/>
          </w:p>
        </w:tc>
        <w:tc>
          <w:tcPr>
            <w:tcW w:w="438" w:type="pct"/>
            <w:vAlign w:val="center"/>
          </w:tcPr>
          <w:p>
            <w:pPr>
              <w:widowControl/>
              <w:jc w:val="center"/>
              <w:rPr>
                <w:rFonts w:hint="default" w:ascii="Times New Roman" w:hAnsi="Times New Roman" w:cs="Times New Roman"/>
                <w:color w:val="auto"/>
                <w:kern w:val="0"/>
                <w:sz w:val="21"/>
              </w:rPr>
            </w:pPr>
            <w:bookmarkStart w:id="711" w:name="_Toc417839190"/>
            <w:bookmarkStart w:id="712" w:name="_Toc417842631"/>
            <w:bookmarkStart w:id="713" w:name="_Toc417887932"/>
            <w:bookmarkStart w:id="714" w:name="_Toc418091306"/>
            <w:bookmarkStart w:id="715" w:name="_Toc418170966"/>
            <w:bookmarkStart w:id="716" w:name="_Toc463377992"/>
            <w:r>
              <w:rPr>
                <w:rFonts w:hint="default" w:ascii="Times New Roman" w:hAnsi="Times New Roman" w:cs="Times New Roman"/>
                <w:color w:val="auto"/>
                <w:kern w:val="0"/>
                <w:sz w:val="21"/>
              </w:rPr>
              <w:t>260</w:t>
            </w:r>
            <w:bookmarkEnd w:id="711"/>
            <w:bookmarkEnd w:id="712"/>
            <w:bookmarkEnd w:id="713"/>
            <w:bookmarkEnd w:id="714"/>
            <w:bookmarkEnd w:id="715"/>
            <w:bookmarkEnd w:id="716"/>
          </w:p>
        </w:tc>
        <w:tc>
          <w:tcPr>
            <w:tcW w:w="438" w:type="pct"/>
            <w:vAlign w:val="center"/>
          </w:tcPr>
          <w:p>
            <w:pPr>
              <w:widowControl/>
              <w:jc w:val="center"/>
              <w:rPr>
                <w:rFonts w:hint="default" w:ascii="Times New Roman" w:hAnsi="Times New Roman" w:cs="Times New Roman"/>
                <w:color w:val="auto"/>
                <w:kern w:val="0"/>
                <w:sz w:val="21"/>
              </w:rPr>
            </w:pPr>
            <w:bookmarkStart w:id="717" w:name="_Toc417839191"/>
            <w:bookmarkStart w:id="718" w:name="_Toc417842632"/>
            <w:bookmarkStart w:id="719" w:name="_Toc417887933"/>
            <w:bookmarkStart w:id="720" w:name="_Toc418091307"/>
            <w:bookmarkStart w:id="721" w:name="_Toc418170967"/>
            <w:bookmarkStart w:id="722" w:name="_Toc463377993"/>
            <w:r>
              <w:rPr>
                <w:rFonts w:hint="default" w:ascii="Times New Roman" w:hAnsi="Times New Roman" w:cs="Times New Roman"/>
                <w:color w:val="auto"/>
                <w:kern w:val="0"/>
                <w:sz w:val="21"/>
              </w:rPr>
              <w:t>290</w:t>
            </w:r>
            <w:bookmarkEnd w:id="717"/>
            <w:bookmarkEnd w:id="718"/>
            <w:bookmarkEnd w:id="719"/>
            <w:bookmarkEnd w:id="720"/>
            <w:bookmarkEnd w:id="721"/>
            <w:bookmarkEnd w:id="722"/>
          </w:p>
        </w:tc>
        <w:tc>
          <w:tcPr>
            <w:tcW w:w="438" w:type="pct"/>
            <w:vAlign w:val="center"/>
          </w:tcPr>
          <w:p>
            <w:pPr>
              <w:widowControl/>
              <w:jc w:val="center"/>
              <w:rPr>
                <w:rFonts w:hint="default" w:ascii="Times New Roman" w:hAnsi="Times New Roman" w:cs="Times New Roman"/>
                <w:color w:val="auto"/>
                <w:kern w:val="0"/>
                <w:sz w:val="21"/>
              </w:rPr>
            </w:pPr>
            <w:bookmarkStart w:id="723" w:name="_Toc417839192"/>
            <w:bookmarkStart w:id="724" w:name="_Toc417842633"/>
            <w:bookmarkStart w:id="725" w:name="_Toc417887934"/>
            <w:bookmarkStart w:id="726" w:name="_Toc418091308"/>
            <w:bookmarkStart w:id="727" w:name="_Toc418170968"/>
            <w:bookmarkStart w:id="728" w:name="_Toc463377994"/>
            <w:r>
              <w:rPr>
                <w:rFonts w:hint="default" w:ascii="Times New Roman" w:hAnsi="Times New Roman" w:cs="Times New Roman"/>
                <w:color w:val="auto"/>
                <w:kern w:val="0"/>
                <w:sz w:val="21"/>
              </w:rPr>
              <w:t>190</w:t>
            </w:r>
            <w:bookmarkEnd w:id="723"/>
            <w:bookmarkEnd w:id="724"/>
            <w:bookmarkEnd w:id="725"/>
            <w:bookmarkEnd w:id="726"/>
            <w:bookmarkEnd w:id="727"/>
            <w:bookmarkEnd w:id="728"/>
          </w:p>
        </w:tc>
        <w:tc>
          <w:tcPr>
            <w:tcW w:w="438" w:type="pct"/>
            <w:vAlign w:val="center"/>
          </w:tcPr>
          <w:p>
            <w:pPr>
              <w:widowControl/>
              <w:jc w:val="center"/>
              <w:rPr>
                <w:rFonts w:hint="default" w:ascii="Times New Roman" w:hAnsi="Times New Roman" w:cs="Times New Roman"/>
                <w:color w:val="auto"/>
                <w:kern w:val="0"/>
                <w:sz w:val="21"/>
              </w:rPr>
            </w:pPr>
            <w:bookmarkStart w:id="729" w:name="_Toc417887935"/>
            <w:bookmarkStart w:id="730" w:name="_Toc418091309"/>
            <w:bookmarkStart w:id="731" w:name="_Toc418170969"/>
            <w:bookmarkStart w:id="732" w:name="_Toc463377995"/>
            <w:bookmarkStart w:id="733" w:name="_Toc417839193"/>
            <w:bookmarkStart w:id="734" w:name="_Toc417842634"/>
            <w:r>
              <w:rPr>
                <w:rFonts w:hint="default" w:ascii="Times New Roman" w:hAnsi="Times New Roman" w:cs="Times New Roman"/>
                <w:color w:val="auto"/>
                <w:kern w:val="0"/>
                <w:sz w:val="21"/>
              </w:rPr>
              <w:t>140</w:t>
            </w:r>
            <w:bookmarkEnd w:id="729"/>
            <w:bookmarkEnd w:id="730"/>
            <w:bookmarkEnd w:id="731"/>
            <w:bookmarkEnd w:id="732"/>
            <w:bookmarkEnd w:id="733"/>
            <w:bookmarkEnd w:id="73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rPr>
        <w:tc>
          <w:tcPr>
            <w:tcW w:w="270" w:type="pct"/>
            <w:vMerge w:val="restart"/>
            <w:vAlign w:val="center"/>
          </w:tcPr>
          <w:p>
            <w:pPr>
              <w:widowControl/>
              <w:jc w:val="center"/>
              <w:rPr>
                <w:rFonts w:hint="default" w:ascii="Times New Roman" w:hAnsi="Times New Roman" w:cs="Times New Roman"/>
                <w:color w:val="auto"/>
                <w:kern w:val="0"/>
                <w:sz w:val="21"/>
              </w:rPr>
            </w:pPr>
            <w:bookmarkStart w:id="735" w:name="_Toc417839194"/>
            <w:bookmarkStart w:id="736" w:name="_Toc417842635"/>
            <w:bookmarkStart w:id="737" w:name="_Toc417887936"/>
            <w:bookmarkStart w:id="738" w:name="_Toc418091310"/>
            <w:bookmarkStart w:id="739" w:name="_Toc418170970"/>
            <w:bookmarkStart w:id="740" w:name="_Toc463377996"/>
            <w:r>
              <w:rPr>
                <w:rFonts w:hint="default" w:ascii="Times New Roman" w:hAnsi="Times New Roman" w:cs="Times New Roman"/>
                <w:color w:val="auto"/>
                <w:kern w:val="0"/>
                <w:sz w:val="21"/>
              </w:rPr>
              <w:t>B</w:t>
            </w:r>
            <w:bookmarkEnd w:id="735"/>
            <w:bookmarkEnd w:id="736"/>
            <w:bookmarkEnd w:id="737"/>
            <w:bookmarkEnd w:id="738"/>
            <w:bookmarkEnd w:id="739"/>
            <w:bookmarkEnd w:id="740"/>
          </w:p>
        </w:tc>
        <w:tc>
          <w:tcPr>
            <w:tcW w:w="791" w:type="pct"/>
            <w:vAlign w:val="center"/>
          </w:tcPr>
          <w:p>
            <w:pPr>
              <w:widowControl/>
              <w:jc w:val="center"/>
              <w:rPr>
                <w:rFonts w:hint="default" w:ascii="Times New Roman" w:hAnsi="Times New Roman" w:cs="Times New Roman"/>
                <w:color w:val="auto"/>
                <w:kern w:val="0"/>
                <w:sz w:val="21"/>
              </w:rPr>
            </w:pPr>
            <w:bookmarkStart w:id="741" w:name="_Toc417839195"/>
            <w:bookmarkStart w:id="742" w:name="_Toc417842636"/>
            <w:bookmarkStart w:id="743" w:name="_Toc417887937"/>
            <w:bookmarkStart w:id="744" w:name="_Toc418091311"/>
            <w:bookmarkStart w:id="745" w:name="_Toc418170971"/>
            <w:bookmarkStart w:id="746" w:name="_Toc463377997"/>
            <w:r>
              <w:rPr>
                <w:rFonts w:hint="default" w:ascii="Times New Roman" w:hAnsi="Times New Roman" w:cs="Times New Roman"/>
                <w:color w:val="auto"/>
                <w:kern w:val="0"/>
                <w:sz w:val="21"/>
              </w:rPr>
              <w:t>＜2</w:t>
            </w:r>
            <w:bookmarkEnd w:id="741"/>
            <w:bookmarkEnd w:id="742"/>
            <w:bookmarkEnd w:id="743"/>
            <w:bookmarkEnd w:id="744"/>
            <w:bookmarkEnd w:id="745"/>
            <w:bookmarkEnd w:id="746"/>
          </w:p>
        </w:tc>
        <w:tc>
          <w:tcPr>
            <w:tcW w:w="1313" w:type="pct"/>
            <w:gridSpan w:val="3"/>
            <w:vAlign w:val="center"/>
          </w:tcPr>
          <w:p>
            <w:pPr>
              <w:widowControl/>
              <w:jc w:val="center"/>
              <w:rPr>
                <w:rFonts w:hint="default" w:ascii="Times New Roman" w:hAnsi="Times New Roman" w:cs="Times New Roman"/>
                <w:color w:val="auto"/>
                <w:kern w:val="0"/>
                <w:sz w:val="21"/>
              </w:rPr>
            </w:pPr>
            <w:bookmarkStart w:id="747" w:name="_Toc417839196"/>
            <w:bookmarkStart w:id="748" w:name="_Toc417842637"/>
            <w:bookmarkStart w:id="749" w:name="_Toc417887938"/>
            <w:bookmarkStart w:id="750" w:name="_Toc418091312"/>
            <w:bookmarkStart w:id="751" w:name="_Toc418170972"/>
            <w:bookmarkStart w:id="752" w:name="_Toc463377998"/>
            <w:r>
              <w:rPr>
                <w:rFonts w:hint="default" w:ascii="Times New Roman" w:hAnsi="Times New Roman" w:cs="Times New Roman"/>
                <w:color w:val="auto"/>
                <w:kern w:val="0"/>
                <w:sz w:val="21"/>
              </w:rPr>
              <w:t>0.01</w:t>
            </w:r>
            <w:bookmarkEnd w:id="747"/>
            <w:bookmarkEnd w:id="748"/>
            <w:bookmarkEnd w:id="749"/>
            <w:bookmarkEnd w:id="750"/>
            <w:bookmarkEnd w:id="751"/>
            <w:bookmarkEnd w:id="752"/>
          </w:p>
        </w:tc>
        <w:tc>
          <w:tcPr>
            <w:tcW w:w="1313" w:type="pct"/>
            <w:gridSpan w:val="3"/>
            <w:vAlign w:val="center"/>
          </w:tcPr>
          <w:p>
            <w:pPr>
              <w:widowControl/>
              <w:jc w:val="center"/>
              <w:rPr>
                <w:rFonts w:hint="default" w:ascii="Times New Roman" w:hAnsi="Times New Roman" w:cs="Times New Roman"/>
                <w:color w:val="auto"/>
                <w:kern w:val="0"/>
                <w:sz w:val="21"/>
              </w:rPr>
            </w:pPr>
            <w:bookmarkStart w:id="753" w:name="_Toc417839197"/>
            <w:bookmarkStart w:id="754" w:name="_Toc417842638"/>
            <w:bookmarkStart w:id="755" w:name="_Toc417887939"/>
            <w:bookmarkStart w:id="756" w:name="_Toc418091313"/>
            <w:bookmarkStart w:id="757" w:name="_Toc418170973"/>
            <w:bookmarkStart w:id="758" w:name="_Toc463377999"/>
            <w:r>
              <w:rPr>
                <w:rFonts w:hint="default" w:ascii="Times New Roman" w:hAnsi="Times New Roman" w:cs="Times New Roman"/>
                <w:color w:val="auto"/>
                <w:kern w:val="0"/>
                <w:sz w:val="21"/>
              </w:rPr>
              <w:t>0.015</w:t>
            </w:r>
            <w:bookmarkEnd w:id="753"/>
            <w:bookmarkEnd w:id="754"/>
            <w:bookmarkEnd w:id="755"/>
            <w:bookmarkEnd w:id="756"/>
            <w:bookmarkEnd w:id="757"/>
            <w:bookmarkEnd w:id="758"/>
          </w:p>
        </w:tc>
        <w:tc>
          <w:tcPr>
            <w:tcW w:w="1313" w:type="pct"/>
            <w:gridSpan w:val="3"/>
            <w:vAlign w:val="center"/>
          </w:tcPr>
          <w:p>
            <w:pPr>
              <w:widowControl/>
              <w:jc w:val="center"/>
              <w:rPr>
                <w:rFonts w:hint="default" w:ascii="Times New Roman" w:hAnsi="Times New Roman" w:cs="Times New Roman"/>
                <w:color w:val="auto"/>
                <w:kern w:val="0"/>
                <w:sz w:val="21"/>
              </w:rPr>
            </w:pPr>
            <w:bookmarkStart w:id="759" w:name="_Toc417839198"/>
            <w:bookmarkStart w:id="760" w:name="_Toc417842639"/>
            <w:bookmarkStart w:id="761" w:name="_Toc417887940"/>
            <w:bookmarkStart w:id="762" w:name="_Toc418091314"/>
            <w:bookmarkStart w:id="763" w:name="_Toc418170974"/>
            <w:bookmarkStart w:id="764" w:name="_Toc463378000"/>
            <w:r>
              <w:rPr>
                <w:rFonts w:hint="default" w:ascii="Times New Roman" w:hAnsi="Times New Roman" w:cs="Times New Roman"/>
                <w:color w:val="auto"/>
                <w:kern w:val="0"/>
                <w:sz w:val="21"/>
              </w:rPr>
              <w:t>0.015</w:t>
            </w:r>
            <w:bookmarkEnd w:id="759"/>
            <w:bookmarkEnd w:id="760"/>
            <w:bookmarkEnd w:id="761"/>
            <w:bookmarkEnd w:id="762"/>
            <w:bookmarkEnd w:id="763"/>
            <w:bookmarkEnd w:id="76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rPr>
        <w:tc>
          <w:tcPr>
            <w:tcW w:w="270" w:type="pct"/>
            <w:vMerge w:val="continue"/>
            <w:vAlign w:val="center"/>
          </w:tcPr>
          <w:p>
            <w:pPr>
              <w:widowControl/>
              <w:jc w:val="center"/>
              <w:rPr>
                <w:rFonts w:hint="default" w:ascii="Times New Roman" w:hAnsi="Times New Roman" w:cs="Times New Roman"/>
                <w:color w:val="auto"/>
                <w:kern w:val="0"/>
                <w:sz w:val="21"/>
              </w:rPr>
            </w:pPr>
          </w:p>
        </w:tc>
        <w:tc>
          <w:tcPr>
            <w:tcW w:w="791" w:type="pct"/>
            <w:vAlign w:val="center"/>
          </w:tcPr>
          <w:p>
            <w:pPr>
              <w:widowControl/>
              <w:jc w:val="center"/>
              <w:rPr>
                <w:rFonts w:hint="default" w:ascii="Times New Roman" w:hAnsi="Times New Roman" w:cs="Times New Roman"/>
                <w:color w:val="auto"/>
                <w:kern w:val="0"/>
                <w:sz w:val="21"/>
              </w:rPr>
            </w:pPr>
            <w:bookmarkStart w:id="765" w:name="_Toc417839199"/>
            <w:bookmarkStart w:id="766" w:name="_Toc417842640"/>
            <w:bookmarkStart w:id="767" w:name="_Toc417887941"/>
            <w:bookmarkStart w:id="768" w:name="_Toc418091315"/>
            <w:bookmarkStart w:id="769" w:name="_Toc418170975"/>
            <w:bookmarkStart w:id="770" w:name="_Toc463378001"/>
            <w:r>
              <w:rPr>
                <w:rFonts w:hint="default" w:ascii="Times New Roman" w:hAnsi="Times New Roman" w:cs="Times New Roman"/>
                <w:color w:val="auto"/>
                <w:kern w:val="0"/>
                <w:sz w:val="21"/>
              </w:rPr>
              <w:t>＞2</w:t>
            </w:r>
            <w:bookmarkEnd w:id="765"/>
            <w:bookmarkEnd w:id="766"/>
            <w:bookmarkEnd w:id="767"/>
            <w:bookmarkEnd w:id="768"/>
            <w:bookmarkEnd w:id="769"/>
            <w:bookmarkEnd w:id="770"/>
          </w:p>
        </w:tc>
        <w:tc>
          <w:tcPr>
            <w:tcW w:w="1313" w:type="pct"/>
            <w:gridSpan w:val="3"/>
            <w:vAlign w:val="center"/>
          </w:tcPr>
          <w:p>
            <w:pPr>
              <w:widowControl/>
              <w:jc w:val="center"/>
              <w:rPr>
                <w:rFonts w:hint="default" w:ascii="Times New Roman" w:hAnsi="Times New Roman" w:cs="Times New Roman"/>
                <w:color w:val="auto"/>
                <w:kern w:val="0"/>
                <w:sz w:val="21"/>
              </w:rPr>
            </w:pPr>
            <w:bookmarkStart w:id="771" w:name="_Toc417842641"/>
            <w:bookmarkStart w:id="772" w:name="_Toc417887942"/>
            <w:bookmarkStart w:id="773" w:name="_Toc418091316"/>
            <w:bookmarkStart w:id="774" w:name="_Toc418170976"/>
            <w:bookmarkStart w:id="775" w:name="_Toc463378002"/>
            <w:bookmarkStart w:id="776" w:name="_Toc417839200"/>
            <w:r>
              <w:rPr>
                <w:rFonts w:hint="default" w:ascii="Times New Roman" w:hAnsi="Times New Roman" w:cs="Times New Roman"/>
                <w:color w:val="auto"/>
                <w:kern w:val="0"/>
                <w:sz w:val="21"/>
              </w:rPr>
              <w:t>0.021</w:t>
            </w:r>
            <w:bookmarkEnd w:id="771"/>
            <w:bookmarkEnd w:id="772"/>
            <w:bookmarkEnd w:id="773"/>
            <w:bookmarkEnd w:id="774"/>
            <w:bookmarkEnd w:id="775"/>
            <w:bookmarkEnd w:id="776"/>
          </w:p>
        </w:tc>
        <w:tc>
          <w:tcPr>
            <w:tcW w:w="1313" w:type="pct"/>
            <w:gridSpan w:val="3"/>
            <w:vAlign w:val="center"/>
          </w:tcPr>
          <w:p>
            <w:pPr>
              <w:widowControl/>
              <w:jc w:val="center"/>
              <w:rPr>
                <w:rFonts w:hint="default" w:ascii="Times New Roman" w:hAnsi="Times New Roman" w:cs="Times New Roman"/>
                <w:color w:val="auto"/>
                <w:kern w:val="0"/>
                <w:sz w:val="21"/>
              </w:rPr>
            </w:pPr>
            <w:bookmarkStart w:id="777" w:name="_Toc417839201"/>
            <w:bookmarkStart w:id="778" w:name="_Toc417842642"/>
            <w:bookmarkStart w:id="779" w:name="_Toc417887943"/>
            <w:bookmarkStart w:id="780" w:name="_Toc418091317"/>
            <w:bookmarkStart w:id="781" w:name="_Toc418170977"/>
            <w:bookmarkStart w:id="782" w:name="_Toc463378003"/>
            <w:r>
              <w:rPr>
                <w:rFonts w:hint="default" w:ascii="Times New Roman" w:hAnsi="Times New Roman" w:cs="Times New Roman"/>
                <w:color w:val="auto"/>
                <w:kern w:val="0"/>
                <w:sz w:val="21"/>
              </w:rPr>
              <w:t>0.036</w:t>
            </w:r>
            <w:bookmarkEnd w:id="777"/>
            <w:bookmarkEnd w:id="778"/>
            <w:bookmarkEnd w:id="779"/>
            <w:bookmarkEnd w:id="780"/>
            <w:bookmarkEnd w:id="781"/>
            <w:bookmarkEnd w:id="782"/>
          </w:p>
        </w:tc>
        <w:tc>
          <w:tcPr>
            <w:tcW w:w="1313" w:type="pct"/>
            <w:gridSpan w:val="3"/>
            <w:vAlign w:val="center"/>
          </w:tcPr>
          <w:p>
            <w:pPr>
              <w:widowControl/>
              <w:jc w:val="center"/>
              <w:rPr>
                <w:rFonts w:hint="default" w:ascii="Times New Roman" w:hAnsi="Times New Roman" w:cs="Times New Roman"/>
                <w:color w:val="auto"/>
                <w:kern w:val="0"/>
                <w:sz w:val="21"/>
              </w:rPr>
            </w:pPr>
            <w:bookmarkStart w:id="783" w:name="_Toc417839202"/>
            <w:bookmarkStart w:id="784" w:name="_Toc417842643"/>
            <w:bookmarkStart w:id="785" w:name="_Toc417887944"/>
            <w:bookmarkStart w:id="786" w:name="_Toc418091318"/>
            <w:bookmarkStart w:id="787" w:name="_Toc418170978"/>
            <w:bookmarkStart w:id="788" w:name="_Toc463378004"/>
            <w:r>
              <w:rPr>
                <w:rFonts w:hint="default" w:ascii="Times New Roman" w:hAnsi="Times New Roman" w:cs="Times New Roman"/>
                <w:color w:val="auto"/>
                <w:kern w:val="0"/>
                <w:sz w:val="21"/>
              </w:rPr>
              <w:t>0.036</w:t>
            </w:r>
            <w:bookmarkEnd w:id="783"/>
            <w:bookmarkEnd w:id="784"/>
            <w:bookmarkEnd w:id="785"/>
            <w:bookmarkEnd w:id="786"/>
            <w:bookmarkEnd w:id="787"/>
            <w:bookmarkEnd w:id="78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rPr>
        <w:tc>
          <w:tcPr>
            <w:tcW w:w="270" w:type="pct"/>
            <w:vMerge w:val="restart"/>
            <w:vAlign w:val="center"/>
          </w:tcPr>
          <w:p>
            <w:pPr>
              <w:widowControl/>
              <w:jc w:val="center"/>
              <w:rPr>
                <w:rFonts w:hint="default" w:ascii="Times New Roman" w:hAnsi="Times New Roman" w:cs="Times New Roman"/>
                <w:color w:val="auto"/>
                <w:kern w:val="0"/>
                <w:sz w:val="21"/>
              </w:rPr>
            </w:pPr>
            <w:bookmarkStart w:id="789" w:name="_Toc417839203"/>
            <w:bookmarkStart w:id="790" w:name="_Toc417842644"/>
            <w:bookmarkStart w:id="791" w:name="_Toc417887945"/>
            <w:bookmarkStart w:id="792" w:name="_Toc418091319"/>
            <w:bookmarkStart w:id="793" w:name="_Toc418170979"/>
            <w:bookmarkStart w:id="794" w:name="_Toc463378005"/>
            <w:r>
              <w:rPr>
                <w:rFonts w:hint="default" w:ascii="Times New Roman" w:hAnsi="Times New Roman" w:cs="Times New Roman"/>
                <w:color w:val="auto"/>
                <w:kern w:val="0"/>
                <w:sz w:val="21"/>
              </w:rPr>
              <w:t>C</w:t>
            </w:r>
            <w:bookmarkEnd w:id="789"/>
            <w:bookmarkEnd w:id="790"/>
            <w:bookmarkEnd w:id="791"/>
            <w:bookmarkEnd w:id="792"/>
            <w:bookmarkEnd w:id="793"/>
            <w:bookmarkEnd w:id="794"/>
          </w:p>
        </w:tc>
        <w:tc>
          <w:tcPr>
            <w:tcW w:w="791" w:type="pct"/>
            <w:vAlign w:val="center"/>
          </w:tcPr>
          <w:p>
            <w:pPr>
              <w:widowControl/>
              <w:jc w:val="center"/>
              <w:rPr>
                <w:rFonts w:hint="default" w:ascii="Times New Roman" w:hAnsi="Times New Roman" w:cs="Times New Roman"/>
                <w:color w:val="auto"/>
                <w:kern w:val="0"/>
                <w:sz w:val="21"/>
              </w:rPr>
            </w:pPr>
            <w:bookmarkStart w:id="795" w:name="_Toc463378006"/>
            <w:bookmarkStart w:id="796" w:name="_Toc417839204"/>
            <w:bookmarkStart w:id="797" w:name="_Toc417842645"/>
            <w:bookmarkStart w:id="798" w:name="_Toc417887946"/>
            <w:bookmarkStart w:id="799" w:name="_Toc418091320"/>
            <w:bookmarkStart w:id="800" w:name="_Toc418170980"/>
            <w:r>
              <w:rPr>
                <w:rFonts w:hint="default" w:ascii="Times New Roman" w:hAnsi="Times New Roman" w:cs="Times New Roman"/>
                <w:color w:val="auto"/>
                <w:kern w:val="0"/>
                <w:sz w:val="21"/>
              </w:rPr>
              <w:t>＜2</w:t>
            </w:r>
            <w:bookmarkEnd w:id="795"/>
            <w:bookmarkEnd w:id="796"/>
            <w:bookmarkEnd w:id="797"/>
            <w:bookmarkEnd w:id="798"/>
            <w:bookmarkEnd w:id="799"/>
            <w:bookmarkEnd w:id="800"/>
          </w:p>
        </w:tc>
        <w:tc>
          <w:tcPr>
            <w:tcW w:w="1313" w:type="pct"/>
            <w:gridSpan w:val="3"/>
            <w:vAlign w:val="center"/>
          </w:tcPr>
          <w:p>
            <w:pPr>
              <w:widowControl/>
              <w:jc w:val="center"/>
              <w:rPr>
                <w:rFonts w:hint="default" w:ascii="Times New Roman" w:hAnsi="Times New Roman" w:cs="Times New Roman"/>
                <w:color w:val="auto"/>
                <w:kern w:val="0"/>
                <w:sz w:val="21"/>
              </w:rPr>
            </w:pPr>
            <w:bookmarkStart w:id="801" w:name="_Toc417839205"/>
            <w:bookmarkStart w:id="802" w:name="_Toc417842646"/>
            <w:bookmarkStart w:id="803" w:name="_Toc417887947"/>
            <w:bookmarkStart w:id="804" w:name="_Toc418091321"/>
            <w:bookmarkStart w:id="805" w:name="_Toc418170981"/>
            <w:bookmarkStart w:id="806" w:name="_Toc463378007"/>
            <w:r>
              <w:rPr>
                <w:rFonts w:hint="default" w:ascii="Times New Roman" w:hAnsi="Times New Roman" w:cs="Times New Roman"/>
                <w:color w:val="auto"/>
                <w:kern w:val="0"/>
                <w:sz w:val="21"/>
              </w:rPr>
              <w:t>1.85</w:t>
            </w:r>
            <w:bookmarkEnd w:id="801"/>
            <w:bookmarkEnd w:id="802"/>
            <w:bookmarkEnd w:id="803"/>
            <w:bookmarkEnd w:id="804"/>
            <w:bookmarkEnd w:id="805"/>
            <w:bookmarkEnd w:id="806"/>
          </w:p>
        </w:tc>
        <w:tc>
          <w:tcPr>
            <w:tcW w:w="1313" w:type="pct"/>
            <w:gridSpan w:val="3"/>
            <w:vAlign w:val="center"/>
          </w:tcPr>
          <w:p>
            <w:pPr>
              <w:widowControl/>
              <w:jc w:val="center"/>
              <w:rPr>
                <w:rFonts w:hint="default" w:ascii="Times New Roman" w:hAnsi="Times New Roman" w:cs="Times New Roman"/>
                <w:color w:val="auto"/>
                <w:kern w:val="0"/>
                <w:sz w:val="21"/>
              </w:rPr>
            </w:pPr>
            <w:bookmarkStart w:id="807" w:name="_Toc417839206"/>
            <w:bookmarkStart w:id="808" w:name="_Toc417842647"/>
            <w:bookmarkStart w:id="809" w:name="_Toc417887948"/>
            <w:bookmarkStart w:id="810" w:name="_Toc418091322"/>
            <w:bookmarkStart w:id="811" w:name="_Toc418170982"/>
            <w:bookmarkStart w:id="812" w:name="_Toc463378008"/>
            <w:r>
              <w:rPr>
                <w:rFonts w:hint="default" w:ascii="Times New Roman" w:hAnsi="Times New Roman" w:cs="Times New Roman"/>
                <w:color w:val="auto"/>
                <w:kern w:val="0"/>
                <w:sz w:val="21"/>
              </w:rPr>
              <w:t>1.79</w:t>
            </w:r>
            <w:bookmarkEnd w:id="807"/>
            <w:bookmarkEnd w:id="808"/>
            <w:bookmarkEnd w:id="809"/>
            <w:bookmarkEnd w:id="810"/>
            <w:bookmarkEnd w:id="811"/>
            <w:bookmarkEnd w:id="812"/>
          </w:p>
        </w:tc>
        <w:tc>
          <w:tcPr>
            <w:tcW w:w="1313" w:type="pct"/>
            <w:gridSpan w:val="3"/>
            <w:vAlign w:val="center"/>
          </w:tcPr>
          <w:p>
            <w:pPr>
              <w:widowControl/>
              <w:jc w:val="center"/>
              <w:rPr>
                <w:rFonts w:hint="default" w:ascii="Times New Roman" w:hAnsi="Times New Roman" w:cs="Times New Roman"/>
                <w:color w:val="auto"/>
                <w:kern w:val="0"/>
                <w:sz w:val="21"/>
              </w:rPr>
            </w:pPr>
            <w:bookmarkStart w:id="813" w:name="_Toc417839207"/>
            <w:bookmarkStart w:id="814" w:name="_Toc417842648"/>
            <w:bookmarkStart w:id="815" w:name="_Toc417887949"/>
            <w:bookmarkStart w:id="816" w:name="_Toc418091323"/>
            <w:bookmarkStart w:id="817" w:name="_Toc418170983"/>
            <w:bookmarkStart w:id="818" w:name="_Toc463378009"/>
            <w:r>
              <w:rPr>
                <w:rFonts w:hint="default" w:ascii="Times New Roman" w:hAnsi="Times New Roman" w:cs="Times New Roman"/>
                <w:color w:val="auto"/>
                <w:kern w:val="0"/>
                <w:sz w:val="21"/>
              </w:rPr>
              <w:t>1.79</w:t>
            </w:r>
            <w:bookmarkEnd w:id="813"/>
            <w:bookmarkEnd w:id="814"/>
            <w:bookmarkEnd w:id="815"/>
            <w:bookmarkEnd w:id="816"/>
            <w:bookmarkEnd w:id="817"/>
            <w:bookmarkEnd w:id="81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rPr>
        <w:tc>
          <w:tcPr>
            <w:tcW w:w="270" w:type="pct"/>
            <w:vMerge w:val="continue"/>
            <w:vAlign w:val="center"/>
          </w:tcPr>
          <w:p>
            <w:pPr>
              <w:widowControl/>
              <w:jc w:val="center"/>
              <w:rPr>
                <w:rFonts w:hint="default" w:ascii="Times New Roman" w:hAnsi="Times New Roman" w:cs="Times New Roman"/>
                <w:color w:val="auto"/>
                <w:kern w:val="0"/>
                <w:sz w:val="21"/>
              </w:rPr>
            </w:pPr>
          </w:p>
        </w:tc>
        <w:tc>
          <w:tcPr>
            <w:tcW w:w="791" w:type="pct"/>
            <w:vAlign w:val="center"/>
          </w:tcPr>
          <w:p>
            <w:pPr>
              <w:widowControl/>
              <w:jc w:val="center"/>
              <w:rPr>
                <w:rFonts w:hint="default" w:ascii="Times New Roman" w:hAnsi="Times New Roman" w:cs="Times New Roman"/>
                <w:color w:val="auto"/>
                <w:kern w:val="0"/>
                <w:sz w:val="21"/>
              </w:rPr>
            </w:pPr>
            <w:bookmarkStart w:id="819" w:name="_Toc417839208"/>
            <w:bookmarkStart w:id="820" w:name="_Toc417842649"/>
            <w:bookmarkStart w:id="821" w:name="_Toc417887950"/>
            <w:bookmarkStart w:id="822" w:name="_Toc418091324"/>
            <w:bookmarkStart w:id="823" w:name="_Toc418170984"/>
            <w:bookmarkStart w:id="824" w:name="_Toc463378010"/>
            <w:r>
              <w:rPr>
                <w:rFonts w:hint="default" w:ascii="Times New Roman" w:hAnsi="Times New Roman" w:cs="Times New Roman"/>
                <w:color w:val="auto"/>
                <w:kern w:val="0"/>
                <w:sz w:val="21"/>
              </w:rPr>
              <w:t>＞2</w:t>
            </w:r>
            <w:bookmarkEnd w:id="819"/>
            <w:bookmarkEnd w:id="820"/>
            <w:bookmarkEnd w:id="821"/>
            <w:bookmarkEnd w:id="822"/>
            <w:bookmarkEnd w:id="823"/>
            <w:bookmarkEnd w:id="824"/>
          </w:p>
        </w:tc>
        <w:tc>
          <w:tcPr>
            <w:tcW w:w="1313" w:type="pct"/>
            <w:gridSpan w:val="3"/>
            <w:vAlign w:val="center"/>
          </w:tcPr>
          <w:p>
            <w:pPr>
              <w:widowControl/>
              <w:jc w:val="center"/>
              <w:rPr>
                <w:rFonts w:hint="default" w:ascii="Times New Roman" w:hAnsi="Times New Roman" w:cs="Times New Roman"/>
                <w:color w:val="auto"/>
                <w:kern w:val="0"/>
                <w:sz w:val="21"/>
              </w:rPr>
            </w:pPr>
            <w:bookmarkStart w:id="825" w:name="_Toc417839209"/>
            <w:bookmarkStart w:id="826" w:name="_Toc417842650"/>
            <w:bookmarkStart w:id="827" w:name="_Toc417887951"/>
            <w:bookmarkStart w:id="828" w:name="_Toc418091325"/>
            <w:bookmarkStart w:id="829" w:name="_Toc418170985"/>
            <w:bookmarkStart w:id="830" w:name="_Toc463378011"/>
            <w:r>
              <w:rPr>
                <w:rFonts w:hint="default" w:ascii="Times New Roman" w:hAnsi="Times New Roman" w:cs="Times New Roman"/>
                <w:color w:val="auto"/>
                <w:kern w:val="0"/>
                <w:sz w:val="21"/>
              </w:rPr>
              <w:t>1.85</w:t>
            </w:r>
            <w:bookmarkEnd w:id="825"/>
            <w:bookmarkEnd w:id="826"/>
            <w:bookmarkEnd w:id="827"/>
            <w:bookmarkEnd w:id="828"/>
            <w:bookmarkEnd w:id="829"/>
            <w:bookmarkEnd w:id="830"/>
          </w:p>
        </w:tc>
        <w:tc>
          <w:tcPr>
            <w:tcW w:w="1313" w:type="pct"/>
            <w:gridSpan w:val="3"/>
            <w:vAlign w:val="center"/>
          </w:tcPr>
          <w:p>
            <w:pPr>
              <w:widowControl/>
              <w:jc w:val="center"/>
              <w:rPr>
                <w:rFonts w:hint="default" w:ascii="Times New Roman" w:hAnsi="Times New Roman" w:cs="Times New Roman"/>
                <w:color w:val="auto"/>
                <w:kern w:val="0"/>
                <w:sz w:val="21"/>
              </w:rPr>
            </w:pPr>
            <w:bookmarkStart w:id="831" w:name="_Toc417839210"/>
            <w:bookmarkStart w:id="832" w:name="_Toc417842651"/>
            <w:bookmarkStart w:id="833" w:name="_Toc417887952"/>
            <w:bookmarkStart w:id="834" w:name="_Toc418091326"/>
            <w:bookmarkStart w:id="835" w:name="_Toc418170986"/>
            <w:bookmarkStart w:id="836" w:name="_Toc463378012"/>
            <w:r>
              <w:rPr>
                <w:rFonts w:hint="default" w:ascii="Times New Roman" w:hAnsi="Times New Roman" w:cs="Times New Roman"/>
                <w:color w:val="auto"/>
                <w:kern w:val="0"/>
                <w:sz w:val="21"/>
              </w:rPr>
              <w:t>1.77</w:t>
            </w:r>
            <w:bookmarkEnd w:id="831"/>
            <w:bookmarkEnd w:id="832"/>
            <w:bookmarkEnd w:id="833"/>
            <w:bookmarkEnd w:id="834"/>
            <w:bookmarkEnd w:id="835"/>
            <w:bookmarkEnd w:id="836"/>
          </w:p>
        </w:tc>
        <w:tc>
          <w:tcPr>
            <w:tcW w:w="1313" w:type="pct"/>
            <w:gridSpan w:val="3"/>
            <w:vAlign w:val="center"/>
          </w:tcPr>
          <w:p>
            <w:pPr>
              <w:widowControl/>
              <w:jc w:val="center"/>
              <w:rPr>
                <w:rFonts w:hint="default" w:ascii="Times New Roman" w:hAnsi="Times New Roman" w:cs="Times New Roman"/>
                <w:color w:val="auto"/>
                <w:kern w:val="0"/>
                <w:sz w:val="21"/>
              </w:rPr>
            </w:pPr>
            <w:bookmarkStart w:id="837" w:name="_Toc417839211"/>
            <w:bookmarkStart w:id="838" w:name="_Toc417842652"/>
            <w:bookmarkStart w:id="839" w:name="_Toc417887953"/>
            <w:bookmarkStart w:id="840" w:name="_Toc418091327"/>
            <w:bookmarkStart w:id="841" w:name="_Toc418170987"/>
            <w:bookmarkStart w:id="842" w:name="_Toc463378013"/>
            <w:r>
              <w:rPr>
                <w:rFonts w:hint="default" w:ascii="Times New Roman" w:hAnsi="Times New Roman" w:cs="Times New Roman"/>
                <w:color w:val="auto"/>
                <w:kern w:val="0"/>
                <w:sz w:val="21"/>
              </w:rPr>
              <w:t>1.77</w:t>
            </w:r>
            <w:bookmarkEnd w:id="837"/>
            <w:bookmarkEnd w:id="838"/>
            <w:bookmarkEnd w:id="839"/>
            <w:bookmarkEnd w:id="840"/>
            <w:bookmarkEnd w:id="841"/>
            <w:bookmarkEnd w:id="84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rPr>
        <w:tc>
          <w:tcPr>
            <w:tcW w:w="270" w:type="pct"/>
            <w:vMerge w:val="restart"/>
            <w:vAlign w:val="center"/>
          </w:tcPr>
          <w:p>
            <w:pPr>
              <w:widowControl/>
              <w:jc w:val="center"/>
              <w:rPr>
                <w:rFonts w:hint="default" w:ascii="Times New Roman" w:hAnsi="Times New Roman" w:cs="Times New Roman"/>
                <w:color w:val="auto"/>
                <w:kern w:val="0"/>
                <w:sz w:val="21"/>
              </w:rPr>
            </w:pPr>
            <w:bookmarkStart w:id="843" w:name="_Toc417887954"/>
            <w:bookmarkStart w:id="844" w:name="_Toc418091328"/>
            <w:bookmarkStart w:id="845" w:name="_Toc418170988"/>
            <w:bookmarkStart w:id="846" w:name="_Toc463378014"/>
            <w:bookmarkStart w:id="847" w:name="_Toc417839212"/>
            <w:bookmarkStart w:id="848" w:name="_Toc417842653"/>
            <w:r>
              <w:rPr>
                <w:rFonts w:hint="default" w:ascii="Times New Roman" w:hAnsi="Times New Roman" w:cs="Times New Roman"/>
                <w:color w:val="auto"/>
                <w:kern w:val="0"/>
                <w:sz w:val="21"/>
              </w:rPr>
              <w:t>D</w:t>
            </w:r>
            <w:bookmarkEnd w:id="843"/>
            <w:bookmarkEnd w:id="844"/>
            <w:bookmarkEnd w:id="845"/>
            <w:bookmarkEnd w:id="846"/>
            <w:bookmarkEnd w:id="847"/>
            <w:bookmarkEnd w:id="848"/>
          </w:p>
        </w:tc>
        <w:tc>
          <w:tcPr>
            <w:tcW w:w="791" w:type="pct"/>
            <w:vAlign w:val="center"/>
          </w:tcPr>
          <w:p>
            <w:pPr>
              <w:widowControl/>
              <w:jc w:val="center"/>
              <w:rPr>
                <w:rFonts w:hint="default" w:ascii="Times New Roman" w:hAnsi="Times New Roman" w:cs="Times New Roman"/>
                <w:color w:val="auto"/>
                <w:kern w:val="0"/>
                <w:sz w:val="21"/>
              </w:rPr>
            </w:pPr>
            <w:bookmarkStart w:id="849" w:name="_Toc417839213"/>
            <w:bookmarkStart w:id="850" w:name="_Toc417842654"/>
            <w:bookmarkStart w:id="851" w:name="_Toc417887955"/>
            <w:bookmarkStart w:id="852" w:name="_Toc418091329"/>
            <w:bookmarkStart w:id="853" w:name="_Toc418170989"/>
            <w:bookmarkStart w:id="854" w:name="_Toc463378015"/>
            <w:r>
              <w:rPr>
                <w:rFonts w:hint="default" w:ascii="Times New Roman" w:hAnsi="Times New Roman" w:cs="Times New Roman"/>
                <w:color w:val="auto"/>
                <w:kern w:val="0"/>
                <w:sz w:val="21"/>
              </w:rPr>
              <w:t>＜2</w:t>
            </w:r>
            <w:bookmarkEnd w:id="849"/>
            <w:bookmarkEnd w:id="850"/>
            <w:bookmarkEnd w:id="851"/>
            <w:bookmarkEnd w:id="852"/>
            <w:bookmarkEnd w:id="853"/>
            <w:bookmarkEnd w:id="854"/>
          </w:p>
        </w:tc>
        <w:tc>
          <w:tcPr>
            <w:tcW w:w="1313" w:type="pct"/>
            <w:gridSpan w:val="3"/>
            <w:vAlign w:val="center"/>
          </w:tcPr>
          <w:p>
            <w:pPr>
              <w:widowControl/>
              <w:jc w:val="center"/>
              <w:rPr>
                <w:rFonts w:hint="default" w:ascii="Times New Roman" w:hAnsi="Times New Roman" w:cs="Times New Roman"/>
                <w:color w:val="auto"/>
                <w:kern w:val="0"/>
                <w:sz w:val="21"/>
              </w:rPr>
            </w:pPr>
            <w:bookmarkStart w:id="855" w:name="_Toc417842655"/>
            <w:bookmarkStart w:id="856" w:name="_Toc417887956"/>
            <w:bookmarkStart w:id="857" w:name="_Toc417839214"/>
            <w:bookmarkStart w:id="858" w:name="_Toc418091330"/>
            <w:bookmarkStart w:id="859" w:name="_Toc418170990"/>
            <w:bookmarkStart w:id="860" w:name="_Toc463378016"/>
            <w:r>
              <w:rPr>
                <w:rFonts w:hint="default" w:ascii="Times New Roman" w:hAnsi="Times New Roman" w:cs="Times New Roman"/>
                <w:color w:val="auto"/>
                <w:kern w:val="0"/>
                <w:sz w:val="21"/>
              </w:rPr>
              <w:t>0.78</w:t>
            </w:r>
            <w:bookmarkEnd w:id="855"/>
            <w:bookmarkEnd w:id="856"/>
            <w:bookmarkEnd w:id="857"/>
            <w:bookmarkEnd w:id="858"/>
            <w:bookmarkEnd w:id="859"/>
            <w:bookmarkEnd w:id="860"/>
          </w:p>
        </w:tc>
        <w:tc>
          <w:tcPr>
            <w:tcW w:w="1313" w:type="pct"/>
            <w:gridSpan w:val="3"/>
            <w:vAlign w:val="center"/>
          </w:tcPr>
          <w:p>
            <w:pPr>
              <w:widowControl/>
              <w:jc w:val="center"/>
              <w:rPr>
                <w:rFonts w:hint="default" w:ascii="Times New Roman" w:hAnsi="Times New Roman" w:cs="Times New Roman"/>
                <w:color w:val="auto"/>
                <w:kern w:val="0"/>
                <w:sz w:val="21"/>
              </w:rPr>
            </w:pPr>
            <w:bookmarkStart w:id="861" w:name="_Toc417839215"/>
            <w:bookmarkStart w:id="862" w:name="_Toc417842656"/>
            <w:bookmarkStart w:id="863" w:name="_Toc417887957"/>
            <w:bookmarkStart w:id="864" w:name="_Toc418091331"/>
            <w:bookmarkStart w:id="865" w:name="_Toc418170991"/>
            <w:bookmarkStart w:id="866" w:name="_Toc463378017"/>
            <w:r>
              <w:rPr>
                <w:rFonts w:hint="default" w:ascii="Times New Roman" w:hAnsi="Times New Roman" w:cs="Times New Roman"/>
                <w:color w:val="auto"/>
                <w:kern w:val="0"/>
                <w:sz w:val="21"/>
              </w:rPr>
              <w:t>0.78</w:t>
            </w:r>
            <w:bookmarkEnd w:id="861"/>
            <w:bookmarkEnd w:id="862"/>
            <w:bookmarkEnd w:id="863"/>
            <w:bookmarkEnd w:id="864"/>
            <w:bookmarkEnd w:id="865"/>
            <w:bookmarkEnd w:id="866"/>
          </w:p>
        </w:tc>
        <w:tc>
          <w:tcPr>
            <w:tcW w:w="1313" w:type="pct"/>
            <w:gridSpan w:val="3"/>
            <w:vAlign w:val="center"/>
          </w:tcPr>
          <w:p>
            <w:pPr>
              <w:widowControl/>
              <w:jc w:val="center"/>
              <w:rPr>
                <w:rFonts w:hint="default" w:ascii="Times New Roman" w:hAnsi="Times New Roman" w:cs="Times New Roman"/>
                <w:color w:val="auto"/>
                <w:kern w:val="0"/>
                <w:sz w:val="21"/>
              </w:rPr>
            </w:pPr>
            <w:bookmarkStart w:id="867" w:name="_Toc417839216"/>
            <w:bookmarkStart w:id="868" w:name="_Toc417842657"/>
            <w:bookmarkStart w:id="869" w:name="_Toc417887958"/>
            <w:bookmarkStart w:id="870" w:name="_Toc418091332"/>
            <w:bookmarkStart w:id="871" w:name="_Toc418170992"/>
            <w:bookmarkStart w:id="872" w:name="_Toc463378018"/>
            <w:r>
              <w:rPr>
                <w:rFonts w:hint="default" w:ascii="Times New Roman" w:hAnsi="Times New Roman" w:cs="Times New Roman"/>
                <w:color w:val="auto"/>
                <w:kern w:val="0"/>
                <w:sz w:val="21"/>
              </w:rPr>
              <w:t>0.57</w:t>
            </w:r>
            <w:bookmarkEnd w:id="867"/>
            <w:bookmarkEnd w:id="868"/>
            <w:bookmarkEnd w:id="869"/>
            <w:bookmarkEnd w:id="870"/>
            <w:bookmarkEnd w:id="871"/>
            <w:bookmarkEnd w:id="87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rPr>
        <w:tc>
          <w:tcPr>
            <w:tcW w:w="270" w:type="pct"/>
            <w:vMerge w:val="continue"/>
            <w:vAlign w:val="center"/>
          </w:tcPr>
          <w:p>
            <w:pPr>
              <w:widowControl/>
              <w:jc w:val="center"/>
              <w:rPr>
                <w:rFonts w:hint="default" w:ascii="Times New Roman" w:hAnsi="Times New Roman" w:cs="Times New Roman"/>
                <w:color w:val="auto"/>
                <w:kern w:val="0"/>
                <w:sz w:val="21"/>
              </w:rPr>
            </w:pPr>
          </w:p>
        </w:tc>
        <w:tc>
          <w:tcPr>
            <w:tcW w:w="791" w:type="pct"/>
            <w:vAlign w:val="center"/>
          </w:tcPr>
          <w:p>
            <w:pPr>
              <w:widowControl/>
              <w:jc w:val="center"/>
              <w:rPr>
                <w:rFonts w:hint="default" w:ascii="Times New Roman" w:hAnsi="Times New Roman" w:cs="Times New Roman"/>
                <w:color w:val="auto"/>
                <w:kern w:val="0"/>
                <w:sz w:val="21"/>
              </w:rPr>
            </w:pPr>
            <w:bookmarkStart w:id="873" w:name="_Toc418170993"/>
            <w:bookmarkStart w:id="874" w:name="_Toc418091333"/>
            <w:bookmarkStart w:id="875" w:name="_Toc417887959"/>
            <w:bookmarkStart w:id="876" w:name="_Toc417842658"/>
            <w:bookmarkStart w:id="877" w:name="_Toc417839217"/>
            <w:bookmarkStart w:id="878" w:name="_Toc463378019"/>
            <w:r>
              <w:rPr>
                <w:rFonts w:hint="default" w:ascii="Times New Roman" w:hAnsi="Times New Roman" w:cs="Times New Roman"/>
                <w:color w:val="auto"/>
                <w:kern w:val="0"/>
                <w:sz w:val="21"/>
              </w:rPr>
              <w:t>＞2</w:t>
            </w:r>
            <w:bookmarkEnd w:id="873"/>
            <w:bookmarkEnd w:id="874"/>
            <w:bookmarkEnd w:id="875"/>
            <w:bookmarkEnd w:id="876"/>
            <w:bookmarkEnd w:id="877"/>
            <w:bookmarkEnd w:id="878"/>
          </w:p>
        </w:tc>
        <w:tc>
          <w:tcPr>
            <w:tcW w:w="1313" w:type="pct"/>
            <w:gridSpan w:val="3"/>
            <w:vAlign w:val="center"/>
          </w:tcPr>
          <w:p>
            <w:pPr>
              <w:widowControl/>
              <w:jc w:val="center"/>
              <w:rPr>
                <w:rFonts w:hint="default" w:ascii="Times New Roman" w:hAnsi="Times New Roman" w:cs="Times New Roman"/>
                <w:color w:val="auto"/>
                <w:kern w:val="0"/>
                <w:sz w:val="21"/>
              </w:rPr>
            </w:pPr>
            <w:bookmarkStart w:id="879" w:name="_Toc417839218"/>
            <w:bookmarkStart w:id="880" w:name="_Toc417842659"/>
            <w:bookmarkStart w:id="881" w:name="_Toc417887960"/>
            <w:bookmarkStart w:id="882" w:name="_Toc418091334"/>
            <w:bookmarkStart w:id="883" w:name="_Toc418170994"/>
            <w:bookmarkStart w:id="884" w:name="_Toc463378020"/>
            <w:r>
              <w:rPr>
                <w:rFonts w:hint="default" w:ascii="Times New Roman" w:hAnsi="Times New Roman" w:cs="Times New Roman"/>
                <w:color w:val="auto"/>
                <w:kern w:val="0"/>
                <w:sz w:val="21"/>
              </w:rPr>
              <w:t>0.84</w:t>
            </w:r>
            <w:bookmarkEnd w:id="879"/>
            <w:bookmarkEnd w:id="880"/>
            <w:bookmarkEnd w:id="881"/>
            <w:bookmarkEnd w:id="882"/>
            <w:bookmarkEnd w:id="883"/>
            <w:bookmarkEnd w:id="884"/>
          </w:p>
        </w:tc>
        <w:tc>
          <w:tcPr>
            <w:tcW w:w="1313" w:type="pct"/>
            <w:gridSpan w:val="3"/>
            <w:vAlign w:val="center"/>
          </w:tcPr>
          <w:p>
            <w:pPr>
              <w:widowControl/>
              <w:jc w:val="center"/>
              <w:rPr>
                <w:rFonts w:hint="default" w:ascii="Times New Roman" w:hAnsi="Times New Roman" w:cs="Times New Roman"/>
                <w:color w:val="auto"/>
                <w:kern w:val="0"/>
                <w:sz w:val="21"/>
              </w:rPr>
            </w:pPr>
            <w:bookmarkStart w:id="885" w:name="_Toc417839219"/>
            <w:bookmarkStart w:id="886" w:name="_Toc417842660"/>
            <w:bookmarkStart w:id="887" w:name="_Toc417887961"/>
            <w:bookmarkStart w:id="888" w:name="_Toc418091335"/>
            <w:bookmarkStart w:id="889" w:name="_Toc418170995"/>
            <w:bookmarkStart w:id="890" w:name="_Toc463378021"/>
            <w:r>
              <w:rPr>
                <w:rFonts w:hint="default" w:ascii="Times New Roman" w:hAnsi="Times New Roman" w:cs="Times New Roman"/>
                <w:color w:val="auto"/>
                <w:kern w:val="0"/>
                <w:sz w:val="21"/>
              </w:rPr>
              <w:t>0.84</w:t>
            </w:r>
            <w:bookmarkEnd w:id="885"/>
            <w:bookmarkEnd w:id="886"/>
            <w:bookmarkEnd w:id="887"/>
            <w:bookmarkEnd w:id="888"/>
            <w:bookmarkEnd w:id="889"/>
            <w:bookmarkEnd w:id="890"/>
          </w:p>
        </w:tc>
        <w:tc>
          <w:tcPr>
            <w:tcW w:w="1313" w:type="pct"/>
            <w:gridSpan w:val="3"/>
            <w:vAlign w:val="center"/>
          </w:tcPr>
          <w:p>
            <w:pPr>
              <w:widowControl/>
              <w:jc w:val="center"/>
              <w:rPr>
                <w:rFonts w:hint="default" w:ascii="Times New Roman" w:hAnsi="Times New Roman" w:cs="Times New Roman"/>
                <w:color w:val="auto"/>
                <w:kern w:val="0"/>
                <w:sz w:val="21"/>
              </w:rPr>
            </w:pPr>
            <w:bookmarkStart w:id="891" w:name="_Toc417839220"/>
            <w:bookmarkStart w:id="892" w:name="_Toc417842661"/>
            <w:bookmarkStart w:id="893" w:name="_Toc417887962"/>
            <w:bookmarkStart w:id="894" w:name="_Toc418091336"/>
            <w:bookmarkStart w:id="895" w:name="_Toc418170996"/>
            <w:bookmarkStart w:id="896" w:name="_Toc463378022"/>
            <w:r>
              <w:rPr>
                <w:rFonts w:hint="default" w:ascii="Times New Roman" w:hAnsi="Times New Roman" w:cs="Times New Roman"/>
                <w:color w:val="auto"/>
                <w:kern w:val="0"/>
                <w:sz w:val="21"/>
              </w:rPr>
              <w:t>0.76</w:t>
            </w:r>
            <w:bookmarkEnd w:id="891"/>
            <w:bookmarkEnd w:id="892"/>
            <w:bookmarkEnd w:id="893"/>
            <w:bookmarkEnd w:id="894"/>
            <w:bookmarkEnd w:id="895"/>
            <w:bookmarkEnd w:id="896"/>
          </w:p>
        </w:tc>
      </w:tr>
    </w:tbl>
    <w:p>
      <w:pPr>
        <w:widowControl/>
        <w:spacing w:line="360" w:lineRule="auto"/>
        <w:ind w:firstLine="482"/>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注：表中工业企业大气污染源构成分为三类：</w:t>
      </w:r>
    </w:p>
    <w:p>
      <w:pPr>
        <w:widowControl/>
        <w:spacing w:line="360" w:lineRule="auto"/>
        <w:ind w:firstLine="482"/>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Ⅰ类：与无组织排放源共存的排放同种有害气体的排气筒的排放量，大于标准规定的允许排放量的三分之一者；</w:t>
      </w:r>
    </w:p>
    <w:p>
      <w:pPr>
        <w:widowControl/>
        <w:spacing w:line="360" w:lineRule="auto"/>
        <w:ind w:firstLine="482"/>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Ⅱ类：与无组织排放源共存的排放同种有害气体的排气筒的排放量，小于标准规定的允许排放量的三分之一，或者无排放同种大气污染物之排气筒共存，但无组织排放的有害物质的容许浓度是按急性反应指标确定者；</w:t>
      </w:r>
    </w:p>
    <w:p>
      <w:pPr>
        <w:widowControl/>
        <w:spacing w:line="360" w:lineRule="auto"/>
        <w:ind w:firstLine="482"/>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Ⅲ类：无排放同种有害气体的排气筒与无组织排放源共存，且无组织排放的有害物质的容许浓度是按慢性反应指标确定者。</w:t>
      </w:r>
    </w:p>
    <w:p>
      <w:pPr>
        <w:spacing w:line="360" w:lineRule="auto"/>
        <w:ind w:firstLine="482"/>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Q</w:t>
      </w:r>
      <w:r>
        <w:rPr>
          <w:rFonts w:hint="default" w:ascii="Times New Roman" w:hAnsi="Times New Roman" w:cs="Times New Roman"/>
          <w:color w:val="auto"/>
          <w:kern w:val="0"/>
          <w:sz w:val="21"/>
          <w:szCs w:val="21"/>
          <w:vertAlign w:val="subscript"/>
        </w:rPr>
        <w:t>c</w:t>
      </w:r>
      <w:r>
        <w:rPr>
          <w:rFonts w:hint="default" w:ascii="Times New Roman" w:hAnsi="Times New Roman" w:cs="Times New Roman"/>
          <w:color w:val="auto"/>
          <w:kern w:val="0"/>
          <w:sz w:val="21"/>
          <w:szCs w:val="21"/>
        </w:rPr>
        <w:t>取同类企业中生产工艺流程合理，生产管理与设备维护处于先进水平的工业企业，在正常运行时的无组织排放量。当按式计算的L值在两级之间时，取偏宽的一级。</w:t>
      </w:r>
    </w:p>
    <w:p>
      <w:pPr>
        <w:spacing w:line="360" w:lineRule="auto"/>
        <w:ind w:firstLine="482"/>
        <w:rPr>
          <w:rFonts w:hint="default" w:ascii="Times New Roman" w:hAnsi="Times New Roman" w:cs="Times New Roman"/>
          <w:color w:val="auto"/>
        </w:rPr>
      </w:pPr>
      <w:r>
        <w:rPr>
          <w:rFonts w:hint="default" w:ascii="Times New Roman" w:hAnsi="Times New Roman" w:cs="Times New Roman"/>
          <w:color w:val="auto"/>
        </w:rPr>
        <w:t>根据卫生防护距离的计算公式，近5年平均风速按2.03m/s。卫生防护距离计算系数：A=470；B=0.021；C=1.85；D=0.84。代入公式计算后得到卫生防护距离结果见下表：</w:t>
      </w:r>
    </w:p>
    <w:p>
      <w:pPr>
        <w:pStyle w:val="178"/>
        <w:keepNext w:val="0"/>
        <w:keepLines w:val="0"/>
        <w:pageBreakBefore w:val="0"/>
        <w:widowControl/>
        <w:numPr>
          <w:ilvl w:val="0"/>
          <w:numId w:val="7"/>
        </w:numPr>
        <w:kinsoku/>
        <w:wordWrap/>
        <w:overflowPunct/>
        <w:topLinePunct w:val="0"/>
        <w:autoSpaceDE/>
        <w:autoSpaceDN/>
        <w:bidi w:val="0"/>
        <w:adjustRightInd/>
        <w:snapToGrid/>
        <w:spacing w:beforeLines="0" w:afterLines="0" w:line="360" w:lineRule="auto"/>
        <w:ind w:left="0" w:leftChars="0" w:firstLine="0" w:firstLineChars="0"/>
        <w:textAlignment w:val="auto"/>
        <w:rPr>
          <w:rFonts w:hint="default" w:ascii="Times New Roman" w:hAnsi="Times New Roman" w:cs="Times New Roman"/>
          <w:b/>
          <w:color w:val="auto"/>
        </w:rPr>
      </w:pPr>
      <w:r>
        <w:rPr>
          <w:rFonts w:hint="default" w:ascii="Times New Roman" w:hAnsi="Times New Roman" w:cs="Times New Roman"/>
          <w:b/>
          <w:color w:val="auto"/>
        </w:rPr>
        <w:t>本项目卫生环境防护距离计算结果表</w:t>
      </w:r>
    </w:p>
    <w:tbl>
      <w:tblPr>
        <w:tblStyle w:val="44"/>
        <w:tblW w:w="482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7"/>
        <w:gridCol w:w="1310"/>
        <w:gridCol w:w="1292"/>
        <w:gridCol w:w="1249"/>
        <w:gridCol w:w="1195"/>
        <w:gridCol w:w="1326"/>
        <w:gridCol w:w="13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0" w:type="pct"/>
            <w:shd w:val="clear" w:color="auto" w:fill="auto"/>
            <w:noWrap/>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序号</w:t>
            </w:r>
          </w:p>
        </w:tc>
        <w:tc>
          <w:tcPr>
            <w:tcW w:w="796" w:type="pct"/>
            <w:shd w:val="clear" w:color="auto" w:fill="auto"/>
            <w:noWrap/>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污染源</w:t>
            </w:r>
          </w:p>
        </w:tc>
        <w:tc>
          <w:tcPr>
            <w:tcW w:w="785" w:type="pct"/>
            <w:shd w:val="clear" w:color="auto" w:fill="auto"/>
            <w:noWrap/>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污染物</w:t>
            </w:r>
          </w:p>
        </w:tc>
        <w:tc>
          <w:tcPr>
            <w:tcW w:w="759" w:type="pct"/>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Qc（kg/h）</w:t>
            </w:r>
          </w:p>
        </w:tc>
        <w:tc>
          <w:tcPr>
            <w:tcW w:w="726" w:type="pct"/>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Cm（mg/m</w:t>
            </w:r>
            <w:r>
              <w:rPr>
                <w:rFonts w:hint="default" w:ascii="Times New Roman" w:hAnsi="Times New Roman" w:cs="Times New Roman"/>
                <w:color w:val="auto"/>
                <w:kern w:val="0"/>
                <w:sz w:val="21"/>
                <w:szCs w:val="21"/>
                <w:vertAlign w:val="superscript"/>
              </w:rPr>
              <w:t>3</w:t>
            </w:r>
            <w:r>
              <w:rPr>
                <w:rFonts w:hint="default" w:ascii="Times New Roman" w:hAnsi="Times New Roman" w:cs="Times New Roman"/>
                <w:color w:val="auto"/>
                <w:kern w:val="0"/>
                <w:sz w:val="21"/>
                <w:szCs w:val="21"/>
              </w:rPr>
              <w:t>）</w:t>
            </w:r>
          </w:p>
        </w:tc>
        <w:tc>
          <w:tcPr>
            <w:tcW w:w="805" w:type="pct"/>
            <w:shd w:val="clear" w:color="auto" w:fill="auto"/>
            <w:noWrap/>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卫生防护距离计算值(m)</w:t>
            </w:r>
          </w:p>
        </w:tc>
        <w:tc>
          <w:tcPr>
            <w:tcW w:w="805" w:type="pct"/>
            <w:shd w:val="clear" w:color="auto" w:fill="auto"/>
            <w:noWrap/>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卫生防护距离(m)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0" w:type="pct"/>
            <w:shd w:val="clear" w:color="auto" w:fill="auto"/>
            <w:noWrap/>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w:t>
            </w:r>
          </w:p>
        </w:tc>
        <w:tc>
          <w:tcPr>
            <w:tcW w:w="796" w:type="pct"/>
            <w:shd w:val="clear" w:color="auto" w:fill="auto"/>
            <w:noWrap/>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切片车间</w:t>
            </w:r>
          </w:p>
        </w:tc>
        <w:tc>
          <w:tcPr>
            <w:tcW w:w="785" w:type="pct"/>
            <w:shd w:val="clear" w:color="auto" w:fill="auto"/>
            <w:noWrap/>
            <w:vAlign w:val="center"/>
          </w:tcPr>
          <w:p>
            <w:pPr>
              <w:widowControl/>
              <w:jc w:val="center"/>
              <w:rPr>
                <w:rFonts w:hint="default" w:ascii="Times New Roman" w:hAnsi="Times New Roman" w:eastAsia="宋体" w:cs="Times New Roman"/>
                <w:color w:val="auto"/>
                <w:kern w:val="0"/>
                <w:sz w:val="21"/>
                <w:szCs w:val="21"/>
                <w:lang w:eastAsia="zh-CN"/>
              </w:rPr>
            </w:pPr>
            <w:r>
              <w:rPr>
                <w:rFonts w:hint="default" w:ascii="Times New Roman" w:hAnsi="Times New Roman" w:cs="Times New Roman"/>
                <w:color w:val="auto"/>
                <w:kern w:val="0"/>
                <w:sz w:val="21"/>
                <w:szCs w:val="21"/>
                <w:lang w:eastAsia="zh-CN"/>
              </w:rPr>
              <w:t>非甲烷总烃</w:t>
            </w:r>
          </w:p>
        </w:tc>
        <w:tc>
          <w:tcPr>
            <w:tcW w:w="759" w:type="pct"/>
            <w:vAlign w:val="center"/>
          </w:tcPr>
          <w:p>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0.040</w:t>
            </w:r>
          </w:p>
        </w:tc>
        <w:tc>
          <w:tcPr>
            <w:tcW w:w="726" w:type="pct"/>
            <w:vAlign w:val="center"/>
          </w:tcPr>
          <w:p>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2.0</w:t>
            </w:r>
          </w:p>
        </w:tc>
        <w:tc>
          <w:tcPr>
            <w:tcW w:w="805" w:type="pct"/>
            <w:shd w:val="clear" w:color="auto" w:fill="auto"/>
            <w:noWrap/>
            <w:vAlign w:val="center"/>
          </w:tcPr>
          <w:p>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0.175</w:t>
            </w:r>
          </w:p>
        </w:tc>
        <w:tc>
          <w:tcPr>
            <w:tcW w:w="805" w:type="pct"/>
            <w:shd w:val="clear" w:color="auto" w:fill="auto"/>
            <w:noWrap/>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50</w:t>
            </w:r>
          </w:p>
        </w:tc>
      </w:tr>
    </w:tbl>
    <w:p>
      <w:pPr>
        <w:pStyle w:val="136"/>
        <w:spacing w:beforeLines="50" w:line="360" w:lineRule="auto"/>
        <w:ind w:firstLine="480" w:firstLineChars="200"/>
        <w:rPr>
          <w:rFonts w:hint="default" w:ascii="Times New Roman" w:hAnsi="Times New Roman" w:eastAsia="宋体" w:cs="Times New Roman"/>
          <w:color w:val="auto"/>
          <w:kern w:val="2"/>
        </w:rPr>
      </w:pPr>
      <w:r>
        <w:rPr>
          <w:rFonts w:hint="default" w:ascii="Times New Roman" w:hAnsi="Times New Roman" w:eastAsia="宋体" w:cs="Times New Roman"/>
          <w:color w:val="auto"/>
          <w:kern w:val="2"/>
        </w:rPr>
        <w:t>根据计算结果，切片车间设置50m的卫生防护距离</w:t>
      </w:r>
      <w:r>
        <w:rPr>
          <w:rFonts w:hint="default" w:ascii="Times New Roman" w:hAnsi="Times New Roman" w:eastAsia="宋体" w:cs="Times New Roman"/>
          <w:color w:val="auto"/>
          <w:kern w:val="2"/>
          <w:lang w:eastAsia="zh-CN"/>
        </w:rPr>
        <w:t>，</w:t>
      </w:r>
      <w:r>
        <w:rPr>
          <w:rFonts w:hint="default" w:ascii="Times New Roman" w:hAnsi="Times New Roman" w:eastAsia="宋体" w:cs="Times New Roman"/>
          <w:color w:val="auto"/>
          <w:kern w:val="2"/>
        </w:rPr>
        <w:t>根据项目卫生防护距离包络线图可知，项目卫生防护距离</w:t>
      </w:r>
      <w:r>
        <w:rPr>
          <w:rFonts w:hint="default" w:ascii="Times New Roman" w:hAnsi="Times New Roman" w:eastAsia="宋体" w:cs="Times New Roman"/>
          <w:color w:val="auto"/>
          <w:kern w:val="2"/>
          <w:lang w:eastAsia="zh-CN"/>
        </w:rPr>
        <w:t>内无居民点</w:t>
      </w:r>
      <w:r>
        <w:rPr>
          <w:rFonts w:hint="default" w:ascii="Times New Roman" w:hAnsi="Times New Roman" w:eastAsia="宋体" w:cs="Times New Roman"/>
          <w:color w:val="auto"/>
          <w:kern w:val="2"/>
        </w:rPr>
        <w:t>。</w:t>
      </w:r>
    </w:p>
    <w:p>
      <w:pPr>
        <w:pStyle w:val="136"/>
        <w:spacing w:line="360" w:lineRule="auto"/>
        <w:ind w:firstLine="480" w:firstLineChars="200"/>
        <w:rPr>
          <w:rFonts w:hint="default" w:ascii="Times New Roman" w:hAnsi="Times New Roman" w:eastAsia="宋体" w:cs="Times New Roman"/>
          <w:color w:val="FF0000"/>
          <w:kern w:val="2"/>
        </w:rPr>
      </w:pPr>
    </w:p>
    <w:p>
      <w:pPr>
        <w:pStyle w:val="136"/>
        <w:spacing w:line="360" w:lineRule="auto"/>
        <w:jc w:val="center"/>
        <w:rPr>
          <w:rFonts w:hint="default" w:ascii="Times New Roman" w:hAnsi="Times New Roman" w:eastAsia="宋体" w:cs="Times New Roman"/>
          <w:color w:val="FF0000"/>
          <w:kern w:val="2"/>
          <w:lang w:eastAsia="zh-CN"/>
        </w:rPr>
      </w:pPr>
      <w:r>
        <w:rPr>
          <w:rFonts w:hint="default" w:ascii="Times New Roman" w:hAnsi="Times New Roman" w:eastAsia="宋体" w:cs="Times New Roman"/>
          <w:color w:val="FF0000"/>
          <w:kern w:val="2"/>
          <w:lang w:eastAsia="zh-CN"/>
        </w:rPr>
        <w:drawing>
          <wp:inline distT="0" distB="0" distL="114300" distR="114300">
            <wp:extent cx="4871720" cy="6494780"/>
            <wp:effectExtent l="0" t="0" r="5080" b="1270"/>
            <wp:docPr id="4" name="图片 4" descr="3GW总平面布置图10-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GW总平面布置图10-Model"/>
                    <pic:cNvPicPr>
                      <a:picLocks noChangeAspect="1"/>
                    </pic:cNvPicPr>
                  </pic:nvPicPr>
                  <pic:blipFill>
                    <a:blip r:embed="rId29"/>
                    <a:stretch>
                      <a:fillRect/>
                    </a:stretch>
                  </pic:blipFill>
                  <pic:spPr>
                    <a:xfrm>
                      <a:off x="0" y="0"/>
                      <a:ext cx="4871720" cy="6494780"/>
                    </a:xfrm>
                    <a:prstGeom prst="rect">
                      <a:avLst/>
                    </a:prstGeom>
                  </pic:spPr>
                </pic:pic>
              </a:graphicData>
            </a:graphic>
          </wp:inline>
        </w:drawing>
      </w:r>
    </w:p>
    <w:p>
      <w:pPr>
        <w:pStyle w:val="136"/>
        <w:spacing w:line="360" w:lineRule="auto"/>
        <w:jc w:val="center"/>
        <w:rPr>
          <w:rFonts w:hint="default" w:ascii="Times New Roman" w:hAnsi="Times New Roman" w:eastAsia="宋体" w:cs="Times New Roman"/>
          <w:b/>
          <w:color w:val="auto"/>
          <w:kern w:val="2"/>
        </w:rPr>
      </w:pPr>
      <w:r>
        <w:rPr>
          <w:rFonts w:hint="default" w:ascii="Times New Roman" w:hAnsi="Times New Roman" w:eastAsia="宋体" w:cs="Times New Roman"/>
          <w:b/>
          <w:color w:val="auto"/>
          <w:kern w:val="2"/>
        </w:rPr>
        <w:t>图</w:t>
      </w:r>
      <w:r>
        <w:rPr>
          <w:rFonts w:hint="default" w:ascii="Times New Roman" w:hAnsi="Times New Roman" w:eastAsia="宋体" w:cs="Times New Roman"/>
          <w:b/>
          <w:color w:val="auto"/>
          <w:kern w:val="2"/>
          <w:lang w:val="en-US" w:eastAsia="zh-CN"/>
        </w:rPr>
        <w:t>5</w:t>
      </w:r>
      <w:r>
        <w:rPr>
          <w:rFonts w:hint="default" w:ascii="Times New Roman" w:hAnsi="Times New Roman" w:eastAsia="宋体" w:cs="Times New Roman"/>
          <w:b/>
          <w:color w:val="auto"/>
          <w:kern w:val="2"/>
        </w:rPr>
        <w:t>-1  项目卫生防护距离包络线图</w:t>
      </w:r>
    </w:p>
    <w:p>
      <w:pPr>
        <w:pStyle w:val="136"/>
        <w:spacing w:line="360" w:lineRule="auto"/>
        <w:ind w:firstLine="482" w:firstLineChars="200"/>
        <w:rPr>
          <w:rFonts w:hint="default" w:ascii="Times New Roman" w:hAnsi="Times New Roman" w:eastAsia="宋体" w:cs="Times New Roman"/>
          <w:b/>
          <w:color w:val="auto"/>
          <w:lang w:eastAsia="zh-CN"/>
        </w:rPr>
      </w:pPr>
      <w:bookmarkStart w:id="897" w:name="_Toc367990071"/>
      <w:r>
        <w:rPr>
          <w:rFonts w:hint="default" w:ascii="Times New Roman" w:hAnsi="Times New Roman" w:eastAsia="宋体" w:cs="Times New Roman"/>
          <w:b/>
          <w:color w:val="auto"/>
        </w:rPr>
        <w:t>7、</w:t>
      </w:r>
      <w:r>
        <w:rPr>
          <w:rFonts w:hint="default" w:ascii="Times New Roman" w:hAnsi="Times New Roman" w:eastAsia="宋体" w:cs="Times New Roman"/>
          <w:b/>
          <w:color w:val="auto"/>
          <w:lang w:eastAsia="zh-CN"/>
        </w:rPr>
        <w:t>排气筒高度设置合理性分析</w:t>
      </w:r>
    </w:p>
    <w:p>
      <w:pPr>
        <w:spacing w:line="360" w:lineRule="auto"/>
        <w:ind w:firstLine="480" w:firstLineChars="200"/>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本项目依托的排气筒有DA008（有机废气排放口）、DA009（粉尘排放口）、DA010（恶臭排放口），新建排气筒DA011（酸洗废气排放口），排气筒高度均为15m，根据《大气综合污染物排放标准》（GB16297-1996）7.1规定：“排气筒高度除须遵守表列排放速率标准值外，还应高出周围200m半径范围的建筑5m以上，不能达到该要求的排气筒，应按其高度对应的表列排放速率标准值严格50%执行”。项目DA008、DA009、DA011排气筒周边200m范围内最高建筑物为一期单晶车间，建筑物高度为23.4m，项目设置的排气筒高度低于一期单晶车间高度，根据建设单位意见，目前排气筒无法进行加高，因此按照《大气综合污染物排放标准》（GB16297-1996）要求，排放速率需严格50%执行。根据上文工程分析，本项目建成后，DA008、DA009、DA011排放污染物的排放浓度能满足排放标准要求，排放速率能满足严格50%执行的排放标准要求。DA010排气筒周边200m范围内最高建筑为切片车间，建筑高度为9m，排气筒高度能满足《恶臭污染物排放标准》（</w:t>
      </w:r>
      <w:r>
        <w:rPr>
          <w:rFonts w:hint="default" w:ascii="Times New Roman" w:hAnsi="Times New Roman" w:eastAsia="宋体" w:cs="Times New Roman"/>
          <w:color w:val="auto"/>
          <w:kern w:val="2"/>
          <w:lang w:val="en-US" w:eastAsia="zh-CN"/>
        </w:rPr>
        <w:t>GB14554-93</w:t>
      </w:r>
      <w:r>
        <w:rPr>
          <w:rFonts w:hint="default" w:ascii="Times New Roman" w:hAnsi="Times New Roman" w:cs="Times New Roman" w:eastAsiaTheme="minorEastAsia"/>
          <w:color w:val="auto"/>
          <w:lang w:val="en-US" w:eastAsia="zh-CN"/>
        </w:rPr>
        <w:t>）的要求。</w:t>
      </w:r>
    </w:p>
    <w:p>
      <w:pPr>
        <w:spacing w:line="360" w:lineRule="auto"/>
        <w:ind w:firstLine="480" w:firstLineChars="200"/>
        <w:rPr>
          <w:rFonts w:hint="default" w:ascii="Times New Roman" w:hAnsi="Times New Roman" w:cs="Times New Roman" w:eastAsiaTheme="minorEastAsia"/>
          <w:color w:val="auto"/>
          <w:lang w:val="en-US"/>
        </w:rPr>
      </w:pPr>
      <w:r>
        <w:rPr>
          <w:rFonts w:hint="default" w:ascii="Times New Roman" w:hAnsi="Times New Roman" w:cs="Times New Roman" w:eastAsiaTheme="minorEastAsia"/>
          <w:color w:val="auto"/>
          <w:lang w:val="en-US" w:eastAsia="zh-CN"/>
        </w:rPr>
        <w:t>综上所述，本项目排气筒高度设置合理。</w:t>
      </w:r>
    </w:p>
    <w:p>
      <w:pPr>
        <w:pStyle w:val="136"/>
        <w:spacing w:line="360" w:lineRule="auto"/>
        <w:ind w:firstLine="482" w:firstLineChars="200"/>
        <w:rPr>
          <w:rFonts w:hint="default" w:ascii="Times New Roman" w:hAnsi="Times New Roman" w:eastAsia="宋体" w:cs="Times New Roman"/>
          <w:b/>
          <w:color w:val="auto"/>
        </w:rPr>
      </w:pPr>
      <w:r>
        <w:rPr>
          <w:rFonts w:hint="default" w:ascii="Times New Roman" w:hAnsi="Times New Roman" w:eastAsia="宋体" w:cs="Times New Roman"/>
          <w:b/>
          <w:color w:val="auto"/>
          <w:lang w:val="en-US" w:eastAsia="zh-CN"/>
        </w:rPr>
        <w:t>8</w:t>
      </w:r>
      <w:r>
        <w:rPr>
          <w:rFonts w:hint="default" w:ascii="Times New Roman" w:hAnsi="Times New Roman" w:eastAsia="宋体" w:cs="Times New Roman"/>
          <w:b/>
          <w:color w:val="auto"/>
        </w:rPr>
        <w:t>、运营期大气环境影响评价结论</w:t>
      </w:r>
      <w:bookmarkEnd w:id="897"/>
    </w:p>
    <w:p>
      <w:pPr>
        <w:spacing w:line="360" w:lineRule="auto"/>
        <w:ind w:firstLine="480" w:firstLineChars="20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（1）本项目运营期</w:t>
      </w:r>
      <w:r>
        <w:rPr>
          <w:rFonts w:hint="default" w:ascii="Times New Roman" w:hAnsi="Times New Roman" w:cs="Times New Roman" w:eastAsiaTheme="minorEastAsia"/>
          <w:color w:val="auto"/>
          <w:lang w:eastAsia="zh-CN"/>
        </w:rPr>
        <w:t>产生的</w:t>
      </w:r>
      <w:r>
        <w:rPr>
          <w:rFonts w:hint="default" w:ascii="Times New Roman" w:hAnsi="Times New Roman" w:cs="Times New Roman" w:eastAsiaTheme="minorEastAsia"/>
          <w:color w:val="auto"/>
        </w:rPr>
        <w:t>大气污染物</w:t>
      </w:r>
      <w:r>
        <w:rPr>
          <w:rFonts w:hint="default" w:ascii="Times New Roman" w:hAnsi="Times New Roman" w:cs="Times New Roman" w:eastAsiaTheme="minorEastAsia"/>
          <w:color w:val="auto"/>
          <w:lang w:eastAsia="zh-CN"/>
        </w:rPr>
        <w:t>为非甲烷总烃、颗粒物、氟化物、氨、硫化氢。非甲烷总烃经活性炭吸附塔治理后通过</w:t>
      </w:r>
      <w:r>
        <w:rPr>
          <w:rFonts w:hint="default" w:ascii="Times New Roman" w:hAnsi="Times New Roman" w:cs="Times New Roman" w:eastAsiaTheme="minorEastAsia"/>
          <w:color w:val="auto"/>
          <w:lang w:val="en-US" w:eastAsia="zh-CN"/>
        </w:rPr>
        <w:t>15m排气筒DA008排放，颗粒物经文丘里洗涤塔治理后通过15m排气筒DA009排放，氟化物经四级氢氧化钠洗涤塔治理后通过15m排气筒DA011排放，</w:t>
      </w:r>
      <w:r>
        <w:rPr>
          <w:rFonts w:hint="default" w:ascii="Times New Roman" w:hAnsi="Times New Roman" w:cs="Times New Roman" w:eastAsiaTheme="minorEastAsia"/>
          <w:color w:val="auto"/>
        </w:rPr>
        <w:t>排放浓度能满足《大气综合排放标准》（GB16297-1996）</w:t>
      </w:r>
      <w:r>
        <w:rPr>
          <w:rFonts w:hint="default" w:ascii="Times New Roman" w:hAnsi="Times New Roman" w:cs="Times New Roman" w:eastAsiaTheme="minorEastAsia"/>
          <w:color w:val="auto"/>
          <w:lang w:val="en-US" w:eastAsia="zh-CN"/>
        </w:rPr>
        <w:t>15m</w:t>
      </w:r>
      <w:r>
        <w:rPr>
          <w:rFonts w:hint="default" w:ascii="Times New Roman" w:hAnsi="Times New Roman" w:cs="Times New Roman" w:eastAsiaTheme="minorEastAsia"/>
          <w:color w:val="auto"/>
        </w:rPr>
        <w:t>高排气筒的二级标准值</w:t>
      </w:r>
      <w:r>
        <w:rPr>
          <w:rFonts w:hint="default" w:ascii="Times New Roman" w:hAnsi="Times New Roman" w:cs="Times New Roman" w:eastAsiaTheme="minorEastAsia"/>
          <w:color w:val="auto"/>
          <w:lang w:eastAsia="zh-CN"/>
        </w:rPr>
        <w:t>，排放速率能满足</w:t>
      </w:r>
      <w:r>
        <w:rPr>
          <w:rFonts w:hint="default" w:ascii="Times New Roman" w:hAnsi="Times New Roman" w:cs="Times New Roman" w:eastAsiaTheme="minorEastAsia"/>
          <w:color w:val="auto"/>
        </w:rPr>
        <w:t>《大气综合排放标准》（GB16297-1996）</w:t>
      </w:r>
      <w:r>
        <w:rPr>
          <w:rFonts w:hint="default" w:ascii="Times New Roman" w:hAnsi="Times New Roman" w:cs="Times New Roman" w:eastAsiaTheme="minorEastAsia"/>
          <w:color w:val="auto"/>
          <w:lang w:val="en-US" w:eastAsia="zh-CN"/>
        </w:rPr>
        <w:t>15m</w:t>
      </w:r>
      <w:r>
        <w:rPr>
          <w:rFonts w:hint="default" w:ascii="Times New Roman" w:hAnsi="Times New Roman" w:cs="Times New Roman" w:eastAsiaTheme="minorEastAsia"/>
          <w:color w:val="auto"/>
        </w:rPr>
        <w:t>高排气筒的二级标准</w:t>
      </w:r>
      <w:r>
        <w:rPr>
          <w:rFonts w:hint="default" w:ascii="Times New Roman" w:hAnsi="Times New Roman" w:cs="Times New Roman" w:eastAsiaTheme="minorEastAsia"/>
          <w:color w:val="auto"/>
          <w:lang w:eastAsia="zh-CN"/>
        </w:rPr>
        <w:t>再严格</w:t>
      </w:r>
      <w:r>
        <w:rPr>
          <w:rFonts w:hint="default" w:ascii="Times New Roman" w:hAnsi="Times New Roman" w:cs="Times New Roman" w:eastAsiaTheme="minorEastAsia"/>
          <w:color w:val="auto"/>
          <w:lang w:val="en-US" w:eastAsia="zh-CN"/>
        </w:rPr>
        <w:t>50%的标准值</w:t>
      </w:r>
      <w:r>
        <w:rPr>
          <w:rFonts w:hint="default" w:ascii="Times New Roman" w:hAnsi="Times New Roman" w:cs="Times New Roman" w:eastAsiaTheme="minorEastAsia"/>
          <w:color w:val="auto"/>
        </w:rPr>
        <w:t>，大气污染物可实现达标排放</w:t>
      </w:r>
      <w:r>
        <w:rPr>
          <w:rFonts w:hint="default" w:ascii="Times New Roman" w:hAnsi="Times New Roman" w:cs="Times New Roman" w:eastAsiaTheme="minorEastAsia"/>
          <w:color w:val="auto"/>
          <w:lang w:eastAsia="zh-CN"/>
        </w:rPr>
        <w:t>；氨、硫化氢经除臭系统（碱吸收）治理后通过</w:t>
      </w:r>
      <w:r>
        <w:rPr>
          <w:rFonts w:hint="default" w:ascii="Times New Roman" w:hAnsi="Times New Roman" w:cs="Times New Roman" w:eastAsiaTheme="minorEastAsia"/>
          <w:color w:val="auto"/>
          <w:lang w:val="en-US" w:eastAsia="zh-CN"/>
        </w:rPr>
        <w:t>15m排气筒DA010排放，排放速率能满足《恶臭污染物排放标准》（</w:t>
      </w:r>
      <w:r>
        <w:rPr>
          <w:rFonts w:hint="default" w:ascii="Times New Roman" w:hAnsi="Times New Roman" w:eastAsia="宋体" w:cs="Times New Roman"/>
          <w:color w:val="auto"/>
          <w:kern w:val="2"/>
          <w:lang w:val="en-US" w:eastAsia="zh-CN"/>
        </w:rPr>
        <w:t>GB14554-93</w:t>
      </w:r>
      <w:r>
        <w:rPr>
          <w:rFonts w:hint="default" w:ascii="Times New Roman" w:hAnsi="Times New Roman" w:cs="Times New Roman" w:eastAsiaTheme="minorEastAsia"/>
          <w:color w:val="auto"/>
          <w:lang w:val="en-US" w:eastAsia="zh-CN"/>
        </w:rPr>
        <w:t>）15m</w:t>
      </w:r>
      <w:r>
        <w:rPr>
          <w:rFonts w:hint="default" w:ascii="Times New Roman" w:hAnsi="Times New Roman" w:cs="Times New Roman" w:eastAsiaTheme="minorEastAsia"/>
          <w:color w:val="auto"/>
        </w:rPr>
        <w:t>高排气筒</w:t>
      </w:r>
      <w:r>
        <w:rPr>
          <w:rFonts w:hint="default" w:ascii="Times New Roman" w:hAnsi="Times New Roman" w:cs="Times New Roman" w:eastAsiaTheme="minorEastAsia"/>
          <w:color w:val="auto"/>
          <w:lang w:eastAsia="zh-CN"/>
        </w:rPr>
        <w:t>的二级标准值</w:t>
      </w:r>
      <w:r>
        <w:rPr>
          <w:rFonts w:hint="default" w:ascii="Times New Roman" w:hAnsi="Times New Roman" w:cs="Times New Roman" w:eastAsiaTheme="minorEastAsia"/>
          <w:color w:val="auto"/>
          <w:lang w:val="en-US" w:eastAsia="zh-CN"/>
        </w:rPr>
        <w:t>要求</w:t>
      </w:r>
      <w:r>
        <w:rPr>
          <w:rFonts w:hint="default" w:ascii="Times New Roman" w:hAnsi="Times New Roman" w:cs="Times New Roman" w:eastAsiaTheme="minorEastAsia"/>
          <w:color w:val="auto"/>
        </w:rPr>
        <w:t>。</w:t>
      </w:r>
    </w:p>
    <w:p>
      <w:pPr>
        <w:spacing w:line="360" w:lineRule="auto"/>
        <w:ind w:firstLine="480" w:firstLineChars="20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（2）根据估算结果，</w:t>
      </w:r>
      <w:r>
        <w:rPr>
          <w:rFonts w:hint="default" w:ascii="Times New Roman" w:hAnsi="Times New Roman" w:cs="Times New Roman"/>
          <w:color w:val="auto"/>
        </w:rPr>
        <w:t>本项目</w:t>
      </w:r>
      <w:r>
        <w:rPr>
          <w:rFonts w:hint="default" w:ascii="Times New Roman" w:hAnsi="Times New Roman" w:cs="Times New Roman"/>
          <w:color w:val="auto"/>
          <w:lang w:eastAsia="zh-CN"/>
        </w:rPr>
        <w:t>叠加原有项目后</w:t>
      </w:r>
      <w:r>
        <w:rPr>
          <w:rFonts w:hint="default" w:ascii="Times New Roman" w:hAnsi="Times New Roman" w:cs="Times New Roman"/>
          <w:color w:val="auto"/>
        </w:rPr>
        <w:t>Pmax为</w:t>
      </w:r>
      <w:r>
        <w:rPr>
          <w:rFonts w:hint="default" w:ascii="Times New Roman" w:hAnsi="Times New Roman" w:cs="Times New Roman"/>
          <w:color w:val="auto"/>
          <w:lang w:val="en-US" w:eastAsia="zh-CN"/>
        </w:rPr>
        <w:t>5.9385</w:t>
      </w:r>
      <w:r>
        <w:rPr>
          <w:rFonts w:hint="default" w:ascii="Times New Roman" w:hAnsi="Times New Roman" w:cs="Times New Roman"/>
          <w:color w:val="auto"/>
        </w:rPr>
        <w:t>%，项目大气评价等级为二级评价，根据导则要求，二级评价不进行进一步预测评价。</w:t>
      </w:r>
      <w:r>
        <w:rPr>
          <w:rFonts w:hint="default" w:ascii="Times New Roman" w:hAnsi="Times New Roman" w:cs="Times New Roman"/>
          <w:color w:val="auto"/>
          <w:lang w:eastAsia="zh-CN"/>
        </w:rPr>
        <w:t>项目大气污染物治理后排放对环境空气的影响较小</w:t>
      </w:r>
      <w:r>
        <w:rPr>
          <w:rFonts w:hint="default" w:ascii="Times New Roman" w:hAnsi="Times New Roman" w:cs="Times New Roman"/>
          <w:color w:val="auto"/>
        </w:rPr>
        <w:t>。</w:t>
      </w:r>
    </w:p>
    <w:p>
      <w:pPr>
        <w:spacing w:line="360" w:lineRule="auto"/>
        <w:ind w:firstLine="480" w:firstLineChars="20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（3）</w:t>
      </w:r>
      <w:r>
        <w:rPr>
          <w:rFonts w:hint="default" w:ascii="Times New Roman" w:hAnsi="Times New Roman" w:cs="Times New Roman"/>
          <w:color w:val="auto"/>
        </w:rPr>
        <w:t>项目大气污染物厂界内外短期贡献浓度未超过环境质量浓度限值，不需设置大气防护距离；</w:t>
      </w:r>
      <w:r>
        <w:rPr>
          <w:rFonts w:hint="default" w:ascii="Times New Roman" w:hAnsi="Times New Roman" w:cs="Times New Roman" w:eastAsiaTheme="minorEastAsia"/>
          <w:color w:val="auto"/>
        </w:rPr>
        <w:t>项目的卫生防护距离为以项目切片车间边界外延50m的范围，该距离</w:t>
      </w:r>
      <w:r>
        <w:rPr>
          <w:rFonts w:hint="default" w:ascii="Times New Roman" w:hAnsi="Times New Roman" w:cs="Times New Roman" w:eastAsiaTheme="minorEastAsia"/>
          <w:color w:val="auto"/>
          <w:lang w:eastAsia="zh-CN"/>
        </w:rPr>
        <w:t>内没有居民点</w:t>
      </w:r>
      <w:r>
        <w:rPr>
          <w:rFonts w:hint="default" w:ascii="Times New Roman" w:hAnsi="Times New Roman" w:cs="Times New Roman" w:eastAsiaTheme="minorEastAsia"/>
          <w:color w:val="auto"/>
        </w:rPr>
        <w:t>。</w:t>
      </w:r>
    </w:p>
    <w:p>
      <w:pPr>
        <w:spacing w:line="360" w:lineRule="auto"/>
        <w:ind w:firstLine="480" w:firstLineChars="20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（4）从环境管理的角度出发，建设单位在日常生产中必须严格设备的管理、维护及检修，设专人负责，加强巡查，发生问题及时停厂维护，尽量避免非正常排放的发生，以免对周围环境造成大的影响。</w:t>
      </w:r>
    </w:p>
    <w:p>
      <w:pPr>
        <w:pStyle w:val="178"/>
        <w:keepNext w:val="0"/>
        <w:keepLines w:val="0"/>
        <w:pageBreakBefore w:val="0"/>
        <w:widowControl/>
        <w:numPr>
          <w:ilvl w:val="0"/>
          <w:numId w:val="7"/>
        </w:numPr>
        <w:kinsoku/>
        <w:wordWrap/>
        <w:overflowPunct/>
        <w:topLinePunct w:val="0"/>
        <w:autoSpaceDE/>
        <w:autoSpaceDN/>
        <w:bidi w:val="0"/>
        <w:adjustRightInd/>
        <w:snapToGrid/>
        <w:spacing w:beforeLines="0" w:afterLines="0" w:line="360" w:lineRule="auto"/>
        <w:ind w:left="0" w:leftChars="0" w:firstLine="0" w:firstLineChars="0"/>
        <w:textAlignment w:val="auto"/>
        <w:rPr>
          <w:rFonts w:hint="default" w:ascii="Times New Roman" w:hAnsi="Times New Roman" w:cs="Times New Roman"/>
          <w:b/>
          <w:bCs/>
          <w:color w:val="auto"/>
          <w:kern w:val="21"/>
        </w:rPr>
      </w:pPr>
      <w:r>
        <w:rPr>
          <w:rFonts w:hint="default" w:ascii="Times New Roman" w:hAnsi="Times New Roman" w:cs="Times New Roman"/>
          <w:b/>
          <w:bCs/>
          <w:color w:val="auto"/>
          <w:kern w:val="21"/>
        </w:rPr>
        <w:t>建设项目大气环境影响评价自查表</w:t>
      </w:r>
    </w:p>
    <w:tbl>
      <w:tblPr>
        <w:tblStyle w:val="44"/>
        <w:tblW w:w="93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4"/>
        <w:gridCol w:w="1751"/>
        <w:gridCol w:w="1352"/>
        <w:gridCol w:w="591"/>
        <w:gridCol w:w="356"/>
        <w:gridCol w:w="662"/>
        <w:gridCol w:w="151"/>
        <w:gridCol w:w="704"/>
        <w:gridCol w:w="825"/>
        <w:gridCol w:w="375"/>
        <w:gridCol w:w="490"/>
        <w:gridCol w:w="379"/>
        <w:gridCol w:w="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65" w:type="dxa"/>
            <w:gridSpan w:val="2"/>
            <w:vAlign w:val="center"/>
          </w:tcPr>
          <w:p>
            <w:pPr>
              <w:spacing w:line="240" w:lineRule="auto"/>
              <w:ind w:firstLine="0" w:firstLineChars="0"/>
              <w:jc w:val="center"/>
              <w:rPr>
                <w:rFonts w:hint="default" w:ascii="Times New Roman" w:hAnsi="Times New Roman" w:cs="Times New Roman"/>
                <w:color w:val="auto"/>
                <w:kern w:val="21"/>
                <w:sz w:val="21"/>
                <w:szCs w:val="21"/>
              </w:rPr>
            </w:pPr>
            <w:r>
              <w:rPr>
                <w:rFonts w:hint="default" w:ascii="Times New Roman" w:hAnsi="Times New Roman" w:cs="Times New Roman"/>
                <w:color w:val="auto"/>
                <w:kern w:val="21"/>
                <w:sz w:val="21"/>
                <w:szCs w:val="21"/>
              </w:rPr>
              <w:t>工作内容</w:t>
            </w:r>
          </w:p>
        </w:tc>
        <w:tc>
          <w:tcPr>
            <w:tcW w:w="6671" w:type="dxa"/>
            <w:gridSpan w:val="11"/>
            <w:vAlign w:val="center"/>
          </w:tcPr>
          <w:p>
            <w:pPr>
              <w:spacing w:line="240" w:lineRule="auto"/>
              <w:ind w:firstLine="0" w:firstLineChars="0"/>
              <w:jc w:val="center"/>
              <w:rPr>
                <w:rFonts w:hint="default" w:ascii="Times New Roman" w:hAnsi="Times New Roman" w:cs="Times New Roman"/>
                <w:color w:val="auto"/>
                <w:kern w:val="21"/>
                <w:sz w:val="21"/>
                <w:szCs w:val="21"/>
              </w:rPr>
            </w:pPr>
            <w:r>
              <w:rPr>
                <w:rFonts w:hint="default" w:ascii="Times New Roman" w:hAnsi="Times New Roman" w:cs="Times New Roman"/>
                <w:color w:val="auto"/>
                <w:kern w:val="21"/>
                <w:sz w:val="21"/>
                <w:szCs w:val="21"/>
              </w:rPr>
              <w:t>自查项目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4" w:type="dxa"/>
            <w:vMerge w:val="restart"/>
            <w:vAlign w:val="center"/>
          </w:tcPr>
          <w:p>
            <w:pPr>
              <w:spacing w:line="240" w:lineRule="auto"/>
              <w:ind w:firstLine="0" w:firstLineChars="0"/>
              <w:jc w:val="center"/>
              <w:rPr>
                <w:rFonts w:hint="default" w:ascii="Times New Roman" w:hAnsi="Times New Roman" w:cs="Times New Roman"/>
                <w:color w:val="auto"/>
                <w:kern w:val="21"/>
                <w:sz w:val="21"/>
                <w:szCs w:val="21"/>
              </w:rPr>
            </w:pPr>
            <w:r>
              <w:rPr>
                <w:rFonts w:hint="default" w:ascii="Times New Roman" w:hAnsi="Times New Roman" w:cs="Times New Roman"/>
                <w:color w:val="auto"/>
                <w:kern w:val="21"/>
                <w:sz w:val="21"/>
                <w:szCs w:val="21"/>
              </w:rPr>
              <w:t>评价等级与范围</w:t>
            </w:r>
          </w:p>
        </w:tc>
        <w:tc>
          <w:tcPr>
            <w:tcW w:w="1751" w:type="dxa"/>
            <w:vAlign w:val="center"/>
          </w:tcPr>
          <w:p>
            <w:pPr>
              <w:spacing w:line="240" w:lineRule="auto"/>
              <w:ind w:firstLine="0" w:firstLineChars="0"/>
              <w:jc w:val="center"/>
              <w:rPr>
                <w:rFonts w:hint="default" w:ascii="Times New Roman" w:hAnsi="Times New Roman" w:cs="Times New Roman"/>
                <w:color w:val="auto"/>
                <w:kern w:val="21"/>
                <w:sz w:val="21"/>
                <w:szCs w:val="21"/>
              </w:rPr>
            </w:pPr>
            <w:r>
              <w:rPr>
                <w:rFonts w:hint="default" w:ascii="Times New Roman" w:hAnsi="Times New Roman" w:cs="Times New Roman"/>
                <w:color w:val="auto"/>
                <w:kern w:val="21"/>
                <w:sz w:val="21"/>
                <w:szCs w:val="21"/>
              </w:rPr>
              <w:t>评价等级</w:t>
            </w:r>
          </w:p>
        </w:tc>
        <w:tc>
          <w:tcPr>
            <w:tcW w:w="2299" w:type="dxa"/>
            <w:gridSpan w:val="3"/>
            <w:vAlign w:val="center"/>
          </w:tcPr>
          <w:p>
            <w:pPr>
              <w:spacing w:line="240" w:lineRule="auto"/>
              <w:ind w:firstLine="0" w:firstLineChars="0"/>
              <w:jc w:val="center"/>
              <w:rPr>
                <w:rFonts w:hint="default" w:ascii="Times New Roman" w:hAnsi="Times New Roman" w:cs="Times New Roman"/>
                <w:color w:val="auto"/>
                <w:kern w:val="21"/>
                <w:sz w:val="21"/>
                <w:szCs w:val="21"/>
              </w:rPr>
            </w:pPr>
            <w:r>
              <w:rPr>
                <w:rFonts w:hint="default" w:ascii="Times New Roman" w:hAnsi="Times New Roman" w:cs="Times New Roman"/>
                <w:color w:val="auto"/>
                <w:kern w:val="21"/>
                <w:sz w:val="21"/>
                <w:szCs w:val="21"/>
              </w:rPr>
              <w:t>一级</w:t>
            </w:r>
            <w:r>
              <w:rPr>
                <w:rFonts w:hint="default" w:ascii="Times New Roman" w:hAnsi="Times New Roman" w:cs="Times New Roman"/>
                <w:color w:val="auto"/>
                <w:kern w:val="21"/>
                <w:sz w:val="21"/>
                <w:szCs w:val="21"/>
              </w:rPr>
              <w:sym w:font="Wingdings 2" w:char="00A3"/>
            </w:r>
          </w:p>
        </w:tc>
        <w:tc>
          <w:tcPr>
            <w:tcW w:w="1517" w:type="dxa"/>
            <w:gridSpan w:val="3"/>
            <w:vAlign w:val="center"/>
          </w:tcPr>
          <w:p>
            <w:pPr>
              <w:spacing w:line="240" w:lineRule="auto"/>
              <w:ind w:firstLine="0" w:firstLineChars="0"/>
              <w:jc w:val="center"/>
              <w:rPr>
                <w:rFonts w:hint="default" w:ascii="Times New Roman" w:hAnsi="Times New Roman" w:cs="Times New Roman"/>
                <w:color w:val="auto"/>
                <w:kern w:val="21"/>
                <w:sz w:val="21"/>
                <w:szCs w:val="21"/>
              </w:rPr>
            </w:pPr>
            <w:r>
              <w:rPr>
                <w:rFonts w:hint="default" w:ascii="Times New Roman" w:hAnsi="Times New Roman" w:cs="Times New Roman"/>
                <w:color w:val="auto"/>
                <w:kern w:val="21"/>
                <w:sz w:val="21"/>
                <w:szCs w:val="21"/>
              </w:rPr>
              <w:t>二级</w:t>
            </w:r>
            <w:r>
              <w:rPr>
                <w:rFonts w:hint="default" w:ascii="Times New Roman" w:hAnsi="Times New Roman" w:cs="Times New Roman"/>
                <w:color w:val="auto"/>
                <w:kern w:val="21"/>
                <w:sz w:val="21"/>
                <w:szCs w:val="21"/>
              </w:rPr>
              <w:sym w:font="Wingdings 2" w:char="0052"/>
            </w:r>
          </w:p>
        </w:tc>
        <w:tc>
          <w:tcPr>
            <w:tcW w:w="2855" w:type="dxa"/>
            <w:gridSpan w:val="5"/>
            <w:vAlign w:val="center"/>
          </w:tcPr>
          <w:p>
            <w:pPr>
              <w:spacing w:line="240" w:lineRule="auto"/>
              <w:ind w:firstLine="0" w:firstLineChars="0"/>
              <w:jc w:val="center"/>
              <w:rPr>
                <w:rFonts w:hint="default" w:ascii="Times New Roman" w:hAnsi="Times New Roman" w:cs="Times New Roman"/>
                <w:color w:val="auto"/>
                <w:kern w:val="21"/>
                <w:sz w:val="21"/>
                <w:szCs w:val="21"/>
              </w:rPr>
            </w:pPr>
            <w:r>
              <w:rPr>
                <w:rFonts w:hint="default" w:ascii="Times New Roman" w:hAnsi="Times New Roman" w:cs="Times New Roman"/>
                <w:color w:val="auto"/>
                <w:kern w:val="21"/>
                <w:sz w:val="21"/>
                <w:szCs w:val="21"/>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4" w:type="dxa"/>
            <w:vMerge w:val="continue"/>
            <w:vAlign w:val="center"/>
          </w:tcPr>
          <w:p>
            <w:pPr>
              <w:spacing w:line="240" w:lineRule="auto"/>
              <w:ind w:firstLine="0" w:firstLineChars="0"/>
              <w:jc w:val="center"/>
              <w:rPr>
                <w:rFonts w:hint="default" w:ascii="Times New Roman" w:hAnsi="Times New Roman" w:cs="Times New Roman"/>
                <w:color w:val="auto"/>
                <w:kern w:val="21"/>
                <w:sz w:val="21"/>
                <w:szCs w:val="21"/>
              </w:rPr>
            </w:pPr>
          </w:p>
        </w:tc>
        <w:tc>
          <w:tcPr>
            <w:tcW w:w="1751" w:type="dxa"/>
            <w:vAlign w:val="center"/>
          </w:tcPr>
          <w:p>
            <w:pPr>
              <w:spacing w:line="240" w:lineRule="auto"/>
              <w:ind w:firstLine="0" w:firstLineChars="0"/>
              <w:jc w:val="center"/>
              <w:rPr>
                <w:rFonts w:hint="default" w:ascii="Times New Roman" w:hAnsi="Times New Roman" w:cs="Times New Roman"/>
                <w:color w:val="auto"/>
                <w:kern w:val="21"/>
                <w:sz w:val="21"/>
                <w:szCs w:val="21"/>
              </w:rPr>
            </w:pPr>
            <w:r>
              <w:rPr>
                <w:rFonts w:hint="default" w:ascii="Times New Roman" w:hAnsi="Times New Roman" w:cs="Times New Roman"/>
                <w:color w:val="auto"/>
                <w:kern w:val="21"/>
                <w:sz w:val="21"/>
                <w:szCs w:val="21"/>
              </w:rPr>
              <w:t>评价范围</w:t>
            </w:r>
          </w:p>
        </w:tc>
        <w:tc>
          <w:tcPr>
            <w:tcW w:w="2299" w:type="dxa"/>
            <w:gridSpan w:val="3"/>
            <w:vAlign w:val="center"/>
          </w:tcPr>
          <w:p>
            <w:pPr>
              <w:spacing w:line="240" w:lineRule="auto"/>
              <w:ind w:firstLine="0" w:firstLineChars="0"/>
              <w:jc w:val="center"/>
              <w:rPr>
                <w:rFonts w:hint="default" w:ascii="Times New Roman" w:hAnsi="Times New Roman" w:cs="Times New Roman"/>
                <w:color w:val="auto"/>
                <w:kern w:val="21"/>
                <w:sz w:val="21"/>
                <w:szCs w:val="21"/>
              </w:rPr>
            </w:pPr>
            <w:r>
              <w:rPr>
                <w:rFonts w:hint="default" w:ascii="Times New Roman" w:hAnsi="Times New Roman" w:cs="Times New Roman"/>
                <w:color w:val="auto"/>
                <w:kern w:val="21"/>
                <w:sz w:val="21"/>
                <w:szCs w:val="21"/>
              </w:rPr>
              <w:t>边长=50km□</w:t>
            </w:r>
          </w:p>
        </w:tc>
        <w:tc>
          <w:tcPr>
            <w:tcW w:w="1517" w:type="dxa"/>
            <w:gridSpan w:val="3"/>
            <w:vAlign w:val="center"/>
          </w:tcPr>
          <w:p>
            <w:pPr>
              <w:spacing w:line="240" w:lineRule="auto"/>
              <w:ind w:firstLine="0" w:firstLineChars="0"/>
              <w:jc w:val="center"/>
              <w:rPr>
                <w:rFonts w:hint="default" w:ascii="Times New Roman" w:hAnsi="Times New Roman" w:cs="Times New Roman"/>
                <w:color w:val="auto"/>
                <w:kern w:val="21"/>
                <w:sz w:val="21"/>
                <w:szCs w:val="21"/>
              </w:rPr>
            </w:pPr>
            <w:r>
              <w:rPr>
                <w:rFonts w:hint="default" w:ascii="Times New Roman" w:hAnsi="Times New Roman" w:cs="Times New Roman"/>
                <w:color w:val="auto"/>
                <w:kern w:val="21"/>
                <w:sz w:val="21"/>
                <w:szCs w:val="21"/>
              </w:rPr>
              <w:t>边长5~50km□</w:t>
            </w:r>
          </w:p>
        </w:tc>
        <w:tc>
          <w:tcPr>
            <w:tcW w:w="2855" w:type="dxa"/>
            <w:gridSpan w:val="5"/>
            <w:vAlign w:val="center"/>
          </w:tcPr>
          <w:p>
            <w:pPr>
              <w:spacing w:line="240" w:lineRule="auto"/>
              <w:ind w:firstLine="0" w:firstLineChars="0"/>
              <w:jc w:val="center"/>
              <w:rPr>
                <w:rFonts w:hint="default" w:ascii="Times New Roman" w:hAnsi="Times New Roman" w:cs="Times New Roman"/>
                <w:color w:val="auto"/>
                <w:kern w:val="21"/>
                <w:sz w:val="21"/>
                <w:szCs w:val="21"/>
              </w:rPr>
            </w:pPr>
            <w:r>
              <w:rPr>
                <w:rFonts w:hint="default" w:ascii="Times New Roman" w:hAnsi="Times New Roman" w:cs="Times New Roman"/>
                <w:color w:val="auto"/>
                <w:kern w:val="21"/>
                <w:sz w:val="21"/>
                <w:szCs w:val="21"/>
              </w:rPr>
              <w:t>边长=5km</w:t>
            </w:r>
            <w:r>
              <w:rPr>
                <w:rFonts w:hint="default" w:ascii="Times New Roman" w:hAnsi="Times New Roman" w:cs="Times New Roman"/>
                <w:color w:val="auto"/>
                <w:kern w:val="21"/>
                <w:sz w:val="21"/>
                <w:szCs w:val="21"/>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4" w:type="dxa"/>
            <w:vMerge w:val="restart"/>
            <w:vAlign w:val="center"/>
          </w:tcPr>
          <w:p>
            <w:pPr>
              <w:spacing w:line="240" w:lineRule="auto"/>
              <w:ind w:firstLine="0" w:firstLineChars="0"/>
              <w:jc w:val="center"/>
              <w:rPr>
                <w:rFonts w:hint="default" w:ascii="Times New Roman" w:hAnsi="Times New Roman" w:cs="Times New Roman"/>
                <w:color w:val="auto"/>
                <w:kern w:val="21"/>
                <w:sz w:val="21"/>
                <w:szCs w:val="21"/>
              </w:rPr>
            </w:pPr>
            <w:r>
              <w:rPr>
                <w:rFonts w:hint="default" w:ascii="Times New Roman" w:hAnsi="Times New Roman" w:cs="Times New Roman"/>
                <w:color w:val="auto"/>
                <w:kern w:val="21"/>
                <w:sz w:val="21"/>
                <w:szCs w:val="21"/>
              </w:rPr>
              <w:t>评价因子</w:t>
            </w:r>
          </w:p>
        </w:tc>
        <w:tc>
          <w:tcPr>
            <w:tcW w:w="1751" w:type="dxa"/>
            <w:vAlign w:val="center"/>
          </w:tcPr>
          <w:p>
            <w:pPr>
              <w:spacing w:line="240" w:lineRule="auto"/>
              <w:ind w:firstLine="0" w:firstLineChars="0"/>
              <w:jc w:val="center"/>
              <w:rPr>
                <w:rFonts w:hint="default" w:ascii="Times New Roman" w:hAnsi="Times New Roman" w:cs="Times New Roman"/>
                <w:color w:val="auto"/>
                <w:kern w:val="21"/>
                <w:sz w:val="21"/>
                <w:szCs w:val="21"/>
              </w:rPr>
            </w:pPr>
            <w:r>
              <w:rPr>
                <w:rFonts w:hint="default" w:ascii="Times New Roman" w:hAnsi="Times New Roman" w:cs="Times New Roman"/>
                <w:color w:val="auto"/>
                <w:kern w:val="21"/>
                <w:sz w:val="21"/>
                <w:szCs w:val="21"/>
              </w:rPr>
              <w:t>SO</w:t>
            </w:r>
            <w:r>
              <w:rPr>
                <w:rFonts w:hint="default" w:ascii="Times New Roman" w:hAnsi="Times New Roman" w:cs="Times New Roman"/>
                <w:color w:val="auto"/>
                <w:kern w:val="21"/>
                <w:sz w:val="21"/>
                <w:szCs w:val="21"/>
                <w:vertAlign w:val="subscript"/>
              </w:rPr>
              <w:t>2</w:t>
            </w:r>
            <w:r>
              <w:rPr>
                <w:rFonts w:hint="default" w:ascii="Times New Roman" w:hAnsi="Times New Roman" w:cs="Times New Roman"/>
                <w:color w:val="auto"/>
                <w:kern w:val="21"/>
                <w:sz w:val="21"/>
                <w:szCs w:val="21"/>
              </w:rPr>
              <w:t>+NO</w:t>
            </w:r>
            <w:r>
              <w:rPr>
                <w:rFonts w:hint="default" w:ascii="Times New Roman" w:hAnsi="Times New Roman" w:cs="Times New Roman"/>
                <w:color w:val="auto"/>
                <w:kern w:val="21"/>
                <w:sz w:val="21"/>
                <w:szCs w:val="21"/>
                <w:vertAlign w:val="subscript"/>
              </w:rPr>
              <w:t>x</w:t>
            </w:r>
            <w:r>
              <w:rPr>
                <w:rFonts w:hint="default" w:ascii="Times New Roman" w:hAnsi="Times New Roman" w:cs="Times New Roman"/>
                <w:color w:val="auto"/>
                <w:kern w:val="21"/>
                <w:sz w:val="21"/>
                <w:szCs w:val="21"/>
              </w:rPr>
              <w:t>排放量</w:t>
            </w:r>
          </w:p>
        </w:tc>
        <w:tc>
          <w:tcPr>
            <w:tcW w:w="2299" w:type="dxa"/>
            <w:gridSpan w:val="3"/>
            <w:vAlign w:val="center"/>
          </w:tcPr>
          <w:p>
            <w:pPr>
              <w:spacing w:line="240" w:lineRule="auto"/>
              <w:ind w:firstLine="0" w:firstLineChars="0"/>
              <w:jc w:val="center"/>
              <w:rPr>
                <w:rFonts w:hint="default" w:ascii="Times New Roman" w:hAnsi="Times New Roman" w:cs="Times New Roman"/>
                <w:color w:val="auto"/>
                <w:kern w:val="21"/>
                <w:sz w:val="21"/>
                <w:szCs w:val="21"/>
              </w:rPr>
            </w:pPr>
            <w:r>
              <w:rPr>
                <w:rFonts w:hint="default" w:ascii="Times New Roman" w:hAnsi="Times New Roman" w:cs="Times New Roman"/>
                <w:color w:val="auto"/>
                <w:kern w:val="21"/>
                <w:sz w:val="21"/>
                <w:szCs w:val="21"/>
              </w:rPr>
              <w:t>≥2000t/a□</w:t>
            </w:r>
          </w:p>
        </w:tc>
        <w:tc>
          <w:tcPr>
            <w:tcW w:w="1517" w:type="dxa"/>
            <w:gridSpan w:val="3"/>
            <w:vAlign w:val="center"/>
          </w:tcPr>
          <w:p>
            <w:pPr>
              <w:spacing w:line="240" w:lineRule="auto"/>
              <w:ind w:firstLine="0" w:firstLineChars="0"/>
              <w:jc w:val="center"/>
              <w:rPr>
                <w:rFonts w:hint="default" w:ascii="Times New Roman" w:hAnsi="Times New Roman" w:cs="Times New Roman"/>
                <w:color w:val="auto"/>
                <w:kern w:val="21"/>
                <w:sz w:val="21"/>
                <w:szCs w:val="21"/>
              </w:rPr>
            </w:pPr>
            <w:r>
              <w:rPr>
                <w:rFonts w:hint="default" w:ascii="Times New Roman" w:hAnsi="Times New Roman" w:cs="Times New Roman"/>
                <w:color w:val="auto"/>
                <w:kern w:val="21"/>
                <w:sz w:val="21"/>
                <w:szCs w:val="21"/>
              </w:rPr>
              <w:t>500~2000t/a□</w:t>
            </w:r>
          </w:p>
        </w:tc>
        <w:tc>
          <w:tcPr>
            <w:tcW w:w="2855" w:type="dxa"/>
            <w:gridSpan w:val="5"/>
            <w:vAlign w:val="center"/>
          </w:tcPr>
          <w:p>
            <w:pPr>
              <w:spacing w:line="240" w:lineRule="auto"/>
              <w:ind w:firstLine="0" w:firstLineChars="0"/>
              <w:jc w:val="center"/>
              <w:rPr>
                <w:rFonts w:hint="default" w:ascii="Times New Roman" w:hAnsi="Times New Roman" w:cs="Times New Roman"/>
                <w:color w:val="auto"/>
                <w:kern w:val="21"/>
                <w:sz w:val="21"/>
                <w:szCs w:val="21"/>
              </w:rPr>
            </w:pPr>
            <w:r>
              <w:rPr>
                <w:rFonts w:hint="default" w:ascii="Times New Roman" w:hAnsi="Times New Roman" w:cs="Times New Roman"/>
                <w:color w:val="auto"/>
                <w:kern w:val="21"/>
                <w:sz w:val="21"/>
                <w:szCs w:val="21"/>
              </w:rPr>
              <w:t>≤500t/a</w:t>
            </w:r>
            <w:r>
              <w:rPr>
                <w:rFonts w:hint="default" w:ascii="Times New Roman" w:hAnsi="Times New Roman" w:cs="Times New Roman"/>
                <w:color w:val="auto"/>
                <w:kern w:val="21"/>
                <w:sz w:val="21"/>
                <w:szCs w:val="21"/>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4" w:type="dxa"/>
            <w:vMerge w:val="continue"/>
            <w:vAlign w:val="center"/>
          </w:tcPr>
          <w:p>
            <w:pPr>
              <w:spacing w:line="240" w:lineRule="auto"/>
              <w:ind w:firstLine="0" w:firstLineChars="0"/>
              <w:jc w:val="center"/>
              <w:rPr>
                <w:rFonts w:hint="default" w:ascii="Times New Roman" w:hAnsi="Times New Roman" w:cs="Times New Roman"/>
                <w:color w:val="auto"/>
                <w:kern w:val="21"/>
                <w:sz w:val="21"/>
                <w:szCs w:val="21"/>
              </w:rPr>
            </w:pPr>
          </w:p>
        </w:tc>
        <w:tc>
          <w:tcPr>
            <w:tcW w:w="1751" w:type="dxa"/>
            <w:vAlign w:val="center"/>
          </w:tcPr>
          <w:p>
            <w:pPr>
              <w:spacing w:line="240" w:lineRule="auto"/>
              <w:ind w:firstLine="0" w:firstLineChars="0"/>
              <w:jc w:val="center"/>
              <w:rPr>
                <w:rFonts w:hint="default" w:ascii="Times New Roman" w:hAnsi="Times New Roman" w:cs="Times New Roman"/>
                <w:color w:val="auto"/>
                <w:kern w:val="21"/>
                <w:sz w:val="21"/>
                <w:szCs w:val="21"/>
              </w:rPr>
            </w:pPr>
            <w:r>
              <w:rPr>
                <w:rFonts w:hint="default" w:ascii="Times New Roman" w:hAnsi="Times New Roman" w:cs="Times New Roman"/>
                <w:color w:val="auto"/>
                <w:kern w:val="21"/>
                <w:sz w:val="21"/>
                <w:szCs w:val="21"/>
              </w:rPr>
              <w:t>评价因子</w:t>
            </w:r>
          </w:p>
        </w:tc>
        <w:tc>
          <w:tcPr>
            <w:tcW w:w="3816" w:type="dxa"/>
            <w:gridSpan w:val="6"/>
            <w:vAlign w:val="center"/>
          </w:tcPr>
          <w:p>
            <w:pPr>
              <w:spacing w:line="240" w:lineRule="auto"/>
              <w:ind w:firstLine="0" w:firstLineChars="0"/>
              <w:rPr>
                <w:rFonts w:hint="default" w:ascii="Times New Roman" w:hAnsi="Times New Roman" w:cs="Times New Roman"/>
                <w:color w:val="auto"/>
                <w:kern w:val="21"/>
                <w:sz w:val="21"/>
                <w:szCs w:val="21"/>
              </w:rPr>
            </w:pPr>
            <w:r>
              <w:rPr>
                <w:rFonts w:hint="default" w:ascii="Times New Roman" w:hAnsi="Times New Roman" w:cs="Times New Roman"/>
                <w:color w:val="auto"/>
                <w:kern w:val="21"/>
                <w:sz w:val="21"/>
                <w:szCs w:val="21"/>
              </w:rPr>
              <w:t>基本污染物（</w:t>
            </w:r>
            <w:r>
              <w:rPr>
                <w:rFonts w:hint="default" w:ascii="Times New Roman" w:hAnsi="Times New Roman" w:cs="Times New Roman"/>
                <w:color w:val="auto"/>
                <w:kern w:val="21"/>
                <w:sz w:val="21"/>
                <w:szCs w:val="21"/>
                <w:lang w:bidi="ar"/>
              </w:rPr>
              <w:t>PM</w:t>
            </w:r>
            <w:r>
              <w:rPr>
                <w:rFonts w:hint="default" w:ascii="Times New Roman" w:hAnsi="Times New Roman" w:cs="Times New Roman"/>
                <w:color w:val="auto"/>
                <w:kern w:val="21"/>
                <w:sz w:val="13"/>
                <w:szCs w:val="13"/>
                <w:lang w:bidi="ar"/>
              </w:rPr>
              <w:t>10</w:t>
            </w:r>
            <w:r>
              <w:rPr>
                <w:rFonts w:hint="default" w:ascii="Times New Roman" w:hAnsi="Times New Roman" w:cs="Times New Roman"/>
                <w:color w:val="auto"/>
                <w:kern w:val="21"/>
                <w:sz w:val="21"/>
                <w:szCs w:val="21"/>
                <w:lang w:bidi="ar"/>
              </w:rPr>
              <w:t>、PM</w:t>
            </w:r>
            <w:r>
              <w:rPr>
                <w:rFonts w:hint="default" w:ascii="Times New Roman" w:hAnsi="Times New Roman" w:cs="Times New Roman"/>
                <w:color w:val="auto"/>
                <w:kern w:val="21"/>
                <w:sz w:val="13"/>
                <w:szCs w:val="13"/>
                <w:lang w:bidi="ar"/>
              </w:rPr>
              <w:t>2.5</w:t>
            </w:r>
            <w:r>
              <w:rPr>
                <w:rFonts w:hint="default" w:ascii="Times New Roman" w:hAnsi="Times New Roman" w:cs="Times New Roman"/>
                <w:color w:val="auto"/>
                <w:kern w:val="21"/>
                <w:sz w:val="21"/>
                <w:szCs w:val="21"/>
                <w:lang w:bidi="ar"/>
              </w:rPr>
              <w:t>、SO</w:t>
            </w:r>
            <w:r>
              <w:rPr>
                <w:rFonts w:hint="default" w:ascii="Times New Roman" w:hAnsi="Times New Roman" w:cs="Times New Roman"/>
                <w:color w:val="auto"/>
                <w:kern w:val="21"/>
                <w:sz w:val="13"/>
                <w:szCs w:val="13"/>
                <w:lang w:bidi="ar"/>
              </w:rPr>
              <w:t>2</w:t>
            </w:r>
            <w:r>
              <w:rPr>
                <w:rFonts w:hint="default" w:ascii="Times New Roman" w:hAnsi="Times New Roman" w:cs="Times New Roman"/>
                <w:color w:val="auto"/>
                <w:kern w:val="21"/>
                <w:sz w:val="21"/>
                <w:szCs w:val="21"/>
                <w:lang w:bidi="ar"/>
              </w:rPr>
              <w:t>、NO</w:t>
            </w:r>
            <w:r>
              <w:rPr>
                <w:rFonts w:hint="default" w:ascii="Times New Roman" w:hAnsi="Times New Roman" w:cs="Times New Roman"/>
                <w:color w:val="auto"/>
                <w:kern w:val="21"/>
                <w:sz w:val="13"/>
                <w:szCs w:val="13"/>
                <w:lang w:bidi="ar"/>
              </w:rPr>
              <w:t>2</w:t>
            </w:r>
            <w:r>
              <w:rPr>
                <w:rFonts w:hint="default" w:ascii="Times New Roman" w:hAnsi="Times New Roman" w:cs="Times New Roman"/>
                <w:color w:val="auto"/>
                <w:kern w:val="21"/>
                <w:sz w:val="21"/>
                <w:szCs w:val="21"/>
                <w:lang w:bidi="ar"/>
              </w:rPr>
              <w:t>、CO、O</w:t>
            </w:r>
            <w:r>
              <w:rPr>
                <w:rFonts w:hint="default" w:ascii="Times New Roman" w:hAnsi="Times New Roman" w:cs="Times New Roman"/>
                <w:color w:val="auto"/>
                <w:kern w:val="21"/>
                <w:sz w:val="13"/>
                <w:szCs w:val="13"/>
                <w:lang w:val="en-US" w:eastAsia="zh-CN" w:bidi="ar"/>
              </w:rPr>
              <w:t>3</w:t>
            </w:r>
            <w:r>
              <w:rPr>
                <w:rFonts w:hint="default" w:ascii="Times New Roman" w:hAnsi="Times New Roman" w:cs="Times New Roman"/>
                <w:color w:val="auto"/>
                <w:kern w:val="21"/>
                <w:sz w:val="21"/>
                <w:szCs w:val="21"/>
              </w:rPr>
              <w:t>）其他污染物（</w:t>
            </w:r>
            <w:r>
              <w:rPr>
                <w:rFonts w:hint="default" w:ascii="Times New Roman" w:hAnsi="Times New Roman" w:cs="Times New Roman"/>
                <w:color w:val="auto"/>
                <w:kern w:val="21"/>
                <w:sz w:val="21"/>
                <w:szCs w:val="21"/>
                <w:lang w:eastAsia="zh-CN"/>
              </w:rPr>
              <w:t>非甲烷总烃、颗粒物、氟化物、氨、硫化氢</w:t>
            </w:r>
            <w:r>
              <w:rPr>
                <w:rFonts w:hint="default" w:ascii="Times New Roman" w:hAnsi="Times New Roman" w:cs="Times New Roman"/>
                <w:color w:val="auto"/>
                <w:kern w:val="21"/>
                <w:sz w:val="21"/>
                <w:szCs w:val="21"/>
              </w:rPr>
              <w:t>）</w:t>
            </w:r>
          </w:p>
        </w:tc>
        <w:tc>
          <w:tcPr>
            <w:tcW w:w="2855" w:type="dxa"/>
            <w:gridSpan w:val="5"/>
            <w:vAlign w:val="center"/>
          </w:tcPr>
          <w:p>
            <w:pPr>
              <w:spacing w:line="240" w:lineRule="auto"/>
              <w:ind w:firstLine="0" w:firstLineChars="0"/>
              <w:jc w:val="center"/>
              <w:rPr>
                <w:rFonts w:hint="default" w:ascii="Times New Roman" w:hAnsi="Times New Roman" w:cs="Times New Roman"/>
                <w:color w:val="auto"/>
                <w:kern w:val="21"/>
                <w:sz w:val="21"/>
                <w:szCs w:val="21"/>
              </w:rPr>
            </w:pPr>
            <w:r>
              <w:rPr>
                <w:rFonts w:hint="default" w:ascii="Times New Roman" w:hAnsi="Times New Roman" w:cs="Times New Roman"/>
                <w:color w:val="auto"/>
                <w:kern w:val="21"/>
                <w:sz w:val="21"/>
                <w:szCs w:val="21"/>
              </w:rPr>
              <w:t>包括二次PM</w:t>
            </w:r>
            <w:r>
              <w:rPr>
                <w:rFonts w:hint="default" w:ascii="Times New Roman" w:hAnsi="Times New Roman" w:cs="Times New Roman"/>
                <w:color w:val="auto"/>
                <w:kern w:val="21"/>
                <w:sz w:val="21"/>
                <w:szCs w:val="21"/>
                <w:vertAlign w:val="subscript"/>
              </w:rPr>
              <w:t>2.5</w:t>
            </w:r>
            <w:r>
              <w:rPr>
                <w:rFonts w:hint="default" w:ascii="Times New Roman" w:hAnsi="Times New Roman" w:cs="Times New Roman"/>
                <w:color w:val="auto"/>
                <w:kern w:val="21"/>
                <w:sz w:val="21"/>
                <w:szCs w:val="21"/>
              </w:rPr>
              <w:t>□</w:t>
            </w:r>
          </w:p>
          <w:p>
            <w:pPr>
              <w:spacing w:line="240" w:lineRule="auto"/>
              <w:ind w:firstLine="0" w:firstLineChars="0"/>
              <w:jc w:val="center"/>
              <w:rPr>
                <w:rFonts w:hint="default" w:ascii="Times New Roman" w:hAnsi="Times New Roman" w:cs="Times New Roman"/>
                <w:color w:val="auto"/>
                <w:kern w:val="21"/>
                <w:sz w:val="21"/>
                <w:szCs w:val="21"/>
              </w:rPr>
            </w:pPr>
            <w:r>
              <w:rPr>
                <w:rFonts w:hint="default" w:ascii="Times New Roman" w:hAnsi="Times New Roman" w:cs="Times New Roman"/>
                <w:color w:val="auto"/>
                <w:kern w:val="21"/>
                <w:sz w:val="21"/>
                <w:szCs w:val="21"/>
              </w:rPr>
              <w:t>不包括二次PM</w:t>
            </w:r>
            <w:r>
              <w:rPr>
                <w:rFonts w:hint="default" w:ascii="Times New Roman" w:hAnsi="Times New Roman" w:cs="Times New Roman"/>
                <w:color w:val="auto"/>
                <w:kern w:val="21"/>
                <w:sz w:val="21"/>
                <w:szCs w:val="21"/>
                <w:vertAlign w:val="subscript"/>
              </w:rPr>
              <w:t>2.5</w:t>
            </w:r>
            <w:r>
              <w:rPr>
                <w:rFonts w:hint="default" w:ascii="Times New Roman" w:hAnsi="Times New Roman" w:cs="Times New Roman"/>
                <w:color w:val="auto"/>
                <w:kern w:val="21"/>
                <w:sz w:val="21"/>
                <w:szCs w:val="21"/>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4" w:type="dxa"/>
            <w:vAlign w:val="center"/>
          </w:tcPr>
          <w:p>
            <w:pPr>
              <w:spacing w:line="240" w:lineRule="auto"/>
              <w:ind w:firstLine="0" w:firstLineChars="0"/>
              <w:jc w:val="center"/>
              <w:rPr>
                <w:rFonts w:hint="default" w:ascii="Times New Roman" w:hAnsi="Times New Roman" w:cs="Times New Roman"/>
                <w:color w:val="auto"/>
                <w:kern w:val="21"/>
                <w:sz w:val="21"/>
                <w:szCs w:val="21"/>
              </w:rPr>
            </w:pPr>
            <w:r>
              <w:rPr>
                <w:rFonts w:hint="default" w:ascii="Times New Roman" w:hAnsi="Times New Roman" w:cs="Times New Roman"/>
                <w:color w:val="auto"/>
                <w:kern w:val="21"/>
                <w:sz w:val="21"/>
                <w:szCs w:val="21"/>
              </w:rPr>
              <w:t>评价标准</w:t>
            </w:r>
          </w:p>
        </w:tc>
        <w:tc>
          <w:tcPr>
            <w:tcW w:w="1751" w:type="dxa"/>
            <w:vAlign w:val="center"/>
          </w:tcPr>
          <w:p>
            <w:pPr>
              <w:spacing w:line="240" w:lineRule="auto"/>
              <w:ind w:firstLine="0" w:firstLineChars="0"/>
              <w:jc w:val="center"/>
              <w:rPr>
                <w:rFonts w:hint="default" w:ascii="Times New Roman" w:hAnsi="Times New Roman" w:cs="Times New Roman"/>
                <w:color w:val="auto"/>
                <w:kern w:val="21"/>
                <w:sz w:val="21"/>
                <w:szCs w:val="21"/>
              </w:rPr>
            </w:pPr>
            <w:r>
              <w:rPr>
                <w:rFonts w:hint="default" w:ascii="Times New Roman" w:hAnsi="Times New Roman" w:cs="Times New Roman"/>
                <w:color w:val="auto"/>
                <w:kern w:val="21"/>
                <w:sz w:val="21"/>
                <w:szCs w:val="21"/>
              </w:rPr>
              <w:t>评价标准</w:t>
            </w:r>
          </w:p>
        </w:tc>
        <w:tc>
          <w:tcPr>
            <w:tcW w:w="2299" w:type="dxa"/>
            <w:gridSpan w:val="3"/>
            <w:vAlign w:val="center"/>
          </w:tcPr>
          <w:p>
            <w:pPr>
              <w:spacing w:line="240" w:lineRule="auto"/>
              <w:ind w:firstLine="0" w:firstLineChars="0"/>
              <w:jc w:val="center"/>
              <w:rPr>
                <w:rFonts w:hint="default" w:ascii="Times New Roman" w:hAnsi="Times New Roman" w:cs="Times New Roman"/>
                <w:color w:val="auto"/>
                <w:kern w:val="21"/>
                <w:sz w:val="21"/>
                <w:szCs w:val="21"/>
              </w:rPr>
            </w:pPr>
            <w:r>
              <w:rPr>
                <w:rFonts w:hint="default" w:ascii="Times New Roman" w:hAnsi="Times New Roman" w:cs="Times New Roman"/>
                <w:color w:val="auto"/>
                <w:kern w:val="21"/>
                <w:sz w:val="21"/>
                <w:szCs w:val="21"/>
              </w:rPr>
              <w:t>国家标准</w:t>
            </w:r>
            <w:r>
              <w:rPr>
                <w:rFonts w:hint="default" w:ascii="Times New Roman" w:hAnsi="Times New Roman" w:cs="Times New Roman"/>
                <w:color w:val="auto"/>
                <w:kern w:val="21"/>
                <w:sz w:val="21"/>
                <w:szCs w:val="21"/>
              </w:rPr>
              <w:sym w:font="Wingdings 2" w:char="0052"/>
            </w:r>
          </w:p>
        </w:tc>
        <w:tc>
          <w:tcPr>
            <w:tcW w:w="1517" w:type="dxa"/>
            <w:gridSpan w:val="3"/>
            <w:vAlign w:val="center"/>
          </w:tcPr>
          <w:p>
            <w:pPr>
              <w:spacing w:line="240" w:lineRule="auto"/>
              <w:ind w:firstLine="0" w:firstLineChars="0"/>
              <w:jc w:val="center"/>
              <w:rPr>
                <w:rFonts w:hint="default" w:ascii="Times New Roman" w:hAnsi="Times New Roman" w:cs="Times New Roman"/>
                <w:color w:val="auto"/>
                <w:kern w:val="21"/>
                <w:sz w:val="21"/>
                <w:szCs w:val="21"/>
              </w:rPr>
            </w:pPr>
            <w:r>
              <w:rPr>
                <w:rFonts w:hint="default" w:ascii="Times New Roman" w:hAnsi="Times New Roman" w:cs="Times New Roman"/>
                <w:color w:val="auto"/>
                <w:kern w:val="21"/>
                <w:sz w:val="21"/>
                <w:szCs w:val="21"/>
              </w:rPr>
              <w:t>地方标准□</w:t>
            </w:r>
          </w:p>
        </w:tc>
        <w:tc>
          <w:tcPr>
            <w:tcW w:w="1200" w:type="dxa"/>
            <w:gridSpan w:val="2"/>
            <w:vAlign w:val="center"/>
          </w:tcPr>
          <w:p>
            <w:pPr>
              <w:spacing w:line="240" w:lineRule="auto"/>
              <w:ind w:firstLine="0" w:firstLineChars="0"/>
              <w:jc w:val="center"/>
              <w:rPr>
                <w:rFonts w:hint="default" w:ascii="Times New Roman" w:hAnsi="Times New Roman" w:cs="Times New Roman"/>
                <w:color w:val="auto"/>
                <w:kern w:val="21"/>
                <w:sz w:val="21"/>
                <w:szCs w:val="21"/>
              </w:rPr>
            </w:pPr>
            <w:r>
              <w:rPr>
                <w:rFonts w:hint="default" w:ascii="Times New Roman" w:hAnsi="Times New Roman" w:cs="Times New Roman"/>
                <w:color w:val="auto"/>
                <w:kern w:val="21"/>
                <w:sz w:val="21"/>
                <w:szCs w:val="21"/>
              </w:rPr>
              <w:t>附录D</w:t>
            </w:r>
            <w:r>
              <w:rPr>
                <w:rFonts w:hint="default" w:ascii="Times New Roman" w:hAnsi="Times New Roman" w:cs="Times New Roman"/>
                <w:color w:val="auto"/>
                <w:kern w:val="21"/>
                <w:sz w:val="21"/>
                <w:szCs w:val="21"/>
              </w:rPr>
              <w:sym w:font="Wingdings 2" w:char="0052"/>
            </w:r>
          </w:p>
        </w:tc>
        <w:tc>
          <w:tcPr>
            <w:tcW w:w="1655" w:type="dxa"/>
            <w:gridSpan w:val="3"/>
            <w:vAlign w:val="center"/>
          </w:tcPr>
          <w:p>
            <w:pPr>
              <w:spacing w:line="240" w:lineRule="auto"/>
              <w:ind w:firstLine="0" w:firstLineChars="0"/>
              <w:jc w:val="center"/>
              <w:rPr>
                <w:rFonts w:hint="default" w:ascii="Times New Roman" w:hAnsi="Times New Roman" w:cs="Times New Roman"/>
                <w:color w:val="auto"/>
                <w:kern w:val="21"/>
                <w:sz w:val="21"/>
                <w:szCs w:val="21"/>
              </w:rPr>
            </w:pPr>
            <w:r>
              <w:rPr>
                <w:rFonts w:hint="default" w:ascii="Times New Roman" w:hAnsi="Times New Roman" w:cs="Times New Roman"/>
                <w:color w:val="auto"/>
                <w:kern w:val="21"/>
                <w:sz w:val="21"/>
                <w:szCs w:val="21"/>
              </w:rPr>
              <w:t>其他标准</w:t>
            </w:r>
            <w:r>
              <w:rPr>
                <w:rFonts w:hint="default" w:ascii="Times New Roman" w:hAnsi="Times New Roman" w:cs="Times New Roman"/>
                <w:color w:val="auto"/>
                <w:kern w:val="21"/>
                <w:sz w:val="21"/>
                <w:szCs w:val="21"/>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4" w:type="dxa"/>
            <w:vMerge w:val="restart"/>
            <w:vAlign w:val="center"/>
          </w:tcPr>
          <w:p>
            <w:pPr>
              <w:spacing w:line="240" w:lineRule="auto"/>
              <w:ind w:firstLine="0" w:firstLineChars="0"/>
              <w:jc w:val="center"/>
              <w:rPr>
                <w:rFonts w:hint="default" w:ascii="Times New Roman" w:hAnsi="Times New Roman" w:cs="Times New Roman"/>
                <w:color w:val="auto"/>
                <w:kern w:val="21"/>
                <w:sz w:val="21"/>
                <w:szCs w:val="21"/>
              </w:rPr>
            </w:pPr>
            <w:r>
              <w:rPr>
                <w:rFonts w:hint="default" w:ascii="Times New Roman" w:hAnsi="Times New Roman" w:cs="Times New Roman"/>
                <w:color w:val="auto"/>
                <w:kern w:val="21"/>
                <w:sz w:val="21"/>
                <w:szCs w:val="21"/>
              </w:rPr>
              <w:t>现状评价</w:t>
            </w:r>
          </w:p>
        </w:tc>
        <w:tc>
          <w:tcPr>
            <w:tcW w:w="1751" w:type="dxa"/>
            <w:vAlign w:val="center"/>
          </w:tcPr>
          <w:p>
            <w:pPr>
              <w:spacing w:line="240" w:lineRule="auto"/>
              <w:ind w:firstLine="0" w:firstLineChars="0"/>
              <w:jc w:val="center"/>
              <w:rPr>
                <w:rFonts w:hint="default" w:ascii="Times New Roman" w:hAnsi="Times New Roman" w:cs="Times New Roman"/>
                <w:color w:val="auto"/>
                <w:kern w:val="21"/>
                <w:sz w:val="21"/>
                <w:szCs w:val="21"/>
              </w:rPr>
            </w:pPr>
            <w:r>
              <w:rPr>
                <w:rFonts w:hint="default" w:ascii="Times New Roman" w:hAnsi="Times New Roman" w:cs="Times New Roman"/>
                <w:color w:val="auto"/>
                <w:kern w:val="21"/>
                <w:sz w:val="21"/>
                <w:szCs w:val="21"/>
              </w:rPr>
              <w:t>环境功能区</w:t>
            </w:r>
          </w:p>
        </w:tc>
        <w:tc>
          <w:tcPr>
            <w:tcW w:w="2299" w:type="dxa"/>
            <w:gridSpan w:val="3"/>
            <w:vAlign w:val="center"/>
          </w:tcPr>
          <w:p>
            <w:pPr>
              <w:spacing w:line="240" w:lineRule="auto"/>
              <w:ind w:firstLine="0" w:firstLineChars="0"/>
              <w:jc w:val="center"/>
              <w:rPr>
                <w:rFonts w:hint="default" w:ascii="Times New Roman" w:hAnsi="Times New Roman" w:cs="Times New Roman"/>
                <w:color w:val="auto"/>
                <w:kern w:val="21"/>
                <w:sz w:val="21"/>
                <w:szCs w:val="21"/>
              </w:rPr>
            </w:pPr>
            <w:r>
              <w:rPr>
                <w:rFonts w:hint="default" w:ascii="Times New Roman" w:hAnsi="Times New Roman" w:cs="Times New Roman"/>
                <w:color w:val="auto"/>
                <w:kern w:val="21"/>
                <w:sz w:val="21"/>
                <w:szCs w:val="21"/>
              </w:rPr>
              <w:t>一类区</w:t>
            </w:r>
            <w:r>
              <w:rPr>
                <w:rFonts w:hint="default" w:ascii="Times New Roman" w:hAnsi="Times New Roman" w:cs="Times New Roman"/>
                <w:color w:val="auto"/>
                <w:kern w:val="21"/>
                <w:sz w:val="21"/>
                <w:szCs w:val="21"/>
              </w:rPr>
              <w:sym w:font="Wingdings 2" w:char="00A3"/>
            </w:r>
          </w:p>
        </w:tc>
        <w:tc>
          <w:tcPr>
            <w:tcW w:w="1517" w:type="dxa"/>
            <w:gridSpan w:val="3"/>
            <w:vAlign w:val="center"/>
          </w:tcPr>
          <w:p>
            <w:pPr>
              <w:spacing w:line="240" w:lineRule="auto"/>
              <w:ind w:firstLine="0" w:firstLineChars="0"/>
              <w:jc w:val="center"/>
              <w:rPr>
                <w:rFonts w:hint="default" w:ascii="Times New Roman" w:hAnsi="Times New Roman" w:cs="Times New Roman"/>
                <w:color w:val="auto"/>
                <w:kern w:val="21"/>
                <w:sz w:val="21"/>
                <w:szCs w:val="21"/>
              </w:rPr>
            </w:pPr>
            <w:r>
              <w:rPr>
                <w:rFonts w:hint="default" w:ascii="Times New Roman" w:hAnsi="Times New Roman" w:cs="Times New Roman"/>
                <w:color w:val="auto"/>
                <w:kern w:val="21"/>
                <w:sz w:val="21"/>
                <w:szCs w:val="21"/>
              </w:rPr>
              <w:t>二类区</w:t>
            </w:r>
            <w:r>
              <w:rPr>
                <w:rFonts w:hint="default" w:ascii="Times New Roman" w:hAnsi="Times New Roman" w:cs="Times New Roman"/>
                <w:color w:val="auto"/>
                <w:kern w:val="21"/>
                <w:sz w:val="21"/>
                <w:szCs w:val="21"/>
              </w:rPr>
              <w:sym w:font="Wingdings 2" w:char="0052"/>
            </w:r>
          </w:p>
        </w:tc>
        <w:tc>
          <w:tcPr>
            <w:tcW w:w="2855" w:type="dxa"/>
            <w:gridSpan w:val="5"/>
            <w:vAlign w:val="center"/>
          </w:tcPr>
          <w:p>
            <w:pPr>
              <w:spacing w:line="240" w:lineRule="auto"/>
              <w:ind w:firstLine="0" w:firstLineChars="0"/>
              <w:jc w:val="center"/>
              <w:rPr>
                <w:rFonts w:hint="default" w:ascii="Times New Roman" w:hAnsi="Times New Roman" w:cs="Times New Roman"/>
                <w:color w:val="auto"/>
                <w:kern w:val="21"/>
                <w:sz w:val="21"/>
                <w:szCs w:val="21"/>
              </w:rPr>
            </w:pPr>
            <w:r>
              <w:rPr>
                <w:rFonts w:hint="default" w:ascii="Times New Roman" w:hAnsi="Times New Roman" w:cs="Times New Roman"/>
                <w:color w:val="auto"/>
                <w:kern w:val="21"/>
                <w:sz w:val="21"/>
                <w:szCs w:val="21"/>
              </w:rPr>
              <w:t>一类区和二类区</w:t>
            </w:r>
            <w:r>
              <w:rPr>
                <w:rFonts w:hint="default" w:ascii="Times New Roman" w:hAnsi="Times New Roman" w:cs="Times New Roman"/>
                <w:color w:val="auto"/>
                <w:kern w:val="21"/>
                <w:sz w:val="21"/>
                <w:szCs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4" w:type="dxa"/>
            <w:vMerge w:val="continue"/>
            <w:vAlign w:val="center"/>
          </w:tcPr>
          <w:p>
            <w:pPr>
              <w:spacing w:line="240" w:lineRule="auto"/>
              <w:ind w:firstLine="0" w:firstLineChars="0"/>
              <w:jc w:val="center"/>
              <w:rPr>
                <w:rFonts w:hint="default" w:ascii="Times New Roman" w:hAnsi="Times New Roman" w:cs="Times New Roman"/>
                <w:color w:val="auto"/>
                <w:kern w:val="21"/>
                <w:sz w:val="21"/>
                <w:szCs w:val="21"/>
              </w:rPr>
            </w:pPr>
          </w:p>
        </w:tc>
        <w:tc>
          <w:tcPr>
            <w:tcW w:w="1751" w:type="dxa"/>
            <w:vAlign w:val="center"/>
          </w:tcPr>
          <w:p>
            <w:pPr>
              <w:spacing w:line="240" w:lineRule="auto"/>
              <w:ind w:firstLine="0" w:firstLineChars="0"/>
              <w:jc w:val="center"/>
              <w:rPr>
                <w:rFonts w:hint="default" w:ascii="Times New Roman" w:hAnsi="Times New Roman" w:cs="Times New Roman"/>
                <w:color w:val="auto"/>
                <w:kern w:val="21"/>
                <w:sz w:val="21"/>
                <w:szCs w:val="21"/>
              </w:rPr>
            </w:pPr>
            <w:r>
              <w:rPr>
                <w:rFonts w:hint="default" w:ascii="Times New Roman" w:hAnsi="Times New Roman" w:cs="Times New Roman"/>
                <w:color w:val="auto"/>
                <w:kern w:val="21"/>
                <w:sz w:val="21"/>
                <w:szCs w:val="21"/>
              </w:rPr>
              <w:t>评价基准年</w:t>
            </w:r>
          </w:p>
        </w:tc>
        <w:tc>
          <w:tcPr>
            <w:tcW w:w="6671" w:type="dxa"/>
            <w:gridSpan w:val="11"/>
            <w:vAlign w:val="center"/>
          </w:tcPr>
          <w:p>
            <w:pPr>
              <w:spacing w:line="240" w:lineRule="auto"/>
              <w:ind w:firstLine="0" w:firstLineChars="0"/>
              <w:jc w:val="center"/>
              <w:rPr>
                <w:rFonts w:hint="default" w:ascii="Times New Roman" w:hAnsi="Times New Roman" w:cs="Times New Roman"/>
                <w:color w:val="auto"/>
                <w:kern w:val="21"/>
                <w:sz w:val="21"/>
                <w:szCs w:val="21"/>
              </w:rPr>
            </w:pPr>
            <w:r>
              <w:rPr>
                <w:rFonts w:hint="default" w:ascii="Times New Roman" w:hAnsi="Times New Roman" w:cs="Times New Roman"/>
                <w:color w:val="auto"/>
                <w:kern w:val="21"/>
                <w:sz w:val="21"/>
                <w:szCs w:val="21"/>
              </w:rPr>
              <w:t>（202</w:t>
            </w:r>
            <w:r>
              <w:rPr>
                <w:rFonts w:hint="default" w:ascii="Times New Roman" w:hAnsi="Times New Roman" w:cs="Times New Roman"/>
                <w:color w:val="auto"/>
                <w:kern w:val="21"/>
                <w:sz w:val="21"/>
                <w:szCs w:val="21"/>
                <w:lang w:val="en-US" w:eastAsia="zh-CN"/>
              </w:rPr>
              <w:t>3</w:t>
            </w:r>
            <w:r>
              <w:rPr>
                <w:rFonts w:hint="default" w:ascii="Times New Roman" w:hAnsi="Times New Roman" w:cs="Times New Roman"/>
                <w:color w:val="auto"/>
                <w:kern w:val="21"/>
                <w:sz w:val="21"/>
                <w:szCs w:val="21"/>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4" w:type="dxa"/>
            <w:vMerge w:val="continue"/>
            <w:vAlign w:val="center"/>
          </w:tcPr>
          <w:p>
            <w:pPr>
              <w:spacing w:line="240" w:lineRule="auto"/>
              <w:ind w:firstLine="0" w:firstLineChars="0"/>
              <w:jc w:val="center"/>
              <w:rPr>
                <w:rFonts w:hint="default" w:ascii="Times New Roman" w:hAnsi="Times New Roman" w:cs="Times New Roman"/>
                <w:color w:val="auto"/>
                <w:kern w:val="21"/>
                <w:sz w:val="21"/>
                <w:szCs w:val="21"/>
              </w:rPr>
            </w:pPr>
          </w:p>
        </w:tc>
        <w:tc>
          <w:tcPr>
            <w:tcW w:w="1751" w:type="dxa"/>
            <w:vAlign w:val="center"/>
          </w:tcPr>
          <w:p>
            <w:pPr>
              <w:spacing w:line="240" w:lineRule="auto"/>
              <w:ind w:firstLine="0" w:firstLineChars="0"/>
              <w:jc w:val="center"/>
              <w:rPr>
                <w:rFonts w:hint="default" w:ascii="Times New Roman" w:hAnsi="Times New Roman" w:cs="Times New Roman"/>
                <w:color w:val="auto"/>
                <w:kern w:val="21"/>
                <w:sz w:val="21"/>
                <w:szCs w:val="21"/>
              </w:rPr>
            </w:pPr>
            <w:r>
              <w:rPr>
                <w:rFonts w:hint="default" w:ascii="Times New Roman" w:hAnsi="Times New Roman" w:cs="Times New Roman"/>
                <w:color w:val="auto"/>
                <w:kern w:val="21"/>
                <w:sz w:val="21"/>
                <w:szCs w:val="21"/>
              </w:rPr>
              <w:t>环境空气质量现状调查数据来源</w:t>
            </w:r>
          </w:p>
        </w:tc>
        <w:tc>
          <w:tcPr>
            <w:tcW w:w="2299" w:type="dxa"/>
            <w:gridSpan w:val="3"/>
            <w:vAlign w:val="center"/>
          </w:tcPr>
          <w:p>
            <w:pPr>
              <w:spacing w:line="240" w:lineRule="auto"/>
              <w:ind w:firstLine="0" w:firstLineChars="0"/>
              <w:jc w:val="center"/>
              <w:rPr>
                <w:rFonts w:hint="default" w:ascii="Times New Roman" w:hAnsi="Times New Roman" w:cs="Times New Roman"/>
                <w:color w:val="auto"/>
                <w:kern w:val="21"/>
                <w:sz w:val="21"/>
                <w:szCs w:val="21"/>
              </w:rPr>
            </w:pPr>
            <w:r>
              <w:rPr>
                <w:rFonts w:hint="default" w:ascii="Times New Roman" w:hAnsi="Times New Roman" w:cs="Times New Roman"/>
                <w:color w:val="auto"/>
                <w:kern w:val="21"/>
                <w:sz w:val="21"/>
                <w:szCs w:val="21"/>
              </w:rPr>
              <w:t>长期例行监测数据□</w:t>
            </w:r>
          </w:p>
        </w:tc>
        <w:tc>
          <w:tcPr>
            <w:tcW w:w="1517" w:type="dxa"/>
            <w:gridSpan w:val="3"/>
            <w:vAlign w:val="center"/>
          </w:tcPr>
          <w:p>
            <w:pPr>
              <w:spacing w:line="240" w:lineRule="auto"/>
              <w:ind w:firstLine="0" w:firstLineChars="0"/>
              <w:jc w:val="center"/>
              <w:rPr>
                <w:rFonts w:hint="default" w:ascii="Times New Roman" w:hAnsi="Times New Roman" w:cs="Times New Roman"/>
                <w:color w:val="auto"/>
                <w:kern w:val="21"/>
                <w:sz w:val="21"/>
                <w:szCs w:val="21"/>
              </w:rPr>
            </w:pPr>
            <w:r>
              <w:rPr>
                <w:rFonts w:hint="default" w:ascii="Times New Roman" w:hAnsi="Times New Roman" w:cs="Times New Roman"/>
                <w:color w:val="auto"/>
                <w:kern w:val="21"/>
                <w:sz w:val="21"/>
                <w:szCs w:val="21"/>
              </w:rPr>
              <w:t>主管部门发布的数据</w:t>
            </w:r>
            <w:r>
              <w:rPr>
                <w:rFonts w:hint="default" w:ascii="Times New Roman" w:hAnsi="Times New Roman" w:cs="Times New Roman"/>
                <w:color w:val="auto"/>
                <w:kern w:val="21"/>
                <w:sz w:val="21"/>
                <w:szCs w:val="21"/>
              </w:rPr>
              <w:sym w:font="Wingdings 2" w:char="0052"/>
            </w:r>
          </w:p>
        </w:tc>
        <w:tc>
          <w:tcPr>
            <w:tcW w:w="2855" w:type="dxa"/>
            <w:gridSpan w:val="5"/>
            <w:vAlign w:val="center"/>
          </w:tcPr>
          <w:p>
            <w:pPr>
              <w:spacing w:line="240" w:lineRule="auto"/>
              <w:ind w:firstLine="0" w:firstLineChars="0"/>
              <w:jc w:val="center"/>
              <w:rPr>
                <w:rFonts w:hint="default" w:ascii="Times New Roman" w:hAnsi="Times New Roman" w:cs="Times New Roman"/>
                <w:color w:val="auto"/>
                <w:kern w:val="21"/>
                <w:sz w:val="21"/>
                <w:szCs w:val="21"/>
              </w:rPr>
            </w:pPr>
            <w:r>
              <w:rPr>
                <w:rFonts w:hint="default" w:ascii="Times New Roman" w:hAnsi="Times New Roman" w:cs="Times New Roman"/>
                <w:color w:val="auto"/>
                <w:kern w:val="21"/>
                <w:sz w:val="21"/>
                <w:szCs w:val="21"/>
              </w:rPr>
              <w:t>现状补充监测</w:t>
            </w:r>
            <w:r>
              <w:rPr>
                <w:rFonts w:hint="default" w:ascii="Times New Roman" w:hAnsi="Times New Roman" w:cs="Times New Roman"/>
                <w:color w:val="auto"/>
                <w:kern w:val="21"/>
                <w:sz w:val="21"/>
                <w:szCs w:val="21"/>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4" w:type="dxa"/>
            <w:vMerge w:val="continue"/>
            <w:vAlign w:val="center"/>
          </w:tcPr>
          <w:p>
            <w:pPr>
              <w:spacing w:line="240" w:lineRule="auto"/>
              <w:ind w:firstLine="0" w:firstLineChars="0"/>
              <w:jc w:val="center"/>
              <w:rPr>
                <w:rFonts w:hint="default" w:ascii="Times New Roman" w:hAnsi="Times New Roman" w:cs="Times New Roman"/>
                <w:color w:val="auto"/>
                <w:kern w:val="21"/>
                <w:sz w:val="21"/>
                <w:szCs w:val="21"/>
              </w:rPr>
            </w:pPr>
          </w:p>
        </w:tc>
        <w:tc>
          <w:tcPr>
            <w:tcW w:w="1751" w:type="dxa"/>
            <w:vAlign w:val="center"/>
          </w:tcPr>
          <w:p>
            <w:pPr>
              <w:spacing w:line="240" w:lineRule="auto"/>
              <w:ind w:firstLine="0" w:firstLineChars="0"/>
              <w:jc w:val="center"/>
              <w:rPr>
                <w:rFonts w:hint="default" w:ascii="Times New Roman" w:hAnsi="Times New Roman" w:cs="Times New Roman"/>
                <w:color w:val="auto"/>
                <w:kern w:val="21"/>
                <w:sz w:val="21"/>
                <w:szCs w:val="21"/>
              </w:rPr>
            </w:pPr>
            <w:r>
              <w:rPr>
                <w:rFonts w:hint="default" w:ascii="Times New Roman" w:hAnsi="Times New Roman" w:cs="Times New Roman"/>
                <w:color w:val="auto"/>
                <w:kern w:val="21"/>
                <w:sz w:val="21"/>
                <w:szCs w:val="21"/>
              </w:rPr>
              <w:t>现状评价</w:t>
            </w:r>
          </w:p>
        </w:tc>
        <w:tc>
          <w:tcPr>
            <w:tcW w:w="3816" w:type="dxa"/>
            <w:gridSpan w:val="6"/>
            <w:vAlign w:val="center"/>
          </w:tcPr>
          <w:p>
            <w:pPr>
              <w:spacing w:line="240" w:lineRule="auto"/>
              <w:ind w:firstLine="0" w:firstLineChars="0"/>
              <w:jc w:val="center"/>
              <w:rPr>
                <w:rFonts w:hint="default" w:ascii="Times New Roman" w:hAnsi="Times New Roman" w:cs="Times New Roman"/>
                <w:color w:val="auto"/>
                <w:kern w:val="21"/>
                <w:sz w:val="21"/>
                <w:szCs w:val="21"/>
              </w:rPr>
            </w:pPr>
            <w:r>
              <w:rPr>
                <w:rFonts w:hint="default" w:ascii="Times New Roman" w:hAnsi="Times New Roman" w:cs="Times New Roman"/>
                <w:color w:val="auto"/>
                <w:kern w:val="21"/>
                <w:sz w:val="21"/>
                <w:szCs w:val="21"/>
              </w:rPr>
              <w:t>达标区</w:t>
            </w:r>
            <w:r>
              <w:rPr>
                <w:rFonts w:hint="default" w:ascii="Times New Roman" w:hAnsi="Times New Roman" w:cs="Times New Roman"/>
                <w:color w:val="auto"/>
                <w:kern w:val="21"/>
                <w:sz w:val="21"/>
                <w:szCs w:val="21"/>
              </w:rPr>
              <w:sym w:font="Wingdings 2" w:char="0052"/>
            </w:r>
          </w:p>
        </w:tc>
        <w:tc>
          <w:tcPr>
            <w:tcW w:w="2855" w:type="dxa"/>
            <w:gridSpan w:val="5"/>
            <w:vAlign w:val="center"/>
          </w:tcPr>
          <w:p>
            <w:pPr>
              <w:spacing w:line="240" w:lineRule="auto"/>
              <w:ind w:firstLine="0" w:firstLineChars="0"/>
              <w:jc w:val="center"/>
              <w:rPr>
                <w:rFonts w:hint="default" w:ascii="Times New Roman" w:hAnsi="Times New Roman" w:cs="Times New Roman"/>
                <w:color w:val="auto"/>
                <w:kern w:val="21"/>
                <w:sz w:val="21"/>
                <w:szCs w:val="21"/>
              </w:rPr>
            </w:pPr>
            <w:r>
              <w:rPr>
                <w:rFonts w:hint="default" w:ascii="Times New Roman" w:hAnsi="Times New Roman" w:cs="Times New Roman"/>
                <w:color w:val="auto"/>
                <w:kern w:val="21"/>
                <w:sz w:val="21"/>
                <w:szCs w:val="21"/>
              </w:rPr>
              <w:t>不达标区□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4" w:type="dxa"/>
            <w:vAlign w:val="center"/>
          </w:tcPr>
          <w:p>
            <w:pPr>
              <w:spacing w:line="240" w:lineRule="auto"/>
              <w:ind w:firstLine="0" w:firstLineChars="0"/>
              <w:jc w:val="center"/>
              <w:rPr>
                <w:rFonts w:hint="default" w:ascii="Times New Roman" w:hAnsi="Times New Roman" w:cs="Times New Roman"/>
                <w:color w:val="auto"/>
                <w:kern w:val="21"/>
                <w:sz w:val="21"/>
                <w:szCs w:val="21"/>
              </w:rPr>
            </w:pPr>
            <w:r>
              <w:rPr>
                <w:rFonts w:hint="default" w:ascii="Times New Roman" w:hAnsi="Times New Roman" w:cs="Times New Roman"/>
                <w:color w:val="auto"/>
                <w:kern w:val="21"/>
                <w:sz w:val="21"/>
                <w:szCs w:val="21"/>
              </w:rPr>
              <w:t>污染源调查</w:t>
            </w:r>
          </w:p>
        </w:tc>
        <w:tc>
          <w:tcPr>
            <w:tcW w:w="1751" w:type="dxa"/>
            <w:vAlign w:val="center"/>
          </w:tcPr>
          <w:p>
            <w:pPr>
              <w:spacing w:line="240" w:lineRule="auto"/>
              <w:ind w:firstLine="0" w:firstLineChars="0"/>
              <w:rPr>
                <w:rFonts w:hint="default" w:ascii="Times New Roman" w:hAnsi="Times New Roman" w:cs="Times New Roman"/>
                <w:color w:val="auto"/>
                <w:kern w:val="21"/>
                <w:sz w:val="21"/>
                <w:szCs w:val="21"/>
              </w:rPr>
            </w:pPr>
            <w:r>
              <w:rPr>
                <w:rFonts w:hint="default" w:ascii="Times New Roman" w:hAnsi="Times New Roman" w:cs="Times New Roman"/>
                <w:color w:val="auto"/>
                <w:kern w:val="21"/>
                <w:sz w:val="21"/>
                <w:szCs w:val="21"/>
              </w:rPr>
              <w:t>调查内容</w:t>
            </w:r>
          </w:p>
        </w:tc>
        <w:tc>
          <w:tcPr>
            <w:tcW w:w="2299" w:type="dxa"/>
            <w:gridSpan w:val="3"/>
            <w:vAlign w:val="center"/>
          </w:tcPr>
          <w:p>
            <w:pPr>
              <w:spacing w:line="240" w:lineRule="auto"/>
              <w:ind w:firstLine="0" w:firstLineChars="0"/>
              <w:rPr>
                <w:rFonts w:hint="default" w:ascii="Times New Roman" w:hAnsi="Times New Roman" w:cs="Times New Roman"/>
                <w:color w:val="auto"/>
                <w:kern w:val="21"/>
                <w:sz w:val="21"/>
                <w:szCs w:val="21"/>
              </w:rPr>
            </w:pPr>
            <w:r>
              <w:rPr>
                <w:rFonts w:hint="default" w:ascii="Times New Roman" w:hAnsi="Times New Roman" w:cs="Times New Roman"/>
                <w:color w:val="auto"/>
                <w:kern w:val="21"/>
                <w:sz w:val="21"/>
                <w:szCs w:val="21"/>
              </w:rPr>
              <w:t>本项目正常排放源</w:t>
            </w:r>
            <w:r>
              <w:rPr>
                <w:rFonts w:hint="default" w:ascii="Times New Roman" w:hAnsi="Times New Roman" w:cs="Times New Roman"/>
                <w:color w:val="auto"/>
                <w:kern w:val="21"/>
                <w:sz w:val="21"/>
                <w:szCs w:val="21"/>
              </w:rPr>
              <w:sym w:font="Wingdings 2" w:char="0052"/>
            </w:r>
          </w:p>
          <w:p>
            <w:pPr>
              <w:spacing w:line="240" w:lineRule="auto"/>
              <w:ind w:firstLine="0" w:firstLineChars="0"/>
              <w:rPr>
                <w:rFonts w:hint="default" w:ascii="Times New Roman" w:hAnsi="Times New Roman" w:cs="Times New Roman"/>
                <w:color w:val="auto"/>
                <w:kern w:val="21"/>
                <w:sz w:val="21"/>
                <w:szCs w:val="21"/>
              </w:rPr>
            </w:pPr>
            <w:r>
              <w:rPr>
                <w:rFonts w:hint="default" w:ascii="Times New Roman" w:hAnsi="Times New Roman" w:cs="Times New Roman"/>
                <w:color w:val="auto"/>
                <w:kern w:val="21"/>
                <w:sz w:val="21"/>
                <w:szCs w:val="21"/>
              </w:rPr>
              <w:t>本项目非正常排放源</w:t>
            </w:r>
            <w:r>
              <w:rPr>
                <w:rFonts w:hint="default" w:ascii="Times New Roman" w:hAnsi="Times New Roman" w:cs="Times New Roman"/>
                <w:color w:val="auto"/>
                <w:kern w:val="21"/>
                <w:sz w:val="21"/>
                <w:szCs w:val="21"/>
              </w:rPr>
              <w:sym w:font="Wingdings 2" w:char="00A3"/>
            </w:r>
          </w:p>
          <w:p>
            <w:pPr>
              <w:spacing w:line="240" w:lineRule="auto"/>
              <w:ind w:firstLine="0" w:firstLineChars="0"/>
              <w:rPr>
                <w:rFonts w:hint="default" w:ascii="Times New Roman" w:hAnsi="Times New Roman" w:cs="Times New Roman"/>
                <w:color w:val="auto"/>
                <w:kern w:val="21"/>
                <w:sz w:val="21"/>
                <w:szCs w:val="21"/>
              </w:rPr>
            </w:pPr>
            <w:r>
              <w:rPr>
                <w:rFonts w:hint="default" w:ascii="Times New Roman" w:hAnsi="Times New Roman" w:cs="Times New Roman"/>
                <w:color w:val="auto"/>
                <w:kern w:val="21"/>
                <w:sz w:val="21"/>
                <w:szCs w:val="21"/>
              </w:rPr>
              <w:t>现有污染源□</w:t>
            </w:r>
          </w:p>
        </w:tc>
        <w:tc>
          <w:tcPr>
            <w:tcW w:w="1517" w:type="dxa"/>
            <w:gridSpan w:val="3"/>
            <w:vAlign w:val="center"/>
          </w:tcPr>
          <w:p>
            <w:pPr>
              <w:spacing w:line="240" w:lineRule="auto"/>
              <w:ind w:firstLine="0" w:firstLineChars="0"/>
              <w:rPr>
                <w:rFonts w:hint="default" w:ascii="Times New Roman" w:hAnsi="Times New Roman" w:cs="Times New Roman"/>
                <w:color w:val="auto"/>
                <w:kern w:val="21"/>
                <w:sz w:val="21"/>
                <w:szCs w:val="21"/>
              </w:rPr>
            </w:pPr>
            <w:r>
              <w:rPr>
                <w:rFonts w:hint="default" w:ascii="Times New Roman" w:hAnsi="Times New Roman" w:cs="Times New Roman"/>
                <w:color w:val="auto"/>
                <w:kern w:val="21"/>
                <w:sz w:val="21"/>
                <w:szCs w:val="21"/>
              </w:rPr>
              <w:t>拟替代的污染源</w:t>
            </w:r>
            <w:r>
              <w:rPr>
                <w:rFonts w:hint="default" w:ascii="Times New Roman" w:hAnsi="Times New Roman" w:cs="Times New Roman"/>
                <w:color w:val="auto"/>
                <w:kern w:val="21"/>
                <w:sz w:val="21"/>
                <w:szCs w:val="21"/>
              </w:rPr>
              <w:sym w:font="Wingdings 2" w:char="00A3"/>
            </w:r>
          </w:p>
        </w:tc>
        <w:tc>
          <w:tcPr>
            <w:tcW w:w="1690" w:type="dxa"/>
            <w:gridSpan w:val="3"/>
            <w:vAlign w:val="center"/>
          </w:tcPr>
          <w:p>
            <w:pPr>
              <w:spacing w:line="240" w:lineRule="auto"/>
              <w:ind w:firstLine="0" w:firstLineChars="0"/>
              <w:rPr>
                <w:rFonts w:hint="default" w:ascii="Times New Roman" w:hAnsi="Times New Roman" w:cs="Times New Roman"/>
                <w:color w:val="auto"/>
                <w:kern w:val="21"/>
                <w:sz w:val="21"/>
                <w:szCs w:val="21"/>
              </w:rPr>
            </w:pPr>
            <w:r>
              <w:rPr>
                <w:rFonts w:hint="default" w:ascii="Times New Roman" w:hAnsi="Times New Roman" w:cs="Times New Roman"/>
                <w:color w:val="auto"/>
                <w:kern w:val="21"/>
                <w:sz w:val="21"/>
                <w:szCs w:val="21"/>
              </w:rPr>
              <w:t>其他在建、拟建项目污染源</w:t>
            </w:r>
            <w:r>
              <w:rPr>
                <w:rFonts w:hint="default" w:ascii="Times New Roman" w:hAnsi="Times New Roman" w:cs="Times New Roman"/>
                <w:color w:val="auto"/>
                <w:kern w:val="21"/>
                <w:sz w:val="21"/>
                <w:szCs w:val="21"/>
              </w:rPr>
              <w:sym w:font="Wingdings 2" w:char="0052"/>
            </w:r>
          </w:p>
        </w:tc>
        <w:tc>
          <w:tcPr>
            <w:tcW w:w="1165" w:type="dxa"/>
            <w:gridSpan w:val="2"/>
            <w:vAlign w:val="center"/>
          </w:tcPr>
          <w:p>
            <w:pPr>
              <w:spacing w:line="240" w:lineRule="auto"/>
              <w:ind w:firstLine="0" w:firstLineChars="0"/>
              <w:rPr>
                <w:rFonts w:hint="default" w:ascii="Times New Roman" w:hAnsi="Times New Roman" w:cs="Times New Roman"/>
                <w:color w:val="auto"/>
                <w:kern w:val="21"/>
                <w:sz w:val="21"/>
                <w:szCs w:val="21"/>
              </w:rPr>
            </w:pPr>
            <w:r>
              <w:rPr>
                <w:rFonts w:hint="default" w:ascii="Times New Roman" w:hAnsi="Times New Roman" w:cs="Times New Roman"/>
                <w:color w:val="auto"/>
                <w:kern w:val="21"/>
                <w:sz w:val="21"/>
                <w:szCs w:val="21"/>
              </w:rPr>
              <w:t>区域污染源□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4" w:type="dxa"/>
            <w:vMerge w:val="restart"/>
            <w:vAlign w:val="center"/>
          </w:tcPr>
          <w:p>
            <w:pPr>
              <w:spacing w:line="240" w:lineRule="auto"/>
              <w:ind w:firstLine="0" w:firstLineChars="0"/>
              <w:rPr>
                <w:rFonts w:hint="default" w:ascii="Times New Roman" w:hAnsi="Times New Roman" w:cs="Times New Roman"/>
                <w:color w:val="auto"/>
                <w:kern w:val="21"/>
                <w:sz w:val="21"/>
                <w:szCs w:val="21"/>
              </w:rPr>
            </w:pPr>
            <w:r>
              <w:rPr>
                <w:rFonts w:hint="default" w:ascii="Times New Roman" w:hAnsi="Times New Roman" w:cs="Times New Roman"/>
                <w:color w:val="auto"/>
                <w:kern w:val="21"/>
                <w:sz w:val="21"/>
                <w:szCs w:val="21"/>
              </w:rPr>
              <w:t>大气环境影响预测与评价</w:t>
            </w:r>
          </w:p>
        </w:tc>
        <w:tc>
          <w:tcPr>
            <w:tcW w:w="1751" w:type="dxa"/>
            <w:vAlign w:val="center"/>
          </w:tcPr>
          <w:p>
            <w:pPr>
              <w:spacing w:line="240" w:lineRule="auto"/>
              <w:ind w:firstLine="0" w:firstLineChars="0"/>
              <w:rPr>
                <w:rFonts w:hint="default" w:ascii="Times New Roman" w:hAnsi="Times New Roman" w:cs="Times New Roman"/>
                <w:color w:val="auto"/>
                <w:kern w:val="21"/>
                <w:sz w:val="21"/>
                <w:szCs w:val="21"/>
              </w:rPr>
            </w:pPr>
            <w:r>
              <w:rPr>
                <w:rFonts w:hint="default" w:ascii="Times New Roman" w:hAnsi="Times New Roman" w:cs="Times New Roman"/>
                <w:color w:val="auto"/>
                <w:kern w:val="21"/>
                <w:sz w:val="21"/>
                <w:szCs w:val="21"/>
              </w:rPr>
              <w:t>预测模型</w:t>
            </w:r>
          </w:p>
        </w:tc>
        <w:tc>
          <w:tcPr>
            <w:tcW w:w="1352" w:type="dxa"/>
            <w:vAlign w:val="center"/>
          </w:tcPr>
          <w:p>
            <w:pPr>
              <w:spacing w:line="240" w:lineRule="auto"/>
              <w:ind w:firstLine="0" w:firstLineChars="0"/>
              <w:rPr>
                <w:rFonts w:hint="default" w:ascii="Times New Roman" w:hAnsi="Times New Roman" w:cs="Times New Roman"/>
                <w:color w:val="auto"/>
                <w:kern w:val="21"/>
                <w:sz w:val="21"/>
                <w:szCs w:val="21"/>
              </w:rPr>
            </w:pPr>
            <w:r>
              <w:rPr>
                <w:rFonts w:hint="default" w:ascii="Times New Roman" w:hAnsi="Times New Roman" w:cs="Times New Roman"/>
                <w:color w:val="auto"/>
                <w:kern w:val="21"/>
                <w:sz w:val="21"/>
                <w:szCs w:val="21"/>
              </w:rPr>
              <w:t>AERMOD</w:t>
            </w:r>
            <w:r>
              <w:rPr>
                <w:rFonts w:hint="default" w:ascii="Times New Roman" w:hAnsi="Times New Roman" w:cs="Times New Roman"/>
                <w:color w:val="auto"/>
                <w:kern w:val="21"/>
                <w:sz w:val="21"/>
                <w:szCs w:val="21"/>
              </w:rPr>
              <w:sym w:font="Wingdings 2" w:char="00A3"/>
            </w:r>
          </w:p>
        </w:tc>
        <w:tc>
          <w:tcPr>
            <w:tcW w:w="947" w:type="dxa"/>
            <w:gridSpan w:val="2"/>
            <w:vAlign w:val="center"/>
          </w:tcPr>
          <w:p>
            <w:pPr>
              <w:spacing w:line="240" w:lineRule="auto"/>
              <w:ind w:firstLine="0" w:firstLineChars="0"/>
              <w:rPr>
                <w:rFonts w:hint="default" w:ascii="Times New Roman" w:hAnsi="Times New Roman" w:cs="Times New Roman"/>
                <w:color w:val="auto"/>
                <w:kern w:val="21"/>
                <w:sz w:val="21"/>
                <w:szCs w:val="21"/>
              </w:rPr>
            </w:pPr>
            <w:r>
              <w:rPr>
                <w:rFonts w:hint="default" w:ascii="Times New Roman" w:hAnsi="Times New Roman" w:cs="Times New Roman"/>
                <w:color w:val="auto"/>
                <w:kern w:val="21"/>
                <w:sz w:val="21"/>
                <w:szCs w:val="21"/>
              </w:rPr>
              <w:t>ADMS□</w:t>
            </w:r>
          </w:p>
        </w:tc>
        <w:tc>
          <w:tcPr>
            <w:tcW w:w="813" w:type="dxa"/>
            <w:gridSpan w:val="2"/>
            <w:vAlign w:val="center"/>
          </w:tcPr>
          <w:p>
            <w:pPr>
              <w:spacing w:line="240" w:lineRule="auto"/>
              <w:ind w:firstLine="0" w:firstLineChars="0"/>
              <w:rPr>
                <w:rFonts w:hint="default" w:ascii="Times New Roman" w:hAnsi="Times New Roman" w:cs="Times New Roman"/>
                <w:color w:val="auto"/>
                <w:kern w:val="21"/>
                <w:sz w:val="21"/>
                <w:szCs w:val="21"/>
              </w:rPr>
            </w:pPr>
            <w:r>
              <w:rPr>
                <w:rFonts w:hint="default" w:ascii="Times New Roman" w:hAnsi="Times New Roman" w:cs="Times New Roman"/>
                <w:color w:val="auto"/>
                <w:kern w:val="21"/>
                <w:sz w:val="21"/>
                <w:szCs w:val="21"/>
              </w:rPr>
              <w:t>AUSTAL2000</w:t>
            </w:r>
            <w:r>
              <w:rPr>
                <w:rFonts w:hint="default" w:ascii="Times New Roman" w:hAnsi="Times New Roman" w:cs="Times New Roman"/>
                <w:color w:val="auto"/>
                <w:kern w:val="21"/>
                <w:sz w:val="21"/>
                <w:szCs w:val="21"/>
              </w:rPr>
              <w:sym w:font="Wingdings 2" w:char="00A3"/>
            </w:r>
          </w:p>
        </w:tc>
        <w:tc>
          <w:tcPr>
            <w:tcW w:w="704" w:type="dxa"/>
            <w:vAlign w:val="center"/>
          </w:tcPr>
          <w:p>
            <w:pPr>
              <w:spacing w:line="240" w:lineRule="auto"/>
              <w:ind w:firstLine="0" w:firstLineChars="0"/>
              <w:rPr>
                <w:rFonts w:hint="default" w:ascii="Times New Roman" w:hAnsi="Times New Roman" w:cs="Times New Roman"/>
                <w:color w:val="auto"/>
                <w:kern w:val="21"/>
                <w:sz w:val="21"/>
                <w:szCs w:val="21"/>
              </w:rPr>
            </w:pPr>
            <w:r>
              <w:rPr>
                <w:rFonts w:hint="default" w:ascii="Times New Roman" w:hAnsi="Times New Roman" w:cs="Times New Roman"/>
                <w:color w:val="auto"/>
                <w:kern w:val="21"/>
                <w:sz w:val="21"/>
                <w:szCs w:val="21"/>
              </w:rPr>
              <w:t>EDMS/AEDT</w:t>
            </w:r>
            <w:r>
              <w:rPr>
                <w:rFonts w:hint="default" w:ascii="Times New Roman" w:hAnsi="Times New Roman" w:cs="Times New Roman"/>
                <w:color w:val="auto"/>
                <w:kern w:val="21"/>
                <w:sz w:val="21"/>
                <w:szCs w:val="21"/>
              </w:rPr>
              <w:sym w:font="Wingdings 2" w:char="00A3"/>
            </w:r>
          </w:p>
        </w:tc>
        <w:tc>
          <w:tcPr>
            <w:tcW w:w="1200" w:type="dxa"/>
            <w:gridSpan w:val="2"/>
            <w:vAlign w:val="center"/>
          </w:tcPr>
          <w:p>
            <w:pPr>
              <w:spacing w:line="240" w:lineRule="auto"/>
              <w:ind w:firstLine="0" w:firstLineChars="0"/>
              <w:rPr>
                <w:rFonts w:hint="default" w:ascii="Times New Roman" w:hAnsi="Times New Roman" w:cs="Times New Roman"/>
                <w:color w:val="auto"/>
                <w:kern w:val="21"/>
                <w:sz w:val="21"/>
                <w:szCs w:val="21"/>
              </w:rPr>
            </w:pPr>
            <w:r>
              <w:rPr>
                <w:rFonts w:hint="default" w:ascii="Times New Roman" w:hAnsi="Times New Roman" w:cs="Times New Roman"/>
                <w:color w:val="auto"/>
                <w:kern w:val="21"/>
                <w:sz w:val="21"/>
                <w:szCs w:val="21"/>
              </w:rPr>
              <w:t>CALPUFF</w:t>
            </w:r>
            <w:r>
              <w:rPr>
                <w:rFonts w:hint="default" w:ascii="Times New Roman" w:hAnsi="Times New Roman" w:cs="Times New Roman"/>
                <w:color w:val="auto"/>
                <w:kern w:val="21"/>
                <w:sz w:val="21"/>
                <w:szCs w:val="21"/>
              </w:rPr>
              <w:sym w:font="Wingdings 2" w:char="00A3"/>
            </w:r>
          </w:p>
        </w:tc>
        <w:tc>
          <w:tcPr>
            <w:tcW w:w="869" w:type="dxa"/>
            <w:gridSpan w:val="2"/>
            <w:vAlign w:val="center"/>
          </w:tcPr>
          <w:p>
            <w:pPr>
              <w:spacing w:line="240" w:lineRule="auto"/>
              <w:ind w:firstLine="0" w:firstLineChars="0"/>
              <w:rPr>
                <w:rFonts w:hint="default" w:ascii="Times New Roman" w:hAnsi="Times New Roman" w:cs="Times New Roman"/>
                <w:color w:val="auto"/>
                <w:kern w:val="21"/>
                <w:sz w:val="21"/>
                <w:szCs w:val="21"/>
              </w:rPr>
            </w:pPr>
            <w:r>
              <w:rPr>
                <w:rFonts w:hint="default" w:ascii="Times New Roman" w:hAnsi="Times New Roman" w:cs="Times New Roman"/>
                <w:color w:val="auto"/>
                <w:kern w:val="21"/>
                <w:sz w:val="21"/>
                <w:szCs w:val="21"/>
              </w:rPr>
              <w:t>网格模型</w:t>
            </w:r>
            <w:r>
              <w:rPr>
                <w:rFonts w:hint="default" w:ascii="Times New Roman" w:hAnsi="Times New Roman" w:cs="Times New Roman"/>
                <w:color w:val="auto"/>
                <w:kern w:val="21"/>
                <w:sz w:val="21"/>
                <w:szCs w:val="21"/>
              </w:rPr>
              <w:sym w:font="Wingdings 2" w:char="00A3"/>
            </w:r>
          </w:p>
        </w:tc>
        <w:tc>
          <w:tcPr>
            <w:tcW w:w="786" w:type="dxa"/>
            <w:vAlign w:val="center"/>
          </w:tcPr>
          <w:p>
            <w:pPr>
              <w:spacing w:line="240" w:lineRule="auto"/>
              <w:ind w:firstLine="0" w:firstLineChars="0"/>
              <w:rPr>
                <w:rFonts w:hint="default" w:ascii="Times New Roman" w:hAnsi="Times New Roman" w:cs="Times New Roman"/>
                <w:color w:val="auto"/>
                <w:kern w:val="21"/>
                <w:sz w:val="21"/>
                <w:szCs w:val="21"/>
              </w:rPr>
            </w:pPr>
            <w:r>
              <w:rPr>
                <w:rFonts w:hint="default" w:ascii="Times New Roman" w:hAnsi="Times New Roman" w:cs="Times New Roman"/>
                <w:color w:val="auto"/>
                <w:kern w:val="21"/>
                <w:sz w:val="21"/>
                <w:szCs w:val="21"/>
              </w:rPr>
              <w:t>其他</w:t>
            </w:r>
            <w:r>
              <w:rPr>
                <w:rFonts w:hint="default" w:ascii="Times New Roman" w:hAnsi="Times New Roman" w:cs="Times New Roman"/>
                <w:color w:val="auto"/>
                <w:kern w:val="21"/>
                <w:sz w:val="21"/>
                <w:szCs w:val="21"/>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4" w:type="dxa"/>
            <w:vMerge w:val="continue"/>
            <w:vAlign w:val="center"/>
          </w:tcPr>
          <w:p>
            <w:pPr>
              <w:spacing w:line="240" w:lineRule="auto"/>
              <w:ind w:firstLine="0" w:firstLineChars="0"/>
              <w:jc w:val="center"/>
              <w:rPr>
                <w:rFonts w:hint="default" w:ascii="Times New Roman" w:hAnsi="Times New Roman" w:cs="Times New Roman"/>
                <w:color w:val="auto"/>
                <w:kern w:val="21"/>
                <w:sz w:val="21"/>
                <w:szCs w:val="21"/>
              </w:rPr>
            </w:pPr>
          </w:p>
        </w:tc>
        <w:tc>
          <w:tcPr>
            <w:tcW w:w="1751" w:type="dxa"/>
            <w:vAlign w:val="center"/>
          </w:tcPr>
          <w:p>
            <w:pPr>
              <w:spacing w:line="240" w:lineRule="auto"/>
              <w:ind w:firstLine="0" w:firstLineChars="0"/>
              <w:rPr>
                <w:rFonts w:hint="default" w:ascii="Times New Roman" w:hAnsi="Times New Roman" w:cs="Times New Roman"/>
                <w:color w:val="auto"/>
                <w:kern w:val="21"/>
                <w:sz w:val="21"/>
                <w:szCs w:val="21"/>
              </w:rPr>
            </w:pPr>
            <w:r>
              <w:rPr>
                <w:rFonts w:hint="default" w:ascii="Times New Roman" w:hAnsi="Times New Roman" w:cs="Times New Roman"/>
                <w:color w:val="auto"/>
                <w:kern w:val="21"/>
                <w:sz w:val="21"/>
                <w:szCs w:val="21"/>
              </w:rPr>
              <w:t>预测范围</w:t>
            </w:r>
          </w:p>
        </w:tc>
        <w:tc>
          <w:tcPr>
            <w:tcW w:w="2299" w:type="dxa"/>
            <w:gridSpan w:val="3"/>
            <w:vAlign w:val="center"/>
          </w:tcPr>
          <w:p>
            <w:pPr>
              <w:spacing w:line="240" w:lineRule="auto"/>
              <w:ind w:firstLine="0" w:firstLineChars="0"/>
              <w:jc w:val="center"/>
              <w:rPr>
                <w:rFonts w:hint="default" w:ascii="Times New Roman" w:hAnsi="Times New Roman" w:cs="Times New Roman"/>
                <w:color w:val="auto"/>
                <w:kern w:val="21"/>
                <w:sz w:val="21"/>
                <w:szCs w:val="21"/>
              </w:rPr>
            </w:pPr>
            <w:r>
              <w:rPr>
                <w:rFonts w:hint="default" w:ascii="Times New Roman" w:hAnsi="Times New Roman" w:cs="Times New Roman"/>
                <w:color w:val="auto"/>
                <w:kern w:val="21"/>
                <w:sz w:val="21"/>
                <w:szCs w:val="21"/>
              </w:rPr>
              <w:t>边长≥50km□</w:t>
            </w:r>
          </w:p>
        </w:tc>
        <w:tc>
          <w:tcPr>
            <w:tcW w:w="2717" w:type="dxa"/>
            <w:gridSpan w:val="5"/>
            <w:vAlign w:val="center"/>
          </w:tcPr>
          <w:p>
            <w:pPr>
              <w:spacing w:line="240" w:lineRule="auto"/>
              <w:ind w:firstLine="0" w:firstLineChars="0"/>
              <w:jc w:val="center"/>
              <w:rPr>
                <w:rFonts w:hint="default" w:ascii="Times New Roman" w:hAnsi="Times New Roman" w:cs="Times New Roman"/>
                <w:color w:val="auto"/>
                <w:kern w:val="21"/>
                <w:sz w:val="21"/>
                <w:szCs w:val="21"/>
              </w:rPr>
            </w:pPr>
            <w:r>
              <w:rPr>
                <w:rFonts w:hint="default" w:ascii="Times New Roman" w:hAnsi="Times New Roman" w:cs="Times New Roman"/>
                <w:color w:val="auto"/>
                <w:kern w:val="21"/>
                <w:sz w:val="21"/>
                <w:szCs w:val="21"/>
              </w:rPr>
              <w:t>边长5~50km</w:t>
            </w:r>
            <w:r>
              <w:rPr>
                <w:rFonts w:hint="default" w:ascii="Times New Roman" w:hAnsi="Times New Roman" w:cs="Times New Roman"/>
                <w:color w:val="auto"/>
                <w:kern w:val="21"/>
                <w:sz w:val="21"/>
                <w:szCs w:val="21"/>
              </w:rPr>
              <w:sym w:font="Wingdings 2" w:char="00A3"/>
            </w:r>
          </w:p>
        </w:tc>
        <w:tc>
          <w:tcPr>
            <w:tcW w:w="1655" w:type="dxa"/>
            <w:gridSpan w:val="3"/>
            <w:vAlign w:val="center"/>
          </w:tcPr>
          <w:p>
            <w:pPr>
              <w:spacing w:line="240" w:lineRule="auto"/>
              <w:ind w:firstLine="0" w:firstLineChars="0"/>
              <w:jc w:val="center"/>
              <w:rPr>
                <w:rFonts w:hint="default" w:ascii="Times New Roman" w:hAnsi="Times New Roman" w:cs="Times New Roman"/>
                <w:color w:val="auto"/>
                <w:kern w:val="21"/>
                <w:sz w:val="21"/>
                <w:szCs w:val="21"/>
              </w:rPr>
            </w:pPr>
            <w:r>
              <w:rPr>
                <w:rFonts w:hint="default" w:ascii="Times New Roman" w:hAnsi="Times New Roman" w:cs="Times New Roman"/>
                <w:color w:val="auto"/>
                <w:kern w:val="21"/>
                <w:sz w:val="21"/>
                <w:szCs w:val="21"/>
              </w:rPr>
              <w:t>边长=5km</w:t>
            </w:r>
            <w:r>
              <w:rPr>
                <w:rFonts w:hint="default" w:ascii="Times New Roman" w:hAnsi="Times New Roman" w:cs="Times New Roman"/>
                <w:color w:val="auto"/>
                <w:kern w:val="21"/>
                <w:sz w:val="21"/>
                <w:szCs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4" w:type="dxa"/>
            <w:vMerge w:val="continue"/>
            <w:vAlign w:val="center"/>
          </w:tcPr>
          <w:p>
            <w:pPr>
              <w:spacing w:line="240" w:lineRule="auto"/>
              <w:ind w:firstLine="0" w:firstLineChars="0"/>
              <w:jc w:val="center"/>
              <w:rPr>
                <w:rFonts w:hint="default" w:ascii="Times New Roman" w:hAnsi="Times New Roman" w:cs="Times New Roman"/>
                <w:color w:val="auto"/>
                <w:kern w:val="21"/>
                <w:sz w:val="21"/>
                <w:szCs w:val="21"/>
              </w:rPr>
            </w:pPr>
          </w:p>
        </w:tc>
        <w:tc>
          <w:tcPr>
            <w:tcW w:w="1751" w:type="dxa"/>
            <w:vAlign w:val="center"/>
          </w:tcPr>
          <w:p>
            <w:pPr>
              <w:spacing w:line="240" w:lineRule="auto"/>
              <w:ind w:firstLine="0" w:firstLineChars="0"/>
              <w:rPr>
                <w:rFonts w:hint="default" w:ascii="Times New Roman" w:hAnsi="Times New Roman" w:cs="Times New Roman"/>
                <w:color w:val="auto"/>
                <w:kern w:val="21"/>
                <w:sz w:val="21"/>
                <w:szCs w:val="21"/>
              </w:rPr>
            </w:pPr>
            <w:r>
              <w:rPr>
                <w:rFonts w:hint="default" w:ascii="Times New Roman" w:hAnsi="Times New Roman" w:cs="Times New Roman"/>
                <w:color w:val="auto"/>
                <w:kern w:val="21"/>
                <w:sz w:val="21"/>
                <w:szCs w:val="21"/>
              </w:rPr>
              <w:t>预测因子</w:t>
            </w:r>
          </w:p>
        </w:tc>
        <w:tc>
          <w:tcPr>
            <w:tcW w:w="3816" w:type="dxa"/>
            <w:gridSpan w:val="6"/>
            <w:vAlign w:val="center"/>
          </w:tcPr>
          <w:p>
            <w:pPr>
              <w:spacing w:line="240" w:lineRule="auto"/>
              <w:ind w:firstLine="0" w:firstLineChars="0"/>
              <w:jc w:val="center"/>
              <w:rPr>
                <w:rFonts w:hint="default" w:ascii="Times New Roman" w:hAnsi="Times New Roman" w:cs="Times New Roman"/>
                <w:color w:val="auto"/>
                <w:kern w:val="21"/>
                <w:sz w:val="21"/>
                <w:szCs w:val="21"/>
              </w:rPr>
            </w:pPr>
            <w:r>
              <w:rPr>
                <w:rFonts w:hint="default" w:ascii="Times New Roman" w:hAnsi="Times New Roman" w:cs="Times New Roman"/>
                <w:color w:val="auto"/>
                <w:kern w:val="21"/>
                <w:sz w:val="21"/>
                <w:szCs w:val="21"/>
              </w:rPr>
              <w:t>预测因子（）</w:t>
            </w:r>
          </w:p>
        </w:tc>
        <w:tc>
          <w:tcPr>
            <w:tcW w:w="2855" w:type="dxa"/>
            <w:gridSpan w:val="5"/>
            <w:vAlign w:val="center"/>
          </w:tcPr>
          <w:p>
            <w:pPr>
              <w:spacing w:line="240" w:lineRule="auto"/>
              <w:ind w:firstLine="0" w:firstLineChars="0"/>
              <w:jc w:val="center"/>
              <w:rPr>
                <w:rFonts w:hint="default" w:ascii="Times New Roman" w:hAnsi="Times New Roman" w:cs="Times New Roman"/>
                <w:color w:val="auto"/>
                <w:kern w:val="21"/>
                <w:sz w:val="21"/>
                <w:szCs w:val="21"/>
              </w:rPr>
            </w:pPr>
            <w:r>
              <w:rPr>
                <w:rFonts w:hint="default" w:ascii="Times New Roman" w:hAnsi="Times New Roman" w:cs="Times New Roman"/>
                <w:color w:val="auto"/>
                <w:kern w:val="21"/>
                <w:sz w:val="21"/>
                <w:szCs w:val="21"/>
              </w:rPr>
              <w:t>包括二次PM</w:t>
            </w:r>
            <w:r>
              <w:rPr>
                <w:rFonts w:hint="default" w:ascii="Times New Roman" w:hAnsi="Times New Roman" w:cs="Times New Roman"/>
                <w:color w:val="auto"/>
                <w:kern w:val="21"/>
                <w:sz w:val="21"/>
                <w:szCs w:val="21"/>
                <w:vertAlign w:val="subscript"/>
              </w:rPr>
              <w:t>2.5</w:t>
            </w:r>
            <w:r>
              <w:rPr>
                <w:rFonts w:hint="default" w:ascii="Times New Roman" w:hAnsi="Times New Roman" w:cs="Times New Roman"/>
                <w:color w:val="auto"/>
                <w:kern w:val="21"/>
                <w:sz w:val="21"/>
                <w:szCs w:val="21"/>
              </w:rPr>
              <w:sym w:font="Wingdings 2" w:char="00A3"/>
            </w:r>
          </w:p>
          <w:p>
            <w:pPr>
              <w:spacing w:line="240" w:lineRule="auto"/>
              <w:ind w:firstLine="0" w:firstLineChars="0"/>
              <w:jc w:val="center"/>
              <w:rPr>
                <w:rFonts w:hint="default" w:ascii="Times New Roman" w:hAnsi="Times New Roman" w:cs="Times New Roman"/>
                <w:color w:val="auto"/>
                <w:kern w:val="21"/>
                <w:sz w:val="21"/>
                <w:szCs w:val="21"/>
              </w:rPr>
            </w:pPr>
            <w:r>
              <w:rPr>
                <w:rFonts w:hint="default" w:ascii="Times New Roman" w:hAnsi="Times New Roman" w:cs="Times New Roman"/>
                <w:color w:val="auto"/>
                <w:kern w:val="21"/>
                <w:sz w:val="21"/>
                <w:szCs w:val="21"/>
              </w:rPr>
              <w:t>不包括二次PM</w:t>
            </w:r>
            <w:r>
              <w:rPr>
                <w:rFonts w:hint="default" w:ascii="Times New Roman" w:hAnsi="Times New Roman" w:cs="Times New Roman"/>
                <w:color w:val="auto"/>
                <w:kern w:val="21"/>
                <w:sz w:val="21"/>
                <w:szCs w:val="21"/>
                <w:vertAlign w:val="subscript"/>
              </w:rPr>
              <w:t>2.5</w:t>
            </w:r>
            <w:r>
              <w:rPr>
                <w:rFonts w:hint="default" w:ascii="Times New Roman" w:hAnsi="Times New Roman" w:cs="Times New Roman"/>
                <w:color w:val="auto"/>
                <w:kern w:val="21"/>
                <w:sz w:val="21"/>
                <w:szCs w:val="21"/>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4" w:type="dxa"/>
            <w:vMerge w:val="continue"/>
            <w:vAlign w:val="center"/>
          </w:tcPr>
          <w:p>
            <w:pPr>
              <w:spacing w:line="240" w:lineRule="auto"/>
              <w:ind w:firstLine="0" w:firstLineChars="0"/>
              <w:jc w:val="center"/>
              <w:rPr>
                <w:rFonts w:hint="default" w:ascii="Times New Roman" w:hAnsi="Times New Roman" w:cs="Times New Roman"/>
                <w:color w:val="auto"/>
                <w:kern w:val="21"/>
                <w:sz w:val="21"/>
                <w:szCs w:val="21"/>
              </w:rPr>
            </w:pPr>
          </w:p>
        </w:tc>
        <w:tc>
          <w:tcPr>
            <w:tcW w:w="1751" w:type="dxa"/>
            <w:vAlign w:val="center"/>
          </w:tcPr>
          <w:p>
            <w:pPr>
              <w:spacing w:line="240" w:lineRule="auto"/>
              <w:ind w:firstLine="0" w:firstLineChars="0"/>
              <w:rPr>
                <w:rFonts w:hint="default" w:ascii="Times New Roman" w:hAnsi="Times New Roman" w:cs="Times New Roman"/>
                <w:color w:val="auto"/>
                <w:kern w:val="21"/>
                <w:sz w:val="21"/>
                <w:szCs w:val="21"/>
              </w:rPr>
            </w:pPr>
            <w:r>
              <w:rPr>
                <w:rFonts w:hint="default" w:ascii="Times New Roman" w:hAnsi="Times New Roman" w:cs="Times New Roman"/>
                <w:color w:val="auto"/>
                <w:kern w:val="21"/>
                <w:sz w:val="21"/>
                <w:szCs w:val="21"/>
              </w:rPr>
              <w:t>正常排放短期浓度贡献值</w:t>
            </w:r>
          </w:p>
        </w:tc>
        <w:tc>
          <w:tcPr>
            <w:tcW w:w="3816" w:type="dxa"/>
            <w:gridSpan w:val="6"/>
            <w:vAlign w:val="center"/>
          </w:tcPr>
          <w:p>
            <w:pPr>
              <w:spacing w:line="240" w:lineRule="auto"/>
              <w:ind w:firstLine="0" w:firstLineChars="0"/>
              <w:rPr>
                <w:rFonts w:hint="default" w:ascii="Times New Roman" w:hAnsi="Times New Roman" w:cs="Times New Roman"/>
                <w:color w:val="auto"/>
                <w:kern w:val="21"/>
                <w:sz w:val="21"/>
                <w:szCs w:val="21"/>
              </w:rPr>
            </w:pPr>
            <w:r>
              <w:rPr>
                <w:rFonts w:hint="default" w:ascii="Times New Roman" w:hAnsi="Times New Roman" w:cs="Times New Roman"/>
                <w:color w:val="auto"/>
                <w:kern w:val="21"/>
                <w:sz w:val="21"/>
                <w:szCs w:val="21"/>
              </w:rPr>
              <w:t>C本项目最大占标率≤100%</w:t>
            </w:r>
            <w:r>
              <w:rPr>
                <w:rFonts w:hint="default" w:ascii="Times New Roman" w:hAnsi="Times New Roman" w:cs="Times New Roman"/>
                <w:color w:val="auto"/>
                <w:kern w:val="21"/>
                <w:sz w:val="21"/>
                <w:szCs w:val="21"/>
              </w:rPr>
              <w:sym w:font="Wingdings 2" w:char="00A3"/>
            </w:r>
          </w:p>
        </w:tc>
        <w:tc>
          <w:tcPr>
            <w:tcW w:w="2855" w:type="dxa"/>
            <w:gridSpan w:val="5"/>
            <w:vAlign w:val="center"/>
          </w:tcPr>
          <w:p>
            <w:pPr>
              <w:spacing w:line="240" w:lineRule="auto"/>
              <w:ind w:firstLine="0" w:firstLineChars="0"/>
              <w:rPr>
                <w:rFonts w:hint="default" w:ascii="Times New Roman" w:hAnsi="Times New Roman" w:cs="Times New Roman"/>
                <w:color w:val="auto"/>
                <w:kern w:val="21"/>
                <w:sz w:val="21"/>
                <w:szCs w:val="21"/>
              </w:rPr>
            </w:pPr>
            <w:r>
              <w:rPr>
                <w:rFonts w:hint="default" w:ascii="Times New Roman" w:hAnsi="Times New Roman" w:cs="Times New Roman"/>
                <w:color w:val="auto"/>
                <w:kern w:val="21"/>
                <w:sz w:val="21"/>
                <w:szCs w:val="21"/>
              </w:rPr>
              <w:t>C本项目最大占标率≥100%</w:t>
            </w:r>
            <w:r>
              <w:rPr>
                <w:rFonts w:hint="default" w:ascii="Times New Roman" w:hAnsi="Times New Roman" w:cs="Times New Roman"/>
                <w:color w:val="auto"/>
                <w:kern w:val="21"/>
                <w:sz w:val="21"/>
                <w:szCs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4" w:type="dxa"/>
            <w:vMerge w:val="continue"/>
            <w:vAlign w:val="center"/>
          </w:tcPr>
          <w:p>
            <w:pPr>
              <w:spacing w:line="240" w:lineRule="auto"/>
              <w:ind w:firstLine="0" w:firstLineChars="0"/>
              <w:jc w:val="center"/>
              <w:rPr>
                <w:rFonts w:hint="default" w:ascii="Times New Roman" w:hAnsi="Times New Roman" w:cs="Times New Roman"/>
                <w:color w:val="auto"/>
                <w:kern w:val="21"/>
                <w:sz w:val="21"/>
                <w:szCs w:val="21"/>
              </w:rPr>
            </w:pPr>
          </w:p>
        </w:tc>
        <w:tc>
          <w:tcPr>
            <w:tcW w:w="1751" w:type="dxa"/>
            <w:vMerge w:val="restart"/>
            <w:vAlign w:val="center"/>
          </w:tcPr>
          <w:p>
            <w:pPr>
              <w:spacing w:line="240" w:lineRule="auto"/>
              <w:ind w:firstLine="0" w:firstLineChars="0"/>
              <w:rPr>
                <w:rFonts w:hint="default" w:ascii="Times New Roman" w:hAnsi="Times New Roman" w:cs="Times New Roman"/>
                <w:color w:val="auto"/>
                <w:kern w:val="21"/>
                <w:sz w:val="21"/>
                <w:szCs w:val="21"/>
              </w:rPr>
            </w:pPr>
            <w:r>
              <w:rPr>
                <w:rFonts w:hint="default" w:ascii="Times New Roman" w:hAnsi="Times New Roman" w:cs="Times New Roman"/>
                <w:color w:val="auto"/>
                <w:kern w:val="21"/>
                <w:sz w:val="21"/>
                <w:szCs w:val="21"/>
              </w:rPr>
              <w:t>正常排放年均浓度贡献值</w:t>
            </w:r>
          </w:p>
        </w:tc>
        <w:tc>
          <w:tcPr>
            <w:tcW w:w="1352" w:type="dxa"/>
            <w:vAlign w:val="center"/>
          </w:tcPr>
          <w:p>
            <w:pPr>
              <w:spacing w:line="240" w:lineRule="auto"/>
              <w:ind w:firstLine="0" w:firstLineChars="0"/>
              <w:rPr>
                <w:rFonts w:hint="default" w:ascii="Times New Roman" w:hAnsi="Times New Roman" w:cs="Times New Roman"/>
                <w:color w:val="auto"/>
                <w:kern w:val="21"/>
                <w:sz w:val="21"/>
                <w:szCs w:val="21"/>
              </w:rPr>
            </w:pPr>
            <w:r>
              <w:rPr>
                <w:rFonts w:hint="default" w:ascii="Times New Roman" w:hAnsi="Times New Roman" w:cs="Times New Roman"/>
                <w:color w:val="auto"/>
                <w:kern w:val="21"/>
                <w:sz w:val="21"/>
                <w:szCs w:val="21"/>
              </w:rPr>
              <w:t>一类区</w:t>
            </w:r>
          </w:p>
        </w:tc>
        <w:tc>
          <w:tcPr>
            <w:tcW w:w="2464" w:type="dxa"/>
            <w:gridSpan w:val="5"/>
            <w:vAlign w:val="center"/>
          </w:tcPr>
          <w:p>
            <w:pPr>
              <w:spacing w:line="240" w:lineRule="auto"/>
              <w:ind w:firstLine="0" w:firstLineChars="0"/>
              <w:rPr>
                <w:rFonts w:hint="default" w:ascii="Times New Roman" w:hAnsi="Times New Roman" w:cs="Times New Roman"/>
                <w:color w:val="auto"/>
                <w:kern w:val="21"/>
                <w:sz w:val="21"/>
                <w:szCs w:val="21"/>
              </w:rPr>
            </w:pPr>
            <w:r>
              <w:rPr>
                <w:rFonts w:hint="default" w:ascii="Times New Roman" w:hAnsi="Times New Roman" w:cs="Times New Roman"/>
                <w:color w:val="auto"/>
                <w:kern w:val="21"/>
                <w:sz w:val="21"/>
                <w:szCs w:val="21"/>
              </w:rPr>
              <w:t>C本项目最大占标率≤10%</w:t>
            </w:r>
            <w:r>
              <w:rPr>
                <w:rFonts w:hint="default" w:ascii="Times New Roman" w:hAnsi="Times New Roman" w:cs="Times New Roman"/>
                <w:color w:val="auto"/>
                <w:kern w:val="21"/>
                <w:sz w:val="21"/>
                <w:szCs w:val="21"/>
              </w:rPr>
              <w:sym w:font="Wingdings 2" w:char="00A3"/>
            </w:r>
          </w:p>
        </w:tc>
        <w:tc>
          <w:tcPr>
            <w:tcW w:w="2855" w:type="dxa"/>
            <w:gridSpan w:val="5"/>
            <w:vAlign w:val="center"/>
          </w:tcPr>
          <w:p>
            <w:pPr>
              <w:spacing w:line="240" w:lineRule="auto"/>
              <w:ind w:firstLine="0" w:firstLineChars="0"/>
              <w:rPr>
                <w:rFonts w:hint="default" w:ascii="Times New Roman" w:hAnsi="Times New Roman" w:cs="Times New Roman"/>
                <w:color w:val="auto"/>
                <w:kern w:val="21"/>
                <w:sz w:val="21"/>
                <w:szCs w:val="21"/>
              </w:rPr>
            </w:pPr>
            <w:r>
              <w:rPr>
                <w:rFonts w:hint="default" w:ascii="Times New Roman" w:hAnsi="Times New Roman" w:cs="Times New Roman"/>
                <w:color w:val="auto"/>
                <w:kern w:val="21"/>
                <w:sz w:val="21"/>
                <w:szCs w:val="21"/>
              </w:rPr>
              <w:t>C本项目最大占标率＞10%</w:t>
            </w:r>
            <w:r>
              <w:rPr>
                <w:rFonts w:hint="default" w:ascii="Times New Roman" w:hAnsi="Times New Roman" w:cs="Times New Roman"/>
                <w:color w:val="auto"/>
                <w:kern w:val="21"/>
                <w:sz w:val="21"/>
                <w:szCs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4" w:type="dxa"/>
            <w:vMerge w:val="continue"/>
            <w:vAlign w:val="center"/>
          </w:tcPr>
          <w:p>
            <w:pPr>
              <w:spacing w:line="240" w:lineRule="auto"/>
              <w:ind w:firstLine="0" w:firstLineChars="0"/>
              <w:jc w:val="center"/>
              <w:rPr>
                <w:rFonts w:hint="default" w:ascii="Times New Roman" w:hAnsi="Times New Roman" w:cs="Times New Roman"/>
                <w:color w:val="auto"/>
                <w:kern w:val="21"/>
                <w:sz w:val="21"/>
                <w:szCs w:val="21"/>
              </w:rPr>
            </w:pPr>
          </w:p>
        </w:tc>
        <w:tc>
          <w:tcPr>
            <w:tcW w:w="1751" w:type="dxa"/>
            <w:vMerge w:val="continue"/>
            <w:vAlign w:val="center"/>
          </w:tcPr>
          <w:p>
            <w:pPr>
              <w:spacing w:line="240" w:lineRule="auto"/>
              <w:ind w:firstLine="0" w:firstLineChars="0"/>
              <w:jc w:val="center"/>
              <w:rPr>
                <w:rFonts w:hint="default" w:ascii="Times New Roman" w:hAnsi="Times New Roman" w:cs="Times New Roman"/>
                <w:color w:val="auto"/>
                <w:kern w:val="21"/>
                <w:sz w:val="21"/>
                <w:szCs w:val="21"/>
              </w:rPr>
            </w:pPr>
          </w:p>
        </w:tc>
        <w:tc>
          <w:tcPr>
            <w:tcW w:w="1352" w:type="dxa"/>
            <w:vAlign w:val="center"/>
          </w:tcPr>
          <w:p>
            <w:pPr>
              <w:spacing w:line="240" w:lineRule="auto"/>
              <w:ind w:firstLine="0" w:firstLineChars="0"/>
              <w:rPr>
                <w:rFonts w:hint="default" w:ascii="Times New Roman" w:hAnsi="Times New Roman" w:cs="Times New Roman"/>
                <w:color w:val="auto"/>
                <w:kern w:val="21"/>
                <w:sz w:val="21"/>
                <w:szCs w:val="21"/>
              </w:rPr>
            </w:pPr>
            <w:r>
              <w:rPr>
                <w:rFonts w:hint="default" w:ascii="Times New Roman" w:hAnsi="Times New Roman" w:cs="Times New Roman"/>
                <w:color w:val="auto"/>
                <w:kern w:val="21"/>
                <w:sz w:val="21"/>
                <w:szCs w:val="21"/>
              </w:rPr>
              <w:t>二类区</w:t>
            </w:r>
          </w:p>
        </w:tc>
        <w:tc>
          <w:tcPr>
            <w:tcW w:w="2464" w:type="dxa"/>
            <w:gridSpan w:val="5"/>
            <w:vAlign w:val="center"/>
          </w:tcPr>
          <w:p>
            <w:pPr>
              <w:spacing w:line="240" w:lineRule="auto"/>
              <w:ind w:firstLine="0" w:firstLineChars="0"/>
              <w:rPr>
                <w:rFonts w:hint="default" w:ascii="Times New Roman" w:hAnsi="Times New Roman" w:cs="Times New Roman"/>
                <w:color w:val="auto"/>
                <w:kern w:val="21"/>
                <w:sz w:val="21"/>
                <w:szCs w:val="21"/>
              </w:rPr>
            </w:pPr>
            <w:r>
              <w:rPr>
                <w:rFonts w:hint="default" w:ascii="Times New Roman" w:hAnsi="Times New Roman" w:cs="Times New Roman"/>
                <w:color w:val="auto"/>
                <w:kern w:val="21"/>
                <w:sz w:val="21"/>
                <w:szCs w:val="21"/>
              </w:rPr>
              <w:t>C本项目最大占标率≤30%□</w:t>
            </w:r>
          </w:p>
        </w:tc>
        <w:tc>
          <w:tcPr>
            <w:tcW w:w="2855" w:type="dxa"/>
            <w:gridSpan w:val="5"/>
            <w:vAlign w:val="center"/>
          </w:tcPr>
          <w:p>
            <w:pPr>
              <w:spacing w:line="240" w:lineRule="auto"/>
              <w:ind w:firstLine="0" w:firstLineChars="0"/>
              <w:rPr>
                <w:rFonts w:hint="default" w:ascii="Times New Roman" w:hAnsi="Times New Roman" w:cs="Times New Roman"/>
                <w:color w:val="auto"/>
                <w:kern w:val="21"/>
                <w:sz w:val="21"/>
                <w:szCs w:val="21"/>
              </w:rPr>
            </w:pPr>
            <w:r>
              <w:rPr>
                <w:rFonts w:hint="default" w:ascii="Times New Roman" w:hAnsi="Times New Roman" w:cs="Times New Roman"/>
                <w:color w:val="auto"/>
                <w:kern w:val="21"/>
                <w:sz w:val="21"/>
                <w:szCs w:val="21"/>
              </w:rPr>
              <w:t>C本项目最大占标率＞30%</w:t>
            </w:r>
            <w:r>
              <w:rPr>
                <w:rFonts w:hint="default" w:ascii="Times New Roman" w:hAnsi="Times New Roman" w:cs="Times New Roman"/>
                <w:color w:val="auto"/>
                <w:kern w:val="21"/>
                <w:sz w:val="21"/>
                <w:szCs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4" w:type="dxa"/>
            <w:vMerge w:val="continue"/>
            <w:vAlign w:val="center"/>
          </w:tcPr>
          <w:p>
            <w:pPr>
              <w:spacing w:line="240" w:lineRule="auto"/>
              <w:ind w:firstLine="0" w:firstLineChars="0"/>
              <w:jc w:val="center"/>
              <w:rPr>
                <w:rFonts w:hint="default" w:ascii="Times New Roman" w:hAnsi="Times New Roman" w:cs="Times New Roman"/>
                <w:color w:val="auto"/>
                <w:kern w:val="21"/>
                <w:sz w:val="21"/>
                <w:szCs w:val="21"/>
              </w:rPr>
            </w:pPr>
          </w:p>
        </w:tc>
        <w:tc>
          <w:tcPr>
            <w:tcW w:w="1751" w:type="dxa"/>
            <w:vAlign w:val="center"/>
          </w:tcPr>
          <w:p>
            <w:pPr>
              <w:spacing w:line="240" w:lineRule="auto"/>
              <w:ind w:firstLine="0" w:firstLineChars="0"/>
              <w:rPr>
                <w:rFonts w:hint="default" w:ascii="Times New Roman" w:hAnsi="Times New Roman" w:cs="Times New Roman"/>
                <w:color w:val="auto"/>
                <w:kern w:val="21"/>
                <w:sz w:val="21"/>
                <w:szCs w:val="21"/>
              </w:rPr>
            </w:pPr>
            <w:r>
              <w:rPr>
                <w:rFonts w:hint="default" w:ascii="Times New Roman" w:hAnsi="Times New Roman" w:cs="Times New Roman"/>
                <w:color w:val="auto"/>
                <w:kern w:val="21"/>
                <w:sz w:val="21"/>
                <w:szCs w:val="21"/>
              </w:rPr>
              <w:t>非正常排放1h浓度贡献值</w:t>
            </w:r>
          </w:p>
        </w:tc>
        <w:tc>
          <w:tcPr>
            <w:tcW w:w="1352" w:type="dxa"/>
            <w:vAlign w:val="center"/>
          </w:tcPr>
          <w:p>
            <w:pPr>
              <w:spacing w:line="240" w:lineRule="auto"/>
              <w:ind w:firstLine="0" w:firstLineChars="0"/>
              <w:rPr>
                <w:rFonts w:hint="default" w:ascii="Times New Roman" w:hAnsi="Times New Roman" w:cs="Times New Roman"/>
                <w:color w:val="auto"/>
                <w:kern w:val="21"/>
                <w:sz w:val="21"/>
                <w:szCs w:val="21"/>
              </w:rPr>
            </w:pPr>
            <w:r>
              <w:rPr>
                <w:rFonts w:hint="default" w:ascii="Times New Roman" w:hAnsi="Times New Roman" w:cs="Times New Roman"/>
                <w:color w:val="auto"/>
                <w:kern w:val="21"/>
                <w:sz w:val="21"/>
                <w:szCs w:val="21"/>
              </w:rPr>
              <w:t>非正常持续时长（）h</w:t>
            </w:r>
          </w:p>
        </w:tc>
        <w:tc>
          <w:tcPr>
            <w:tcW w:w="2464" w:type="dxa"/>
            <w:gridSpan w:val="5"/>
            <w:vAlign w:val="center"/>
          </w:tcPr>
          <w:p>
            <w:pPr>
              <w:spacing w:line="240" w:lineRule="auto"/>
              <w:ind w:firstLine="0" w:firstLineChars="0"/>
              <w:rPr>
                <w:rFonts w:hint="default" w:ascii="Times New Roman" w:hAnsi="Times New Roman" w:cs="Times New Roman"/>
                <w:color w:val="auto"/>
                <w:kern w:val="21"/>
                <w:sz w:val="21"/>
                <w:szCs w:val="21"/>
              </w:rPr>
            </w:pPr>
            <w:r>
              <w:rPr>
                <w:rFonts w:hint="default" w:ascii="Times New Roman" w:hAnsi="Times New Roman" w:cs="Times New Roman"/>
                <w:color w:val="auto"/>
                <w:kern w:val="21"/>
                <w:sz w:val="21"/>
                <w:szCs w:val="21"/>
              </w:rPr>
              <w:t>C非正常占标率≤100%</w:t>
            </w:r>
            <w:r>
              <w:rPr>
                <w:rFonts w:hint="default" w:ascii="Times New Roman" w:hAnsi="Times New Roman" w:cs="Times New Roman"/>
                <w:color w:val="auto"/>
                <w:kern w:val="21"/>
                <w:sz w:val="21"/>
                <w:szCs w:val="21"/>
              </w:rPr>
              <w:sym w:font="Wingdings 2" w:char="00A3"/>
            </w:r>
          </w:p>
        </w:tc>
        <w:tc>
          <w:tcPr>
            <w:tcW w:w="2855" w:type="dxa"/>
            <w:gridSpan w:val="5"/>
            <w:vAlign w:val="center"/>
          </w:tcPr>
          <w:p>
            <w:pPr>
              <w:spacing w:line="240" w:lineRule="auto"/>
              <w:ind w:firstLine="0" w:firstLineChars="0"/>
              <w:rPr>
                <w:rFonts w:hint="default" w:ascii="Times New Roman" w:hAnsi="Times New Roman" w:cs="Times New Roman"/>
                <w:color w:val="auto"/>
                <w:kern w:val="21"/>
                <w:sz w:val="21"/>
                <w:szCs w:val="21"/>
              </w:rPr>
            </w:pPr>
            <w:r>
              <w:rPr>
                <w:rFonts w:hint="default" w:ascii="Times New Roman" w:hAnsi="Times New Roman" w:cs="Times New Roman"/>
                <w:color w:val="auto"/>
                <w:kern w:val="21"/>
                <w:sz w:val="21"/>
                <w:szCs w:val="21"/>
              </w:rPr>
              <w:t>C非正常占标率＞100%</w:t>
            </w:r>
            <w:r>
              <w:rPr>
                <w:rFonts w:hint="default" w:ascii="Times New Roman" w:hAnsi="Times New Roman" w:cs="Times New Roman"/>
                <w:color w:val="auto"/>
                <w:kern w:val="21"/>
                <w:sz w:val="21"/>
                <w:szCs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4" w:type="dxa"/>
            <w:vMerge w:val="continue"/>
            <w:vAlign w:val="center"/>
          </w:tcPr>
          <w:p>
            <w:pPr>
              <w:spacing w:line="240" w:lineRule="auto"/>
              <w:ind w:firstLine="0" w:firstLineChars="0"/>
              <w:jc w:val="center"/>
              <w:rPr>
                <w:rFonts w:hint="default" w:ascii="Times New Roman" w:hAnsi="Times New Roman" w:cs="Times New Roman"/>
                <w:color w:val="auto"/>
                <w:kern w:val="21"/>
                <w:sz w:val="21"/>
                <w:szCs w:val="21"/>
              </w:rPr>
            </w:pPr>
          </w:p>
        </w:tc>
        <w:tc>
          <w:tcPr>
            <w:tcW w:w="1751" w:type="dxa"/>
            <w:vAlign w:val="center"/>
          </w:tcPr>
          <w:p>
            <w:pPr>
              <w:spacing w:line="240" w:lineRule="auto"/>
              <w:ind w:firstLine="0" w:firstLineChars="0"/>
              <w:rPr>
                <w:rFonts w:hint="default" w:ascii="Times New Roman" w:hAnsi="Times New Roman" w:cs="Times New Roman"/>
                <w:color w:val="auto"/>
                <w:kern w:val="21"/>
                <w:sz w:val="21"/>
                <w:szCs w:val="21"/>
              </w:rPr>
            </w:pPr>
            <w:r>
              <w:rPr>
                <w:rFonts w:hint="default" w:ascii="Times New Roman" w:hAnsi="Times New Roman" w:cs="Times New Roman"/>
                <w:color w:val="auto"/>
                <w:kern w:val="21"/>
                <w:sz w:val="21"/>
                <w:szCs w:val="21"/>
              </w:rPr>
              <w:t>保证率日平均浓度和年平均浓度叠加值</w:t>
            </w:r>
          </w:p>
        </w:tc>
        <w:tc>
          <w:tcPr>
            <w:tcW w:w="3816" w:type="dxa"/>
            <w:gridSpan w:val="6"/>
            <w:vAlign w:val="center"/>
          </w:tcPr>
          <w:p>
            <w:pPr>
              <w:spacing w:line="240" w:lineRule="auto"/>
              <w:ind w:firstLine="0" w:firstLineChars="0"/>
              <w:jc w:val="center"/>
              <w:rPr>
                <w:rFonts w:hint="default" w:ascii="Times New Roman" w:hAnsi="Times New Roman" w:cs="Times New Roman"/>
                <w:color w:val="auto"/>
                <w:kern w:val="21"/>
                <w:sz w:val="21"/>
                <w:szCs w:val="21"/>
              </w:rPr>
            </w:pPr>
            <w:r>
              <w:rPr>
                <w:rFonts w:hint="default" w:ascii="Times New Roman" w:hAnsi="Times New Roman" w:cs="Times New Roman"/>
                <w:color w:val="auto"/>
                <w:kern w:val="21"/>
                <w:sz w:val="21"/>
                <w:szCs w:val="21"/>
              </w:rPr>
              <w:t>C叠加达标□</w:t>
            </w:r>
          </w:p>
        </w:tc>
        <w:tc>
          <w:tcPr>
            <w:tcW w:w="2855" w:type="dxa"/>
            <w:gridSpan w:val="5"/>
            <w:vAlign w:val="center"/>
          </w:tcPr>
          <w:p>
            <w:pPr>
              <w:spacing w:line="240" w:lineRule="auto"/>
              <w:ind w:firstLine="0" w:firstLineChars="0"/>
              <w:jc w:val="center"/>
              <w:rPr>
                <w:rFonts w:hint="default" w:ascii="Times New Roman" w:hAnsi="Times New Roman" w:cs="Times New Roman"/>
                <w:color w:val="auto"/>
                <w:kern w:val="21"/>
                <w:sz w:val="21"/>
                <w:szCs w:val="21"/>
              </w:rPr>
            </w:pPr>
            <w:r>
              <w:rPr>
                <w:rFonts w:hint="default" w:ascii="Times New Roman" w:hAnsi="Times New Roman" w:cs="Times New Roman"/>
                <w:color w:val="auto"/>
                <w:kern w:val="21"/>
                <w:sz w:val="21"/>
                <w:szCs w:val="21"/>
              </w:rPr>
              <w:t>C叠加不达标</w:t>
            </w:r>
            <w:r>
              <w:rPr>
                <w:rFonts w:hint="default" w:ascii="Times New Roman" w:hAnsi="Times New Roman" w:cs="Times New Roman"/>
                <w:color w:val="auto"/>
                <w:kern w:val="21"/>
                <w:sz w:val="21"/>
                <w:szCs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4" w:type="dxa"/>
            <w:vMerge w:val="continue"/>
            <w:vAlign w:val="center"/>
          </w:tcPr>
          <w:p>
            <w:pPr>
              <w:spacing w:line="240" w:lineRule="auto"/>
              <w:ind w:firstLine="0" w:firstLineChars="0"/>
              <w:jc w:val="center"/>
              <w:rPr>
                <w:rFonts w:hint="default" w:ascii="Times New Roman" w:hAnsi="Times New Roman" w:cs="Times New Roman"/>
                <w:color w:val="auto"/>
                <w:kern w:val="21"/>
                <w:sz w:val="21"/>
                <w:szCs w:val="21"/>
              </w:rPr>
            </w:pPr>
          </w:p>
        </w:tc>
        <w:tc>
          <w:tcPr>
            <w:tcW w:w="1751" w:type="dxa"/>
            <w:vAlign w:val="center"/>
          </w:tcPr>
          <w:p>
            <w:pPr>
              <w:spacing w:line="240" w:lineRule="auto"/>
              <w:ind w:firstLine="0" w:firstLineChars="0"/>
              <w:rPr>
                <w:rFonts w:hint="default" w:ascii="Times New Roman" w:hAnsi="Times New Roman" w:cs="Times New Roman"/>
                <w:color w:val="auto"/>
                <w:kern w:val="21"/>
                <w:sz w:val="21"/>
                <w:szCs w:val="21"/>
              </w:rPr>
            </w:pPr>
            <w:r>
              <w:rPr>
                <w:rFonts w:hint="default" w:ascii="Times New Roman" w:hAnsi="Times New Roman" w:cs="Times New Roman"/>
                <w:color w:val="auto"/>
                <w:kern w:val="21"/>
                <w:sz w:val="21"/>
                <w:szCs w:val="21"/>
              </w:rPr>
              <w:t>区域环境质量的整体变化情况</w:t>
            </w:r>
          </w:p>
        </w:tc>
        <w:tc>
          <w:tcPr>
            <w:tcW w:w="3816" w:type="dxa"/>
            <w:gridSpan w:val="6"/>
            <w:vAlign w:val="center"/>
          </w:tcPr>
          <w:p>
            <w:pPr>
              <w:spacing w:line="240" w:lineRule="auto"/>
              <w:ind w:firstLine="0" w:firstLineChars="0"/>
              <w:jc w:val="center"/>
              <w:rPr>
                <w:rFonts w:hint="default" w:ascii="Times New Roman" w:hAnsi="Times New Roman" w:cs="Times New Roman"/>
                <w:color w:val="auto"/>
                <w:kern w:val="21"/>
                <w:sz w:val="21"/>
                <w:szCs w:val="21"/>
              </w:rPr>
            </w:pPr>
            <w:r>
              <w:rPr>
                <w:rFonts w:hint="default" w:ascii="Times New Roman" w:hAnsi="Times New Roman" w:cs="Times New Roman"/>
                <w:color w:val="auto"/>
                <w:kern w:val="21"/>
                <w:sz w:val="21"/>
                <w:szCs w:val="21"/>
              </w:rPr>
              <w:t>k≤-20%□</w:t>
            </w:r>
          </w:p>
        </w:tc>
        <w:tc>
          <w:tcPr>
            <w:tcW w:w="2855" w:type="dxa"/>
            <w:gridSpan w:val="5"/>
            <w:vAlign w:val="center"/>
          </w:tcPr>
          <w:p>
            <w:pPr>
              <w:spacing w:line="240" w:lineRule="auto"/>
              <w:ind w:firstLine="0" w:firstLineChars="0"/>
              <w:jc w:val="center"/>
              <w:rPr>
                <w:rFonts w:hint="default" w:ascii="Times New Roman" w:hAnsi="Times New Roman" w:cs="Times New Roman"/>
                <w:color w:val="auto"/>
                <w:kern w:val="21"/>
                <w:sz w:val="21"/>
                <w:szCs w:val="21"/>
              </w:rPr>
            </w:pPr>
            <w:r>
              <w:rPr>
                <w:rFonts w:hint="default" w:ascii="Times New Roman" w:hAnsi="Times New Roman" w:cs="Times New Roman"/>
                <w:color w:val="auto"/>
                <w:kern w:val="21"/>
                <w:sz w:val="21"/>
                <w:szCs w:val="21"/>
              </w:rPr>
              <w:t>k＞-20%</w:t>
            </w:r>
            <w:r>
              <w:rPr>
                <w:rFonts w:hint="default" w:ascii="Times New Roman" w:hAnsi="Times New Roman" w:cs="Times New Roman"/>
                <w:color w:val="auto"/>
                <w:kern w:val="21"/>
                <w:sz w:val="21"/>
                <w:szCs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4" w:type="dxa"/>
            <w:vMerge w:val="restart"/>
            <w:vAlign w:val="center"/>
          </w:tcPr>
          <w:p>
            <w:pPr>
              <w:spacing w:line="240" w:lineRule="auto"/>
              <w:ind w:firstLine="0" w:firstLineChars="0"/>
              <w:rPr>
                <w:rFonts w:hint="default" w:ascii="Times New Roman" w:hAnsi="Times New Roman" w:cs="Times New Roman"/>
                <w:color w:val="auto"/>
                <w:kern w:val="21"/>
                <w:sz w:val="21"/>
                <w:szCs w:val="21"/>
              </w:rPr>
            </w:pPr>
            <w:r>
              <w:rPr>
                <w:rFonts w:hint="default" w:ascii="Times New Roman" w:hAnsi="Times New Roman" w:cs="Times New Roman"/>
                <w:color w:val="auto"/>
                <w:kern w:val="21"/>
                <w:sz w:val="21"/>
                <w:szCs w:val="21"/>
              </w:rPr>
              <w:t>环境监测计划</w:t>
            </w:r>
          </w:p>
        </w:tc>
        <w:tc>
          <w:tcPr>
            <w:tcW w:w="1751" w:type="dxa"/>
            <w:vAlign w:val="center"/>
          </w:tcPr>
          <w:p>
            <w:pPr>
              <w:spacing w:line="240" w:lineRule="auto"/>
              <w:ind w:firstLine="0" w:firstLineChars="0"/>
              <w:jc w:val="center"/>
              <w:rPr>
                <w:rFonts w:hint="default" w:ascii="Times New Roman" w:hAnsi="Times New Roman" w:cs="Times New Roman"/>
                <w:color w:val="auto"/>
                <w:kern w:val="21"/>
                <w:sz w:val="21"/>
                <w:szCs w:val="21"/>
              </w:rPr>
            </w:pPr>
            <w:r>
              <w:rPr>
                <w:rFonts w:hint="default" w:ascii="Times New Roman" w:hAnsi="Times New Roman" w:cs="Times New Roman"/>
                <w:color w:val="auto"/>
                <w:kern w:val="21"/>
                <w:sz w:val="21"/>
                <w:szCs w:val="21"/>
              </w:rPr>
              <w:t>污染源监测</w:t>
            </w:r>
          </w:p>
        </w:tc>
        <w:tc>
          <w:tcPr>
            <w:tcW w:w="1943" w:type="dxa"/>
            <w:gridSpan w:val="2"/>
            <w:vAlign w:val="center"/>
          </w:tcPr>
          <w:p>
            <w:pPr>
              <w:spacing w:line="240" w:lineRule="auto"/>
              <w:ind w:firstLine="0" w:firstLineChars="0"/>
              <w:jc w:val="center"/>
              <w:rPr>
                <w:rFonts w:hint="default" w:ascii="Times New Roman" w:hAnsi="Times New Roman" w:cs="Times New Roman"/>
                <w:color w:val="auto"/>
                <w:kern w:val="21"/>
                <w:sz w:val="21"/>
                <w:szCs w:val="21"/>
              </w:rPr>
            </w:pPr>
            <w:r>
              <w:rPr>
                <w:rFonts w:hint="default" w:ascii="Times New Roman" w:hAnsi="Times New Roman" w:cs="Times New Roman"/>
                <w:color w:val="auto"/>
                <w:kern w:val="21"/>
                <w:sz w:val="21"/>
                <w:szCs w:val="21"/>
              </w:rPr>
              <w:t>监测因子：（</w:t>
            </w:r>
            <w:r>
              <w:rPr>
                <w:rFonts w:hint="default" w:ascii="Times New Roman" w:hAnsi="Times New Roman" w:cs="Times New Roman"/>
                <w:color w:val="auto"/>
                <w:kern w:val="21"/>
                <w:sz w:val="21"/>
                <w:szCs w:val="21"/>
                <w:lang w:eastAsia="zh-CN"/>
              </w:rPr>
              <w:t>非甲烷总烃、颗粒物、氟化物、氨、硫化氢</w:t>
            </w:r>
            <w:r>
              <w:rPr>
                <w:rFonts w:hint="default" w:ascii="Times New Roman" w:hAnsi="Times New Roman" w:cs="Times New Roman"/>
                <w:color w:val="auto"/>
                <w:kern w:val="21"/>
                <w:sz w:val="21"/>
                <w:szCs w:val="21"/>
              </w:rPr>
              <w:t>）</w:t>
            </w:r>
          </w:p>
        </w:tc>
        <w:tc>
          <w:tcPr>
            <w:tcW w:w="1873" w:type="dxa"/>
            <w:gridSpan w:val="4"/>
            <w:vAlign w:val="center"/>
          </w:tcPr>
          <w:p>
            <w:pPr>
              <w:spacing w:line="240" w:lineRule="auto"/>
              <w:ind w:firstLine="0" w:firstLineChars="0"/>
              <w:jc w:val="center"/>
              <w:rPr>
                <w:rFonts w:hint="default" w:ascii="Times New Roman" w:hAnsi="Times New Roman" w:cs="Times New Roman"/>
                <w:color w:val="auto"/>
                <w:kern w:val="21"/>
                <w:sz w:val="21"/>
                <w:szCs w:val="21"/>
              </w:rPr>
            </w:pPr>
            <w:r>
              <w:rPr>
                <w:rFonts w:hint="default" w:ascii="Times New Roman" w:hAnsi="Times New Roman" w:cs="Times New Roman"/>
                <w:color w:val="auto"/>
                <w:kern w:val="21"/>
                <w:sz w:val="21"/>
                <w:szCs w:val="21"/>
              </w:rPr>
              <w:t>有组织废气监测</w:t>
            </w:r>
            <w:r>
              <w:rPr>
                <w:rFonts w:hint="default" w:ascii="Times New Roman" w:hAnsi="Times New Roman" w:cs="Times New Roman"/>
                <w:color w:val="auto"/>
                <w:kern w:val="21"/>
                <w:sz w:val="21"/>
                <w:szCs w:val="21"/>
              </w:rPr>
              <w:sym w:font="Wingdings 2" w:char="0052"/>
            </w:r>
          </w:p>
          <w:p>
            <w:pPr>
              <w:spacing w:line="240" w:lineRule="auto"/>
              <w:ind w:firstLine="0" w:firstLineChars="0"/>
              <w:jc w:val="center"/>
              <w:rPr>
                <w:rFonts w:hint="default" w:ascii="Times New Roman" w:hAnsi="Times New Roman" w:cs="Times New Roman"/>
                <w:color w:val="auto"/>
                <w:kern w:val="21"/>
                <w:sz w:val="21"/>
                <w:szCs w:val="21"/>
              </w:rPr>
            </w:pPr>
            <w:r>
              <w:rPr>
                <w:rFonts w:hint="default" w:ascii="Times New Roman" w:hAnsi="Times New Roman" w:cs="Times New Roman"/>
                <w:color w:val="auto"/>
                <w:kern w:val="21"/>
                <w:sz w:val="21"/>
                <w:szCs w:val="21"/>
              </w:rPr>
              <w:t>无组织废气监测</w:t>
            </w:r>
            <w:r>
              <w:rPr>
                <w:rFonts w:hint="default" w:ascii="Times New Roman" w:hAnsi="Times New Roman" w:cs="Times New Roman"/>
                <w:color w:val="auto"/>
                <w:kern w:val="21"/>
                <w:sz w:val="21"/>
                <w:szCs w:val="21"/>
              </w:rPr>
              <w:sym w:font="Wingdings 2" w:char="0052"/>
            </w:r>
          </w:p>
        </w:tc>
        <w:tc>
          <w:tcPr>
            <w:tcW w:w="2855" w:type="dxa"/>
            <w:gridSpan w:val="5"/>
            <w:vAlign w:val="center"/>
          </w:tcPr>
          <w:p>
            <w:pPr>
              <w:spacing w:line="240" w:lineRule="auto"/>
              <w:ind w:firstLine="0" w:firstLineChars="0"/>
              <w:jc w:val="center"/>
              <w:rPr>
                <w:rFonts w:hint="default" w:ascii="Times New Roman" w:hAnsi="Times New Roman" w:cs="Times New Roman"/>
                <w:color w:val="auto"/>
                <w:kern w:val="21"/>
                <w:sz w:val="21"/>
                <w:szCs w:val="21"/>
              </w:rPr>
            </w:pPr>
            <w:r>
              <w:rPr>
                <w:rFonts w:hint="default" w:ascii="Times New Roman" w:hAnsi="Times New Roman" w:cs="Times New Roman"/>
                <w:color w:val="auto"/>
                <w:kern w:val="21"/>
                <w:sz w:val="21"/>
                <w:szCs w:val="21"/>
              </w:rPr>
              <w:t>无监测</w:t>
            </w:r>
            <w:r>
              <w:rPr>
                <w:rFonts w:hint="default" w:ascii="Times New Roman" w:hAnsi="Times New Roman" w:cs="Times New Roman"/>
                <w:color w:val="auto"/>
                <w:kern w:val="21"/>
                <w:sz w:val="21"/>
                <w:szCs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4" w:type="dxa"/>
            <w:vMerge w:val="continue"/>
            <w:vAlign w:val="center"/>
          </w:tcPr>
          <w:p>
            <w:pPr>
              <w:spacing w:line="240" w:lineRule="auto"/>
              <w:ind w:firstLine="0" w:firstLineChars="0"/>
              <w:jc w:val="center"/>
              <w:rPr>
                <w:rFonts w:hint="default" w:ascii="Times New Roman" w:hAnsi="Times New Roman" w:cs="Times New Roman"/>
                <w:color w:val="auto"/>
                <w:kern w:val="21"/>
                <w:sz w:val="21"/>
                <w:szCs w:val="21"/>
              </w:rPr>
            </w:pPr>
          </w:p>
        </w:tc>
        <w:tc>
          <w:tcPr>
            <w:tcW w:w="1751" w:type="dxa"/>
            <w:vAlign w:val="center"/>
          </w:tcPr>
          <w:p>
            <w:pPr>
              <w:spacing w:line="240" w:lineRule="auto"/>
              <w:ind w:firstLine="0" w:firstLineChars="0"/>
              <w:jc w:val="center"/>
              <w:rPr>
                <w:rFonts w:hint="default" w:ascii="Times New Roman" w:hAnsi="Times New Roman" w:cs="Times New Roman"/>
                <w:color w:val="auto"/>
                <w:kern w:val="21"/>
                <w:sz w:val="21"/>
                <w:szCs w:val="21"/>
              </w:rPr>
            </w:pPr>
            <w:r>
              <w:rPr>
                <w:rFonts w:hint="default" w:ascii="Times New Roman" w:hAnsi="Times New Roman" w:cs="Times New Roman"/>
                <w:color w:val="auto"/>
                <w:kern w:val="21"/>
                <w:sz w:val="21"/>
                <w:szCs w:val="21"/>
              </w:rPr>
              <w:t>环境质量监测</w:t>
            </w:r>
          </w:p>
        </w:tc>
        <w:tc>
          <w:tcPr>
            <w:tcW w:w="2299" w:type="dxa"/>
            <w:gridSpan w:val="3"/>
            <w:vAlign w:val="center"/>
          </w:tcPr>
          <w:p>
            <w:pPr>
              <w:spacing w:line="240" w:lineRule="auto"/>
              <w:ind w:firstLine="0" w:firstLineChars="0"/>
              <w:jc w:val="center"/>
              <w:rPr>
                <w:rFonts w:hint="default" w:ascii="Times New Roman" w:hAnsi="Times New Roman" w:cs="Times New Roman"/>
                <w:color w:val="auto"/>
                <w:kern w:val="21"/>
                <w:sz w:val="21"/>
                <w:szCs w:val="21"/>
              </w:rPr>
            </w:pPr>
            <w:r>
              <w:rPr>
                <w:rFonts w:hint="default" w:ascii="Times New Roman" w:hAnsi="Times New Roman" w:cs="Times New Roman"/>
                <w:color w:val="auto"/>
                <w:kern w:val="21"/>
                <w:sz w:val="21"/>
                <w:szCs w:val="21"/>
              </w:rPr>
              <w:t>监测因子：（</w:t>
            </w:r>
            <w:r>
              <w:rPr>
                <w:rFonts w:hint="default" w:ascii="Times New Roman" w:hAnsi="Times New Roman" w:cs="Times New Roman"/>
                <w:color w:val="auto"/>
                <w:kern w:val="21"/>
                <w:sz w:val="21"/>
                <w:szCs w:val="21"/>
                <w:lang w:eastAsia="zh-CN"/>
              </w:rPr>
              <w:t>非甲烷总烃、颗粒物、氟化物、氨、硫化氢</w:t>
            </w:r>
            <w:r>
              <w:rPr>
                <w:rFonts w:hint="default" w:ascii="Times New Roman" w:hAnsi="Times New Roman" w:cs="Times New Roman"/>
                <w:color w:val="auto"/>
                <w:kern w:val="21"/>
                <w:sz w:val="21"/>
                <w:szCs w:val="21"/>
              </w:rPr>
              <w:t>）</w:t>
            </w:r>
          </w:p>
        </w:tc>
        <w:tc>
          <w:tcPr>
            <w:tcW w:w="1517" w:type="dxa"/>
            <w:gridSpan w:val="3"/>
            <w:vAlign w:val="center"/>
          </w:tcPr>
          <w:p>
            <w:pPr>
              <w:spacing w:line="240" w:lineRule="auto"/>
              <w:ind w:firstLine="0" w:firstLineChars="0"/>
              <w:jc w:val="center"/>
              <w:rPr>
                <w:rFonts w:hint="default" w:ascii="Times New Roman" w:hAnsi="Times New Roman" w:cs="Times New Roman"/>
                <w:color w:val="auto"/>
                <w:kern w:val="21"/>
                <w:sz w:val="21"/>
                <w:szCs w:val="21"/>
              </w:rPr>
            </w:pPr>
            <w:r>
              <w:rPr>
                <w:rFonts w:hint="default" w:ascii="Times New Roman" w:hAnsi="Times New Roman" w:cs="Times New Roman"/>
                <w:color w:val="auto"/>
                <w:kern w:val="21"/>
                <w:sz w:val="21"/>
                <w:szCs w:val="21"/>
              </w:rPr>
              <w:t>监测点位数（</w:t>
            </w:r>
            <w:r>
              <w:rPr>
                <w:rFonts w:hint="default" w:ascii="Times New Roman" w:hAnsi="Times New Roman" w:cs="Times New Roman"/>
                <w:color w:val="auto"/>
                <w:kern w:val="21"/>
                <w:sz w:val="21"/>
                <w:szCs w:val="21"/>
                <w:lang w:val="en-US" w:eastAsia="zh-CN"/>
              </w:rPr>
              <w:t>5</w:t>
            </w:r>
            <w:r>
              <w:rPr>
                <w:rFonts w:hint="default" w:ascii="Times New Roman" w:hAnsi="Times New Roman" w:cs="Times New Roman"/>
                <w:color w:val="auto"/>
                <w:kern w:val="21"/>
                <w:sz w:val="21"/>
                <w:szCs w:val="21"/>
              </w:rPr>
              <w:t>）</w:t>
            </w:r>
          </w:p>
        </w:tc>
        <w:tc>
          <w:tcPr>
            <w:tcW w:w="2855" w:type="dxa"/>
            <w:gridSpan w:val="5"/>
            <w:vAlign w:val="center"/>
          </w:tcPr>
          <w:p>
            <w:pPr>
              <w:spacing w:line="240" w:lineRule="auto"/>
              <w:ind w:firstLine="0" w:firstLineChars="0"/>
              <w:jc w:val="center"/>
              <w:rPr>
                <w:rFonts w:hint="default" w:ascii="Times New Roman" w:hAnsi="Times New Roman" w:cs="Times New Roman"/>
                <w:color w:val="auto"/>
                <w:kern w:val="21"/>
                <w:sz w:val="21"/>
                <w:szCs w:val="21"/>
              </w:rPr>
            </w:pPr>
            <w:r>
              <w:rPr>
                <w:rFonts w:hint="default" w:ascii="Times New Roman" w:hAnsi="Times New Roman" w:cs="Times New Roman"/>
                <w:color w:val="auto"/>
                <w:kern w:val="21"/>
                <w:sz w:val="21"/>
                <w:szCs w:val="21"/>
              </w:rPr>
              <w:t>无监测□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4" w:type="dxa"/>
            <w:vMerge w:val="restart"/>
            <w:vAlign w:val="center"/>
          </w:tcPr>
          <w:p>
            <w:pPr>
              <w:spacing w:line="240" w:lineRule="auto"/>
              <w:ind w:firstLine="0" w:firstLineChars="0"/>
              <w:rPr>
                <w:rFonts w:hint="default" w:ascii="Times New Roman" w:hAnsi="Times New Roman" w:cs="Times New Roman"/>
                <w:color w:val="auto"/>
                <w:kern w:val="21"/>
                <w:sz w:val="21"/>
                <w:szCs w:val="21"/>
              </w:rPr>
            </w:pPr>
            <w:r>
              <w:rPr>
                <w:rFonts w:hint="default" w:ascii="Times New Roman" w:hAnsi="Times New Roman" w:cs="Times New Roman"/>
                <w:color w:val="auto"/>
                <w:kern w:val="21"/>
                <w:sz w:val="21"/>
                <w:szCs w:val="21"/>
              </w:rPr>
              <w:t>评价结论</w:t>
            </w:r>
          </w:p>
        </w:tc>
        <w:tc>
          <w:tcPr>
            <w:tcW w:w="1751" w:type="dxa"/>
            <w:vAlign w:val="center"/>
          </w:tcPr>
          <w:p>
            <w:pPr>
              <w:spacing w:line="240" w:lineRule="auto"/>
              <w:ind w:firstLine="0" w:firstLineChars="0"/>
              <w:jc w:val="center"/>
              <w:rPr>
                <w:rFonts w:hint="default" w:ascii="Times New Roman" w:hAnsi="Times New Roman" w:cs="Times New Roman"/>
                <w:color w:val="auto"/>
                <w:kern w:val="21"/>
                <w:sz w:val="21"/>
                <w:szCs w:val="21"/>
              </w:rPr>
            </w:pPr>
            <w:r>
              <w:rPr>
                <w:rFonts w:hint="default" w:ascii="Times New Roman" w:hAnsi="Times New Roman" w:cs="Times New Roman"/>
                <w:color w:val="auto"/>
                <w:kern w:val="21"/>
                <w:sz w:val="21"/>
                <w:szCs w:val="21"/>
              </w:rPr>
              <w:t>环境影响</w:t>
            </w:r>
          </w:p>
        </w:tc>
        <w:tc>
          <w:tcPr>
            <w:tcW w:w="6671" w:type="dxa"/>
            <w:gridSpan w:val="11"/>
            <w:vAlign w:val="center"/>
          </w:tcPr>
          <w:p>
            <w:pPr>
              <w:spacing w:line="240" w:lineRule="auto"/>
              <w:ind w:firstLine="0" w:firstLineChars="0"/>
              <w:jc w:val="center"/>
              <w:rPr>
                <w:rFonts w:hint="default" w:ascii="Times New Roman" w:hAnsi="Times New Roman" w:cs="Times New Roman"/>
                <w:color w:val="auto"/>
                <w:kern w:val="21"/>
                <w:sz w:val="21"/>
                <w:szCs w:val="21"/>
              </w:rPr>
            </w:pPr>
            <w:r>
              <w:rPr>
                <w:rFonts w:hint="default" w:ascii="Times New Roman" w:hAnsi="Times New Roman" w:cs="Times New Roman"/>
                <w:color w:val="auto"/>
                <w:kern w:val="21"/>
                <w:sz w:val="21"/>
                <w:szCs w:val="21"/>
              </w:rPr>
              <w:t>可以接受</w:t>
            </w:r>
            <w:r>
              <w:rPr>
                <w:rFonts w:hint="default" w:ascii="Times New Roman" w:hAnsi="Times New Roman" w:cs="Times New Roman"/>
                <w:color w:val="auto"/>
                <w:kern w:val="21"/>
                <w:sz w:val="21"/>
                <w:szCs w:val="21"/>
              </w:rPr>
              <w:sym w:font="Wingdings 2" w:char="0052"/>
            </w:r>
            <w:r>
              <w:rPr>
                <w:rFonts w:hint="default" w:ascii="Times New Roman" w:hAnsi="Times New Roman" w:cs="Times New Roman"/>
                <w:color w:val="auto"/>
                <w:kern w:val="21"/>
                <w:sz w:val="21"/>
                <w:szCs w:val="21"/>
              </w:rPr>
              <w:t>不可以接受</w:t>
            </w:r>
            <w:r>
              <w:rPr>
                <w:rFonts w:hint="default" w:ascii="Times New Roman" w:hAnsi="Times New Roman" w:cs="Times New Roman"/>
                <w:color w:val="auto"/>
                <w:kern w:val="21"/>
                <w:sz w:val="21"/>
                <w:szCs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4" w:type="dxa"/>
            <w:vMerge w:val="continue"/>
            <w:vAlign w:val="center"/>
          </w:tcPr>
          <w:p>
            <w:pPr>
              <w:spacing w:line="240" w:lineRule="auto"/>
              <w:ind w:firstLine="0" w:firstLineChars="0"/>
              <w:jc w:val="center"/>
              <w:rPr>
                <w:rFonts w:hint="default" w:ascii="Times New Roman" w:hAnsi="Times New Roman" w:cs="Times New Roman"/>
                <w:color w:val="auto"/>
                <w:kern w:val="21"/>
                <w:sz w:val="21"/>
                <w:szCs w:val="21"/>
              </w:rPr>
            </w:pPr>
          </w:p>
        </w:tc>
        <w:tc>
          <w:tcPr>
            <w:tcW w:w="1751" w:type="dxa"/>
            <w:vAlign w:val="center"/>
          </w:tcPr>
          <w:p>
            <w:pPr>
              <w:spacing w:line="240" w:lineRule="auto"/>
              <w:ind w:firstLine="0" w:firstLineChars="0"/>
              <w:jc w:val="center"/>
              <w:rPr>
                <w:rFonts w:hint="default" w:ascii="Times New Roman" w:hAnsi="Times New Roman" w:cs="Times New Roman"/>
                <w:color w:val="auto"/>
                <w:kern w:val="21"/>
                <w:sz w:val="21"/>
                <w:szCs w:val="21"/>
              </w:rPr>
            </w:pPr>
            <w:r>
              <w:rPr>
                <w:rFonts w:hint="default" w:ascii="Times New Roman" w:hAnsi="Times New Roman" w:cs="Times New Roman"/>
                <w:color w:val="auto"/>
                <w:kern w:val="21"/>
                <w:sz w:val="21"/>
                <w:szCs w:val="21"/>
              </w:rPr>
              <w:t>大气环境防护距离</w:t>
            </w:r>
          </w:p>
        </w:tc>
        <w:tc>
          <w:tcPr>
            <w:tcW w:w="6671" w:type="dxa"/>
            <w:gridSpan w:val="11"/>
            <w:vAlign w:val="center"/>
          </w:tcPr>
          <w:p>
            <w:pPr>
              <w:spacing w:line="240" w:lineRule="auto"/>
              <w:ind w:firstLine="0" w:firstLineChars="0"/>
              <w:rPr>
                <w:rFonts w:hint="default" w:ascii="Times New Roman" w:hAnsi="Times New Roman" w:cs="Times New Roman"/>
                <w:color w:val="auto"/>
                <w:kern w:val="21"/>
                <w:sz w:val="21"/>
                <w:szCs w:val="21"/>
              </w:rPr>
            </w:pPr>
            <w:r>
              <w:rPr>
                <w:rFonts w:hint="default" w:ascii="Times New Roman" w:hAnsi="Times New Roman" w:cs="Times New Roman"/>
                <w:color w:val="auto"/>
                <w:kern w:val="21"/>
                <w:sz w:val="21"/>
                <w:szCs w:val="21"/>
                <w:lang w:eastAsia="zh-CN"/>
              </w:rPr>
              <w:t>项目</w:t>
            </w:r>
            <w:r>
              <w:rPr>
                <w:rFonts w:hint="default" w:ascii="Times New Roman" w:hAnsi="Times New Roman" w:cs="Times New Roman"/>
                <w:color w:val="auto"/>
                <w:kern w:val="21"/>
                <w:sz w:val="21"/>
                <w:szCs w:val="21"/>
              </w:rPr>
              <w:t>无需设大气环境防护距离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4" w:type="dxa"/>
            <w:vMerge w:val="continue"/>
            <w:vAlign w:val="center"/>
          </w:tcPr>
          <w:p>
            <w:pPr>
              <w:spacing w:line="240" w:lineRule="auto"/>
              <w:ind w:firstLine="0" w:firstLineChars="0"/>
              <w:jc w:val="center"/>
              <w:rPr>
                <w:rFonts w:hint="default" w:ascii="Times New Roman" w:hAnsi="Times New Roman" w:cs="Times New Roman"/>
                <w:color w:val="auto"/>
                <w:kern w:val="21"/>
                <w:sz w:val="21"/>
                <w:szCs w:val="21"/>
              </w:rPr>
            </w:pPr>
          </w:p>
        </w:tc>
        <w:tc>
          <w:tcPr>
            <w:tcW w:w="1751" w:type="dxa"/>
            <w:vAlign w:val="center"/>
          </w:tcPr>
          <w:p>
            <w:pPr>
              <w:spacing w:line="240" w:lineRule="auto"/>
              <w:ind w:firstLine="0" w:firstLineChars="0"/>
              <w:rPr>
                <w:rFonts w:hint="default" w:ascii="Times New Roman" w:hAnsi="Times New Roman" w:cs="Times New Roman"/>
                <w:color w:val="auto"/>
                <w:kern w:val="21"/>
                <w:sz w:val="21"/>
                <w:szCs w:val="21"/>
              </w:rPr>
            </w:pPr>
            <w:r>
              <w:rPr>
                <w:rFonts w:hint="default" w:ascii="Times New Roman" w:hAnsi="Times New Roman" w:cs="Times New Roman"/>
                <w:color w:val="auto"/>
                <w:kern w:val="21"/>
                <w:sz w:val="21"/>
                <w:szCs w:val="21"/>
              </w:rPr>
              <w:t>污染源年排放量</w:t>
            </w:r>
          </w:p>
        </w:tc>
        <w:tc>
          <w:tcPr>
            <w:tcW w:w="1352" w:type="dxa"/>
            <w:vAlign w:val="center"/>
          </w:tcPr>
          <w:p>
            <w:pPr>
              <w:spacing w:line="240" w:lineRule="auto"/>
              <w:ind w:firstLine="0" w:firstLineChars="0"/>
              <w:jc w:val="center"/>
              <w:rPr>
                <w:rFonts w:hint="default" w:ascii="Times New Roman" w:hAnsi="Times New Roman" w:cs="Times New Roman"/>
                <w:color w:val="auto"/>
                <w:kern w:val="21"/>
                <w:sz w:val="21"/>
                <w:szCs w:val="21"/>
              </w:rPr>
            </w:pPr>
            <w:r>
              <w:rPr>
                <w:rFonts w:hint="default" w:ascii="Times New Roman" w:hAnsi="Times New Roman" w:cs="Times New Roman"/>
                <w:color w:val="auto"/>
                <w:kern w:val="21"/>
                <w:sz w:val="21"/>
                <w:szCs w:val="21"/>
              </w:rPr>
              <w:t>SO</w:t>
            </w:r>
            <w:r>
              <w:rPr>
                <w:rFonts w:hint="default" w:ascii="Times New Roman" w:hAnsi="Times New Roman" w:cs="Times New Roman"/>
                <w:color w:val="auto"/>
                <w:kern w:val="21"/>
                <w:sz w:val="21"/>
                <w:szCs w:val="21"/>
                <w:vertAlign w:val="subscript"/>
              </w:rPr>
              <w:t>2</w:t>
            </w:r>
            <w:r>
              <w:rPr>
                <w:rFonts w:hint="default" w:ascii="Times New Roman" w:hAnsi="Times New Roman" w:cs="Times New Roman"/>
                <w:color w:val="auto"/>
                <w:kern w:val="21"/>
                <w:sz w:val="21"/>
                <w:szCs w:val="21"/>
              </w:rPr>
              <w:t>：（0）t/a</w:t>
            </w:r>
          </w:p>
        </w:tc>
        <w:tc>
          <w:tcPr>
            <w:tcW w:w="1609" w:type="dxa"/>
            <w:gridSpan w:val="3"/>
            <w:vAlign w:val="center"/>
          </w:tcPr>
          <w:p>
            <w:pPr>
              <w:spacing w:line="240" w:lineRule="auto"/>
              <w:ind w:firstLine="0" w:firstLineChars="0"/>
              <w:jc w:val="center"/>
              <w:rPr>
                <w:rFonts w:hint="default" w:ascii="Times New Roman" w:hAnsi="Times New Roman" w:cs="Times New Roman"/>
                <w:color w:val="auto"/>
                <w:kern w:val="21"/>
                <w:sz w:val="21"/>
                <w:szCs w:val="21"/>
              </w:rPr>
            </w:pPr>
            <w:r>
              <w:rPr>
                <w:rFonts w:hint="default" w:ascii="Times New Roman" w:hAnsi="Times New Roman" w:cs="Times New Roman"/>
                <w:color w:val="auto"/>
                <w:kern w:val="21"/>
                <w:sz w:val="21"/>
                <w:szCs w:val="21"/>
              </w:rPr>
              <w:t>NO</w:t>
            </w:r>
            <w:r>
              <w:rPr>
                <w:rFonts w:hint="default" w:ascii="Times New Roman" w:hAnsi="Times New Roman" w:cs="Times New Roman"/>
                <w:color w:val="auto"/>
                <w:kern w:val="21"/>
                <w:sz w:val="21"/>
                <w:szCs w:val="21"/>
                <w:vertAlign w:val="subscript"/>
              </w:rPr>
              <w:t>x</w:t>
            </w:r>
            <w:r>
              <w:rPr>
                <w:rFonts w:hint="default" w:ascii="Times New Roman" w:hAnsi="Times New Roman" w:cs="Times New Roman"/>
                <w:color w:val="auto"/>
                <w:kern w:val="21"/>
                <w:sz w:val="21"/>
                <w:szCs w:val="21"/>
              </w:rPr>
              <w:t>：（0）t/a</w:t>
            </w:r>
          </w:p>
        </w:tc>
        <w:tc>
          <w:tcPr>
            <w:tcW w:w="1680" w:type="dxa"/>
            <w:gridSpan w:val="3"/>
            <w:vAlign w:val="center"/>
          </w:tcPr>
          <w:p>
            <w:pPr>
              <w:spacing w:line="240" w:lineRule="auto"/>
              <w:ind w:firstLine="0" w:firstLineChars="0"/>
              <w:rPr>
                <w:rFonts w:hint="default" w:ascii="Times New Roman" w:hAnsi="Times New Roman" w:cs="Times New Roman"/>
                <w:color w:val="auto"/>
                <w:kern w:val="21"/>
                <w:sz w:val="21"/>
                <w:szCs w:val="21"/>
              </w:rPr>
            </w:pPr>
            <w:r>
              <w:rPr>
                <w:rFonts w:hint="default" w:ascii="Times New Roman" w:hAnsi="Times New Roman" w:cs="Times New Roman"/>
                <w:color w:val="auto"/>
                <w:kern w:val="21"/>
                <w:sz w:val="21"/>
                <w:szCs w:val="21"/>
              </w:rPr>
              <w:t>颗粒物：（</w:t>
            </w:r>
            <w:r>
              <w:rPr>
                <w:rFonts w:hint="default" w:ascii="Times New Roman" w:hAnsi="Times New Roman" w:cs="Times New Roman"/>
                <w:color w:val="auto"/>
                <w:kern w:val="21"/>
                <w:sz w:val="21"/>
                <w:szCs w:val="21"/>
                <w:lang w:val="en-US" w:eastAsia="zh-CN"/>
              </w:rPr>
              <w:t>0.33</w:t>
            </w:r>
            <w:r>
              <w:rPr>
                <w:rFonts w:hint="default" w:ascii="Times New Roman" w:hAnsi="Times New Roman" w:cs="Times New Roman"/>
                <w:color w:val="auto"/>
                <w:kern w:val="21"/>
                <w:sz w:val="21"/>
                <w:szCs w:val="21"/>
              </w:rPr>
              <w:t>）t/a</w:t>
            </w:r>
          </w:p>
        </w:tc>
        <w:tc>
          <w:tcPr>
            <w:tcW w:w="2030" w:type="dxa"/>
            <w:gridSpan w:val="4"/>
            <w:vAlign w:val="center"/>
          </w:tcPr>
          <w:p>
            <w:pPr>
              <w:spacing w:line="240" w:lineRule="auto"/>
              <w:ind w:firstLine="0" w:firstLineChars="0"/>
              <w:rPr>
                <w:rFonts w:hint="default" w:ascii="Times New Roman" w:hAnsi="Times New Roman" w:cs="Times New Roman"/>
                <w:color w:val="auto"/>
                <w:kern w:val="21"/>
                <w:sz w:val="21"/>
                <w:szCs w:val="21"/>
              </w:rPr>
            </w:pPr>
            <w:r>
              <w:rPr>
                <w:rFonts w:hint="default" w:ascii="Times New Roman" w:hAnsi="Times New Roman" w:cs="Times New Roman"/>
                <w:color w:val="auto"/>
                <w:kern w:val="21"/>
                <w:sz w:val="21"/>
                <w:szCs w:val="21"/>
              </w:rPr>
              <w:t>VOCs：（</w:t>
            </w:r>
            <w:r>
              <w:rPr>
                <w:rFonts w:hint="default" w:ascii="Times New Roman" w:hAnsi="Times New Roman" w:cs="Times New Roman"/>
                <w:color w:val="auto"/>
                <w:kern w:val="21"/>
                <w:sz w:val="21"/>
                <w:szCs w:val="21"/>
                <w:lang w:val="en-US" w:eastAsia="zh-CN"/>
              </w:rPr>
              <w:t>1.603</w:t>
            </w:r>
            <w:r>
              <w:rPr>
                <w:rFonts w:hint="default" w:ascii="Times New Roman" w:hAnsi="Times New Roman" w:cs="Times New Roman"/>
                <w:color w:val="auto"/>
                <w:kern w:val="21"/>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36" w:type="dxa"/>
            <w:gridSpan w:val="13"/>
            <w:vAlign w:val="center"/>
          </w:tcPr>
          <w:p>
            <w:pPr>
              <w:spacing w:line="240" w:lineRule="auto"/>
              <w:ind w:firstLine="0" w:firstLineChars="0"/>
              <w:jc w:val="center"/>
              <w:rPr>
                <w:rFonts w:hint="default" w:ascii="Times New Roman" w:hAnsi="Times New Roman" w:cs="Times New Roman"/>
                <w:color w:val="auto"/>
                <w:kern w:val="21"/>
                <w:sz w:val="21"/>
                <w:szCs w:val="21"/>
              </w:rPr>
            </w:pPr>
            <w:r>
              <w:rPr>
                <w:rFonts w:hint="default" w:ascii="Times New Roman" w:hAnsi="Times New Roman" w:cs="Times New Roman"/>
                <w:color w:val="auto"/>
                <w:kern w:val="21"/>
                <w:sz w:val="21"/>
                <w:szCs w:val="21"/>
              </w:rPr>
              <w:t>注：“□”为勾选项，填“√”：“（）”为内容填写项</w:t>
            </w:r>
          </w:p>
        </w:tc>
      </w:tr>
    </w:tbl>
    <w:p>
      <w:pPr>
        <w:pStyle w:val="6"/>
        <w:spacing w:beforeLines="50" w:after="0" w:line="360" w:lineRule="auto"/>
        <w:rPr>
          <w:rFonts w:hint="default" w:ascii="Times New Roman" w:hAnsi="Times New Roman" w:cs="Times New Roman"/>
          <w:color w:val="auto"/>
          <w:szCs w:val="28"/>
        </w:rPr>
      </w:pPr>
      <w:bookmarkStart w:id="898" w:name="_Toc22445"/>
      <w:bookmarkStart w:id="899" w:name="_Toc32760"/>
      <w:bookmarkStart w:id="900" w:name="_Toc2794"/>
      <w:r>
        <w:rPr>
          <w:rFonts w:hint="default" w:ascii="Times New Roman" w:hAnsi="Times New Roman" w:cs="Times New Roman"/>
          <w:color w:val="auto"/>
          <w:szCs w:val="28"/>
          <w:lang w:val="en-US" w:eastAsia="zh-CN"/>
        </w:rPr>
        <w:t>5</w:t>
      </w:r>
      <w:r>
        <w:rPr>
          <w:rFonts w:hint="default" w:ascii="Times New Roman" w:hAnsi="Times New Roman" w:cs="Times New Roman"/>
          <w:color w:val="auto"/>
          <w:szCs w:val="28"/>
        </w:rPr>
        <w:t>.2.2运营期地表水环境影响分析</w:t>
      </w:r>
      <w:bookmarkEnd w:id="898"/>
      <w:bookmarkEnd w:id="899"/>
      <w:bookmarkEnd w:id="900"/>
    </w:p>
    <w:p>
      <w:pPr>
        <w:spacing w:line="360" w:lineRule="auto"/>
        <w:ind w:firstLine="482" w:firstLineChars="200"/>
        <w:rPr>
          <w:rFonts w:hint="default" w:ascii="Times New Roman" w:hAnsi="Times New Roman" w:cs="Times New Roman" w:eastAsiaTheme="minorEastAsia"/>
          <w:b/>
          <w:color w:val="auto"/>
        </w:rPr>
      </w:pPr>
      <w:r>
        <w:rPr>
          <w:rFonts w:hint="default" w:ascii="Times New Roman" w:hAnsi="Times New Roman" w:cs="Times New Roman" w:eastAsiaTheme="minorEastAsia"/>
          <w:b/>
          <w:color w:val="auto"/>
        </w:rPr>
        <w:t>1、项目废水产排情况</w:t>
      </w:r>
    </w:p>
    <w:p>
      <w:pPr>
        <w:spacing w:line="360" w:lineRule="auto"/>
        <w:ind w:firstLine="480" w:firstLineChars="20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本项目废水排放量为</w:t>
      </w:r>
      <w:r>
        <w:rPr>
          <w:rFonts w:hint="default" w:ascii="Times New Roman" w:hAnsi="Times New Roman" w:cs="Times New Roman" w:eastAsiaTheme="minorEastAsia"/>
          <w:color w:val="auto"/>
          <w:lang w:val="en-US" w:eastAsia="zh-CN"/>
        </w:rPr>
        <w:t>1482.41</w:t>
      </w:r>
      <w:r>
        <w:rPr>
          <w:rFonts w:hint="default" w:ascii="Times New Roman" w:hAnsi="Times New Roman" w:cs="Times New Roman" w:eastAsiaTheme="minorEastAsia"/>
          <w:color w:val="auto"/>
        </w:rPr>
        <w:t>m</w:t>
      </w:r>
      <w:r>
        <w:rPr>
          <w:rFonts w:hint="default" w:ascii="Times New Roman" w:hAnsi="Times New Roman" w:cs="Times New Roman" w:eastAsiaTheme="minorEastAsia"/>
          <w:color w:val="auto"/>
          <w:vertAlign w:val="superscript"/>
        </w:rPr>
        <w:t>3</w:t>
      </w:r>
      <w:r>
        <w:rPr>
          <w:rFonts w:hint="default" w:ascii="Times New Roman" w:hAnsi="Times New Roman" w:cs="Times New Roman" w:eastAsiaTheme="minorEastAsia"/>
          <w:color w:val="auto"/>
        </w:rPr>
        <w:t>/d，其中生产废水</w:t>
      </w:r>
      <w:r>
        <w:rPr>
          <w:rFonts w:hint="default" w:ascii="Times New Roman" w:hAnsi="Times New Roman" w:cs="Times New Roman" w:eastAsiaTheme="minorEastAsia"/>
          <w:color w:val="auto"/>
          <w:lang w:val="en-US" w:eastAsia="zh-CN"/>
        </w:rPr>
        <w:t>1462.61</w:t>
      </w:r>
      <w:r>
        <w:rPr>
          <w:rFonts w:hint="default" w:ascii="Times New Roman" w:hAnsi="Times New Roman" w:cs="Times New Roman" w:eastAsiaTheme="minorEastAsia"/>
          <w:color w:val="auto"/>
        </w:rPr>
        <w:t>m</w:t>
      </w:r>
      <w:r>
        <w:rPr>
          <w:rFonts w:hint="default" w:ascii="Times New Roman" w:hAnsi="Times New Roman" w:cs="Times New Roman" w:eastAsiaTheme="minorEastAsia"/>
          <w:color w:val="auto"/>
          <w:vertAlign w:val="superscript"/>
        </w:rPr>
        <w:t>3</w:t>
      </w:r>
      <w:r>
        <w:rPr>
          <w:rFonts w:hint="default" w:ascii="Times New Roman" w:hAnsi="Times New Roman" w:cs="Times New Roman" w:eastAsiaTheme="minorEastAsia"/>
          <w:color w:val="auto"/>
        </w:rPr>
        <w:t>/d，生活废水</w:t>
      </w:r>
      <w:r>
        <w:rPr>
          <w:rFonts w:hint="default" w:ascii="Times New Roman" w:hAnsi="Times New Roman" w:cs="Times New Roman" w:eastAsiaTheme="minorEastAsia"/>
          <w:color w:val="auto"/>
          <w:lang w:val="en-US" w:eastAsia="zh-CN"/>
        </w:rPr>
        <w:t>19.8</w:t>
      </w:r>
      <w:r>
        <w:rPr>
          <w:rFonts w:hint="default" w:ascii="Times New Roman" w:hAnsi="Times New Roman" w:cs="Times New Roman" w:eastAsiaTheme="minorEastAsia"/>
          <w:color w:val="auto"/>
        </w:rPr>
        <w:t>m</w:t>
      </w:r>
      <w:r>
        <w:rPr>
          <w:rFonts w:hint="default" w:ascii="Times New Roman" w:hAnsi="Times New Roman" w:cs="Times New Roman" w:eastAsiaTheme="minorEastAsia"/>
          <w:color w:val="auto"/>
          <w:vertAlign w:val="superscript"/>
        </w:rPr>
        <w:t>3</w:t>
      </w:r>
      <w:r>
        <w:rPr>
          <w:rFonts w:hint="default" w:ascii="Times New Roman" w:hAnsi="Times New Roman" w:cs="Times New Roman" w:eastAsiaTheme="minorEastAsia"/>
          <w:color w:val="auto"/>
        </w:rPr>
        <w:t>/d。排水系统采用雨污分流制，雨水收集后排入厂区雨水管道，然后排入园区雨水管网；项目全厂共设置1个废水总排口，项目产生的生产废水</w:t>
      </w:r>
      <w:r>
        <w:rPr>
          <w:rFonts w:hint="default" w:ascii="Times New Roman" w:hAnsi="Times New Roman" w:cs="Times New Roman" w:eastAsiaTheme="minorEastAsia"/>
          <w:color w:val="auto"/>
          <w:lang w:eastAsia="zh-CN"/>
        </w:rPr>
        <w:t>（除清净下水外）</w:t>
      </w:r>
      <w:r>
        <w:rPr>
          <w:rFonts w:hint="default" w:ascii="Times New Roman" w:hAnsi="Times New Roman" w:cs="Times New Roman" w:eastAsiaTheme="minorEastAsia"/>
          <w:color w:val="auto"/>
        </w:rPr>
        <w:t>和生活废水处理达到《污水综合排放标准》（GB8978-1996）三级标准、《污水排入城镇下水道水质标准》(GB/T31962-2015)B级标准值、《电子工业水污染物排放标准》(GB39731-2020)间接排放标准值三者取严执行的标准值后排入市政污水管网，进入</w:t>
      </w:r>
      <w:r>
        <w:rPr>
          <w:rFonts w:hint="default" w:ascii="Times New Roman" w:hAnsi="Times New Roman" w:cs="Times New Roman"/>
          <w:color w:val="auto"/>
          <w:spacing w:val="-7"/>
          <w:kern w:val="0"/>
          <w:lang w:val="zh-CN" w:bidi="zh-CN"/>
        </w:rPr>
        <w:t>楚雄市富民工业园区污水处理厂进行处理</w:t>
      </w:r>
      <w:r>
        <w:rPr>
          <w:rFonts w:hint="default" w:ascii="Times New Roman" w:hAnsi="Times New Roman" w:cs="Times New Roman" w:eastAsiaTheme="minorEastAsia"/>
          <w:color w:val="auto"/>
        </w:rPr>
        <w:t>。</w:t>
      </w:r>
    </w:p>
    <w:p>
      <w:pPr>
        <w:spacing w:line="360" w:lineRule="auto"/>
        <w:ind w:firstLine="480" w:firstLineChars="20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根据《环境影响评价技术导则地表水环境》（HJ2.3-2018）判定，本项目为间接排放，评价等级为三级B，可不进行水环境影响预测。需要对水污染控制和水环境影响减缓措施的有效性，以及对依托污水处理设施的可行性进行评价。</w:t>
      </w:r>
    </w:p>
    <w:p>
      <w:pPr>
        <w:spacing w:line="360" w:lineRule="auto"/>
        <w:ind w:firstLine="482" w:firstLineChars="200"/>
        <w:rPr>
          <w:rFonts w:hint="default" w:ascii="Times New Roman" w:hAnsi="Times New Roman" w:cs="Times New Roman" w:eastAsiaTheme="minorEastAsia"/>
          <w:b/>
          <w:color w:val="auto"/>
        </w:rPr>
      </w:pPr>
      <w:r>
        <w:rPr>
          <w:rFonts w:hint="default" w:ascii="Times New Roman" w:hAnsi="Times New Roman" w:cs="Times New Roman" w:eastAsiaTheme="minorEastAsia"/>
          <w:b/>
          <w:color w:val="auto"/>
        </w:rPr>
        <w:t>2、措施有效性及依托污水处理设施可行性评价</w:t>
      </w:r>
    </w:p>
    <w:p>
      <w:pPr>
        <w:spacing w:line="360" w:lineRule="auto"/>
        <w:ind w:firstLine="480" w:firstLineChars="20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本项目措施有效性以及依托污水处理设施可行性分析在7.2小节中进行了详细论述，本节直接引用分析结论。</w:t>
      </w:r>
    </w:p>
    <w:p>
      <w:pPr>
        <w:spacing w:line="360" w:lineRule="auto"/>
        <w:ind w:firstLine="480" w:firstLineChars="20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（1）水污染控制和水环境影响减缓措施有效性评价</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eastAsiaTheme="minorEastAsia"/>
          <w:color w:val="auto"/>
        </w:rPr>
        <w:t>本项目运营期产生的各类废水均采取了预处理措施，处理工艺均为</w:t>
      </w:r>
      <w:r>
        <w:rPr>
          <w:rFonts w:hint="default" w:ascii="Times New Roman" w:hAnsi="Times New Roman" w:cs="Times New Roman"/>
          <w:color w:val="auto"/>
        </w:rPr>
        <w:t>排污许可证申请与核发技术规范推荐的可行技术，处置后的废水能满足</w:t>
      </w:r>
      <w:r>
        <w:rPr>
          <w:rFonts w:hint="default" w:ascii="Times New Roman" w:hAnsi="Times New Roman" w:cs="Times New Roman" w:eastAsiaTheme="minorEastAsia"/>
          <w:color w:val="auto"/>
          <w:lang w:eastAsia="zh-CN"/>
        </w:rPr>
        <w:t>本项目提出的排放限值要求</w:t>
      </w:r>
      <w:r>
        <w:rPr>
          <w:rFonts w:hint="default" w:ascii="Times New Roman" w:hAnsi="Times New Roman" w:cs="Times New Roman"/>
          <w:color w:val="auto"/>
        </w:rPr>
        <w:t>，因此本项目水污染控制和水环境影响减缓措施是有效可行的。</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kern w:val="0"/>
        </w:rPr>
        <w:t>本项目废水排放总量</w:t>
      </w:r>
      <w:r>
        <w:rPr>
          <w:rFonts w:hint="default" w:ascii="Times New Roman" w:hAnsi="Times New Roman" w:cs="Times New Roman"/>
          <w:color w:val="auto"/>
          <w:kern w:val="0"/>
          <w:lang w:val="en-US" w:eastAsia="zh-CN"/>
        </w:rPr>
        <w:t>54.11</w:t>
      </w:r>
      <w:r>
        <w:rPr>
          <w:rFonts w:hint="default" w:ascii="Times New Roman" w:hAnsi="Times New Roman" w:cs="Times New Roman"/>
          <w:color w:val="auto"/>
          <w:kern w:val="0"/>
        </w:rPr>
        <w:t>万m</w:t>
      </w:r>
      <w:r>
        <w:rPr>
          <w:rFonts w:hint="default" w:ascii="Times New Roman" w:hAnsi="Times New Roman" w:cs="Times New Roman"/>
          <w:color w:val="auto"/>
          <w:kern w:val="0"/>
          <w:vertAlign w:val="superscript"/>
        </w:rPr>
        <w:t>3</w:t>
      </w:r>
      <w:r>
        <w:rPr>
          <w:rFonts w:hint="default" w:ascii="Times New Roman" w:hAnsi="Times New Roman" w:cs="Times New Roman"/>
          <w:color w:val="auto"/>
          <w:kern w:val="0"/>
        </w:rPr>
        <w:t>/a，切片产品量为</w:t>
      </w:r>
      <w:r>
        <w:rPr>
          <w:rFonts w:hint="default" w:ascii="Times New Roman" w:hAnsi="Times New Roman" w:cs="Times New Roman"/>
          <w:color w:val="auto"/>
          <w:kern w:val="0"/>
          <w:lang w:val="en-US" w:eastAsia="zh-CN"/>
        </w:rPr>
        <w:t>8881.91</w:t>
      </w:r>
      <w:r>
        <w:rPr>
          <w:rFonts w:hint="default" w:ascii="Times New Roman" w:hAnsi="Times New Roman" w:cs="Times New Roman"/>
          <w:color w:val="auto"/>
          <w:kern w:val="0"/>
        </w:rPr>
        <w:t>t/a，折算每吨产品废水排放量为</w:t>
      </w:r>
      <w:r>
        <w:rPr>
          <w:rFonts w:hint="default" w:ascii="Times New Roman" w:hAnsi="Times New Roman" w:cs="Times New Roman"/>
          <w:color w:val="auto"/>
          <w:kern w:val="0"/>
          <w:lang w:val="en-US" w:eastAsia="zh-CN"/>
        </w:rPr>
        <w:t>60.92</w:t>
      </w:r>
      <w:r>
        <w:rPr>
          <w:rFonts w:hint="default" w:ascii="Times New Roman" w:hAnsi="Times New Roman" w:cs="Times New Roman"/>
          <w:color w:val="auto"/>
          <w:kern w:val="0"/>
        </w:rPr>
        <w:t>m</w:t>
      </w:r>
      <w:r>
        <w:rPr>
          <w:rFonts w:hint="default" w:ascii="Times New Roman" w:hAnsi="Times New Roman" w:cs="Times New Roman"/>
          <w:color w:val="auto"/>
          <w:kern w:val="0"/>
          <w:vertAlign w:val="superscript"/>
        </w:rPr>
        <w:t>3</w:t>
      </w:r>
      <w:r>
        <w:rPr>
          <w:rFonts w:hint="default" w:ascii="Times New Roman" w:hAnsi="Times New Roman" w:cs="Times New Roman"/>
          <w:color w:val="auto"/>
          <w:kern w:val="0"/>
        </w:rPr>
        <w:t>，未超过</w:t>
      </w:r>
      <w:r>
        <w:rPr>
          <w:rFonts w:hint="default" w:ascii="Times New Roman" w:hAnsi="Times New Roman" w:cs="Times New Roman"/>
          <w:color w:val="auto"/>
        </w:rPr>
        <w:t>《电子工业水污染物排放标准》</w:t>
      </w:r>
      <w:r>
        <w:rPr>
          <w:rFonts w:hint="default" w:ascii="Times New Roman" w:hAnsi="Times New Roman" w:cs="Times New Roman"/>
          <w:color w:val="auto"/>
          <w:kern w:val="0"/>
        </w:rPr>
        <w:t>（GB39731-2020）规定的2200m</w:t>
      </w:r>
      <w:r>
        <w:rPr>
          <w:rFonts w:hint="default" w:ascii="Times New Roman" w:hAnsi="Times New Roman" w:cs="Times New Roman"/>
          <w:color w:val="auto"/>
          <w:kern w:val="0"/>
          <w:vertAlign w:val="superscript"/>
        </w:rPr>
        <w:t>3</w:t>
      </w:r>
      <w:r>
        <w:rPr>
          <w:rFonts w:hint="default" w:ascii="Times New Roman" w:hAnsi="Times New Roman" w:cs="Times New Roman"/>
          <w:color w:val="auto"/>
          <w:kern w:val="0"/>
        </w:rPr>
        <w:t>/t的废水基准排放量；本项目建成后全厂废水排放总量为</w:t>
      </w:r>
      <w:r>
        <w:rPr>
          <w:rFonts w:hint="default" w:ascii="Times New Roman" w:hAnsi="Times New Roman" w:cs="Times New Roman"/>
          <w:color w:val="auto"/>
          <w:kern w:val="0"/>
          <w:lang w:val="en-US" w:eastAsia="zh-CN"/>
        </w:rPr>
        <w:t>211.52</w:t>
      </w:r>
      <w:r>
        <w:rPr>
          <w:rFonts w:hint="default" w:ascii="Times New Roman" w:hAnsi="Times New Roman" w:cs="Times New Roman"/>
          <w:color w:val="auto"/>
          <w:kern w:val="0"/>
        </w:rPr>
        <w:t>万m</w:t>
      </w:r>
      <w:r>
        <w:rPr>
          <w:rFonts w:hint="default" w:ascii="Times New Roman" w:hAnsi="Times New Roman" w:cs="Times New Roman"/>
          <w:color w:val="auto"/>
          <w:kern w:val="0"/>
          <w:vertAlign w:val="superscript"/>
        </w:rPr>
        <w:t>3</w:t>
      </w:r>
      <w:r>
        <w:rPr>
          <w:rFonts w:hint="default" w:ascii="Times New Roman" w:hAnsi="Times New Roman" w:cs="Times New Roman"/>
          <w:color w:val="auto"/>
          <w:kern w:val="0"/>
        </w:rPr>
        <w:t>/a，建成后切片产品总量为</w:t>
      </w:r>
      <w:r>
        <w:rPr>
          <w:rFonts w:hint="default" w:ascii="Times New Roman" w:hAnsi="Times New Roman" w:cs="Times New Roman"/>
          <w:color w:val="auto"/>
          <w:kern w:val="0"/>
          <w:lang w:val="en-US" w:eastAsia="zh-CN"/>
        </w:rPr>
        <w:t>23685.09</w:t>
      </w:r>
      <w:r>
        <w:rPr>
          <w:rFonts w:hint="default" w:ascii="Times New Roman" w:hAnsi="Times New Roman" w:cs="Times New Roman"/>
          <w:color w:val="auto"/>
          <w:kern w:val="0"/>
        </w:rPr>
        <w:t>t/a，折算每吨产品废水排放量为</w:t>
      </w:r>
      <w:r>
        <w:rPr>
          <w:rFonts w:hint="default" w:ascii="Times New Roman" w:hAnsi="Times New Roman" w:cs="Times New Roman"/>
          <w:color w:val="auto"/>
          <w:kern w:val="0"/>
          <w:lang w:val="en-US" w:eastAsia="zh-CN"/>
        </w:rPr>
        <w:t>89.31</w:t>
      </w:r>
      <w:r>
        <w:rPr>
          <w:rFonts w:hint="default" w:ascii="Times New Roman" w:hAnsi="Times New Roman" w:cs="Times New Roman"/>
          <w:color w:val="auto"/>
          <w:kern w:val="0"/>
        </w:rPr>
        <w:t>m</w:t>
      </w:r>
      <w:r>
        <w:rPr>
          <w:rFonts w:hint="default" w:ascii="Times New Roman" w:hAnsi="Times New Roman" w:cs="Times New Roman"/>
          <w:color w:val="auto"/>
          <w:kern w:val="0"/>
          <w:vertAlign w:val="superscript"/>
        </w:rPr>
        <w:t>3</w:t>
      </w:r>
      <w:r>
        <w:rPr>
          <w:rFonts w:hint="default" w:ascii="Times New Roman" w:hAnsi="Times New Roman" w:cs="Times New Roman"/>
          <w:color w:val="auto"/>
          <w:kern w:val="0"/>
        </w:rPr>
        <w:t>，未超过</w:t>
      </w:r>
      <w:r>
        <w:rPr>
          <w:rFonts w:hint="default" w:ascii="Times New Roman" w:hAnsi="Times New Roman" w:cs="Times New Roman"/>
          <w:color w:val="auto"/>
        </w:rPr>
        <w:t>《电子工业水污染物排放标准》</w:t>
      </w:r>
      <w:r>
        <w:rPr>
          <w:rFonts w:hint="default" w:ascii="Times New Roman" w:hAnsi="Times New Roman" w:cs="Times New Roman"/>
          <w:color w:val="auto"/>
          <w:kern w:val="0"/>
        </w:rPr>
        <w:t>（GB39731-2020）规定的2200m</w:t>
      </w:r>
      <w:r>
        <w:rPr>
          <w:rFonts w:hint="default" w:ascii="Times New Roman" w:hAnsi="Times New Roman" w:cs="Times New Roman"/>
          <w:color w:val="auto"/>
          <w:kern w:val="0"/>
          <w:vertAlign w:val="superscript"/>
        </w:rPr>
        <w:t>3</w:t>
      </w:r>
      <w:r>
        <w:rPr>
          <w:rFonts w:hint="default" w:ascii="Times New Roman" w:hAnsi="Times New Roman" w:cs="Times New Roman"/>
          <w:color w:val="auto"/>
          <w:kern w:val="0"/>
        </w:rPr>
        <w:t>/t的废水基准排放量。</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（2）依托污水处理设施的环境可行性</w:t>
      </w:r>
    </w:p>
    <w:p>
      <w:pPr>
        <w:spacing w:line="360" w:lineRule="auto"/>
        <w:ind w:firstLine="480" w:firstLineChars="200"/>
        <w:rPr>
          <w:rFonts w:hint="default" w:ascii="Times New Roman" w:hAnsi="Times New Roman" w:eastAsia="宋体" w:cs="Times New Roman"/>
          <w:color w:val="auto"/>
          <w:vertAlign w:val="baseline"/>
          <w:lang w:val="en-US" w:eastAsia="zh-CN"/>
        </w:rPr>
      </w:pPr>
      <w:r>
        <w:rPr>
          <w:rFonts w:hint="default" w:ascii="Times New Roman" w:hAnsi="Times New Roman" w:cs="Times New Roman"/>
          <w:color w:val="auto"/>
        </w:rPr>
        <w:t>本项目废水处理达标后通过一个总排口排入市政污水管网，进入楚雄市富民工业园区污水处理厂进行处理。</w:t>
      </w:r>
      <w:r>
        <w:rPr>
          <w:rFonts w:hint="default" w:ascii="Times New Roman" w:hAnsi="Times New Roman" w:cs="Times New Roman"/>
          <w:color w:val="auto"/>
          <w:lang w:eastAsia="zh-CN"/>
        </w:rPr>
        <w:t>根据上文“</w:t>
      </w:r>
      <w:r>
        <w:rPr>
          <w:rFonts w:hint="default" w:ascii="Times New Roman" w:hAnsi="Times New Roman" w:cs="Times New Roman"/>
          <w:color w:val="auto"/>
          <w:lang w:val="en-US" w:eastAsia="zh-CN"/>
        </w:rPr>
        <w:t>4.2.2企业周边污染源调查</w:t>
      </w:r>
      <w:r>
        <w:rPr>
          <w:rFonts w:hint="default" w:ascii="Times New Roman" w:hAnsi="Times New Roman" w:cs="Times New Roman"/>
          <w:color w:val="auto"/>
          <w:lang w:eastAsia="zh-CN"/>
        </w:rPr>
        <w:t>”，楚雄市富民工业园区污水处理厂接纳废水</w:t>
      </w:r>
      <w:r>
        <w:rPr>
          <w:rFonts w:hint="default" w:ascii="Times New Roman" w:hAnsi="Times New Roman" w:cs="Times New Roman"/>
          <w:color w:val="auto"/>
          <w:vertAlign w:val="baseline"/>
          <w:lang w:val="en-US" w:eastAsia="zh-CN"/>
        </w:rPr>
        <w:t>（已建项目+在建项目+已批复拟建项目）</w:t>
      </w:r>
      <w:r>
        <w:rPr>
          <w:rFonts w:hint="default" w:ascii="Times New Roman" w:hAnsi="Times New Roman" w:cs="Times New Roman"/>
          <w:color w:val="auto"/>
          <w:lang w:eastAsia="zh-CN"/>
        </w:rPr>
        <w:t>的总量为</w:t>
      </w:r>
      <w:r>
        <w:rPr>
          <w:rFonts w:hint="default" w:ascii="Times New Roman" w:hAnsi="Times New Roman" w:cs="Times New Roman"/>
          <w:color w:val="auto"/>
          <w:lang w:val="en-US" w:eastAsia="zh-CN"/>
        </w:rPr>
        <w:t>16767.53m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vertAlign w:val="baseline"/>
          <w:lang w:val="en-US" w:eastAsia="zh-CN"/>
        </w:rPr>
        <w:t>/d，楚雄市富民工业园区污水处理厂现状已建成处理规模为22000m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vertAlign w:val="baseline"/>
          <w:lang w:val="en-US" w:eastAsia="zh-CN"/>
        </w:rPr>
        <w:t>/d，本项目建成后楚雄市富民工业园区污水处理厂接纳废水总量为18249.94</w:t>
      </w:r>
      <w:r>
        <w:rPr>
          <w:rFonts w:hint="default" w:ascii="Times New Roman" w:hAnsi="Times New Roman" w:cs="Times New Roman"/>
          <w:color w:val="auto"/>
          <w:lang w:val="en-US" w:eastAsia="zh-CN"/>
        </w:rPr>
        <w:t>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vertAlign w:val="baseline"/>
          <w:lang w:val="en-US" w:eastAsia="zh-CN"/>
        </w:rPr>
        <w:t>/d，没有超过污水处理厂的处理规模。</w:t>
      </w:r>
    </w:p>
    <w:p>
      <w:pPr>
        <w:spacing w:line="360" w:lineRule="auto"/>
        <w:ind w:firstLine="48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eastAsia="zh-CN"/>
        </w:rPr>
        <w:t>根据《楚雄市富民工业园区污水处理厂工程环境影响报告书》可知，由于青龙河现状环境容量有限，污水处理厂排入青龙河的</w:t>
      </w:r>
      <w:r>
        <w:rPr>
          <w:rFonts w:hint="default" w:ascii="Times New Roman" w:hAnsi="Times New Roman" w:cs="Times New Roman"/>
          <w:color w:val="auto"/>
          <w:lang w:val="en-US" w:eastAsia="zh-CN"/>
        </w:rPr>
        <w:t>COD、BOD</w:t>
      </w:r>
      <w:r>
        <w:rPr>
          <w:rFonts w:hint="default" w:ascii="Times New Roman" w:hAnsi="Times New Roman" w:cs="Times New Roman"/>
          <w:color w:val="FF0000"/>
          <w:sz w:val="21"/>
          <w:szCs w:val="21"/>
          <w:vertAlign w:val="subscript"/>
        </w:rPr>
        <w:t>5</w:t>
      </w:r>
      <w:r>
        <w:rPr>
          <w:rFonts w:hint="default" w:ascii="Times New Roman" w:hAnsi="Times New Roman" w:cs="Times New Roman"/>
          <w:color w:val="auto"/>
          <w:lang w:val="en-US" w:eastAsia="zh-CN"/>
        </w:rPr>
        <w:t>、氨氮、总磷、氟化物执行特别排放限值，COD排放浓度不得高于19.68mg/L、BOD</w:t>
      </w:r>
      <w:r>
        <w:rPr>
          <w:rFonts w:hint="default" w:ascii="Times New Roman" w:hAnsi="Times New Roman" w:cs="Times New Roman"/>
          <w:color w:val="FF0000"/>
          <w:sz w:val="21"/>
          <w:szCs w:val="21"/>
          <w:vertAlign w:val="subscript"/>
        </w:rPr>
        <w:t>5</w:t>
      </w:r>
      <w:r>
        <w:rPr>
          <w:rFonts w:hint="default" w:ascii="Times New Roman" w:hAnsi="Times New Roman" w:cs="Times New Roman"/>
          <w:color w:val="auto"/>
          <w:lang w:val="en-US" w:eastAsia="zh-CN"/>
        </w:rPr>
        <w:t>排放浓度不得高于3.93mg/L、氨氮排放浓度不得高于2.07mg/L、总磷排放浓度不得高于0.3mg/L、氟化物排放浓度不得高于2.31mg/L。由此推算得到楚雄市富民工业园区污水处理厂入河限制排放量如下表所示。</w:t>
      </w:r>
    </w:p>
    <w:p>
      <w:pPr>
        <w:pStyle w:val="178"/>
        <w:keepNext w:val="0"/>
        <w:keepLines w:val="0"/>
        <w:pageBreakBefore w:val="0"/>
        <w:widowControl/>
        <w:numPr>
          <w:ilvl w:val="0"/>
          <w:numId w:val="7"/>
        </w:numPr>
        <w:kinsoku/>
        <w:wordWrap/>
        <w:overflowPunct/>
        <w:topLinePunct w:val="0"/>
        <w:autoSpaceDE/>
        <w:autoSpaceDN/>
        <w:bidi w:val="0"/>
        <w:adjustRightInd/>
        <w:snapToGrid/>
        <w:spacing w:beforeLines="0" w:afterLines="0" w:line="360" w:lineRule="auto"/>
        <w:ind w:left="0" w:leftChars="0" w:firstLine="0" w:firstLineChars="0"/>
        <w:textAlignment w:val="auto"/>
        <w:rPr>
          <w:rFonts w:hint="default" w:ascii="Times New Roman" w:hAnsi="Times New Roman" w:cs="Times New Roman"/>
          <w:b/>
          <w:color w:val="auto"/>
        </w:rPr>
      </w:pPr>
      <w:r>
        <w:rPr>
          <w:rFonts w:hint="default" w:ascii="Times New Roman" w:hAnsi="Times New Roman" w:cs="Times New Roman"/>
          <w:b/>
          <w:color w:val="auto"/>
          <w:lang w:eastAsia="zh-CN"/>
        </w:rPr>
        <w:t>楚雄市富民工业园区污水处理厂入河限值排放量计算表</w:t>
      </w:r>
    </w:p>
    <w:tbl>
      <w:tblPr>
        <w:tblStyle w:val="44"/>
        <w:tblW w:w="488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6"/>
        <w:gridCol w:w="1292"/>
        <w:gridCol w:w="1249"/>
        <w:gridCol w:w="1195"/>
        <w:gridCol w:w="1326"/>
        <w:gridCol w:w="13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6"/>
            <w:shd w:val="clear" w:color="auto" w:fill="auto"/>
            <w:noWrap/>
            <w:vAlign w:val="center"/>
          </w:tcPr>
          <w:p>
            <w:pPr>
              <w:widowControl/>
              <w:jc w:val="center"/>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lang w:eastAsia="zh-CN"/>
              </w:rPr>
              <w:t>废水排放量</w:t>
            </w:r>
            <w:r>
              <w:rPr>
                <w:rFonts w:hint="default" w:ascii="Times New Roman" w:hAnsi="Times New Roman" w:cs="Times New Roman"/>
                <w:color w:val="auto"/>
                <w:kern w:val="0"/>
                <w:sz w:val="21"/>
                <w:szCs w:val="21"/>
                <w:lang w:val="en-US" w:eastAsia="zh-CN"/>
              </w:rPr>
              <w:t>22000m</w:t>
            </w:r>
            <w:r>
              <w:rPr>
                <w:rFonts w:hint="default" w:ascii="Times New Roman" w:hAnsi="Times New Roman" w:cs="Times New Roman"/>
                <w:color w:val="auto"/>
                <w:kern w:val="0"/>
                <w:sz w:val="21"/>
                <w:szCs w:val="21"/>
                <w:vertAlign w:val="superscript"/>
                <w:lang w:val="en-US" w:eastAsia="zh-CN"/>
              </w:rPr>
              <w:t>3</w:t>
            </w:r>
            <w:r>
              <w:rPr>
                <w:rFonts w:hint="default" w:ascii="Times New Roman" w:hAnsi="Times New Roman" w:cs="Times New Roman"/>
                <w:color w:val="auto"/>
                <w:kern w:val="0"/>
                <w:sz w:val="21"/>
                <w:szCs w:val="21"/>
                <w:vertAlign w:val="baseline"/>
                <w:lang w:val="en-US" w:eastAsia="zh-CN"/>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7" w:type="pct"/>
            <w:shd w:val="clear" w:color="auto" w:fill="auto"/>
            <w:noWrap/>
            <w:vAlign w:val="center"/>
          </w:tcPr>
          <w:p>
            <w:pPr>
              <w:widowControl/>
              <w:jc w:val="center"/>
              <w:rPr>
                <w:rFonts w:hint="default" w:ascii="Times New Roman" w:hAnsi="Times New Roman" w:eastAsia="宋体" w:cs="Times New Roman"/>
                <w:color w:val="auto"/>
                <w:kern w:val="0"/>
                <w:sz w:val="21"/>
                <w:szCs w:val="21"/>
                <w:lang w:eastAsia="zh-CN"/>
              </w:rPr>
            </w:pPr>
            <w:r>
              <w:rPr>
                <w:rFonts w:hint="default" w:ascii="Times New Roman" w:hAnsi="Times New Roman" w:cs="Times New Roman"/>
                <w:color w:val="auto"/>
                <w:kern w:val="0"/>
                <w:sz w:val="21"/>
                <w:szCs w:val="21"/>
                <w:lang w:eastAsia="zh-CN"/>
              </w:rPr>
              <w:t>污染因子</w:t>
            </w:r>
          </w:p>
        </w:tc>
        <w:tc>
          <w:tcPr>
            <w:tcW w:w="775" w:type="pct"/>
            <w:shd w:val="clear" w:color="auto" w:fill="auto"/>
            <w:noWrap/>
            <w:vAlign w:val="center"/>
          </w:tcPr>
          <w:p>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COD</w:t>
            </w:r>
          </w:p>
        </w:tc>
        <w:tc>
          <w:tcPr>
            <w:tcW w:w="749" w:type="pct"/>
            <w:vAlign w:val="center"/>
          </w:tcPr>
          <w:p>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BOD</w:t>
            </w:r>
            <w:r>
              <w:rPr>
                <w:rFonts w:hint="default" w:ascii="Times New Roman" w:hAnsi="Times New Roman" w:cs="Times New Roman"/>
                <w:color w:val="FF0000"/>
                <w:sz w:val="21"/>
                <w:szCs w:val="21"/>
                <w:vertAlign w:val="subscript"/>
              </w:rPr>
              <w:t>5</w:t>
            </w:r>
          </w:p>
        </w:tc>
        <w:tc>
          <w:tcPr>
            <w:tcW w:w="716" w:type="pct"/>
            <w:vAlign w:val="center"/>
          </w:tcPr>
          <w:p>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氨氮</w:t>
            </w:r>
          </w:p>
        </w:tc>
        <w:tc>
          <w:tcPr>
            <w:tcW w:w="795" w:type="pct"/>
            <w:shd w:val="clear" w:color="auto" w:fill="auto"/>
            <w:noWrap/>
            <w:vAlign w:val="center"/>
          </w:tcPr>
          <w:p>
            <w:pPr>
              <w:widowControl/>
              <w:jc w:val="center"/>
              <w:rPr>
                <w:rFonts w:hint="default" w:ascii="Times New Roman" w:hAnsi="Times New Roman" w:eastAsia="宋体" w:cs="Times New Roman"/>
                <w:color w:val="auto"/>
                <w:kern w:val="0"/>
                <w:sz w:val="21"/>
                <w:szCs w:val="21"/>
                <w:lang w:eastAsia="zh-CN"/>
              </w:rPr>
            </w:pPr>
            <w:r>
              <w:rPr>
                <w:rFonts w:hint="default" w:ascii="Times New Roman" w:hAnsi="Times New Roman" w:cs="Times New Roman"/>
                <w:color w:val="auto"/>
                <w:kern w:val="0"/>
                <w:sz w:val="21"/>
                <w:szCs w:val="21"/>
                <w:lang w:eastAsia="zh-CN"/>
              </w:rPr>
              <w:t>总磷</w:t>
            </w:r>
          </w:p>
        </w:tc>
        <w:tc>
          <w:tcPr>
            <w:tcW w:w="795" w:type="pct"/>
            <w:shd w:val="clear" w:color="auto" w:fill="auto"/>
            <w:noWrap/>
            <w:vAlign w:val="center"/>
          </w:tcPr>
          <w:p>
            <w:pPr>
              <w:widowControl/>
              <w:jc w:val="center"/>
              <w:rPr>
                <w:rFonts w:hint="default" w:ascii="Times New Roman" w:hAnsi="Times New Roman" w:eastAsia="宋体" w:cs="Times New Roman"/>
                <w:color w:val="auto"/>
                <w:kern w:val="0"/>
                <w:sz w:val="21"/>
                <w:szCs w:val="21"/>
                <w:lang w:eastAsia="zh-CN"/>
              </w:rPr>
            </w:pPr>
            <w:r>
              <w:rPr>
                <w:rFonts w:hint="default" w:ascii="Times New Roman" w:hAnsi="Times New Roman" w:cs="Times New Roman"/>
                <w:color w:val="auto"/>
                <w:kern w:val="0"/>
                <w:sz w:val="21"/>
                <w:szCs w:val="21"/>
                <w:lang w:eastAsia="zh-CN"/>
              </w:rPr>
              <w:t>氟化物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7" w:type="pct"/>
            <w:shd w:val="clear" w:color="auto" w:fill="auto"/>
            <w:noWrap/>
            <w:vAlign w:val="center"/>
          </w:tcPr>
          <w:p>
            <w:pPr>
              <w:widowControl/>
              <w:jc w:val="center"/>
              <w:rPr>
                <w:rFonts w:hint="default" w:ascii="Times New Roman" w:hAnsi="Times New Roman" w:cs="Times New Roman"/>
                <w:color w:val="auto"/>
                <w:kern w:val="0"/>
                <w:sz w:val="21"/>
                <w:szCs w:val="21"/>
                <w:lang w:val="en-US"/>
              </w:rPr>
            </w:pPr>
            <w:r>
              <w:rPr>
                <w:rFonts w:hint="default" w:ascii="Times New Roman" w:hAnsi="Times New Roman" w:cs="Times New Roman"/>
                <w:color w:val="auto"/>
                <w:kern w:val="0"/>
                <w:sz w:val="21"/>
                <w:szCs w:val="21"/>
                <w:lang w:eastAsia="zh-CN"/>
              </w:rPr>
              <w:t>入河浓度</w:t>
            </w:r>
            <w:r>
              <w:rPr>
                <w:rFonts w:hint="default" w:ascii="Times New Roman" w:hAnsi="Times New Roman" w:cs="Times New Roman"/>
                <w:color w:val="auto"/>
                <w:kern w:val="0"/>
                <w:sz w:val="21"/>
                <w:szCs w:val="21"/>
                <w:lang w:val="en-US" w:eastAsia="zh-CN"/>
              </w:rPr>
              <w:t>mg/L</w:t>
            </w:r>
          </w:p>
        </w:tc>
        <w:tc>
          <w:tcPr>
            <w:tcW w:w="775" w:type="pct"/>
            <w:shd w:val="clear" w:color="auto" w:fill="auto"/>
            <w:noWrap/>
            <w:vAlign w:val="center"/>
          </w:tcPr>
          <w:p>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19.68</w:t>
            </w:r>
          </w:p>
        </w:tc>
        <w:tc>
          <w:tcPr>
            <w:tcW w:w="749" w:type="pct"/>
            <w:vAlign w:val="center"/>
          </w:tcPr>
          <w:p>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3.93</w:t>
            </w:r>
          </w:p>
        </w:tc>
        <w:tc>
          <w:tcPr>
            <w:tcW w:w="716" w:type="pct"/>
            <w:vAlign w:val="center"/>
          </w:tcPr>
          <w:p>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2.07</w:t>
            </w:r>
          </w:p>
        </w:tc>
        <w:tc>
          <w:tcPr>
            <w:tcW w:w="795" w:type="pct"/>
            <w:shd w:val="clear" w:color="auto" w:fill="auto"/>
            <w:noWrap/>
            <w:vAlign w:val="center"/>
          </w:tcPr>
          <w:p>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0.3</w:t>
            </w:r>
          </w:p>
        </w:tc>
        <w:tc>
          <w:tcPr>
            <w:tcW w:w="795" w:type="pct"/>
            <w:shd w:val="clear" w:color="auto" w:fill="auto"/>
            <w:noWrap/>
            <w:vAlign w:val="center"/>
          </w:tcPr>
          <w:p>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7" w:type="pct"/>
            <w:shd w:val="clear" w:color="auto" w:fill="auto"/>
            <w:noWrap/>
            <w:vAlign w:val="center"/>
          </w:tcPr>
          <w:p>
            <w:pPr>
              <w:widowControl/>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eastAsia="zh-CN"/>
              </w:rPr>
              <w:t>入河限制排放总量</w:t>
            </w:r>
            <w:r>
              <w:rPr>
                <w:rFonts w:hint="default" w:ascii="Times New Roman" w:hAnsi="Times New Roman" w:cs="Times New Roman"/>
                <w:color w:val="auto"/>
                <w:kern w:val="0"/>
                <w:sz w:val="21"/>
                <w:szCs w:val="21"/>
                <w:lang w:val="en-US" w:eastAsia="zh-CN"/>
              </w:rPr>
              <w:t>kg/d</w:t>
            </w:r>
          </w:p>
        </w:tc>
        <w:tc>
          <w:tcPr>
            <w:tcW w:w="775" w:type="pct"/>
            <w:shd w:val="clear" w:color="auto" w:fill="auto"/>
            <w:noWrap/>
            <w:vAlign w:val="center"/>
          </w:tcPr>
          <w:p>
            <w:pPr>
              <w:widowControl/>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432.96</w:t>
            </w:r>
          </w:p>
        </w:tc>
        <w:tc>
          <w:tcPr>
            <w:tcW w:w="749" w:type="pct"/>
            <w:vAlign w:val="center"/>
          </w:tcPr>
          <w:p>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86.46</w:t>
            </w:r>
          </w:p>
        </w:tc>
        <w:tc>
          <w:tcPr>
            <w:tcW w:w="716" w:type="pct"/>
            <w:vAlign w:val="center"/>
          </w:tcPr>
          <w:p>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45.54</w:t>
            </w:r>
          </w:p>
        </w:tc>
        <w:tc>
          <w:tcPr>
            <w:tcW w:w="795" w:type="pct"/>
            <w:shd w:val="clear" w:color="auto" w:fill="auto"/>
            <w:noWrap/>
            <w:vAlign w:val="center"/>
          </w:tcPr>
          <w:p>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6.6</w:t>
            </w:r>
          </w:p>
        </w:tc>
        <w:tc>
          <w:tcPr>
            <w:tcW w:w="795" w:type="pct"/>
            <w:shd w:val="clear" w:color="auto" w:fill="auto"/>
            <w:noWrap/>
            <w:vAlign w:val="center"/>
          </w:tcPr>
          <w:p>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50.82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7" w:type="pct"/>
            <w:shd w:val="clear" w:color="auto" w:fill="auto"/>
            <w:noWrap/>
            <w:vAlign w:val="center"/>
          </w:tcPr>
          <w:p>
            <w:pPr>
              <w:widowControl/>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eastAsia="zh-CN"/>
              </w:rPr>
              <w:t>叠加本项目废水量后（</w:t>
            </w:r>
            <w:r>
              <w:rPr>
                <w:rFonts w:hint="default" w:ascii="Times New Roman" w:hAnsi="Times New Roman" w:cs="Times New Roman"/>
                <w:color w:val="auto"/>
                <w:kern w:val="0"/>
                <w:sz w:val="21"/>
                <w:szCs w:val="21"/>
                <w:lang w:val="en-US" w:eastAsia="zh-CN"/>
              </w:rPr>
              <w:t>18249.94m</w:t>
            </w:r>
            <w:r>
              <w:rPr>
                <w:rFonts w:hint="default" w:ascii="Times New Roman" w:hAnsi="Times New Roman" w:cs="Times New Roman"/>
                <w:color w:val="auto"/>
                <w:kern w:val="0"/>
                <w:sz w:val="21"/>
                <w:szCs w:val="21"/>
                <w:vertAlign w:val="superscript"/>
                <w:lang w:val="en-US" w:eastAsia="zh-CN"/>
              </w:rPr>
              <w:t>3</w:t>
            </w:r>
            <w:r>
              <w:rPr>
                <w:rFonts w:hint="default" w:ascii="Times New Roman" w:hAnsi="Times New Roman" w:cs="Times New Roman"/>
                <w:color w:val="auto"/>
                <w:kern w:val="0"/>
                <w:sz w:val="21"/>
                <w:szCs w:val="21"/>
                <w:vertAlign w:val="baseline"/>
                <w:lang w:val="en-US" w:eastAsia="zh-CN"/>
              </w:rPr>
              <w:t>/d</w:t>
            </w:r>
            <w:r>
              <w:rPr>
                <w:rFonts w:hint="default" w:ascii="Times New Roman" w:hAnsi="Times New Roman" w:cs="Times New Roman"/>
                <w:color w:val="auto"/>
                <w:kern w:val="0"/>
                <w:sz w:val="21"/>
                <w:szCs w:val="21"/>
                <w:lang w:eastAsia="zh-CN"/>
              </w:rPr>
              <w:t>）折算入河限制排放量</w:t>
            </w:r>
            <w:r>
              <w:rPr>
                <w:rFonts w:hint="default" w:ascii="Times New Roman" w:hAnsi="Times New Roman" w:cs="Times New Roman"/>
                <w:color w:val="auto"/>
                <w:kern w:val="0"/>
                <w:sz w:val="21"/>
                <w:szCs w:val="21"/>
                <w:lang w:val="en-US" w:eastAsia="zh-CN"/>
              </w:rPr>
              <w:t>kg/d</w:t>
            </w:r>
          </w:p>
        </w:tc>
        <w:tc>
          <w:tcPr>
            <w:tcW w:w="1292" w:type="dxa"/>
            <w:shd w:val="clear" w:color="auto" w:fill="auto"/>
            <w:noWrap/>
            <w:vAlign w:val="center"/>
          </w:tcPr>
          <w:p>
            <w:pPr>
              <w:widowControl/>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val="en-US" w:eastAsia="zh-CN"/>
              </w:rPr>
              <w:t xml:space="preserve">359.16 </w:t>
            </w:r>
          </w:p>
        </w:tc>
        <w:tc>
          <w:tcPr>
            <w:tcW w:w="1249" w:type="dxa"/>
            <w:vAlign w:val="center"/>
          </w:tcPr>
          <w:p>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 xml:space="preserve">71.72 </w:t>
            </w:r>
          </w:p>
        </w:tc>
        <w:tc>
          <w:tcPr>
            <w:tcW w:w="1195" w:type="dxa"/>
            <w:vAlign w:val="center"/>
          </w:tcPr>
          <w:p>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 xml:space="preserve">37.78 </w:t>
            </w:r>
          </w:p>
        </w:tc>
        <w:tc>
          <w:tcPr>
            <w:tcW w:w="1326" w:type="dxa"/>
            <w:shd w:val="clear" w:color="auto" w:fill="auto"/>
            <w:noWrap/>
            <w:vAlign w:val="center"/>
          </w:tcPr>
          <w:p>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 xml:space="preserve">5.47 </w:t>
            </w:r>
          </w:p>
        </w:tc>
        <w:tc>
          <w:tcPr>
            <w:tcW w:w="1326" w:type="dxa"/>
            <w:shd w:val="clear" w:color="auto" w:fill="auto"/>
            <w:noWrap/>
            <w:vAlign w:val="center"/>
          </w:tcPr>
          <w:p>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 xml:space="preserve">42.16 </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eastAsia="zh-CN"/>
        </w:rPr>
        <w:t>根据《楚雄市富民工业园区污水处理厂工程环境影响报告书》可知，污水处理厂污染物处理效率</w:t>
      </w:r>
      <w:r>
        <w:rPr>
          <w:rFonts w:hint="default" w:ascii="Times New Roman" w:hAnsi="Times New Roman" w:cs="Times New Roman"/>
          <w:color w:val="auto"/>
          <w:lang w:val="en-US" w:eastAsia="zh-CN"/>
        </w:rPr>
        <w:t>COD为84.91%、BOD</w:t>
      </w:r>
      <w:r>
        <w:rPr>
          <w:rFonts w:hint="default" w:ascii="Times New Roman" w:hAnsi="Times New Roman" w:cs="Times New Roman"/>
          <w:color w:val="FF0000"/>
          <w:sz w:val="21"/>
          <w:szCs w:val="21"/>
          <w:vertAlign w:val="subscript"/>
        </w:rPr>
        <w:t>5</w:t>
      </w:r>
      <w:r>
        <w:rPr>
          <w:rFonts w:hint="default" w:ascii="Times New Roman" w:hAnsi="Times New Roman" w:cs="Times New Roman"/>
          <w:color w:val="auto"/>
          <w:lang w:val="en-US" w:eastAsia="zh-CN"/>
        </w:rPr>
        <w:t>为84.91%，氨氮为97.62%、总磷为69.23%、氟化物为79.43%，由该处理效率反推得到污水处理厂最大可接纳污染物总量。</w:t>
      </w:r>
    </w:p>
    <w:p>
      <w:pPr>
        <w:pStyle w:val="178"/>
        <w:keepNext w:val="0"/>
        <w:keepLines w:val="0"/>
        <w:pageBreakBefore w:val="0"/>
        <w:widowControl/>
        <w:numPr>
          <w:ilvl w:val="0"/>
          <w:numId w:val="7"/>
        </w:numPr>
        <w:kinsoku/>
        <w:wordWrap/>
        <w:overflowPunct/>
        <w:topLinePunct w:val="0"/>
        <w:autoSpaceDE/>
        <w:autoSpaceDN/>
        <w:bidi w:val="0"/>
        <w:adjustRightInd/>
        <w:snapToGrid/>
        <w:spacing w:beforeLines="0" w:afterLines="0" w:line="360" w:lineRule="auto"/>
        <w:ind w:left="0" w:leftChars="0" w:firstLine="0" w:firstLineChars="0"/>
        <w:textAlignment w:val="auto"/>
        <w:rPr>
          <w:rFonts w:hint="default" w:ascii="Times New Roman" w:hAnsi="Times New Roman" w:cs="Times New Roman"/>
          <w:b/>
          <w:color w:val="auto"/>
        </w:rPr>
      </w:pPr>
      <w:r>
        <w:rPr>
          <w:rFonts w:hint="default" w:ascii="Times New Roman" w:hAnsi="Times New Roman" w:cs="Times New Roman"/>
          <w:b/>
          <w:color w:val="auto"/>
          <w:lang w:eastAsia="zh-CN"/>
        </w:rPr>
        <w:t>楚雄市富民工业园区污水处理厂最大可接纳污染物总量</w:t>
      </w:r>
    </w:p>
    <w:tbl>
      <w:tblPr>
        <w:tblStyle w:val="44"/>
        <w:tblW w:w="488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6"/>
        <w:gridCol w:w="1292"/>
        <w:gridCol w:w="1249"/>
        <w:gridCol w:w="1195"/>
        <w:gridCol w:w="1326"/>
        <w:gridCol w:w="13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7" w:type="pct"/>
            <w:shd w:val="clear" w:color="auto" w:fill="auto"/>
            <w:noWrap/>
            <w:vAlign w:val="center"/>
          </w:tcPr>
          <w:p>
            <w:pPr>
              <w:widowControl/>
              <w:jc w:val="center"/>
              <w:rPr>
                <w:rFonts w:hint="default" w:ascii="Times New Roman" w:hAnsi="Times New Roman" w:eastAsia="宋体" w:cs="Times New Roman"/>
                <w:color w:val="auto"/>
                <w:kern w:val="0"/>
                <w:sz w:val="21"/>
                <w:szCs w:val="21"/>
                <w:lang w:eastAsia="zh-CN"/>
              </w:rPr>
            </w:pPr>
            <w:r>
              <w:rPr>
                <w:rFonts w:hint="default" w:ascii="Times New Roman" w:hAnsi="Times New Roman" w:cs="Times New Roman"/>
                <w:color w:val="auto"/>
                <w:kern w:val="0"/>
                <w:sz w:val="21"/>
                <w:szCs w:val="21"/>
                <w:lang w:eastAsia="zh-CN"/>
              </w:rPr>
              <w:t>污染因子</w:t>
            </w:r>
          </w:p>
        </w:tc>
        <w:tc>
          <w:tcPr>
            <w:tcW w:w="775" w:type="pct"/>
            <w:shd w:val="clear" w:color="auto" w:fill="auto"/>
            <w:noWrap/>
            <w:vAlign w:val="center"/>
          </w:tcPr>
          <w:p>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COD</w:t>
            </w:r>
          </w:p>
        </w:tc>
        <w:tc>
          <w:tcPr>
            <w:tcW w:w="749" w:type="pct"/>
            <w:vAlign w:val="center"/>
          </w:tcPr>
          <w:p>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BOD</w:t>
            </w:r>
            <w:r>
              <w:rPr>
                <w:rFonts w:hint="default" w:ascii="Times New Roman" w:hAnsi="Times New Roman" w:cs="Times New Roman"/>
                <w:color w:val="FF0000"/>
                <w:sz w:val="21"/>
                <w:szCs w:val="21"/>
                <w:vertAlign w:val="subscript"/>
              </w:rPr>
              <w:t>5</w:t>
            </w:r>
          </w:p>
        </w:tc>
        <w:tc>
          <w:tcPr>
            <w:tcW w:w="716" w:type="pct"/>
            <w:vAlign w:val="center"/>
          </w:tcPr>
          <w:p>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氨氮</w:t>
            </w:r>
          </w:p>
        </w:tc>
        <w:tc>
          <w:tcPr>
            <w:tcW w:w="795" w:type="pct"/>
            <w:shd w:val="clear" w:color="auto" w:fill="auto"/>
            <w:noWrap/>
            <w:vAlign w:val="center"/>
          </w:tcPr>
          <w:p>
            <w:pPr>
              <w:widowControl/>
              <w:jc w:val="center"/>
              <w:rPr>
                <w:rFonts w:hint="default" w:ascii="Times New Roman" w:hAnsi="Times New Roman" w:eastAsia="宋体" w:cs="Times New Roman"/>
                <w:color w:val="auto"/>
                <w:kern w:val="0"/>
                <w:sz w:val="21"/>
                <w:szCs w:val="21"/>
                <w:lang w:eastAsia="zh-CN"/>
              </w:rPr>
            </w:pPr>
            <w:r>
              <w:rPr>
                <w:rFonts w:hint="default" w:ascii="Times New Roman" w:hAnsi="Times New Roman" w:cs="Times New Roman"/>
                <w:color w:val="auto"/>
                <w:kern w:val="0"/>
                <w:sz w:val="21"/>
                <w:szCs w:val="21"/>
                <w:lang w:eastAsia="zh-CN"/>
              </w:rPr>
              <w:t>总磷</w:t>
            </w:r>
          </w:p>
        </w:tc>
        <w:tc>
          <w:tcPr>
            <w:tcW w:w="795" w:type="pct"/>
            <w:shd w:val="clear" w:color="auto" w:fill="auto"/>
            <w:noWrap/>
            <w:vAlign w:val="center"/>
          </w:tcPr>
          <w:p>
            <w:pPr>
              <w:widowControl/>
              <w:jc w:val="center"/>
              <w:rPr>
                <w:rFonts w:hint="default" w:ascii="Times New Roman" w:hAnsi="Times New Roman" w:eastAsia="宋体" w:cs="Times New Roman"/>
                <w:color w:val="auto"/>
                <w:kern w:val="0"/>
                <w:sz w:val="21"/>
                <w:szCs w:val="21"/>
                <w:lang w:eastAsia="zh-CN"/>
              </w:rPr>
            </w:pPr>
            <w:r>
              <w:rPr>
                <w:rFonts w:hint="default" w:ascii="Times New Roman" w:hAnsi="Times New Roman" w:cs="Times New Roman"/>
                <w:color w:val="auto"/>
                <w:kern w:val="0"/>
                <w:sz w:val="21"/>
                <w:szCs w:val="21"/>
                <w:lang w:eastAsia="zh-CN"/>
              </w:rPr>
              <w:t>氟化物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7" w:type="pct"/>
            <w:shd w:val="clear" w:color="auto" w:fill="auto"/>
            <w:noWrap/>
            <w:vAlign w:val="center"/>
          </w:tcPr>
          <w:p>
            <w:pPr>
              <w:widowControl/>
              <w:jc w:val="center"/>
              <w:rPr>
                <w:rFonts w:hint="default" w:ascii="Times New Roman" w:hAnsi="Times New Roman" w:cs="Times New Roman"/>
                <w:color w:val="auto"/>
                <w:kern w:val="0"/>
                <w:sz w:val="21"/>
                <w:szCs w:val="21"/>
                <w:lang w:val="en-US"/>
              </w:rPr>
            </w:pPr>
            <w:r>
              <w:rPr>
                <w:rFonts w:hint="default" w:ascii="Times New Roman" w:hAnsi="Times New Roman" w:cs="Times New Roman"/>
                <w:color w:val="auto"/>
                <w:kern w:val="0"/>
                <w:sz w:val="21"/>
                <w:szCs w:val="21"/>
                <w:lang w:eastAsia="zh-CN"/>
              </w:rPr>
              <w:t>入河限制排放量</w:t>
            </w:r>
            <w:r>
              <w:rPr>
                <w:rFonts w:hint="default" w:ascii="Times New Roman" w:hAnsi="Times New Roman" w:cs="Times New Roman"/>
                <w:color w:val="auto"/>
                <w:kern w:val="0"/>
                <w:sz w:val="21"/>
                <w:szCs w:val="21"/>
                <w:lang w:val="en-US" w:eastAsia="zh-CN"/>
              </w:rPr>
              <w:t>kg/d</w:t>
            </w:r>
          </w:p>
        </w:tc>
        <w:tc>
          <w:tcPr>
            <w:tcW w:w="775" w:type="pct"/>
            <w:shd w:val="clear" w:color="auto" w:fill="auto"/>
            <w:noWrap/>
            <w:vAlign w:val="center"/>
          </w:tcPr>
          <w:p>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 xml:space="preserve">359.16 </w:t>
            </w:r>
          </w:p>
        </w:tc>
        <w:tc>
          <w:tcPr>
            <w:tcW w:w="749" w:type="pct"/>
            <w:vAlign w:val="center"/>
          </w:tcPr>
          <w:p>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 xml:space="preserve">71.72 </w:t>
            </w:r>
          </w:p>
        </w:tc>
        <w:tc>
          <w:tcPr>
            <w:tcW w:w="716" w:type="pct"/>
            <w:vAlign w:val="center"/>
          </w:tcPr>
          <w:p>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 xml:space="preserve">37.78 </w:t>
            </w:r>
          </w:p>
        </w:tc>
        <w:tc>
          <w:tcPr>
            <w:tcW w:w="795" w:type="pct"/>
            <w:shd w:val="clear" w:color="auto" w:fill="auto"/>
            <w:noWrap/>
            <w:vAlign w:val="center"/>
          </w:tcPr>
          <w:p>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 xml:space="preserve">5.47 </w:t>
            </w:r>
          </w:p>
        </w:tc>
        <w:tc>
          <w:tcPr>
            <w:tcW w:w="795" w:type="pct"/>
            <w:shd w:val="clear" w:color="auto" w:fill="auto"/>
            <w:noWrap/>
            <w:vAlign w:val="center"/>
          </w:tcPr>
          <w:p>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 xml:space="preserve">42.16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7" w:type="pct"/>
            <w:shd w:val="clear" w:color="auto" w:fill="auto"/>
            <w:noWrap/>
            <w:vAlign w:val="center"/>
          </w:tcPr>
          <w:p>
            <w:pPr>
              <w:widowControl/>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eastAsia="zh-CN"/>
              </w:rPr>
              <w:t>污染物治理效率</w:t>
            </w:r>
            <w:r>
              <w:rPr>
                <w:rFonts w:hint="default" w:ascii="Times New Roman" w:hAnsi="Times New Roman" w:cs="Times New Roman"/>
                <w:color w:val="auto"/>
                <w:kern w:val="0"/>
                <w:sz w:val="21"/>
                <w:szCs w:val="21"/>
                <w:lang w:val="en-US" w:eastAsia="zh-CN"/>
              </w:rPr>
              <w:t>%</w:t>
            </w:r>
          </w:p>
        </w:tc>
        <w:tc>
          <w:tcPr>
            <w:tcW w:w="775" w:type="pct"/>
            <w:shd w:val="clear" w:color="auto" w:fill="auto"/>
            <w:noWrap/>
            <w:vAlign w:val="center"/>
          </w:tcPr>
          <w:p>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84.91%</w:t>
            </w:r>
          </w:p>
        </w:tc>
        <w:tc>
          <w:tcPr>
            <w:tcW w:w="749" w:type="pct"/>
            <w:vAlign w:val="center"/>
          </w:tcPr>
          <w:p>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84.91%</w:t>
            </w:r>
          </w:p>
        </w:tc>
        <w:tc>
          <w:tcPr>
            <w:tcW w:w="716" w:type="pct"/>
            <w:vAlign w:val="center"/>
          </w:tcPr>
          <w:p>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97.62%</w:t>
            </w:r>
          </w:p>
        </w:tc>
        <w:tc>
          <w:tcPr>
            <w:tcW w:w="795" w:type="pct"/>
            <w:shd w:val="clear" w:color="auto" w:fill="auto"/>
            <w:noWrap/>
            <w:vAlign w:val="center"/>
          </w:tcPr>
          <w:p>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69.23%</w:t>
            </w:r>
          </w:p>
        </w:tc>
        <w:tc>
          <w:tcPr>
            <w:tcW w:w="795" w:type="pct"/>
            <w:shd w:val="clear" w:color="auto" w:fill="auto"/>
            <w:noWrap/>
            <w:vAlign w:val="center"/>
          </w:tcPr>
          <w:p>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79.43%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7" w:type="pct"/>
            <w:shd w:val="clear" w:color="auto" w:fill="auto"/>
            <w:noWrap/>
            <w:vAlign w:val="center"/>
          </w:tcPr>
          <w:p>
            <w:pPr>
              <w:widowControl/>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污水处理厂最大可接纳总量kg/d</w:t>
            </w:r>
          </w:p>
        </w:tc>
        <w:tc>
          <w:tcPr>
            <w:tcW w:w="775" w:type="pct"/>
            <w:shd w:val="clear" w:color="auto" w:fill="auto"/>
            <w:noWrap/>
            <w:vAlign w:val="center"/>
          </w:tcPr>
          <w:p>
            <w:pPr>
              <w:widowControl/>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 xml:space="preserve">2380.11 </w:t>
            </w:r>
          </w:p>
        </w:tc>
        <w:tc>
          <w:tcPr>
            <w:tcW w:w="749" w:type="pct"/>
            <w:vAlign w:val="center"/>
          </w:tcPr>
          <w:p>
            <w:pPr>
              <w:widowControl/>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 xml:space="preserve">475.30 </w:t>
            </w:r>
          </w:p>
        </w:tc>
        <w:tc>
          <w:tcPr>
            <w:tcW w:w="716" w:type="pct"/>
            <w:vAlign w:val="center"/>
          </w:tcPr>
          <w:p>
            <w:pPr>
              <w:widowControl/>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 xml:space="preserve">1587.28 </w:t>
            </w:r>
          </w:p>
        </w:tc>
        <w:tc>
          <w:tcPr>
            <w:tcW w:w="795" w:type="pct"/>
            <w:shd w:val="clear" w:color="auto" w:fill="auto"/>
            <w:noWrap/>
            <w:vAlign w:val="center"/>
          </w:tcPr>
          <w:p>
            <w:pPr>
              <w:widowControl/>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 xml:space="preserve">17.79 </w:t>
            </w:r>
          </w:p>
        </w:tc>
        <w:tc>
          <w:tcPr>
            <w:tcW w:w="795" w:type="pct"/>
            <w:shd w:val="clear" w:color="auto" w:fill="auto"/>
            <w:noWrap/>
            <w:vAlign w:val="center"/>
          </w:tcPr>
          <w:p>
            <w:pPr>
              <w:widowControl/>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 xml:space="preserve">204.95 </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default" w:ascii="Times New Roman" w:hAnsi="Times New Roman" w:eastAsia="宋体" w:cs="Times New Roman"/>
          <w:b w:val="0"/>
          <w:bCs w:val="0"/>
          <w:color w:val="auto"/>
          <w:kern w:val="21"/>
          <w:lang w:eastAsia="zh-CN"/>
        </w:rPr>
      </w:pPr>
      <w:r>
        <w:rPr>
          <w:rFonts w:hint="default" w:ascii="Times New Roman" w:hAnsi="Times New Roman" w:cs="Times New Roman"/>
          <w:b w:val="0"/>
          <w:bCs w:val="0"/>
          <w:color w:val="auto"/>
          <w:kern w:val="21"/>
          <w:lang w:eastAsia="zh-CN"/>
        </w:rPr>
        <w:t>根据</w:t>
      </w:r>
      <w:r>
        <w:rPr>
          <w:rFonts w:hint="default" w:ascii="Times New Roman" w:hAnsi="Times New Roman" w:cs="Times New Roman"/>
          <w:color w:val="auto"/>
          <w:lang w:eastAsia="zh-CN"/>
        </w:rPr>
        <w:t>上文“</w:t>
      </w:r>
      <w:r>
        <w:rPr>
          <w:rFonts w:hint="default" w:ascii="Times New Roman" w:hAnsi="Times New Roman" w:cs="Times New Roman"/>
          <w:color w:val="auto"/>
          <w:lang w:val="en-US" w:eastAsia="zh-CN"/>
        </w:rPr>
        <w:t>4.2.2企业周边污染源调查</w:t>
      </w:r>
      <w:r>
        <w:rPr>
          <w:rFonts w:hint="default" w:ascii="Times New Roman" w:hAnsi="Times New Roman" w:cs="Times New Roman"/>
          <w:color w:val="auto"/>
          <w:lang w:eastAsia="zh-CN"/>
        </w:rPr>
        <w:t>”核算现有已建</w:t>
      </w:r>
      <w:r>
        <w:rPr>
          <w:rFonts w:hint="default" w:ascii="Times New Roman" w:hAnsi="Times New Roman" w:cs="Times New Roman"/>
          <w:color w:val="auto"/>
          <w:vertAlign w:val="baseline"/>
          <w:lang w:val="en-US" w:eastAsia="zh-CN"/>
        </w:rPr>
        <w:t>项目+在建项目+已批复拟建项目的污染物排放总量。由于本项目废水与现有厂区内项目混合排放，因此在核算时需先剔除厂区内现有的两个项目“宇泽半导体（云南）有限公司年产5GW单晶硅拉棒及3GW切片生产线项目”和“年产5GW单晶硅拉棒及2GW切片项目”，最后对厂区整体的废水排放浓度限值提出要求。</w:t>
      </w:r>
    </w:p>
    <w:p>
      <w:pPr>
        <w:rPr>
          <w:rFonts w:hint="default" w:ascii="Times New Roman" w:hAnsi="Times New Roman" w:cs="Times New Roman"/>
        </w:rPr>
        <w:sectPr>
          <w:pgSz w:w="11906" w:h="16838"/>
          <w:pgMar w:top="1440" w:right="1797" w:bottom="1440" w:left="1797" w:header="851" w:footer="992" w:gutter="0"/>
          <w:pgBorders>
            <w:top w:val="none" w:sz="0" w:space="0"/>
            <w:left w:val="none" w:sz="0" w:space="0"/>
            <w:bottom w:val="none" w:sz="0" w:space="0"/>
            <w:right w:val="none" w:sz="0" w:space="0"/>
          </w:pgBorders>
          <w:cols w:space="720" w:num="1"/>
          <w:docGrid w:linePitch="312" w:charSpace="0"/>
        </w:sectPr>
      </w:pPr>
    </w:p>
    <w:p>
      <w:pPr>
        <w:pStyle w:val="31"/>
        <w:rPr>
          <w:rFonts w:hint="default" w:ascii="Times New Roman" w:hAnsi="Times New Roman" w:cs="Times New Roman"/>
        </w:rPr>
      </w:pPr>
    </w:p>
    <w:p>
      <w:pPr>
        <w:pStyle w:val="178"/>
        <w:keepNext w:val="0"/>
        <w:keepLines w:val="0"/>
        <w:pageBreakBefore w:val="0"/>
        <w:widowControl/>
        <w:numPr>
          <w:ilvl w:val="0"/>
          <w:numId w:val="7"/>
        </w:numPr>
        <w:kinsoku/>
        <w:wordWrap/>
        <w:overflowPunct/>
        <w:topLinePunct w:val="0"/>
        <w:autoSpaceDE/>
        <w:autoSpaceDN/>
        <w:bidi w:val="0"/>
        <w:adjustRightInd/>
        <w:snapToGrid/>
        <w:spacing w:beforeLines="0" w:afterLines="0" w:line="360" w:lineRule="auto"/>
        <w:ind w:left="0" w:leftChars="0" w:firstLine="0" w:firstLineChars="0"/>
        <w:textAlignment w:val="auto"/>
        <w:rPr>
          <w:rFonts w:hint="default" w:ascii="Times New Roman" w:hAnsi="Times New Roman" w:cs="Times New Roman"/>
          <w:b/>
          <w:bCs/>
          <w:color w:val="auto"/>
          <w:spacing w:val="1"/>
        </w:rPr>
      </w:pPr>
      <w:r>
        <w:rPr>
          <w:rFonts w:hint="default" w:ascii="Times New Roman" w:hAnsi="Times New Roman" w:cs="Times New Roman"/>
          <w:b/>
          <w:bCs/>
          <w:color w:val="auto"/>
          <w:spacing w:val="1"/>
          <w:lang w:val="en-US" w:eastAsia="zh-CN"/>
        </w:rPr>
        <w:t xml:space="preserve"> </w:t>
      </w:r>
      <w:r>
        <w:rPr>
          <w:rFonts w:hint="default" w:ascii="Times New Roman" w:hAnsi="Times New Roman" w:cs="Times New Roman"/>
          <w:b/>
          <w:bCs/>
          <w:color w:val="auto"/>
          <w:spacing w:val="1"/>
          <w:lang w:eastAsia="zh-CN"/>
        </w:rPr>
        <w:t>污水处理厂接纳企业废水污染物排放总量</w:t>
      </w:r>
      <w:r>
        <w:rPr>
          <w:rFonts w:hint="default" w:ascii="Times New Roman" w:hAnsi="Times New Roman" w:cs="Times New Roman"/>
          <w:b/>
          <w:bCs/>
          <w:color w:val="auto"/>
          <w:spacing w:val="1"/>
          <w:lang w:val="en-US" w:eastAsia="zh-CN"/>
        </w:rPr>
        <w:t xml:space="preserve">   单位：kg/d</w:t>
      </w:r>
    </w:p>
    <w:tbl>
      <w:tblPr>
        <w:tblStyle w:val="44"/>
        <w:tblW w:w="4925" w:type="pct"/>
        <w:jc w:val="center"/>
        <w:tblLayout w:type="fixed"/>
        <w:tblCellMar>
          <w:top w:w="0" w:type="dxa"/>
          <w:left w:w="108" w:type="dxa"/>
          <w:bottom w:w="0" w:type="dxa"/>
          <w:right w:w="108" w:type="dxa"/>
        </w:tblCellMar>
      </w:tblPr>
      <w:tblGrid>
        <w:gridCol w:w="1595"/>
        <w:gridCol w:w="3835"/>
        <w:gridCol w:w="1320"/>
        <w:gridCol w:w="1189"/>
        <w:gridCol w:w="1189"/>
        <w:gridCol w:w="1189"/>
        <w:gridCol w:w="1189"/>
        <w:gridCol w:w="1193"/>
        <w:gridCol w:w="1263"/>
      </w:tblGrid>
      <w:tr>
        <w:tblPrEx>
          <w:tblCellMar>
            <w:top w:w="0" w:type="dxa"/>
            <w:left w:w="108" w:type="dxa"/>
            <w:bottom w:w="0" w:type="dxa"/>
            <w:right w:w="108" w:type="dxa"/>
          </w:tblCellMar>
        </w:tblPrEx>
        <w:trPr>
          <w:trHeight w:val="90" w:hRule="atLeast"/>
          <w:jc w:val="center"/>
        </w:trPr>
        <w:tc>
          <w:tcPr>
            <w:tcW w:w="571" w:type="pct"/>
            <w:tcBorders>
              <w:top w:val="single" w:color="auto" w:sz="4" w:space="0"/>
              <w:left w:val="single" w:color="auto" w:sz="4" w:space="0"/>
              <w:right w:val="single" w:color="auto" w:sz="4" w:space="0"/>
            </w:tcBorders>
            <w:vAlign w:val="center"/>
          </w:tcPr>
          <w:p>
            <w:pPr>
              <w:pStyle w:val="167"/>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企业名称</w:t>
            </w:r>
          </w:p>
        </w:tc>
        <w:tc>
          <w:tcPr>
            <w:tcW w:w="1373" w:type="pct"/>
            <w:tcBorders>
              <w:top w:val="single" w:color="auto" w:sz="4" w:space="0"/>
              <w:left w:val="single" w:color="auto" w:sz="4" w:space="0"/>
              <w:right w:val="single" w:color="auto" w:sz="4" w:space="0"/>
            </w:tcBorders>
            <w:shd w:val="clear" w:color="auto" w:fill="auto"/>
            <w:vAlign w:val="center"/>
          </w:tcPr>
          <w:p>
            <w:pPr>
              <w:pStyle w:val="167"/>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项目</w:t>
            </w:r>
            <w:r>
              <w:rPr>
                <w:rFonts w:hint="default" w:ascii="Times New Roman" w:hAnsi="Times New Roman" w:cs="Times New Roman"/>
                <w:color w:val="auto"/>
                <w:sz w:val="21"/>
                <w:szCs w:val="21"/>
                <w:lang w:eastAsia="zh-CN"/>
              </w:rPr>
              <w:t>名称</w:t>
            </w:r>
          </w:p>
        </w:tc>
        <w:tc>
          <w:tcPr>
            <w:tcW w:w="472" w:type="pct"/>
            <w:tcBorders>
              <w:top w:val="single" w:color="auto" w:sz="4" w:space="0"/>
              <w:left w:val="single" w:color="auto" w:sz="4" w:space="0"/>
              <w:right w:val="single" w:color="auto" w:sz="4" w:space="0"/>
            </w:tcBorders>
            <w:vAlign w:val="center"/>
          </w:tcPr>
          <w:p>
            <w:pPr>
              <w:pStyle w:val="167"/>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状态</w:t>
            </w:r>
          </w:p>
        </w:tc>
        <w:tc>
          <w:tcPr>
            <w:tcW w:w="425"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67"/>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COD</w:t>
            </w:r>
          </w:p>
        </w:tc>
        <w:tc>
          <w:tcPr>
            <w:tcW w:w="425"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67"/>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BOD</w:t>
            </w:r>
            <w:r>
              <w:rPr>
                <w:rFonts w:hint="default" w:ascii="Times New Roman" w:hAnsi="Times New Roman" w:cs="Times New Roman"/>
                <w:color w:val="FF0000"/>
                <w:sz w:val="21"/>
                <w:szCs w:val="21"/>
                <w:vertAlign w:val="subscript"/>
              </w:rPr>
              <w:t>5</w:t>
            </w:r>
          </w:p>
        </w:tc>
        <w:tc>
          <w:tcPr>
            <w:tcW w:w="425"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67"/>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氨氮</w:t>
            </w:r>
          </w:p>
        </w:tc>
        <w:tc>
          <w:tcPr>
            <w:tcW w:w="425"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67"/>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总磷</w:t>
            </w:r>
          </w:p>
        </w:tc>
        <w:tc>
          <w:tcPr>
            <w:tcW w:w="427"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67"/>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氟化物</w:t>
            </w:r>
          </w:p>
        </w:tc>
        <w:tc>
          <w:tcPr>
            <w:tcW w:w="452" w:type="pct"/>
            <w:tcBorders>
              <w:top w:val="single" w:color="auto" w:sz="4" w:space="0"/>
              <w:left w:val="single" w:color="auto" w:sz="4" w:space="0"/>
              <w:right w:val="single" w:color="auto" w:sz="4" w:space="0"/>
            </w:tcBorders>
            <w:shd w:val="clear" w:color="auto" w:fill="auto"/>
            <w:noWrap/>
            <w:vAlign w:val="center"/>
          </w:tcPr>
          <w:p>
            <w:pPr>
              <w:pStyle w:val="167"/>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数据来源</w:t>
            </w:r>
          </w:p>
        </w:tc>
      </w:tr>
      <w:tr>
        <w:tblPrEx>
          <w:tblCellMar>
            <w:top w:w="0" w:type="dxa"/>
            <w:left w:w="108" w:type="dxa"/>
            <w:bottom w:w="0" w:type="dxa"/>
            <w:right w:w="108" w:type="dxa"/>
          </w:tblCellMar>
        </w:tblPrEx>
        <w:trPr>
          <w:trHeight w:val="340" w:hRule="atLeast"/>
          <w:jc w:val="center"/>
        </w:trPr>
        <w:tc>
          <w:tcPr>
            <w:tcW w:w="571" w:type="pct"/>
            <w:tcBorders>
              <w:top w:val="single" w:color="auto" w:sz="4" w:space="0"/>
              <w:left w:val="single" w:color="auto" w:sz="4" w:space="0"/>
              <w:bottom w:val="single" w:color="auto" w:sz="4" w:space="0"/>
              <w:right w:val="single" w:color="auto" w:sz="4" w:space="0"/>
            </w:tcBorders>
            <w:vAlign w:val="center"/>
          </w:tcPr>
          <w:p>
            <w:pPr>
              <w:pStyle w:val="167"/>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云南宇泽半导体有限公司</w:t>
            </w:r>
          </w:p>
        </w:tc>
        <w:tc>
          <w:tcPr>
            <w:tcW w:w="137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67"/>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年产20GW单晶硅拉棒生产线项目</w:t>
            </w:r>
          </w:p>
        </w:tc>
        <w:tc>
          <w:tcPr>
            <w:tcW w:w="472" w:type="pct"/>
            <w:tcBorders>
              <w:top w:val="single" w:color="auto" w:sz="4" w:space="0"/>
              <w:left w:val="single" w:color="auto" w:sz="4" w:space="0"/>
              <w:bottom w:val="single" w:color="auto" w:sz="4" w:space="0"/>
              <w:right w:val="single" w:color="auto" w:sz="4" w:space="0"/>
            </w:tcBorders>
            <w:vAlign w:val="center"/>
          </w:tcPr>
          <w:p>
            <w:pPr>
              <w:pStyle w:val="167"/>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lang w:eastAsia="zh-CN"/>
              </w:rPr>
              <w:t>正在建设过程中</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i w:val="0"/>
                <w:iCs w:val="0"/>
                <w:color w:val="000000"/>
                <w:kern w:val="0"/>
                <w:sz w:val="21"/>
                <w:szCs w:val="21"/>
                <w:u w:val="none"/>
                <w:lang w:val="en-US" w:eastAsia="zh-CN" w:bidi="ar"/>
              </w:rPr>
              <w:t>223.42</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i w:val="0"/>
                <w:iCs w:val="0"/>
                <w:color w:val="000000"/>
                <w:kern w:val="0"/>
                <w:sz w:val="21"/>
                <w:szCs w:val="21"/>
                <w:u w:val="none"/>
                <w:lang w:val="en-US" w:eastAsia="zh-CN" w:bidi="ar"/>
              </w:rPr>
              <w:t>（74.47）</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i w:val="0"/>
                <w:iCs w:val="0"/>
                <w:color w:val="000000"/>
                <w:kern w:val="0"/>
                <w:sz w:val="21"/>
                <w:szCs w:val="21"/>
                <w:u w:val="none"/>
                <w:lang w:val="en-US" w:eastAsia="zh-CN" w:bidi="ar"/>
              </w:rPr>
              <w:t>10.33</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i w:val="0"/>
                <w:iCs w:val="0"/>
                <w:color w:val="000000"/>
                <w:kern w:val="0"/>
                <w:sz w:val="21"/>
                <w:szCs w:val="21"/>
                <w:u w:val="none"/>
                <w:lang w:val="en-US" w:eastAsia="zh-CN" w:bidi="ar"/>
              </w:rPr>
              <w:t>/</w:t>
            </w:r>
          </w:p>
        </w:tc>
        <w:tc>
          <w:tcPr>
            <w:tcW w:w="42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i w:val="0"/>
                <w:iCs w:val="0"/>
                <w:color w:val="000000"/>
                <w:kern w:val="0"/>
                <w:sz w:val="21"/>
                <w:szCs w:val="21"/>
                <w:u w:val="none"/>
                <w:lang w:val="en-US" w:eastAsia="zh-CN" w:bidi="ar"/>
              </w:rPr>
              <w:t>23.26</w:t>
            </w:r>
          </w:p>
        </w:tc>
        <w:tc>
          <w:tcPr>
            <w:tcW w:w="452" w:type="pct"/>
            <w:tcBorders>
              <w:top w:val="single" w:color="auto" w:sz="4" w:space="0"/>
              <w:left w:val="single" w:color="auto" w:sz="4" w:space="0"/>
              <w:right w:val="single" w:color="auto" w:sz="4" w:space="0"/>
            </w:tcBorders>
            <w:shd w:val="clear" w:color="auto" w:fill="auto"/>
            <w:vAlign w:val="center"/>
          </w:tcPr>
          <w:p>
            <w:pPr>
              <w:pStyle w:val="167"/>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验收报告</w:t>
            </w:r>
          </w:p>
        </w:tc>
      </w:tr>
      <w:tr>
        <w:tblPrEx>
          <w:tblCellMar>
            <w:top w:w="0" w:type="dxa"/>
            <w:left w:w="108" w:type="dxa"/>
            <w:bottom w:w="0" w:type="dxa"/>
            <w:right w:w="108" w:type="dxa"/>
          </w:tblCellMar>
        </w:tblPrEx>
        <w:trPr>
          <w:trHeight w:val="340" w:hRule="atLeast"/>
          <w:jc w:val="center"/>
        </w:trPr>
        <w:tc>
          <w:tcPr>
            <w:tcW w:w="571" w:type="pct"/>
            <w:tcBorders>
              <w:top w:val="nil"/>
              <w:left w:val="single" w:color="auto" w:sz="4" w:space="0"/>
              <w:bottom w:val="single" w:color="auto" w:sz="4" w:space="0"/>
              <w:right w:val="single" w:color="auto" w:sz="4" w:space="0"/>
            </w:tcBorders>
            <w:vAlign w:val="center"/>
          </w:tcPr>
          <w:p>
            <w:pPr>
              <w:pStyle w:val="167"/>
              <w:rPr>
                <w:rFonts w:hint="default" w:ascii="Times New Roman" w:hAnsi="Times New Roman" w:eastAsia="宋体" w:cs="Times New Roman"/>
                <w:i w:val="0"/>
                <w:iCs w:val="0"/>
                <w:caps w:val="0"/>
                <w:color w:val="auto"/>
                <w:spacing w:val="0"/>
                <w:sz w:val="21"/>
                <w:szCs w:val="21"/>
                <w:shd w:val="clear" w:fill="FFFFFF"/>
              </w:rPr>
            </w:pPr>
            <w:r>
              <w:rPr>
                <w:rFonts w:hint="default" w:ascii="Times New Roman" w:hAnsi="Times New Roman" w:eastAsia="宋体" w:cs="Times New Roman"/>
                <w:i w:val="0"/>
                <w:iCs w:val="0"/>
                <w:caps w:val="0"/>
                <w:color w:val="auto"/>
                <w:spacing w:val="0"/>
                <w:sz w:val="21"/>
                <w:szCs w:val="21"/>
                <w:shd w:val="clear" w:fill="FFFFFF"/>
              </w:rPr>
              <w:t>晶科能源（楚雄）有限公司</w:t>
            </w:r>
          </w:p>
        </w:tc>
        <w:tc>
          <w:tcPr>
            <w:tcW w:w="1373" w:type="pct"/>
            <w:tcBorders>
              <w:top w:val="nil"/>
              <w:left w:val="single" w:color="auto" w:sz="4" w:space="0"/>
              <w:bottom w:val="single" w:color="auto" w:sz="4" w:space="0"/>
              <w:right w:val="single" w:color="auto" w:sz="4" w:space="0"/>
            </w:tcBorders>
            <w:shd w:val="clear" w:color="auto" w:fill="auto"/>
            <w:vAlign w:val="center"/>
          </w:tcPr>
          <w:p>
            <w:pPr>
              <w:pStyle w:val="167"/>
              <w:rPr>
                <w:rFonts w:hint="default" w:ascii="Times New Roman" w:hAnsi="Times New Roman" w:eastAsia="宋体" w:cs="Times New Roman"/>
                <w:i w:val="0"/>
                <w:iCs w:val="0"/>
                <w:caps w:val="0"/>
                <w:color w:val="auto"/>
                <w:spacing w:val="0"/>
                <w:sz w:val="21"/>
                <w:szCs w:val="21"/>
                <w:shd w:val="clear" w:fill="FFFFFF"/>
              </w:rPr>
            </w:pPr>
            <w:r>
              <w:rPr>
                <w:rFonts w:hint="default" w:ascii="Times New Roman" w:hAnsi="Times New Roman" w:eastAsia="宋体" w:cs="Times New Roman"/>
                <w:i w:val="0"/>
                <w:iCs w:val="0"/>
                <w:caps w:val="0"/>
                <w:color w:val="auto"/>
                <w:spacing w:val="0"/>
                <w:sz w:val="21"/>
                <w:szCs w:val="21"/>
                <w:shd w:val="clear" w:fill="FFFFFF"/>
              </w:rPr>
              <w:t>晶科能源（楚雄）有限公司年产20吉瓦高效太阳能电池片生产线建设一期项目</w:t>
            </w:r>
          </w:p>
        </w:tc>
        <w:tc>
          <w:tcPr>
            <w:tcW w:w="472" w:type="pct"/>
            <w:tcBorders>
              <w:top w:val="single" w:color="auto" w:sz="4" w:space="0"/>
              <w:left w:val="nil"/>
              <w:bottom w:val="single" w:color="auto" w:sz="4" w:space="0"/>
              <w:right w:val="single" w:color="auto" w:sz="4" w:space="0"/>
            </w:tcBorders>
            <w:vAlign w:val="center"/>
          </w:tcPr>
          <w:p>
            <w:pPr>
              <w:pStyle w:val="167"/>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正在建设过程中</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67"/>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573.04</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67"/>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（191.01）</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67"/>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11.91</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67"/>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42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67"/>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46.44</w:t>
            </w:r>
          </w:p>
        </w:tc>
        <w:tc>
          <w:tcPr>
            <w:tcW w:w="452" w:type="pct"/>
            <w:tcBorders>
              <w:top w:val="nil"/>
              <w:left w:val="nil"/>
              <w:bottom w:val="single" w:color="auto" w:sz="4" w:space="0"/>
              <w:right w:val="single" w:color="auto" w:sz="4" w:space="0"/>
            </w:tcBorders>
            <w:shd w:val="clear" w:color="auto" w:fill="auto"/>
            <w:vAlign w:val="center"/>
          </w:tcPr>
          <w:p>
            <w:pPr>
              <w:pStyle w:val="167"/>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环评批复文件</w:t>
            </w:r>
          </w:p>
        </w:tc>
      </w:tr>
      <w:tr>
        <w:tblPrEx>
          <w:tblCellMar>
            <w:top w:w="0" w:type="dxa"/>
            <w:left w:w="108" w:type="dxa"/>
            <w:bottom w:w="0" w:type="dxa"/>
            <w:right w:w="108" w:type="dxa"/>
          </w:tblCellMar>
        </w:tblPrEx>
        <w:trPr>
          <w:trHeight w:val="340" w:hRule="atLeast"/>
          <w:jc w:val="center"/>
        </w:trPr>
        <w:tc>
          <w:tcPr>
            <w:tcW w:w="571" w:type="pct"/>
            <w:tcBorders>
              <w:top w:val="nil"/>
              <w:left w:val="single" w:color="auto" w:sz="4" w:space="0"/>
              <w:bottom w:val="single" w:color="auto" w:sz="4" w:space="0"/>
              <w:right w:val="single" w:color="auto" w:sz="4" w:space="0"/>
            </w:tcBorders>
            <w:vAlign w:val="center"/>
          </w:tcPr>
          <w:p>
            <w:pPr>
              <w:pStyle w:val="167"/>
              <w:rPr>
                <w:rFonts w:hint="default" w:ascii="Times New Roman" w:hAnsi="Times New Roman" w:eastAsia="宋体" w:cs="Times New Roman"/>
                <w:i w:val="0"/>
                <w:iCs w:val="0"/>
                <w:caps w:val="0"/>
                <w:color w:val="auto"/>
                <w:spacing w:val="0"/>
                <w:sz w:val="21"/>
                <w:szCs w:val="21"/>
                <w:shd w:val="clear" w:fill="FFFFFF"/>
              </w:rPr>
            </w:pPr>
            <w:r>
              <w:rPr>
                <w:rFonts w:hint="default" w:ascii="Times New Roman" w:hAnsi="Times New Roman" w:eastAsia="宋体" w:cs="Times New Roman"/>
                <w:i w:val="0"/>
                <w:iCs w:val="0"/>
                <w:caps w:val="0"/>
                <w:color w:val="auto"/>
                <w:spacing w:val="0"/>
                <w:sz w:val="21"/>
                <w:szCs w:val="21"/>
                <w:shd w:val="clear" w:fill="FFFFFF"/>
                <w:lang w:val="en-US" w:eastAsia="zh-CN"/>
              </w:rPr>
              <w:t>湖南方盛制药股份有限公司</w:t>
            </w:r>
          </w:p>
        </w:tc>
        <w:tc>
          <w:tcPr>
            <w:tcW w:w="1373" w:type="pct"/>
            <w:tcBorders>
              <w:top w:val="nil"/>
              <w:left w:val="single" w:color="auto" w:sz="4" w:space="0"/>
              <w:bottom w:val="single" w:color="auto" w:sz="4" w:space="0"/>
              <w:right w:val="single" w:color="auto" w:sz="4" w:space="0"/>
            </w:tcBorders>
            <w:shd w:val="clear" w:color="auto" w:fill="auto"/>
            <w:vAlign w:val="center"/>
          </w:tcPr>
          <w:p>
            <w:pPr>
              <w:pStyle w:val="167"/>
              <w:rPr>
                <w:rFonts w:hint="default" w:ascii="Times New Roman" w:hAnsi="Times New Roman" w:eastAsia="宋体" w:cs="Times New Roman"/>
                <w:i w:val="0"/>
                <w:iCs w:val="0"/>
                <w:caps w:val="0"/>
                <w:color w:val="auto"/>
                <w:spacing w:val="0"/>
                <w:sz w:val="21"/>
                <w:szCs w:val="21"/>
                <w:shd w:val="clear" w:fill="FFFFFF"/>
              </w:rPr>
            </w:pPr>
            <w:r>
              <w:rPr>
                <w:rFonts w:hint="default" w:ascii="Times New Roman" w:hAnsi="Times New Roman" w:eastAsia="宋体" w:cs="Times New Roman"/>
                <w:i w:val="0"/>
                <w:iCs w:val="0"/>
                <w:caps w:val="0"/>
                <w:color w:val="auto"/>
                <w:spacing w:val="0"/>
                <w:sz w:val="21"/>
                <w:szCs w:val="21"/>
                <w:shd w:val="clear" w:fill="FFFFFF"/>
                <w:lang w:val="en-US" w:eastAsia="zh-CN"/>
              </w:rPr>
              <w:t>湖南方盛制药股份有限公司工业大麻加工基地建设项目</w:t>
            </w:r>
          </w:p>
        </w:tc>
        <w:tc>
          <w:tcPr>
            <w:tcW w:w="472" w:type="pct"/>
            <w:tcBorders>
              <w:top w:val="single" w:color="auto" w:sz="4" w:space="0"/>
              <w:left w:val="nil"/>
              <w:bottom w:val="single" w:color="auto" w:sz="4" w:space="0"/>
              <w:right w:val="single" w:color="auto" w:sz="4" w:space="0"/>
            </w:tcBorders>
            <w:vAlign w:val="center"/>
          </w:tcPr>
          <w:p>
            <w:pPr>
              <w:pStyle w:val="167"/>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已建成投产已验收</w:t>
            </w:r>
          </w:p>
        </w:tc>
        <w:tc>
          <w:tcPr>
            <w:tcW w:w="425" w:type="pct"/>
            <w:tcBorders>
              <w:top w:val="single" w:color="auto" w:sz="4" w:space="0"/>
              <w:left w:val="nil"/>
              <w:bottom w:val="single" w:color="auto" w:sz="4" w:space="0"/>
              <w:right w:val="single" w:color="auto" w:sz="4" w:space="0"/>
            </w:tcBorders>
            <w:shd w:val="clear" w:color="auto" w:fill="auto"/>
            <w:vAlign w:val="center"/>
          </w:tcPr>
          <w:p>
            <w:pPr>
              <w:pStyle w:val="167"/>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4.08</w:t>
            </w:r>
          </w:p>
        </w:tc>
        <w:tc>
          <w:tcPr>
            <w:tcW w:w="425" w:type="pct"/>
            <w:tcBorders>
              <w:top w:val="single" w:color="auto" w:sz="4" w:space="0"/>
              <w:left w:val="nil"/>
              <w:bottom w:val="single" w:color="auto" w:sz="4" w:space="0"/>
              <w:right w:val="single" w:color="auto" w:sz="4" w:space="0"/>
            </w:tcBorders>
            <w:shd w:val="clear" w:color="auto" w:fill="auto"/>
            <w:vAlign w:val="center"/>
          </w:tcPr>
          <w:p>
            <w:pPr>
              <w:pStyle w:val="167"/>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（1.36）</w:t>
            </w:r>
          </w:p>
        </w:tc>
        <w:tc>
          <w:tcPr>
            <w:tcW w:w="425" w:type="pct"/>
            <w:tcBorders>
              <w:top w:val="single" w:color="auto" w:sz="4" w:space="0"/>
              <w:left w:val="nil"/>
              <w:bottom w:val="single" w:color="auto" w:sz="4" w:space="0"/>
              <w:right w:val="single" w:color="auto" w:sz="4" w:space="0"/>
            </w:tcBorders>
            <w:shd w:val="clear" w:color="auto" w:fill="auto"/>
            <w:vAlign w:val="center"/>
          </w:tcPr>
          <w:p>
            <w:pPr>
              <w:pStyle w:val="167"/>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0.30</w:t>
            </w:r>
          </w:p>
        </w:tc>
        <w:tc>
          <w:tcPr>
            <w:tcW w:w="425" w:type="pct"/>
            <w:tcBorders>
              <w:top w:val="single" w:color="auto" w:sz="4" w:space="0"/>
              <w:left w:val="nil"/>
              <w:bottom w:val="single" w:color="auto" w:sz="4" w:space="0"/>
              <w:right w:val="single" w:color="auto" w:sz="4" w:space="0"/>
            </w:tcBorders>
            <w:shd w:val="clear" w:color="auto" w:fill="auto"/>
            <w:vAlign w:val="center"/>
          </w:tcPr>
          <w:p>
            <w:pPr>
              <w:pStyle w:val="167"/>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427" w:type="pct"/>
            <w:tcBorders>
              <w:top w:val="single" w:color="auto" w:sz="4" w:space="0"/>
              <w:left w:val="nil"/>
              <w:bottom w:val="single" w:color="auto" w:sz="4" w:space="0"/>
              <w:right w:val="single" w:color="auto" w:sz="4" w:space="0"/>
            </w:tcBorders>
            <w:shd w:val="clear" w:color="auto" w:fill="auto"/>
            <w:vAlign w:val="center"/>
          </w:tcPr>
          <w:p>
            <w:pPr>
              <w:pStyle w:val="167"/>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c>
          <w:tcPr>
            <w:tcW w:w="452" w:type="pct"/>
            <w:tcBorders>
              <w:top w:val="nil"/>
              <w:left w:val="nil"/>
              <w:bottom w:val="single" w:color="auto" w:sz="4" w:space="0"/>
              <w:right w:val="single" w:color="auto" w:sz="4" w:space="0"/>
            </w:tcBorders>
            <w:shd w:val="clear" w:color="auto" w:fill="auto"/>
            <w:vAlign w:val="center"/>
          </w:tcPr>
          <w:p>
            <w:pPr>
              <w:pStyle w:val="167"/>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验收报告</w:t>
            </w:r>
          </w:p>
        </w:tc>
      </w:tr>
      <w:tr>
        <w:tblPrEx>
          <w:tblCellMar>
            <w:top w:w="0" w:type="dxa"/>
            <w:left w:w="108" w:type="dxa"/>
            <w:bottom w:w="0" w:type="dxa"/>
            <w:right w:w="108" w:type="dxa"/>
          </w:tblCellMar>
        </w:tblPrEx>
        <w:trPr>
          <w:trHeight w:val="340" w:hRule="atLeast"/>
          <w:jc w:val="center"/>
        </w:trPr>
        <w:tc>
          <w:tcPr>
            <w:tcW w:w="571" w:type="pct"/>
            <w:tcBorders>
              <w:top w:val="nil"/>
              <w:left w:val="single" w:color="auto" w:sz="4" w:space="0"/>
              <w:bottom w:val="single" w:color="auto" w:sz="4" w:space="0"/>
              <w:right w:val="single" w:color="auto" w:sz="4" w:space="0"/>
            </w:tcBorders>
            <w:vAlign w:val="center"/>
          </w:tcPr>
          <w:p>
            <w:pPr>
              <w:pStyle w:val="167"/>
              <w:rPr>
                <w:rFonts w:hint="default" w:ascii="Times New Roman" w:hAnsi="Times New Roman" w:eastAsia="宋体" w:cs="Times New Roman"/>
                <w:i w:val="0"/>
                <w:iCs w:val="0"/>
                <w:caps w:val="0"/>
                <w:color w:val="auto"/>
                <w:spacing w:val="0"/>
                <w:sz w:val="21"/>
                <w:szCs w:val="21"/>
                <w:shd w:val="clear" w:fill="FFFFFF"/>
              </w:rPr>
            </w:pPr>
            <w:r>
              <w:rPr>
                <w:rFonts w:hint="default" w:ascii="Times New Roman" w:hAnsi="Times New Roman" w:eastAsia="宋体" w:cs="Times New Roman"/>
                <w:i w:val="0"/>
                <w:iCs w:val="0"/>
                <w:caps w:val="0"/>
                <w:color w:val="auto"/>
                <w:spacing w:val="0"/>
                <w:sz w:val="21"/>
                <w:szCs w:val="21"/>
                <w:shd w:val="clear" w:fill="FFFFFF"/>
                <w:lang w:val="en-US" w:eastAsia="zh-CN"/>
              </w:rPr>
              <w:fldChar w:fldCharType="begin"/>
            </w:r>
            <w:r>
              <w:rPr>
                <w:rFonts w:hint="default" w:ascii="Times New Roman" w:hAnsi="Times New Roman" w:eastAsia="宋体" w:cs="Times New Roman"/>
                <w:i w:val="0"/>
                <w:iCs w:val="0"/>
                <w:caps w:val="0"/>
                <w:color w:val="auto"/>
                <w:spacing w:val="0"/>
                <w:sz w:val="21"/>
                <w:szCs w:val="21"/>
                <w:shd w:val="clear" w:fill="FFFFFF"/>
                <w:lang w:val="en-US" w:eastAsia="zh-CN"/>
              </w:rPr>
              <w:instrText xml:space="preserve"> HYPERLINK "https://www.so.com/link?m=bJ+82hqSEXCnhUK88ehDzCBf+qUH2pCFNFcsnc3fDTI1i2isszS7DH7oXx3Luoqb0DmjhS0j9jqW64xCjGy7j7Et7kHOjxq/crOesEq2g5Qtsu8wuAn0jvuHXSzgUSsAsE5/sjTQMnOAEruDed/EM5QQnmarPjKG9Z2PBaRgo/8C6DN29i5TClSYTj6+sXenk" \t "https://www.so.com/_blank" </w:instrText>
            </w:r>
            <w:r>
              <w:rPr>
                <w:rFonts w:hint="default" w:ascii="Times New Roman" w:hAnsi="Times New Roman" w:eastAsia="宋体" w:cs="Times New Roman"/>
                <w:i w:val="0"/>
                <w:iCs w:val="0"/>
                <w:caps w:val="0"/>
                <w:color w:val="auto"/>
                <w:spacing w:val="0"/>
                <w:sz w:val="21"/>
                <w:szCs w:val="21"/>
                <w:shd w:val="clear" w:fill="FFFFFF"/>
                <w:lang w:val="en-US" w:eastAsia="zh-CN"/>
              </w:rPr>
              <w:fldChar w:fldCharType="separate"/>
            </w:r>
            <w:r>
              <w:rPr>
                <w:rFonts w:hint="default" w:ascii="Times New Roman" w:hAnsi="Times New Roman" w:eastAsia="宋体" w:cs="Times New Roman"/>
                <w:i w:val="0"/>
                <w:iCs w:val="0"/>
                <w:caps w:val="0"/>
                <w:color w:val="auto"/>
                <w:spacing w:val="0"/>
                <w:sz w:val="21"/>
                <w:szCs w:val="21"/>
                <w:shd w:val="clear" w:fill="FFFFFF"/>
                <w:lang w:val="en-US" w:eastAsia="zh-CN"/>
              </w:rPr>
              <w:t>云南赛维汉普科技有限公司</w:t>
            </w:r>
            <w:r>
              <w:rPr>
                <w:rFonts w:hint="default" w:ascii="Times New Roman" w:hAnsi="Times New Roman" w:eastAsia="宋体" w:cs="Times New Roman"/>
                <w:i w:val="0"/>
                <w:iCs w:val="0"/>
                <w:caps w:val="0"/>
                <w:color w:val="auto"/>
                <w:spacing w:val="0"/>
                <w:sz w:val="21"/>
                <w:szCs w:val="21"/>
                <w:shd w:val="clear" w:fill="FFFFFF"/>
                <w:lang w:val="en-US" w:eastAsia="zh-CN"/>
              </w:rPr>
              <w:fldChar w:fldCharType="end"/>
            </w:r>
          </w:p>
        </w:tc>
        <w:tc>
          <w:tcPr>
            <w:tcW w:w="1373" w:type="pct"/>
            <w:tcBorders>
              <w:top w:val="nil"/>
              <w:left w:val="single" w:color="auto" w:sz="4" w:space="0"/>
              <w:bottom w:val="single" w:color="auto" w:sz="4" w:space="0"/>
              <w:right w:val="single" w:color="auto" w:sz="4" w:space="0"/>
            </w:tcBorders>
            <w:shd w:val="clear" w:color="auto" w:fill="auto"/>
            <w:vAlign w:val="center"/>
          </w:tcPr>
          <w:p>
            <w:pPr>
              <w:pStyle w:val="167"/>
              <w:rPr>
                <w:rFonts w:hint="default" w:ascii="Times New Roman" w:hAnsi="Times New Roman" w:eastAsia="宋体" w:cs="Times New Roman"/>
                <w:i w:val="0"/>
                <w:iCs w:val="0"/>
                <w:caps w:val="0"/>
                <w:color w:val="auto"/>
                <w:spacing w:val="0"/>
                <w:sz w:val="21"/>
                <w:szCs w:val="21"/>
                <w:shd w:val="clear" w:fill="FFFFFF"/>
              </w:rPr>
            </w:pPr>
            <w:r>
              <w:rPr>
                <w:rFonts w:hint="default" w:ascii="Times New Roman" w:hAnsi="Times New Roman" w:eastAsia="宋体" w:cs="Times New Roman"/>
                <w:i w:val="0"/>
                <w:iCs w:val="0"/>
                <w:caps w:val="0"/>
                <w:color w:val="auto"/>
                <w:spacing w:val="0"/>
                <w:sz w:val="21"/>
                <w:szCs w:val="21"/>
                <w:shd w:val="clear" w:fill="FFFFFF"/>
                <w:lang w:val="en-US" w:eastAsia="zh-CN"/>
              </w:rPr>
              <w:t>云南赛维汉普 500 吨花叶加工提取大麻二酚项目</w:t>
            </w:r>
          </w:p>
        </w:tc>
        <w:tc>
          <w:tcPr>
            <w:tcW w:w="472" w:type="pct"/>
            <w:tcBorders>
              <w:top w:val="single" w:color="auto" w:sz="4" w:space="0"/>
              <w:left w:val="nil"/>
              <w:bottom w:val="single" w:color="auto" w:sz="4" w:space="0"/>
              <w:right w:val="single" w:color="auto" w:sz="4" w:space="0"/>
            </w:tcBorders>
            <w:vAlign w:val="center"/>
          </w:tcPr>
          <w:p>
            <w:pPr>
              <w:pStyle w:val="167"/>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正在建设过程中</w:t>
            </w:r>
          </w:p>
        </w:tc>
        <w:tc>
          <w:tcPr>
            <w:tcW w:w="425" w:type="pct"/>
            <w:tcBorders>
              <w:top w:val="nil"/>
              <w:left w:val="nil"/>
              <w:bottom w:val="single" w:color="auto" w:sz="4" w:space="0"/>
              <w:right w:val="single" w:color="auto" w:sz="4" w:space="0"/>
            </w:tcBorders>
            <w:shd w:val="clear" w:color="auto" w:fill="auto"/>
            <w:vAlign w:val="center"/>
          </w:tcPr>
          <w:p>
            <w:pPr>
              <w:pStyle w:val="167"/>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2.66</w:t>
            </w:r>
          </w:p>
        </w:tc>
        <w:tc>
          <w:tcPr>
            <w:tcW w:w="425" w:type="pct"/>
            <w:tcBorders>
              <w:top w:val="nil"/>
              <w:left w:val="nil"/>
              <w:bottom w:val="single" w:color="auto" w:sz="4" w:space="0"/>
              <w:right w:val="single" w:color="auto" w:sz="4" w:space="0"/>
            </w:tcBorders>
            <w:shd w:val="clear" w:color="auto" w:fill="auto"/>
            <w:vAlign w:val="center"/>
          </w:tcPr>
          <w:p>
            <w:pPr>
              <w:pStyle w:val="167"/>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（0.89）</w:t>
            </w:r>
          </w:p>
        </w:tc>
        <w:tc>
          <w:tcPr>
            <w:tcW w:w="425" w:type="pct"/>
            <w:tcBorders>
              <w:top w:val="nil"/>
              <w:left w:val="nil"/>
              <w:bottom w:val="single" w:color="auto" w:sz="4" w:space="0"/>
              <w:right w:val="single" w:color="auto" w:sz="4" w:space="0"/>
            </w:tcBorders>
            <w:shd w:val="clear" w:color="auto" w:fill="auto"/>
            <w:vAlign w:val="center"/>
          </w:tcPr>
          <w:p>
            <w:pPr>
              <w:pStyle w:val="167"/>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0.19</w:t>
            </w:r>
          </w:p>
        </w:tc>
        <w:tc>
          <w:tcPr>
            <w:tcW w:w="425" w:type="pct"/>
            <w:tcBorders>
              <w:top w:val="nil"/>
              <w:left w:val="nil"/>
              <w:bottom w:val="single" w:color="auto" w:sz="4" w:space="0"/>
              <w:right w:val="single" w:color="auto" w:sz="4" w:space="0"/>
            </w:tcBorders>
            <w:shd w:val="clear" w:color="auto" w:fill="auto"/>
            <w:vAlign w:val="center"/>
          </w:tcPr>
          <w:p>
            <w:pPr>
              <w:pStyle w:val="167"/>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427" w:type="pct"/>
            <w:tcBorders>
              <w:top w:val="nil"/>
              <w:left w:val="nil"/>
              <w:bottom w:val="single" w:color="auto" w:sz="4" w:space="0"/>
              <w:right w:val="single" w:color="auto" w:sz="4" w:space="0"/>
            </w:tcBorders>
            <w:shd w:val="clear" w:color="auto" w:fill="auto"/>
            <w:vAlign w:val="center"/>
          </w:tcPr>
          <w:p>
            <w:pPr>
              <w:pStyle w:val="167"/>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c>
          <w:tcPr>
            <w:tcW w:w="452" w:type="pct"/>
            <w:tcBorders>
              <w:top w:val="nil"/>
              <w:left w:val="nil"/>
              <w:bottom w:val="single" w:color="auto" w:sz="4" w:space="0"/>
              <w:right w:val="single" w:color="auto" w:sz="4" w:space="0"/>
            </w:tcBorders>
            <w:shd w:val="clear" w:color="auto" w:fill="auto"/>
            <w:vAlign w:val="center"/>
          </w:tcPr>
          <w:p>
            <w:pPr>
              <w:pStyle w:val="167"/>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环评批复文件</w:t>
            </w:r>
          </w:p>
        </w:tc>
      </w:tr>
      <w:tr>
        <w:tblPrEx>
          <w:tblCellMar>
            <w:top w:w="0" w:type="dxa"/>
            <w:left w:w="108" w:type="dxa"/>
            <w:bottom w:w="0" w:type="dxa"/>
            <w:right w:w="108" w:type="dxa"/>
          </w:tblCellMar>
        </w:tblPrEx>
        <w:trPr>
          <w:trHeight w:val="340" w:hRule="atLeast"/>
          <w:jc w:val="center"/>
        </w:trPr>
        <w:tc>
          <w:tcPr>
            <w:tcW w:w="571" w:type="pct"/>
            <w:tcBorders>
              <w:top w:val="nil"/>
              <w:left w:val="single" w:color="auto" w:sz="4" w:space="0"/>
              <w:bottom w:val="single" w:color="auto" w:sz="4" w:space="0"/>
              <w:right w:val="single" w:color="auto" w:sz="4" w:space="0"/>
            </w:tcBorders>
            <w:vAlign w:val="center"/>
          </w:tcPr>
          <w:p>
            <w:pPr>
              <w:pStyle w:val="167"/>
              <w:rPr>
                <w:rFonts w:hint="default" w:ascii="Times New Roman" w:hAnsi="Times New Roman" w:eastAsia="宋体" w:cs="Times New Roman"/>
                <w:i w:val="0"/>
                <w:iCs w:val="0"/>
                <w:caps w:val="0"/>
                <w:color w:val="auto"/>
                <w:spacing w:val="0"/>
                <w:sz w:val="21"/>
                <w:szCs w:val="21"/>
                <w:shd w:val="clear" w:fill="FFFFFF"/>
              </w:rPr>
            </w:pPr>
            <w:r>
              <w:rPr>
                <w:rFonts w:hint="default" w:ascii="Times New Roman" w:hAnsi="Times New Roman" w:eastAsia="宋体" w:cs="Times New Roman"/>
                <w:i w:val="0"/>
                <w:iCs w:val="0"/>
                <w:caps w:val="0"/>
                <w:color w:val="auto"/>
                <w:spacing w:val="0"/>
                <w:sz w:val="21"/>
                <w:szCs w:val="21"/>
                <w:shd w:val="clear" w:fill="FFFFFF"/>
                <w:lang w:val="en-US" w:eastAsia="zh-CN"/>
              </w:rPr>
              <w:t>云南麻叶生物科技有限公司</w:t>
            </w:r>
          </w:p>
        </w:tc>
        <w:tc>
          <w:tcPr>
            <w:tcW w:w="1373" w:type="pct"/>
            <w:tcBorders>
              <w:top w:val="nil"/>
              <w:left w:val="single" w:color="auto" w:sz="4" w:space="0"/>
              <w:bottom w:val="single" w:color="auto" w:sz="4" w:space="0"/>
              <w:right w:val="single" w:color="auto" w:sz="4" w:space="0"/>
            </w:tcBorders>
            <w:shd w:val="clear" w:color="auto" w:fill="auto"/>
            <w:vAlign w:val="center"/>
          </w:tcPr>
          <w:p>
            <w:pPr>
              <w:pStyle w:val="167"/>
              <w:rPr>
                <w:rFonts w:hint="default" w:ascii="Times New Roman" w:hAnsi="Times New Roman" w:eastAsia="宋体" w:cs="Times New Roman"/>
                <w:i w:val="0"/>
                <w:iCs w:val="0"/>
                <w:caps w:val="0"/>
                <w:color w:val="auto"/>
                <w:spacing w:val="0"/>
                <w:sz w:val="21"/>
                <w:szCs w:val="21"/>
                <w:shd w:val="clear" w:fill="FFFFFF"/>
              </w:rPr>
            </w:pPr>
            <w:r>
              <w:rPr>
                <w:rFonts w:hint="default" w:ascii="Times New Roman" w:hAnsi="Times New Roman" w:eastAsia="宋体" w:cs="Times New Roman"/>
                <w:i w:val="0"/>
                <w:iCs w:val="0"/>
                <w:caps w:val="0"/>
                <w:color w:val="auto"/>
                <w:spacing w:val="0"/>
                <w:sz w:val="21"/>
                <w:szCs w:val="21"/>
                <w:shd w:val="clear" w:fill="FFFFFF"/>
                <w:lang w:val="en-US" w:eastAsia="zh-CN"/>
              </w:rPr>
              <w:t>云南麻叶生物科技有限公司工业大麻加工建设项目</w:t>
            </w:r>
          </w:p>
        </w:tc>
        <w:tc>
          <w:tcPr>
            <w:tcW w:w="472" w:type="pct"/>
            <w:tcBorders>
              <w:top w:val="single" w:color="auto" w:sz="4" w:space="0"/>
              <w:left w:val="nil"/>
              <w:bottom w:val="single" w:color="auto" w:sz="4" w:space="0"/>
              <w:right w:val="single" w:color="auto" w:sz="4" w:space="0"/>
            </w:tcBorders>
            <w:vAlign w:val="center"/>
          </w:tcPr>
          <w:p>
            <w:pPr>
              <w:pStyle w:val="167"/>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已建成投产已验收</w:t>
            </w:r>
          </w:p>
        </w:tc>
        <w:tc>
          <w:tcPr>
            <w:tcW w:w="425" w:type="pct"/>
            <w:tcBorders>
              <w:top w:val="nil"/>
              <w:left w:val="nil"/>
              <w:bottom w:val="single" w:color="auto" w:sz="4" w:space="0"/>
              <w:right w:val="single" w:color="auto" w:sz="4" w:space="0"/>
            </w:tcBorders>
            <w:shd w:val="clear" w:color="auto" w:fill="auto"/>
            <w:vAlign w:val="center"/>
          </w:tcPr>
          <w:p>
            <w:pPr>
              <w:pStyle w:val="167"/>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0.95</w:t>
            </w:r>
          </w:p>
        </w:tc>
        <w:tc>
          <w:tcPr>
            <w:tcW w:w="425" w:type="pct"/>
            <w:tcBorders>
              <w:top w:val="nil"/>
              <w:left w:val="nil"/>
              <w:bottom w:val="single" w:color="auto" w:sz="4" w:space="0"/>
              <w:right w:val="single" w:color="auto" w:sz="4" w:space="0"/>
            </w:tcBorders>
            <w:shd w:val="clear" w:color="auto" w:fill="auto"/>
            <w:vAlign w:val="center"/>
          </w:tcPr>
          <w:p>
            <w:pPr>
              <w:pStyle w:val="167"/>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（0.32）</w:t>
            </w:r>
          </w:p>
        </w:tc>
        <w:tc>
          <w:tcPr>
            <w:tcW w:w="425" w:type="pct"/>
            <w:tcBorders>
              <w:top w:val="nil"/>
              <w:left w:val="nil"/>
              <w:bottom w:val="single" w:color="auto" w:sz="4" w:space="0"/>
              <w:right w:val="single" w:color="auto" w:sz="4" w:space="0"/>
            </w:tcBorders>
            <w:shd w:val="clear" w:color="auto" w:fill="auto"/>
            <w:vAlign w:val="center"/>
          </w:tcPr>
          <w:p>
            <w:pPr>
              <w:pStyle w:val="167"/>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0.003</w:t>
            </w:r>
          </w:p>
        </w:tc>
        <w:tc>
          <w:tcPr>
            <w:tcW w:w="425" w:type="pct"/>
            <w:tcBorders>
              <w:top w:val="nil"/>
              <w:left w:val="nil"/>
              <w:bottom w:val="single" w:color="auto" w:sz="4" w:space="0"/>
              <w:right w:val="single" w:color="auto" w:sz="4" w:space="0"/>
            </w:tcBorders>
            <w:shd w:val="clear" w:color="auto" w:fill="auto"/>
            <w:vAlign w:val="center"/>
          </w:tcPr>
          <w:p>
            <w:pPr>
              <w:pStyle w:val="167"/>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427" w:type="pct"/>
            <w:tcBorders>
              <w:top w:val="nil"/>
              <w:left w:val="nil"/>
              <w:bottom w:val="single" w:color="auto" w:sz="4" w:space="0"/>
              <w:right w:val="single" w:color="auto" w:sz="4" w:space="0"/>
            </w:tcBorders>
            <w:shd w:val="clear" w:color="auto" w:fill="auto"/>
            <w:vAlign w:val="center"/>
          </w:tcPr>
          <w:p>
            <w:pPr>
              <w:pStyle w:val="167"/>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c>
          <w:tcPr>
            <w:tcW w:w="452" w:type="pct"/>
            <w:tcBorders>
              <w:top w:val="nil"/>
              <w:left w:val="nil"/>
              <w:bottom w:val="single" w:color="auto" w:sz="4" w:space="0"/>
              <w:right w:val="single" w:color="auto" w:sz="4" w:space="0"/>
            </w:tcBorders>
            <w:shd w:val="clear" w:color="auto" w:fill="auto"/>
            <w:vAlign w:val="center"/>
          </w:tcPr>
          <w:p>
            <w:pPr>
              <w:pStyle w:val="167"/>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验收报告</w:t>
            </w:r>
          </w:p>
        </w:tc>
      </w:tr>
      <w:tr>
        <w:tblPrEx>
          <w:tblCellMar>
            <w:top w:w="0" w:type="dxa"/>
            <w:left w:w="108" w:type="dxa"/>
            <w:bottom w:w="0" w:type="dxa"/>
            <w:right w:w="108" w:type="dxa"/>
          </w:tblCellMar>
        </w:tblPrEx>
        <w:trPr>
          <w:trHeight w:val="340" w:hRule="atLeast"/>
          <w:jc w:val="center"/>
        </w:trPr>
        <w:tc>
          <w:tcPr>
            <w:tcW w:w="1944" w:type="pct"/>
            <w:gridSpan w:val="2"/>
            <w:tcBorders>
              <w:top w:val="single" w:color="auto" w:sz="4" w:space="0"/>
              <w:left w:val="single" w:color="auto" w:sz="4" w:space="0"/>
              <w:bottom w:val="single" w:color="auto" w:sz="4" w:space="0"/>
              <w:right w:val="single" w:color="auto" w:sz="4" w:space="0"/>
            </w:tcBorders>
            <w:vAlign w:val="center"/>
          </w:tcPr>
          <w:p>
            <w:pPr>
              <w:pStyle w:val="167"/>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合计</w:t>
            </w:r>
          </w:p>
        </w:tc>
        <w:tc>
          <w:tcPr>
            <w:tcW w:w="472" w:type="pct"/>
            <w:tcBorders>
              <w:top w:val="single" w:color="auto" w:sz="4" w:space="0"/>
              <w:left w:val="nil"/>
              <w:bottom w:val="single" w:color="auto" w:sz="4" w:space="0"/>
              <w:right w:val="single" w:color="auto" w:sz="4" w:space="0"/>
            </w:tcBorders>
            <w:vAlign w:val="center"/>
          </w:tcPr>
          <w:p>
            <w:pPr>
              <w:pStyle w:val="167"/>
              <w:rPr>
                <w:rFonts w:hint="default" w:ascii="Times New Roman" w:hAnsi="Times New Roman" w:cs="Times New Roman"/>
                <w:color w:val="auto"/>
                <w:sz w:val="21"/>
                <w:szCs w:val="21"/>
                <w:lang w:eastAsia="zh-CN"/>
              </w:rPr>
            </w:pPr>
          </w:p>
        </w:tc>
        <w:tc>
          <w:tcPr>
            <w:tcW w:w="425" w:type="pct"/>
            <w:tcBorders>
              <w:top w:val="single" w:color="auto" w:sz="4" w:space="0"/>
              <w:left w:val="nil"/>
              <w:bottom w:val="single" w:color="auto" w:sz="4" w:space="0"/>
              <w:right w:val="single" w:color="auto" w:sz="4" w:space="0"/>
            </w:tcBorders>
            <w:shd w:val="clear" w:color="auto" w:fill="auto"/>
            <w:vAlign w:val="center"/>
          </w:tcPr>
          <w:p>
            <w:pPr>
              <w:pStyle w:val="167"/>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804.15</w:t>
            </w:r>
          </w:p>
        </w:tc>
        <w:tc>
          <w:tcPr>
            <w:tcW w:w="425" w:type="pct"/>
            <w:tcBorders>
              <w:top w:val="single" w:color="auto" w:sz="4" w:space="0"/>
              <w:left w:val="nil"/>
              <w:bottom w:val="single" w:color="auto" w:sz="4" w:space="0"/>
              <w:right w:val="single" w:color="auto" w:sz="4" w:space="0"/>
            </w:tcBorders>
            <w:shd w:val="clear" w:color="auto" w:fill="auto"/>
            <w:vAlign w:val="center"/>
          </w:tcPr>
          <w:p>
            <w:pPr>
              <w:pStyle w:val="167"/>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（268.05）</w:t>
            </w:r>
          </w:p>
        </w:tc>
        <w:tc>
          <w:tcPr>
            <w:tcW w:w="425" w:type="pct"/>
            <w:tcBorders>
              <w:top w:val="single" w:color="auto" w:sz="4" w:space="0"/>
              <w:left w:val="nil"/>
              <w:bottom w:val="single" w:color="auto" w:sz="4" w:space="0"/>
              <w:right w:val="single" w:color="auto" w:sz="4" w:space="0"/>
            </w:tcBorders>
            <w:shd w:val="clear" w:color="auto" w:fill="auto"/>
            <w:vAlign w:val="center"/>
          </w:tcPr>
          <w:p>
            <w:pPr>
              <w:pStyle w:val="167"/>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22.733</w:t>
            </w:r>
          </w:p>
        </w:tc>
        <w:tc>
          <w:tcPr>
            <w:tcW w:w="425" w:type="pct"/>
            <w:tcBorders>
              <w:top w:val="single" w:color="auto" w:sz="4" w:space="0"/>
              <w:left w:val="nil"/>
              <w:bottom w:val="single" w:color="auto" w:sz="4" w:space="0"/>
              <w:right w:val="single" w:color="auto" w:sz="4" w:space="0"/>
            </w:tcBorders>
            <w:shd w:val="clear" w:color="auto" w:fill="auto"/>
            <w:vAlign w:val="center"/>
          </w:tcPr>
          <w:p>
            <w:pPr>
              <w:pStyle w:val="167"/>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427" w:type="pct"/>
            <w:tcBorders>
              <w:top w:val="single" w:color="auto" w:sz="4" w:space="0"/>
              <w:left w:val="nil"/>
              <w:bottom w:val="single" w:color="auto" w:sz="4" w:space="0"/>
              <w:right w:val="single" w:color="auto" w:sz="4" w:space="0"/>
            </w:tcBorders>
            <w:shd w:val="clear" w:color="auto" w:fill="auto"/>
            <w:vAlign w:val="center"/>
          </w:tcPr>
          <w:p>
            <w:pPr>
              <w:pStyle w:val="167"/>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69.7</w:t>
            </w:r>
          </w:p>
        </w:tc>
        <w:tc>
          <w:tcPr>
            <w:tcW w:w="452" w:type="pct"/>
            <w:tcBorders>
              <w:top w:val="single" w:color="auto" w:sz="4" w:space="0"/>
              <w:left w:val="nil"/>
              <w:bottom w:val="single" w:color="auto" w:sz="4" w:space="0"/>
              <w:right w:val="single" w:color="auto" w:sz="4" w:space="0"/>
            </w:tcBorders>
            <w:shd w:val="clear" w:color="auto" w:fill="auto"/>
            <w:vAlign w:val="center"/>
          </w:tcPr>
          <w:p>
            <w:pPr>
              <w:pStyle w:val="167"/>
              <w:rPr>
                <w:rFonts w:hint="default" w:ascii="Times New Roman" w:hAnsi="Times New Roman" w:cs="Times New Roman"/>
                <w:color w:val="auto"/>
                <w:sz w:val="21"/>
                <w:szCs w:val="21"/>
                <w:lang w:eastAsia="zh-CN"/>
              </w:rPr>
            </w:pPr>
          </w:p>
        </w:tc>
      </w:tr>
    </w:tbl>
    <w:p>
      <w:pPr>
        <w:pStyle w:val="2"/>
        <w:keepNext w:val="0"/>
        <w:keepLines w:val="0"/>
        <w:pageBreakBefore w:val="0"/>
        <w:widowControl w:val="0"/>
        <w:kinsoku/>
        <w:wordWrap/>
        <w:overflowPunct/>
        <w:topLinePunct w:val="0"/>
        <w:autoSpaceDE/>
        <w:autoSpaceDN/>
        <w:bidi w:val="0"/>
        <w:adjustRightInd/>
        <w:snapToGrid/>
        <w:spacing w:before="157" w:beforeLines="50"/>
        <w:textAlignment w:val="auto"/>
        <w:rPr>
          <w:rFonts w:hint="default" w:ascii="Times New Roman" w:hAnsi="Times New Roman" w:cs="Times New Roman"/>
          <w:color w:val="auto"/>
          <w:lang w:val="en-US" w:eastAsia="zh-CN"/>
        </w:rPr>
      </w:pPr>
      <w:r>
        <w:rPr>
          <w:rFonts w:hint="default" w:ascii="Times New Roman" w:hAnsi="Times New Roman" w:cs="Times New Roman"/>
          <w:lang w:eastAsia="zh-CN"/>
        </w:rPr>
        <w:t>注：上表中</w:t>
      </w:r>
      <w:r>
        <w:rPr>
          <w:rFonts w:hint="default" w:ascii="Times New Roman" w:hAnsi="Times New Roman" w:cs="Times New Roman"/>
          <w:lang w:val="en-US" w:eastAsia="zh-CN"/>
        </w:rPr>
        <w:t>BOD</w:t>
      </w:r>
      <w:r>
        <w:rPr>
          <w:rFonts w:hint="default" w:ascii="Times New Roman" w:hAnsi="Times New Roman" w:cs="Times New Roman"/>
          <w:color w:val="FF0000"/>
          <w:sz w:val="21"/>
          <w:szCs w:val="21"/>
          <w:vertAlign w:val="subscript"/>
        </w:rPr>
        <w:t>5</w:t>
      </w:r>
      <w:r>
        <w:rPr>
          <w:rFonts w:hint="default" w:ascii="Times New Roman" w:hAnsi="Times New Roman" w:cs="Times New Roman"/>
          <w:lang w:val="en-US" w:eastAsia="zh-CN"/>
        </w:rPr>
        <w:t>、总磷无数据来源，BOD</w:t>
      </w:r>
      <w:r>
        <w:rPr>
          <w:rFonts w:hint="default" w:ascii="Times New Roman" w:hAnsi="Times New Roman" w:cs="Times New Roman"/>
          <w:color w:val="FF0000"/>
          <w:sz w:val="21"/>
          <w:szCs w:val="21"/>
          <w:vertAlign w:val="subscript"/>
        </w:rPr>
        <w:t>5</w:t>
      </w:r>
      <w:r>
        <w:rPr>
          <w:rFonts w:hint="default" w:ascii="Times New Roman" w:hAnsi="Times New Roman" w:cs="Times New Roman"/>
          <w:lang w:val="en-US" w:eastAsia="zh-CN"/>
        </w:rPr>
        <w:t>引用《水样中五日生化需氧量与化学需氧量之间倍数关系的探讨》（民营科技2014年第6期 周喻 云南省安宁市环境保护局）中的结论：工业废水、生活污水中COD在数值上是BOD</w:t>
      </w:r>
      <w:r>
        <w:rPr>
          <w:rFonts w:hint="default" w:ascii="Times New Roman" w:hAnsi="Times New Roman" w:cs="Times New Roman"/>
          <w:color w:val="FF0000"/>
          <w:sz w:val="21"/>
          <w:szCs w:val="21"/>
          <w:vertAlign w:val="subscript"/>
        </w:rPr>
        <w:t>5</w:t>
      </w:r>
      <w:r>
        <w:rPr>
          <w:rFonts w:hint="default" w:ascii="Times New Roman" w:hAnsi="Times New Roman" w:cs="Times New Roman"/>
          <w:lang w:val="en-US" w:eastAsia="zh-CN"/>
        </w:rPr>
        <w:t>的2.5~3.5倍，本次环评取3倍计算；总磷无参</w:t>
      </w:r>
      <w:r>
        <w:rPr>
          <w:rFonts w:hint="default" w:ascii="Times New Roman" w:hAnsi="Times New Roman" w:cs="Times New Roman"/>
          <w:color w:val="auto"/>
          <w:lang w:val="en-US" w:eastAsia="zh-CN"/>
        </w:rPr>
        <w:t>考资料和数据来源，不作取值。</w:t>
      </w:r>
      <w:bookmarkStart w:id="901" w:name="_Toc28352"/>
      <w:bookmarkStart w:id="902" w:name="_Toc31694"/>
    </w:p>
    <w:p>
      <w:pPr>
        <w:pStyle w:val="57"/>
        <w:rPr>
          <w:rFonts w:hint="default" w:ascii="Times New Roman" w:hAnsi="Times New Roman" w:cs="Times New Roman"/>
          <w:color w:val="auto"/>
          <w:lang w:val="en-US" w:eastAsia="zh-CN"/>
        </w:rPr>
        <w:sectPr>
          <w:pgSz w:w="16838" w:h="11906" w:orient="landscape"/>
          <w:pgMar w:top="1797" w:right="1440" w:bottom="1797" w:left="1440" w:header="851" w:footer="992" w:gutter="0"/>
          <w:pgBorders>
            <w:top w:val="none" w:sz="0" w:space="0"/>
            <w:left w:val="none" w:sz="0" w:space="0"/>
            <w:bottom w:val="none" w:sz="0" w:space="0"/>
            <w:right w:val="none" w:sz="0" w:space="0"/>
          </w:pgBorders>
          <w:cols w:space="0" w:num="1"/>
          <w:rtlGutter w:val="0"/>
          <w:docGrid w:linePitch="312" w:charSpace="0"/>
        </w:sectPr>
      </w:pP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根据表5-10和表5-11可得到项目厂区废水污染物最大排放总量、最大排放浓度。</w:t>
      </w:r>
    </w:p>
    <w:p>
      <w:pPr>
        <w:pStyle w:val="178"/>
        <w:keepNext w:val="0"/>
        <w:keepLines w:val="0"/>
        <w:pageBreakBefore w:val="0"/>
        <w:widowControl/>
        <w:numPr>
          <w:ilvl w:val="0"/>
          <w:numId w:val="7"/>
        </w:numPr>
        <w:kinsoku/>
        <w:wordWrap/>
        <w:overflowPunct/>
        <w:topLinePunct w:val="0"/>
        <w:autoSpaceDE/>
        <w:autoSpaceDN/>
        <w:bidi w:val="0"/>
        <w:adjustRightInd/>
        <w:snapToGrid/>
        <w:spacing w:beforeLines="0" w:afterLines="0" w:line="360" w:lineRule="auto"/>
        <w:ind w:left="0" w:leftChars="0" w:firstLine="0" w:firstLineChars="0"/>
        <w:textAlignment w:val="auto"/>
        <w:rPr>
          <w:rFonts w:hint="default" w:ascii="Times New Roman" w:hAnsi="Times New Roman" w:cs="Times New Roman"/>
          <w:b/>
          <w:color w:val="auto"/>
        </w:rPr>
      </w:pPr>
      <w:r>
        <w:rPr>
          <w:rFonts w:hint="default" w:ascii="Times New Roman" w:hAnsi="Times New Roman" w:cs="Times New Roman"/>
          <w:b/>
          <w:color w:val="auto"/>
          <w:lang w:eastAsia="zh-CN"/>
        </w:rPr>
        <w:t>项目厂区废水污染物最大排放总量</w:t>
      </w:r>
    </w:p>
    <w:tbl>
      <w:tblPr>
        <w:tblStyle w:val="44"/>
        <w:tblW w:w="488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34"/>
        <w:gridCol w:w="2147"/>
        <w:gridCol w:w="2076"/>
        <w:gridCol w:w="1986"/>
        <w:gridCol w:w="2204"/>
        <w:gridCol w:w="22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7" w:type="pct"/>
            <w:shd w:val="clear" w:color="auto" w:fill="auto"/>
            <w:noWrap/>
            <w:vAlign w:val="center"/>
          </w:tcPr>
          <w:p>
            <w:pPr>
              <w:widowControl/>
              <w:jc w:val="center"/>
              <w:rPr>
                <w:rFonts w:hint="default" w:ascii="Times New Roman" w:hAnsi="Times New Roman" w:eastAsia="宋体" w:cs="Times New Roman"/>
                <w:color w:val="auto"/>
                <w:kern w:val="0"/>
                <w:sz w:val="21"/>
                <w:szCs w:val="21"/>
                <w:lang w:eastAsia="zh-CN"/>
              </w:rPr>
            </w:pPr>
            <w:r>
              <w:rPr>
                <w:rFonts w:hint="default" w:ascii="Times New Roman" w:hAnsi="Times New Roman" w:cs="Times New Roman"/>
                <w:color w:val="auto"/>
                <w:kern w:val="0"/>
                <w:sz w:val="21"/>
                <w:szCs w:val="21"/>
                <w:lang w:eastAsia="zh-CN"/>
              </w:rPr>
              <w:t>污染因子</w:t>
            </w:r>
          </w:p>
        </w:tc>
        <w:tc>
          <w:tcPr>
            <w:tcW w:w="775" w:type="pct"/>
            <w:shd w:val="clear" w:color="auto" w:fill="auto"/>
            <w:noWrap/>
            <w:vAlign w:val="center"/>
          </w:tcPr>
          <w:p>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COD</w:t>
            </w:r>
          </w:p>
        </w:tc>
        <w:tc>
          <w:tcPr>
            <w:tcW w:w="749" w:type="pct"/>
            <w:vAlign w:val="center"/>
          </w:tcPr>
          <w:p>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BOD</w:t>
            </w:r>
            <w:r>
              <w:rPr>
                <w:rFonts w:hint="default" w:ascii="Times New Roman" w:hAnsi="Times New Roman" w:cs="Times New Roman"/>
                <w:color w:val="FF0000"/>
                <w:sz w:val="21"/>
                <w:szCs w:val="21"/>
                <w:vertAlign w:val="subscript"/>
              </w:rPr>
              <w:t>5</w:t>
            </w:r>
          </w:p>
        </w:tc>
        <w:tc>
          <w:tcPr>
            <w:tcW w:w="716" w:type="pct"/>
            <w:vAlign w:val="center"/>
          </w:tcPr>
          <w:p>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氨氮</w:t>
            </w:r>
          </w:p>
        </w:tc>
        <w:tc>
          <w:tcPr>
            <w:tcW w:w="795" w:type="pct"/>
            <w:shd w:val="clear" w:color="auto" w:fill="auto"/>
            <w:noWrap/>
            <w:vAlign w:val="center"/>
          </w:tcPr>
          <w:p>
            <w:pPr>
              <w:widowControl/>
              <w:jc w:val="center"/>
              <w:rPr>
                <w:rFonts w:hint="default" w:ascii="Times New Roman" w:hAnsi="Times New Roman" w:eastAsia="宋体" w:cs="Times New Roman"/>
                <w:color w:val="auto"/>
                <w:kern w:val="0"/>
                <w:sz w:val="21"/>
                <w:szCs w:val="21"/>
                <w:lang w:eastAsia="zh-CN"/>
              </w:rPr>
            </w:pPr>
            <w:r>
              <w:rPr>
                <w:rFonts w:hint="default" w:ascii="Times New Roman" w:hAnsi="Times New Roman" w:cs="Times New Roman"/>
                <w:color w:val="auto"/>
                <w:kern w:val="0"/>
                <w:sz w:val="21"/>
                <w:szCs w:val="21"/>
                <w:lang w:eastAsia="zh-CN"/>
              </w:rPr>
              <w:t>总磷</w:t>
            </w:r>
          </w:p>
        </w:tc>
        <w:tc>
          <w:tcPr>
            <w:tcW w:w="795" w:type="pct"/>
            <w:shd w:val="clear" w:color="auto" w:fill="auto"/>
            <w:noWrap/>
            <w:vAlign w:val="center"/>
          </w:tcPr>
          <w:p>
            <w:pPr>
              <w:widowControl/>
              <w:jc w:val="center"/>
              <w:rPr>
                <w:rFonts w:hint="default" w:ascii="Times New Roman" w:hAnsi="Times New Roman" w:eastAsia="宋体" w:cs="Times New Roman"/>
                <w:color w:val="auto"/>
                <w:kern w:val="0"/>
                <w:sz w:val="21"/>
                <w:szCs w:val="21"/>
                <w:lang w:eastAsia="zh-CN"/>
              </w:rPr>
            </w:pPr>
            <w:r>
              <w:rPr>
                <w:rFonts w:hint="default" w:ascii="Times New Roman" w:hAnsi="Times New Roman" w:cs="Times New Roman"/>
                <w:color w:val="auto"/>
                <w:kern w:val="0"/>
                <w:sz w:val="21"/>
                <w:szCs w:val="21"/>
                <w:lang w:eastAsia="zh-CN"/>
              </w:rPr>
              <w:t>氟化物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7" w:type="pct"/>
            <w:shd w:val="clear" w:color="auto" w:fill="auto"/>
            <w:noWrap/>
            <w:vAlign w:val="center"/>
          </w:tcPr>
          <w:p>
            <w:pPr>
              <w:widowControl/>
              <w:jc w:val="center"/>
              <w:rPr>
                <w:rFonts w:hint="default" w:ascii="Times New Roman" w:hAnsi="Times New Roman" w:cs="Times New Roman"/>
                <w:color w:val="auto"/>
                <w:kern w:val="0"/>
                <w:sz w:val="21"/>
                <w:szCs w:val="21"/>
                <w:lang w:val="en-US"/>
              </w:rPr>
            </w:pPr>
            <w:r>
              <w:rPr>
                <w:rFonts w:hint="default" w:ascii="Times New Roman" w:hAnsi="Times New Roman" w:cs="Times New Roman"/>
                <w:color w:val="auto"/>
                <w:kern w:val="0"/>
                <w:sz w:val="21"/>
                <w:szCs w:val="21"/>
                <w:lang w:val="en-US" w:eastAsia="zh-CN"/>
              </w:rPr>
              <w:t>污水处理厂最大可接纳总量kg/d</w:t>
            </w:r>
          </w:p>
        </w:tc>
        <w:tc>
          <w:tcPr>
            <w:tcW w:w="775" w:type="pct"/>
            <w:shd w:val="clear" w:color="auto" w:fill="auto"/>
            <w:noWrap/>
            <w:vAlign w:val="center"/>
          </w:tcPr>
          <w:p>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 xml:space="preserve">2380.11 </w:t>
            </w:r>
          </w:p>
        </w:tc>
        <w:tc>
          <w:tcPr>
            <w:tcW w:w="749" w:type="pct"/>
            <w:vAlign w:val="center"/>
          </w:tcPr>
          <w:p>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 xml:space="preserve">475.30 </w:t>
            </w:r>
          </w:p>
        </w:tc>
        <w:tc>
          <w:tcPr>
            <w:tcW w:w="716" w:type="pct"/>
            <w:vAlign w:val="center"/>
          </w:tcPr>
          <w:p>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 xml:space="preserve">1587.28 </w:t>
            </w:r>
          </w:p>
        </w:tc>
        <w:tc>
          <w:tcPr>
            <w:tcW w:w="795" w:type="pct"/>
            <w:shd w:val="clear" w:color="auto" w:fill="auto"/>
            <w:noWrap/>
            <w:vAlign w:val="center"/>
          </w:tcPr>
          <w:p>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 xml:space="preserve">17.79 </w:t>
            </w:r>
          </w:p>
        </w:tc>
        <w:tc>
          <w:tcPr>
            <w:tcW w:w="795" w:type="pct"/>
            <w:shd w:val="clear" w:color="auto" w:fill="auto"/>
            <w:noWrap/>
            <w:vAlign w:val="center"/>
          </w:tcPr>
          <w:p>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 xml:space="preserve">204.95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7" w:type="pct"/>
            <w:shd w:val="clear" w:color="auto" w:fill="auto"/>
            <w:noWrap/>
            <w:vAlign w:val="center"/>
          </w:tcPr>
          <w:p>
            <w:pPr>
              <w:widowControl/>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eastAsia="zh-CN"/>
              </w:rPr>
              <w:t>其他项目排放总量</w:t>
            </w:r>
            <w:r>
              <w:rPr>
                <w:rFonts w:hint="default" w:ascii="Times New Roman" w:hAnsi="Times New Roman" w:cs="Times New Roman"/>
                <w:color w:val="auto"/>
                <w:kern w:val="0"/>
                <w:sz w:val="21"/>
                <w:szCs w:val="21"/>
                <w:lang w:val="en-US" w:eastAsia="zh-CN"/>
              </w:rPr>
              <w:t>kg/d</w:t>
            </w:r>
          </w:p>
        </w:tc>
        <w:tc>
          <w:tcPr>
            <w:tcW w:w="775" w:type="pct"/>
            <w:shd w:val="clear" w:color="auto" w:fill="auto"/>
            <w:noWrap/>
            <w:vAlign w:val="center"/>
          </w:tcPr>
          <w:p>
            <w:pPr>
              <w:pStyle w:val="167"/>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sz w:val="21"/>
                <w:szCs w:val="21"/>
                <w:lang w:val="en-US" w:eastAsia="zh-CN"/>
              </w:rPr>
              <w:t>804.15</w:t>
            </w:r>
          </w:p>
        </w:tc>
        <w:tc>
          <w:tcPr>
            <w:tcW w:w="749" w:type="pct"/>
            <w:vAlign w:val="center"/>
          </w:tcPr>
          <w:p>
            <w:pPr>
              <w:pStyle w:val="167"/>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sz w:val="21"/>
                <w:szCs w:val="21"/>
                <w:lang w:val="en-US" w:eastAsia="zh-CN"/>
              </w:rPr>
              <w:t>268.05</w:t>
            </w:r>
          </w:p>
        </w:tc>
        <w:tc>
          <w:tcPr>
            <w:tcW w:w="716" w:type="pct"/>
            <w:vAlign w:val="center"/>
          </w:tcPr>
          <w:p>
            <w:pPr>
              <w:pStyle w:val="167"/>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sz w:val="21"/>
                <w:szCs w:val="21"/>
                <w:lang w:val="en-US" w:eastAsia="zh-CN"/>
              </w:rPr>
              <w:t>22.733</w:t>
            </w:r>
          </w:p>
        </w:tc>
        <w:tc>
          <w:tcPr>
            <w:tcW w:w="795" w:type="pct"/>
            <w:shd w:val="clear" w:color="auto" w:fill="auto"/>
            <w:noWrap/>
            <w:vAlign w:val="center"/>
          </w:tcPr>
          <w:p>
            <w:pPr>
              <w:pStyle w:val="167"/>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sz w:val="21"/>
                <w:szCs w:val="21"/>
                <w:lang w:val="en-US" w:eastAsia="zh-CN"/>
              </w:rPr>
              <w:t>/</w:t>
            </w:r>
          </w:p>
        </w:tc>
        <w:tc>
          <w:tcPr>
            <w:tcW w:w="795" w:type="pct"/>
            <w:shd w:val="clear" w:color="auto" w:fill="auto"/>
            <w:noWrap/>
            <w:vAlign w:val="center"/>
          </w:tcPr>
          <w:p>
            <w:pPr>
              <w:pStyle w:val="167"/>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sz w:val="21"/>
                <w:szCs w:val="21"/>
                <w:lang w:val="en-US" w:eastAsia="zh-CN"/>
              </w:rPr>
              <w:t>69.7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7" w:type="pct"/>
            <w:shd w:val="clear" w:color="auto" w:fill="auto"/>
            <w:noWrap/>
            <w:vAlign w:val="center"/>
          </w:tcPr>
          <w:p>
            <w:pPr>
              <w:widowControl/>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项目厂区最大排放总量kg/d</w:t>
            </w:r>
          </w:p>
        </w:tc>
        <w:tc>
          <w:tcPr>
            <w:tcW w:w="775" w:type="pct"/>
            <w:shd w:val="clear" w:color="auto" w:fill="auto"/>
            <w:noWrap/>
            <w:vAlign w:val="center"/>
          </w:tcPr>
          <w:p>
            <w:pPr>
              <w:pStyle w:val="167"/>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1575.96</w:t>
            </w:r>
          </w:p>
        </w:tc>
        <w:tc>
          <w:tcPr>
            <w:tcW w:w="749" w:type="pct"/>
            <w:vAlign w:val="center"/>
          </w:tcPr>
          <w:p>
            <w:pPr>
              <w:pStyle w:val="167"/>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207.25</w:t>
            </w:r>
          </w:p>
        </w:tc>
        <w:tc>
          <w:tcPr>
            <w:tcW w:w="716" w:type="pct"/>
            <w:vAlign w:val="center"/>
          </w:tcPr>
          <w:p>
            <w:pPr>
              <w:pStyle w:val="167"/>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1564.547</w:t>
            </w:r>
          </w:p>
        </w:tc>
        <w:tc>
          <w:tcPr>
            <w:tcW w:w="795" w:type="pct"/>
            <w:shd w:val="clear" w:color="auto" w:fill="auto"/>
            <w:noWrap/>
            <w:vAlign w:val="center"/>
          </w:tcPr>
          <w:p>
            <w:pPr>
              <w:pStyle w:val="167"/>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795" w:type="pct"/>
            <w:shd w:val="clear" w:color="auto" w:fill="auto"/>
            <w:noWrap/>
            <w:vAlign w:val="center"/>
          </w:tcPr>
          <w:p>
            <w:pPr>
              <w:pStyle w:val="167"/>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135.25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7" w:type="pct"/>
            <w:shd w:val="clear" w:color="auto" w:fill="auto"/>
            <w:noWrap/>
            <w:vAlign w:val="center"/>
          </w:tcPr>
          <w:p>
            <w:pPr>
              <w:widowControl/>
              <w:jc w:val="center"/>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lang w:val="en-US" w:eastAsia="zh-CN"/>
              </w:rPr>
              <w:t>项目厂区废水排放总量m</w:t>
            </w:r>
            <w:r>
              <w:rPr>
                <w:rFonts w:hint="default" w:ascii="Times New Roman" w:hAnsi="Times New Roman" w:cs="Times New Roman"/>
                <w:color w:val="auto"/>
                <w:kern w:val="0"/>
                <w:sz w:val="21"/>
                <w:szCs w:val="21"/>
                <w:vertAlign w:val="superscript"/>
                <w:lang w:val="en-US" w:eastAsia="zh-CN"/>
              </w:rPr>
              <w:t>3</w:t>
            </w:r>
            <w:r>
              <w:rPr>
                <w:rFonts w:hint="default" w:ascii="Times New Roman" w:hAnsi="Times New Roman" w:cs="Times New Roman"/>
                <w:color w:val="auto"/>
                <w:kern w:val="0"/>
                <w:sz w:val="21"/>
                <w:szCs w:val="21"/>
                <w:vertAlign w:val="baseline"/>
                <w:lang w:val="en-US" w:eastAsia="zh-CN"/>
              </w:rPr>
              <w:t>/d</w:t>
            </w:r>
          </w:p>
        </w:tc>
        <w:tc>
          <w:tcPr>
            <w:tcW w:w="3832" w:type="pct"/>
            <w:gridSpan w:val="5"/>
            <w:shd w:val="clear" w:color="auto" w:fill="auto"/>
            <w:noWrap/>
            <w:vAlign w:val="center"/>
          </w:tcPr>
          <w:p>
            <w:pPr>
              <w:pStyle w:val="167"/>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5795.08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7" w:type="pct"/>
            <w:shd w:val="clear" w:color="auto" w:fill="auto"/>
            <w:noWrap/>
            <w:vAlign w:val="center"/>
          </w:tcPr>
          <w:p>
            <w:pPr>
              <w:widowControl/>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项目厂区污染物最大排放浓度mg/L</w:t>
            </w:r>
          </w:p>
        </w:tc>
        <w:tc>
          <w:tcPr>
            <w:tcW w:w="1292" w:type="dxa"/>
            <w:shd w:val="clear" w:color="auto" w:fill="auto"/>
            <w:noWrap/>
            <w:vAlign w:val="center"/>
          </w:tcPr>
          <w:p>
            <w:pPr>
              <w:pStyle w:val="167"/>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 xml:space="preserve">271.95 </w:t>
            </w:r>
          </w:p>
        </w:tc>
        <w:tc>
          <w:tcPr>
            <w:tcW w:w="1249" w:type="dxa"/>
            <w:vAlign w:val="center"/>
          </w:tcPr>
          <w:p>
            <w:pPr>
              <w:pStyle w:val="167"/>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 xml:space="preserve">35.76 </w:t>
            </w:r>
          </w:p>
        </w:tc>
        <w:tc>
          <w:tcPr>
            <w:tcW w:w="1195" w:type="dxa"/>
            <w:vAlign w:val="center"/>
          </w:tcPr>
          <w:p>
            <w:pPr>
              <w:pStyle w:val="167"/>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 xml:space="preserve">269.98 </w:t>
            </w:r>
          </w:p>
        </w:tc>
        <w:tc>
          <w:tcPr>
            <w:tcW w:w="1326" w:type="dxa"/>
            <w:shd w:val="clear" w:color="auto" w:fill="auto"/>
            <w:noWrap/>
            <w:vAlign w:val="center"/>
          </w:tcPr>
          <w:p>
            <w:pPr>
              <w:pStyle w:val="167"/>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0.97</w:t>
            </w:r>
          </w:p>
        </w:tc>
        <w:tc>
          <w:tcPr>
            <w:tcW w:w="1326" w:type="dxa"/>
            <w:shd w:val="clear" w:color="auto" w:fill="auto"/>
            <w:noWrap/>
            <w:vAlign w:val="center"/>
          </w:tcPr>
          <w:p>
            <w:pPr>
              <w:pStyle w:val="167"/>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 xml:space="preserve">23.34 </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420" w:firstLineChars="200"/>
        <w:textAlignment w:val="auto"/>
        <w:rPr>
          <w:rFonts w:hint="default" w:ascii="Times New Roman" w:hAnsi="Times New Roman" w:cs="Times New Roman"/>
          <w:lang w:val="en-US" w:eastAsia="zh-CN"/>
        </w:rPr>
      </w:pPr>
      <w:r>
        <w:rPr>
          <w:rFonts w:hint="default" w:ascii="Times New Roman" w:hAnsi="Times New Roman" w:cs="Times New Roman"/>
          <w:sz w:val="21"/>
          <w:szCs w:val="21"/>
          <w:lang w:val="en-US" w:eastAsia="zh-CN"/>
        </w:rPr>
        <w:t>注：总磷无相关数据进行计算，项目厂区总磷最大排放浓度按污水处理厂限制排放浓度/（1-处理效率）得出。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根据上述计算对照原厂区批准的排放标准，本项目建成后COD、BOD</w:t>
      </w:r>
      <w:r>
        <w:rPr>
          <w:rFonts w:hint="default" w:ascii="Times New Roman" w:hAnsi="Times New Roman" w:cs="Times New Roman"/>
          <w:color w:val="FF0000"/>
          <w:sz w:val="21"/>
          <w:szCs w:val="21"/>
          <w:vertAlign w:val="subscript"/>
        </w:rPr>
        <w:t>5</w:t>
      </w:r>
      <w:r>
        <w:rPr>
          <w:rFonts w:hint="default" w:ascii="Times New Roman" w:hAnsi="Times New Roman" w:cs="Times New Roman"/>
          <w:lang w:val="en-US" w:eastAsia="zh-CN"/>
        </w:rPr>
        <w:t>、总磷需执行特别排放限值，本项目建成后厂区总排口污染物排放浓度COD不得高于271.95mg/L、BOD</w:t>
      </w:r>
      <w:r>
        <w:rPr>
          <w:rFonts w:hint="default" w:ascii="Times New Roman" w:hAnsi="Times New Roman" w:cs="Times New Roman"/>
          <w:color w:val="FF0000"/>
          <w:sz w:val="21"/>
          <w:szCs w:val="21"/>
          <w:vertAlign w:val="subscript"/>
        </w:rPr>
        <w:t>5</w:t>
      </w:r>
      <w:r>
        <w:rPr>
          <w:rFonts w:hint="default" w:ascii="Times New Roman" w:hAnsi="Times New Roman" w:cs="Times New Roman"/>
          <w:lang w:val="en-US" w:eastAsia="zh-CN"/>
        </w:rPr>
        <w:t>不得高于35.76mg/L、总磷不得高于0.97mg/L。</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bCs/>
          <w:color w:val="FF0000"/>
          <w:kern w:val="21"/>
          <w:szCs w:val="21"/>
        </w:rPr>
        <w:sectPr>
          <w:pgSz w:w="16838" w:h="11906" w:orient="landscape"/>
          <w:pgMar w:top="1797" w:right="1440" w:bottom="1797" w:left="1440" w:header="851" w:footer="992" w:gutter="0"/>
          <w:pgBorders>
            <w:top w:val="none" w:sz="0" w:space="0"/>
            <w:left w:val="none" w:sz="0" w:space="0"/>
            <w:bottom w:val="none" w:sz="0" w:space="0"/>
            <w:right w:val="none" w:sz="0" w:space="0"/>
          </w:pgBorders>
          <w:cols w:space="0" w:num="1"/>
          <w:rtlGutter w:val="0"/>
          <w:docGrid w:linePitch="312" w:charSpace="0"/>
        </w:sectPr>
      </w:pPr>
      <w:r>
        <w:rPr>
          <w:rFonts w:hint="default" w:ascii="Times New Roman" w:hAnsi="Times New Roman" w:cs="Times New Roman"/>
          <w:lang w:val="en-US" w:eastAsia="zh-CN"/>
        </w:rPr>
        <w:t>结合第三章工程分析表3-14 全厂废水污染物产排情况可知，项目废水可以满足计算排放限值要求，因此，项目建成后全厂废水执行</w:t>
      </w:r>
      <w:r>
        <w:rPr>
          <w:rFonts w:hint="default" w:ascii="Times New Roman" w:hAnsi="Times New Roman" w:cs="Times New Roman"/>
          <w:color w:val="auto"/>
          <w:szCs w:val="21"/>
        </w:rPr>
        <w:t>《污水综合排放标准》</w:t>
      </w:r>
      <w:r>
        <w:rPr>
          <w:rFonts w:hint="default" w:ascii="Times New Roman" w:hAnsi="Times New Roman" w:cs="Times New Roman"/>
          <w:color w:val="auto"/>
        </w:rPr>
        <w:t>（GB8978</w:t>
      </w:r>
      <w:r>
        <w:rPr>
          <w:rFonts w:hint="default" w:ascii="Times New Roman" w:hAnsi="Times New Roman" w:cs="Times New Roman"/>
          <w:color w:val="auto"/>
          <w:szCs w:val="21"/>
        </w:rPr>
        <w:t>-</w:t>
      </w:r>
      <w:r>
        <w:rPr>
          <w:rFonts w:hint="default" w:ascii="Times New Roman" w:hAnsi="Times New Roman" w:cs="Times New Roman"/>
          <w:color w:val="auto"/>
        </w:rPr>
        <w:t>1996）三级标准、</w:t>
      </w:r>
      <w:r>
        <w:rPr>
          <w:rFonts w:hint="default" w:ascii="Times New Roman" w:hAnsi="Times New Roman" w:cs="Times New Roman"/>
          <w:color w:val="auto"/>
          <w:szCs w:val="21"/>
        </w:rPr>
        <w:t>《污水排入城镇下水道水质标准》(GB/T31962-2015)B级标准值、《电子工业水污染物排放标准》(GB39731-2020)间接排放标准值三者取严执行</w:t>
      </w:r>
      <w:r>
        <w:rPr>
          <w:rFonts w:hint="default" w:ascii="Times New Roman" w:hAnsi="Times New Roman" w:cs="Times New Roman"/>
          <w:color w:val="auto"/>
          <w:szCs w:val="21"/>
          <w:lang w:eastAsia="zh-CN"/>
        </w:rPr>
        <w:t>的</w:t>
      </w:r>
      <w:r>
        <w:rPr>
          <w:rFonts w:hint="default" w:ascii="Times New Roman" w:hAnsi="Times New Roman" w:cs="Times New Roman"/>
          <w:color w:val="auto"/>
          <w:szCs w:val="21"/>
        </w:rPr>
        <w:t>标准值</w:t>
      </w:r>
      <w:r>
        <w:rPr>
          <w:rFonts w:hint="default" w:ascii="Times New Roman" w:hAnsi="Times New Roman" w:cs="Times New Roman"/>
          <w:color w:val="auto"/>
          <w:szCs w:val="21"/>
          <w:lang w:eastAsia="zh-CN"/>
        </w:rPr>
        <w:t>以及本次环评要求的特别排放限值要求后，项目废水排入楚雄市富民工业园区污水处理厂进行处理是可行的。</w:t>
      </w:r>
    </w:p>
    <w:p>
      <w:pPr>
        <w:pStyle w:val="178"/>
        <w:keepNext w:val="0"/>
        <w:keepLines w:val="0"/>
        <w:pageBreakBefore w:val="0"/>
        <w:widowControl/>
        <w:numPr>
          <w:ilvl w:val="0"/>
          <w:numId w:val="7"/>
        </w:numPr>
        <w:kinsoku/>
        <w:wordWrap/>
        <w:overflowPunct/>
        <w:topLinePunct w:val="0"/>
        <w:autoSpaceDE/>
        <w:autoSpaceDN/>
        <w:bidi w:val="0"/>
        <w:adjustRightInd/>
        <w:snapToGrid/>
        <w:spacing w:beforeLines="0" w:afterLines="0" w:line="360" w:lineRule="auto"/>
        <w:ind w:left="0" w:leftChars="0" w:firstLine="0" w:firstLineChars="0"/>
        <w:textAlignment w:val="auto"/>
        <w:rPr>
          <w:rFonts w:hint="default" w:ascii="Times New Roman" w:hAnsi="Times New Roman" w:cs="Times New Roman"/>
          <w:b/>
          <w:bCs/>
          <w:color w:val="auto"/>
          <w:kern w:val="21"/>
          <w:szCs w:val="21"/>
        </w:rPr>
      </w:pPr>
      <w:r>
        <w:rPr>
          <w:rFonts w:hint="default" w:ascii="Times New Roman" w:hAnsi="Times New Roman" w:cs="Times New Roman"/>
          <w:b/>
          <w:bCs/>
          <w:color w:val="auto"/>
          <w:kern w:val="21"/>
          <w:szCs w:val="21"/>
        </w:rPr>
        <w:t>项目地表水环境影响评价自查表</w:t>
      </w:r>
    </w:p>
    <w:tbl>
      <w:tblPr>
        <w:tblStyle w:val="44"/>
        <w:tblW w:w="146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
        <w:gridCol w:w="1055"/>
        <w:gridCol w:w="3084"/>
        <w:gridCol w:w="1890"/>
        <w:gridCol w:w="1201"/>
        <w:gridCol w:w="992"/>
        <w:gridCol w:w="525"/>
        <w:gridCol w:w="1318"/>
        <w:gridCol w:w="80"/>
        <w:gridCol w:w="1421"/>
        <w:gridCol w:w="842"/>
        <w:gridCol w:w="421"/>
        <w:gridCol w:w="94"/>
        <w:gridCol w:w="17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5" w:type="dxa"/>
          <w:trHeight w:val="232" w:hRule="atLeast"/>
          <w:jc w:val="center"/>
        </w:trPr>
        <w:tc>
          <w:tcPr>
            <w:tcW w:w="4139" w:type="dxa"/>
            <w:gridSpan w:val="2"/>
            <w:vAlign w:val="center"/>
          </w:tcPr>
          <w:p>
            <w:pPr>
              <w:widowControl/>
              <w:spacing w:line="240" w:lineRule="auto"/>
              <w:ind w:firstLine="360"/>
              <w:jc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工作内容</w:t>
            </w:r>
          </w:p>
        </w:tc>
        <w:tc>
          <w:tcPr>
            <w:tcW w:w="10514" w:type="dxa"/>
            <w:gridSpan w:val="11"/>
            <w:vAlign w:val="center"/>
          </w:tcPr>
          <w:p>
            <w:pPr>
              <w:spacing w:line="240" w:lineRule="auto"/>
              <w:ind w:firstLine="360"/>
              <w:jc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自查项目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5" w:type="dxa"/>
          <w:trHeight w:val="232" w:hRule="atLeast"/>
          <w:jc w:val="center"/>
        </w:trPr>
        <w:tc>
          <w:tcPr>
            <w:tcW w:w="1055" w:type="dxa"/>
            <w:vMerge w:val="restart"/>
            <w:vAlign w:val="center"/>
          </w:tcPr>
          <w:p>
            <w:pPr>
              <w:widowControl/>
              <w:spacing w:line="240" w:lineRule="auto"/>
              <w:ind w:firstLine="0" w:firstLineChars="0"/>
              <w:jc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影响识别</w:t>
            </w:r>
          </w:p>
        </w:tc>
        <w:tc>
          <w:tcPr>
            <w:tcW w:w="3084"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影响类型</w:t>
            </w:r>
          </w:p>
        </w:tc>
        <w:tc>
          <w:tcPr>
            <w:tcW w:w="10514" w:type="dxa"/>
            <w:gridSpan w:val="11"/>
            <w:vAlign w:val="center"/>
          </w:tcPr>
          <w:p>
            <w:pPr>
              <w:widowControl/>
              <w:spacing w:line="240" w:lineRule="auto"/>
              <w:ind w:firstLine="360"/>
              <w:jc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水污染影响型</w:t>
            </w:r>
            <w:r>
              <w:rPr>
                <w:rFonts w:hint="default" w:ascii="Times New Roman" w:hAnsi="Times New Roman" w:cs="Times New Roman"/>
                <w:color w:val="auto"/>
                <w:kern w:val="21"/>
                <w:sz w:val="21"/>
                <w:szCs w:val="21"/>
              </w:rPr>
              <w:sym w:font="Wingdings 2" w:char="0052"/>
            </w:r>
            <w:r>
              <w:rPr>
                <w:rFonts w:hint="default" w:ascii="Times New Roman" w:hAnsi="Times New Roman" w:cs="Times New Roman"/>
                <w:color w:val="auto"/>
                <w:kern w:val="21"/>
                <w:sz w:val="18"/>
                <w:szCs w:val="18"/>
              </w:rPr>
              <w:t>；水文要素影响型</w:t>
            </w:r>
            <w:r>
              <w:rPr>
                <w:rFonts w:hint="default" w:ascii="Times New Roman" w:hAnsi="Times New Roman" w:cs="Times New Roman"/>
                <w:color w:val="auto"/>
                <w:kern w:val="21"/>
                <w:sz w:val="21"/>
                <w:szCs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5" w:type="dxa"/>
          <w:trHeight w:val="688" w:hRule="atLeast"/>
          <w:jc w:val="center"/>
        </w:trPr>
        <w:tc>
          <w:tcPr>
            <w:tcW w:w="1055" w:type="dxa"/>
            <w:vMerge w:val="continue"/>
            <w:vAlign w:val="center"/>
          </w:tcPr>
          <w:p>
            <w:pPr>
              <w:spacing w:line="240" w:lineRule="auto"/>
              <w:ind w:firstLine="360"/>
              <w:jc w:val="left"/>
              <w:rPr>
                <w:rFonts w:hint="default" w:ascii="Times New Roman" w:hAnsi="Times New Roman" w:cs="Times New Roman"/>
                <w:color w:val="auto"/>
                <w:kern w:val="21"/>
                <w:sz w:val="18"/>
                <w:szCs w:val="18"/>
              </w:rPr>
            </w:pPr>
          </w:p>
        </w:tc>
        <w:tc>
          <w:tcPr>
            <w:tcW w:w="3084"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水环境保护目标</w:t>
            </w:r>
          </w:p>
        </w:tc>
        <w:tc>
          <w:tcPr>
            <w:tcW w:w="10514" w:type="dxa"/>
            <w:gridSpan w:val="11"/>
            <w:vAlign w:val="center"/>
          </w:tcPr>
          <w:p>
            <w:pPr>
              <w:widowControl/>
              <w:spacing w:line="240" w:lineRule="auto"/>
              <w:ind w:firstLine="0" w:firstLineChars="0"/>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饮用水水源保护区</w:t>
            </w:r>
            <w:r>
              <w:rPr>
                <w:rFonts w:hint="default" w:ascii="Times New Roman" w:hAnsi="Times New Roman" w:cs="Times New Roman"/>
                <w:color w:val="auto"/>
                <w:kern w:val="21"/>
                <w:sz w:val="21"/>
                <w:szCs w:val="21"/>
              </w:rPr>
              <w:sym w:font="Wingdings 2" w:char="00A3"/>
            </w:r>
            <w:r>
              <w:rPr>
                <w:rFonts w:hint="default" w:ascii="Times New Roman" w:hAnsi="Times New Roman" w:cs="Times New Roman"/>
                <w:color w:val="auto"/>
                <w:kern w:val="21"/>
                <w:sz w:val="18"/>
                <w:szCs w:val="18"/>
              </w:rPr>
              <w:t>；饮用水取水口</w:t>
            </w:r>
            <w:r>
              <w:rPr>
                <w:rFonts w:hint="default" w:ascii="Times New Roman" w:hAnsi="Times New Roman" w:cs="Times New Roman"/>
                <w:color w:val="auto"/>
                <w:kern w:val="21"/>
                <w:sz w:val="21"/>
                <w:szCs w:val="21"/>
              </w:rPr>
              <w:sym w:font="Wingdings 2" w:char="00A3"/>
            </w:r>
            <w:r>
              <w:rPr>
                <w:rFonts w:hint="default" w:ascii="Times New Roman" w:hAnsi="Times New Roman" w:cs="Times New Roman"/>
                <w:color w:val="auto"/>
                <w:kern w:val="21"/>
                <w:sz w:val="18"/>
                <w:szCs w:val="18"/>
              </w:rPr>
              <w:t>；涉水的自然保护区</w:t>
            </w:r>
            <w:r>
              <w:rPr>
                <w:rFonts w:hint="default" w:ascii="Times New Roman" w:hAnsi="Times New Roman" w:cs="Times New Roman"/>
                <w:color w:val="auto"/>
                <w:kern w:val="21"/>
                <w:sz w:val="21"/>
                <w:szCs w:val="21"/>
              </w:rPr>
              <w:sym w:font="Wingdings 2" w:char="00A3"/>
            </w:r>
            <w:r>
              <w:rPr>
                <w:rFonts w:hint="default" w:ascii="Times New Roman" w:hAnsi="Times New Roman" w:cs="Times New Roman"/>
                <w:color w:val="auto"/>
                <w:kern w:val="21"/>
                <w:sz w:val="18"/>
                <w:szCs w:val="18"/>
              </w:rPr>
              <w:t>；重要湿地</w:t>
            </w:r>
            <w:r>
              <w:rPr>
                <w:rFonts w:hint="default" w:ascii="Times New Roman" w:hAnsi="Times New Roman" w:cs="Times New Roman"/>
                <w:color w:val="auto"/>
                <w:kern w:val="21"/>
                <w:sz w:val="21"/>
                <w:szCs w:val="21"/>
              </w:rPr>
              <w:sym w:font="Wingdings 2" w:char="00A3"/>
            </w:r>
            <w:r>
              <w:rPr>
                <w:rFonts w:hint="default" w:ascii="Times New Roman" w:hAnsi="Times New Roman" w:cs="Times New Roman"/>
                <w:color w:val="auto"/>
                <w:kern w:val="21"/>
                <w:sz w:val="18"/>
                <w:szCs w:val="18"/>
              </w:rPr>
              <w:t>；重点保护与珍稀水生生物的栖息地</w:t>
            </w:r>
            <w:r>
              <w:rPr>
                <w:rFonts w:hint="default" w:ascii="Times New Roman" w:hAnsi="Times New Roman" w:cs="Times New Roman"/>
                <w:color w:val="auto"/>
                <w:kern w:val="21"/>
                <w:sz w:val="21"/>
                <w:szCs w:val="21"/>
              </w:rPr>
              <w:sym w:font="Wingdings 2" w:char="00A3"/>
            </w:r>
            <w:r>
              <w:rPr>
                <w:rFonts w:hint="default" w:ascii="Times New Roman" w:hAnsi="Times New Roman" w:cs="Times New Roman"/>
                <w:color w:val="auto"/>
                <w:kern w:val="21"/>
                <w:sz w:val="18"/>
                <w:szCs w:val="18"/>
              </w:rPr>
              <w:t>；重要水生生物的自然产卵场及索饵场、越冬场和洄游通道、天然渔场等渔业水体</w:t>
            </w:r>
            <w:r>
              <w:rPr>
                <w:rFonts w:hint="default" w:ascii="Times New Roman" w:hAnsi="Times New Roman" w:cs="Times New Roman"/>
                <w:color w:val="auto"/>
                <w:kern w:val="21"/>
                <w:sz w:val="21"/>
                <w:szCs w:val="21"/>
              </w:rPr>
              <w:sym w:font="Wingdings 2" w:char="00A3"/>
            </w:r>
            <w:r>
              <w:rPr>
                <w:rFonts w:hint="default" w:ascii="Times New Roman" w:hAnsi="Times New Roman" w:cs="Times New Roman"/>
                <w:color w:val="auto"/>
                <w:kern w:val="21"/>
                <w:sz w:val="18"/>
                <w:szCs w:val="18"/>
              </w:rPr>
              <w:t>；涉水的风景名胜区</w:t>
            </w:r>
            <w:r>
              <w:rPr>
                <w:rFonts w:hint="default" w:ascii="Times New Roman" w:hAnsi="Times New Roman" w:cs="Times New Roman"/>
                <w:color w:val="auto"/>
                <w:kern w:val="21"/>
                <w:sz w:val="21"/>
                <w:szCs w:val="21"/>
              </w:rPr>
              <w:sym w:font="Wingdings 2" w:char="00A3"/>
            </w:r>
            <w:r>
              <w:rPr>
                <w:rFonts w:hint="default" w:ascii="Times New Roman" w:hAnsi="Times New Roman" w:cs="Times New Roman"/>
                <w:color w:val="auto"/>
                <w:kern w:val="21"/>
                <w:sz w:val="18"/>
                <w:szCs w:val="18"/>
              </w:rPr>
              <w:t>；其他</w:t>
            </w:r>
            <w:r>
              <w:rPr>
                <w:rFonts w:hint="default" w:ascii="Times New Roman" w:hAnsi="Times New Roman" w:cs="Times New Roman"/>
                <w:color w:val="auto"/>
                <w:kern w:val="21"/>
                <w:sz w:val="21"/>
                <w:szCs w:val="21"/>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5" w:type="dxa"/>
          <w:trHeight w:val="280" w:hRule="atLeast"/>
          <w:jc w:val="center"/>
        </w:trPr>
        <w:tc>
          <w:tcPr>
            <w:tcW w:w="1055" w:type="dxa"/>
            <w:vMerge w:val="continue"/>
          </w:tcPr>
          <w:p>
            <w:pPr>
              <w:spacing w:line="240" w:lineRule="auto"/>
              <w:ind w:firstLine="360"/>
              <w:jc w:val="left"/>
              <w:rPr>
                <w:rFonts w:hint="default" w:ascii="Times New Roman" w:hAnsi="Times New Roman" w:cs="Times New Roman"/>
                <w:color w:val="auto"/>
                <w:kern w:val="21"/>
                <w:sz w:val="18"/>
                <w:szCs w:val="18"/>
              </w:rPr>
            </w:pPr>
          </w:p>
        </w:tc>
        <w:tc>
          <w:tcPr>
            <w:tcW w:w="3084" w:type="dxa"/>
            <w:vMerge w:val="restart"/>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影响途径</w:t>
            </w:r>
          </w:p>
        </w:tc>
        <w:tc>
          <w:tcPr>
            <w:tcW w:w="5926" w:type="dxa"/>
            <w:gridSpan w:val="5"/>
            <w:vAlign w:val="center"/>
          </w:tcPr>
          <w:p>
            <w:pPr>
              <w:widowControl/>
              <w:spacing w:line="240" w:lineRule="auto"/>
              <w:ind w:firstLine="360"/>
              <w:jc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水污染影响型</w:t>
            </w:r>
          </w:p>
        </w:tc>
        <w:tc>
          <w:tcPr>
            <w:tcW w:w="4588" w:type="dxa"/>
            <w:gridSpan w:val="6"/>
            <w:vAlign w:val="center"/>
          </w:tcPr>
          <w:p>
            <w:pPr>
              <w:widowControl/>
              <w:spacing w:line="240" w:lineRule="auto"/>
              <w:ind w:firstLine="360"/>
              <w:jc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水文要素影响型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5" w:type="dxa"/>
          <w:trHeight w:val="196" w:hRule="atLeast"/>
          <w:jc w:val="center"/>
        </w:trPr>
        <w:tc>
          <w:tcPr>
            <w:tcW w:w="1055" w:type="dxa"/>
            <w:vMerge w:val="continue"/>
          </w:tcPr>
          <w:p>
            <w:pPr>
              <w:spacing w:line="240" w:lineRule="auto"/>
              <w:ind w:firstLine="360"/>
              <w:jc w:val="left"/>
              <w:rPr>
                <w:rFonts w:hint="default" w:ascii="Times New Roman" w:hAnsi="Times New Roman" w:cs="Times New Roman"/>
                <w:color w:val="auto"/>
                <w:kern w:val="21"/>
                <w:sz w:val="18"/>
                <w:szCs w:val="18"/>
              </w:rPr>
            </w:pPr>
          </w:p>
        </w:tc>
        <w:tc>
          <w:tcPr>
            <w:tcW w:w="3084"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1"/>
                <w:sz w:val="18"/>
                <w:szCs w:val="18"/>
              </w:rPr>
            </w:pPr>
          </w:p>
        </w:tc>
        <w:tc>
          <w:tcPr>
            <w:tcW w:w="5926" w:type="dxa"/>
            <w:gridSpan w:val="5"/>
            <w:vAlign w:val="center"/>
          </w:tcPr>
          <w:p>
            <w:pPr>
              <w:widowControl/>
              <w:spacing w:line="240" w:lineRule="auto"/>
              <w:ind w:firstLine="360"/>
              <w:jc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直接排放</w:t>
            </w:r>
            <w:r>
              <w:rPr>
                <w:rFonts w:hint="default" w:ascii="Times New Roman" w:hAnsi="Times New Roman" w:cs="Times New Roman"/>
                <w:color w:val="auto"/>
                <w:kern w:val="21"/>
                <w:sz w:val="21"/>
                <w:szCs w:val="21"/>
              </w:rPr>
              <w:sym w:font="Wingdings 2" w:char="00A3"/>
            </w:r>
            <w:r>
              <w:rPr>
                <w:rFonts w:hint="default" w:ascii="Times New Roman" w:hAnsi="Times New Roman" w:cs="Times New Roman"/>
                <w:color w:val="auto"/>
                <w:kern w:val="21"/>
                <w:sz w:val="18"/>
                <w:szCs w:val="18"/>
              </w:rPr>
              <w:t>；间接排放</w:t>
            </w:r>
            <w:r>
              <w:rPr>
                <w:rFonts w:hint="default" w:ascii="Times New Roman" w:hAnsi="Times New Roman" w:cs="Times New Roman"/>
                <w:color w:val="auto"/>
                <w:kern w:val="21"/>
                <w:sz w:val="21"/>
                <w:szCs w:val="21"/>
              </w:rPr>
              <w:sym w:font="Wingdings 2" w:char="0052"/>
            </w:r>
            <w:r>
              <w:rPr>
                <w:rFonts w:hint="default" w:ascii="Times New Roman" w:hAnsi="Times New Roman" w:cs="Times New Roman"/>
                <w:color w:val="auto"/>
                <w:kern w:val="21"/>
                <w:sz w:val="18"/>
                <w:szCs w:val="18"/>
              </w:rPr>
              <w:t>；其他</w:t>
            </w:r>
            <w:r>
              <w:rPr>
                <w:rFonts w:hint="default" w:ascii="Times New Roman" w:hAnsi="Times New Roman" w:cs="Times New Roman"/>
                <w:color w:val="auto"/>
                <w:kern w:val="21"/>
                <w:sz w:val="21"/>
                <w:szCs w:val="21"/>
              </w:rPr>
              <w:sym w:font="Wingdings 2" w:char="00A3"/>
            </w:r>
          </w:p>
        </w:tc>
        <w:tc>
          <w:tcPr>
            <w:tcW w:w="4588" w:type="dxa"/>
            <w:gridSpan w:val="6"/>
            <w:vAlign w:val="center"/>
          </w:tcPr>
          <w:p>
            <w:pPr>
              <w:widowControl/>
              <w:spacing w:line="240" w:lineRule="auto"/>
              <w:ind w:firstLine="360"/>
              <w:jc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水温</w:t>
            </w:r>
            <w:r>
              <w:rPr>
                <w:rFonts w:hint="default" w:ascii="Times New Roman" w:hAnsi="Times New Roman" w:cs="Times New Roman"/>
                <w:color w:val="auto"/>
                <w:kern w:val="21"/>
                <w:sz w:val="21"/>
                <w:szCs w:val="21"/>
              </w:rPr>
              <w:sym w:font="Wingdings 2" w:char="00A3"/>
            </w:r>
            <w:r>
              <w:rPr>
                <w:rFonts w:hint="default" w:ascii="Times New Roman" w:hAnsi="Times New Roman" w:cs="Times New Roman"/>
                <w:color w:val="auto"/>
                <w:kern w:val="21"/>
                <w:sz w:val="18"/>
                <w:szCs w:val="18"/>
              </w:rPr>
              <w:t>；径流</w:t>
            </w:r>
            <w:r>
              <w:rPr>
                <w:rFonts w:hint="default" w:ascii="Times New Roman" w:hAnsi="Times New Roman" w:cs="Times New Roman"/>
                <w:color w:val="auto"/>
                <w:kern w:val="21"/>
                <w:sz w:val="21"/>
                <w:szCs w:val="21"/>
              </w:rPr>
              <w:sym w:font="Wingdings 2" w:char="00A3"/>
            </w:r>
            <w:r>
              <w:rPr>
                <w:rFonts w:hint="default" w:ascii="Times New Roman" w:hAnsi="Times New Roman" w:cs="Times New Roman"/>
                <w:color w:val="auto"/>
                <w:kern w:val="21"/>
                <w:sz w:val="18"/>
                <w:szCs w:val="18"/>
              </w:rPr>
              <w:t>；水域面积</w:t>
            </w:r>
            <w:r>
              <w:rPr>
                <w:rFonts w:hint="default" w:ascii="Times New Roman" w:hAnsi="Times New Roman" w:cs="Times New Roman"/>
                <w:color w:val="auto"/>
                <w:kern w:val="21"/>
                <w:sz w:val="21"/>
                <w:szCs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5" w:type="dxa"/>
          <w:trHeight w:val="90" w:hRule="atLeast"/>
          <w:jc w:val="center"/>
        </w:trPr>
        <w:tc>
          <w:tcPr>
            <w:tcW w:w="1055" w:type="dxa"/>
            <w:vMerge w:val="continue"/>
          </w:tcPr>
          <w:p>
            <w:pPr>
              <w:spacing w:line="240" w:lineRule="auto"/>
              <w:ind w:firstLine="360"/>
              <w:jc w:val="left"/>
              <w:rPr>
                <w:rFonts w:hint="default" w:ascii="Times New Roman" w:hAnsi="Times New Roman" w:cs="Times New Roman"/>
                <w:color w:val="auto"/>
                <w:kern w:val="21"/>
                <w:sz w:val="18"/>
                <w:szCs w:val="18"/>
              </w:rPr>
            </w:pPr>
          </w:p>
        </w:tc>
        <w:tc>
          <w:tcPr>
            <w:tcW w:w="3084"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影响因子</w:t>
            </w:r>
          </w:p>
        </w:tc>
        <w:tc>
          <w:tcPr>
            <w:tcW w:w="5926" w:type="dxa"/>
            <w:gridSpan w:val="5"/>
            <w:vAlign w:val="center"/>
          </w:tcPr>
          <w:p>
            <w:pPr>
              <w:widowControl/>
              <w:spacing w:line="240" w:lineRule="auto"/>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持久性污染物</w:t>
            </w:r>
            <w:r>
              <w:rPr>
                <w:rFonts w:hint="default" w:ascii="Times New Roman" w:hAnsi="Times New Roman" w:cs="Times New Roman"/>
                <w:color w:val="auto"/>
                <w:kern w:val="21"/>
                <w:sz w:val="21"/>
                <w:szCs w:val="21"/>
              </w:rPr>
              <w:sym w:font="Wingdings 2" w:char="00A3"/>
            </w:r>
            <w:r>
              <w:rPr>
                <w:rFonts w:hint="default" w:ascii="Times New Roman" w:hAnsi="Times New Roman" w:cs="Times New Roman"/>
                <w:color w:val="auto"/>
                <w:kern w:val="21"/>
                <w:sz w:val="18"/>
                <w:szCs w:val="18"/>
              </w:rPr>
              <w:t>；有毒有害污染物</w:t>
            </w:r>
            <w:r>
              <w:rPr>
                <w:rFonts w:hint="default" w:ascii="Times New Roman" w:hAnsi="Times New Roman" w:cs="Times New Roman"/>
                <w:color w:val="auto"/>
                <w:kern w:val="21"/>
                <w:sz w:val="21"/>
                <w:szCs w:val="21"/>
              </w:rPr>
              <w:sym w:font="Wingdings 2" w:char="00A3"/>
            </w:r>
            <w:r>
              <w:rPr>
                <w:rFonts w:hint="default" w:ascii="Times New Roman" w:hAnsi="Times New Roman" w:cs="Times New Roman"/>
                <w:color w:val="auto"/>
                <w:kern w:val="21"/>
                <w:sz w:val="18"/>
                <w:szCs w:val="18"/>
              </w:rPr>
              <w:t>；非持久性污染物</w:t>
            </w:r>
            <w:r>
              <w:rPr>
                <w:rFonts w:hint="default" w:ascii="Times New Roman" w:hAnsi="Times New Roman" w:cs="Times New Roman"/>
                <w:color w:val="auto"/>
                <w:kern w:val="21"/>
                <w:sz w:val="21"/>
                <w:szCs w:val="21"/>
              </w:rPr>
              <w:sym w:font="Wingdings 2" w:char="0052"/>
            </w:r>
            <w:r>
              <w:rPr>
                <w:rFonts w:hint="default" w:ascii="Times New Roman" w:hAnsi="Times New Roman" w:cs="Times New Roman"/>
                <w:color w:val="auto"/>
                <w:kern w:val="21"/>
                <w:sz w:val="18"/>
                <w:szCs w:val="18"/>
              </w:rPr>
              <w:t>；pH值</w:t>
            </w:r>
            <w:r>
              <w:rPr>
                <w:rFonts w:hint="default" w:ascii="Times New Roman" w:hAnsi="Times New Roman" w:cs="Times New Roman"/>
                <w:color w:val="auto"/>
                <w:kern w:val="21"/>
                <w:sz w:val="21"/>
                <w:szCs w:val="21"/>
              </w:rPr>
              <w:sym w:font="Wingdings 2" w:char="00A3"/>
            </w:r>
            <w:r>
              <w:rPr>
                <w:rFonts w:hint="default" w:ascii="Times New Roman" w:hAnsi="Times New Roman" w:cs="Times New Roman"/>
                <w:color w:val="auto"/>
                <w:kern w:val="21"/>
                <w:sz w:val="18"/>
                <w:szCs w:val="18"/>
              </w:rPr>
              <w:t>；热污染</w:t>
            </w:r>
            <w:r>
              <w:rPr>
                <w:rFonts w:hint="default" w:ascii="Times New Roman" w:hAnsi="Times New Roman" w:cs="Times New Roman"/>
                <w:color w:val="auto"/>
                <w:kern w:val="21"/>
                <w:sz w:val="21"/>
                <w:szCs w:val="21"/>
              </w:rPr>
              <w:sym w:font="Wingdings 2" w:char="00A3"/>
            </w:r>
            <w:r>
              <w:rPr>
                <w:rFonts w:hint="default" w:ascii="Times New Roman" w:hAnsi="Times New Roman" w:cs="Times New Roman"/>
                <w:color w:val="auto"/>
                <w:kern w:val="21"/>
                <w:sz w:val="18"/>
                <w:szCs w:val="18"/>
              </w:rPr>
              <w:t>；富营养化</w:t>
            </w:r>
            <w:r>
              <w:rPr>
                <w:rFonts w:hint="default" w:ascii="Times New Roman" w:hAnsi="Times New Roman" w:cs="Times New Roman"/>
                <w:color w:val="auto"/>
                <w:kern w:val="21"/>
                <w:sz w:val="21"/>
                <w:szCs w:val="21"/>
              </w:rPr>
              <w:sym w:font="Wingdings 2" w:char="00A3"/>
            </w:r>
            <w:r>
              <w:rPr>
                <w:rFonts w:hint="default" w:ascii="Times New Roman" w:hAnsi="Times New Roman" w:cs="Times New Roman"/>
                <w:color w:val="auto"/>
                <w:kern w:val="21"/>
                <w:sz w:val="18"/>
                <w:szCs w:val="18"/>
              </w:rPr>
              <w:t>；其他</w:t>
            </w:r>
            <w:r>
              <w:rPr>
                <w:rFonts w:hint="default" w:ascii="Times New Roman" w:hAnsi="Times New Roman" w:cs="Times New Roman"/>
                <w:color w:val="auto"/>
                <w:kern w:val="21"/>
                <w:sz w:val="21"/>
                <w:szCs w:val="21"/>
              </w:rPr>
              <w:sym w:font="Wingdings 2" w:char="00A3"/>
            </w:r>
          </w:p>
        </w:tc>
        <w:tc>
          <w:tcPr>
            <w:tcW w:w="4588" w:type="dxa"/>
            <w:gridSpan w:val="6"/>
            <w:vAlign w:val="center"/>
          </w:tcPr>
          <w:p>
            <w:pPr>
              <w:widowControl/>
              <w:spacing w:line="240" w:lineRule="auto"/>
              <w:ind w:firstLine="0" w:firstLineChars="0"/>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水温</w:t>
            </w:r>
            <w:r>
              <w:rPr>
                <w:rFonts w:hint="default" w:ascii="Times New Roman" w:hAnsi="Times New Roman" w:cs="Times New Roman"/>
                <w:color w:val="auto"/>
                <w:kern w:val="21"/>
                <w:sz w:val="21"/>
                <w:szCs w:val="21"/>
              </w:rPr>
              <w:sym w:font="Wingdings 2" w:char="00A3"/>
            </w:r>
            <w:r>
              <w:rPr>
                <w:rFonts w:hint="default" w:ascii="Times New Roman" w:hAnsi="Times New Roman" w:cs="Times New Roman"/>
                <w:color w:val="auto"/>
                <w:kern w:val="21"/>
                <w:sz w:val="18"/>
                <w:szCs w:val="18"/>
              </w:rPr>
              <w:t>；水位（水深）</w:t>
            </w:r>
            <w:r>
              <w:rPr>
                <w:rFonts w:hint="default" w:ascii="Times New Roman" w:hAnsi="Times New Roman" w:cs="Times New Roman"/>
                <w:color w:val="auto"/>
                <w:kern w:val="21"/>
                <w:sz w:val="21"/>
                <w:szCs w:val="21"/>
              </w:rPr>
              <w:sym w:font="Wingdings 2" w:char="00A3"/>
            </w:r>
            <w:r>
              <w:rPr>
                <w:rFonts w:hint="default" w:ascii="Times New Roman" w:hAnsi="Times New Roman" w:cs="Times New Roman"/>
                <w:color w:val="auto"/>
                <w:kern w:val="21"/>
                <w:sz w:val="18"/>
                <w:szCs w:val="18"/>
              </w:rPr>
              <w:t>；流速</w:t>
            </w:r>
            <w:r>
              <w:rPr>
                <w:rFonts w:hint="default" w:ascii="Times New Roman" w:hAnsi="Times New Roman" w:cs="Times New Roman"/>
                <w:color w:val="auto"/>
                <w:kern w:val="21"/>
                <w:sz w:val="21"/>
                <w:szCs w:val="21"/>
              </w:rPr>
              <w:sym w:font="Wingdings 2" w:char="00A3"/>
            </w:r>
            <w:r>
              <w:rPr>
                <w:rFonts w:hint="default" w:ascii="Times New Roman" w:hAnsi="Times New Roman" w:cs="Times New Roman"/>
                <w:color w:val="auto"/>
                <w:kern w:val="21"/>
                <w:sz w:val="18"/>
                <w:szCs w:val="18"/>
              </w:rPr>
              <w:t>；流量</w:t>
            </w:r>
            <w:r>
              <w:rPr>
                <w:rFonts w:hint="default" w:ascii="Times New Roman" w:hAnsi="Times New Roman" w:cs="Times New Roman"/>
                <w:color w:val="auto"/>
                <w:kern w:val="21"/>
                <w:sz w:val="21"/>
                <w:szCs w:val="21"/>
              </w:rPr>
              <w:sym w:font="Wingdings 2" w:char="00A3"/>
            </w:r>
            <w:r>
              <w:rPr>
                <w:rFonts w:hint="default" w:ascii="Times New Roman" w:hAnsi="Times New Roman" w:cs="Times New Roman"/>
                <w:color w:val="auto"/>
                <w:kern w:val="21"/>
                <w:sz w:val="18"/>
                <w:szCs w:val="18"/>
              </w:rPr>
              <w:t>；其他</w:t>
            </w:r>
            <w:r>
              <w:rPr>
                <w:rFonts w:hint="default" w:ascii="Times New Roman" w:hAnsi="Times New Roman" w:cs="Times New Roman"/>
                <w:color w:val="auto"/>
                <w:kern w:val="21"/>
                <w:sz w:val="21"/>
                <w:szCs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5" w:type="dxa"/>
          <w:trHeight w:val="90" w:hRule="atLeast"/>
          <w:jc w:val="center"/>
        </w:trPr>
        <w:tc>
          <w:tcPr>
            <w:tcW w:w="4139" w:type="dxa"/>
            <w:gridSpan w:val="2"/>
            <w:vMerge w:val="restart"/>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评价等级</w:t>
            </w:r>
          </w:p>
        </w:tc>
        <w:tc>
          <w:tcPr>
            <w:tcW w:w="5926" w:type="dxa"/>
            <w:gridSpan w:val="5"/>
            <w:vAlign w:val="center"/>
          </w:tcPr>
          <w:p>
            <w:pPr>
              <w:widowControl/>
              <w:spacing w:line="240" w:lineRule="auto"/>
              <w:ind w:firstLine="360"/>
              <w:jc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水污染影响型</w:t>
            </w:r>
          </w:p>
        </w:tc>
        <w:tc>
          <w:tcPr>
            <w:tcW w:w="4588" w:type="dxa"/>
            <w:gridSpan w:val="6"/>
            <w:vAlign w:val="center"/>
          </w:tcPr>
          <w:p>
            <w:pPr>
              <w:widowControl/>
              <w:spacing w:line="240" w:lineRule="auto"/>
              <w:ind w:firstLine="360"/>
              <w:jc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水文要素影响型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5" w:type="dxa"/>
          <w:trHeight w:val="280" w:hRule="atLeast"/>
          <w:jc w:val="center"/>
        </w:trPr>
        <w:tc>
          <w:tcPr>
            <w:tcW w:w="4139" w:type="dxa"/>
            <w:gridSpan w:val="2"/>
            <w:vMerge w:val="continue"/>
            <w:vAlign w:val="center"/>
          </w:tcPr>
          <w:p>
            <w:pPr>
              <w:widowControl/>
              <w:spacing w:line="240" w:lineRule="auto"/>
              <w:ind w:firstLine="360"/>
              <w:jc w:val="center"/>
              <w:rPr>
                <w:rFonts w:hint="default" w:ascii="Times New Roman" w:hAnsi="Times New Roman" w:cs="Times New Roman"/>
                <w:color w:val="auto"/>
                <w:kern w:val="21"/>
                <w:sz w:val="18"/>
                <w:szCs w:val="18"/>
              </w:rPr>
            </w:pPr>
          </w:p>
        </w:tc>
        <w:tc>
          <w:tcPr>
            <w:tcW w:w="5926" w:type="dxa"/>
            <w:gridSpan w:val="5"/>
            <w:vAlign w:val="center"/>
          </w:tcPr>
          <w:p>
            <w:pPr>
              <w:widowControl/>
              <w:spacing w:line="240" w:lineRule="auto"/>
              <w:ind w:firstLine="360"/>
              <w:jc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一级</w:t>
            </w:r>
            <w:r>
              <w:rPr>
                <w:rFonts w:hint="default" w:ascii="Times New Roman" w:hAnsi="Times New Roman" w:cs="Times New Roman"/>
                <w:color w:val="auto"/>
                <w:kern w:val="21"/>
                <w:sz w:val="21"/>
                <w:szCs w:val="21"/>
              </w:rPr>
              <w:sym w:font="Wingdings 2" w:char="00A3"/>
            </w:r>
            <w:r>
              <w:rPr>
                <w:rFonts w:hint="default" w:ascii="Times New Roman" w:hAnsi="Times New Roman" w:cs="Times New Roman"/>
                <w:color w:val="auto"/>
                <w:kern w:val="21"/>
                <w:sz w:val="18"/>
                <w:szCs w:val="18"/>
              </w:rPr>
              <w:t>；二级</w:t>
            </w:r>
            <w:r>
              <w:rPr>
                <w:rFonts w:hint="default" w:ascii="Times New Roman" w:hAnsi="Times New Roman" w:cs="Times New Roman"/>
                <w:color w:val="auto"/>
                <w:kern w:val="21"/>
                <w:sz w:val="21"/>
                <w:szCs w:val="21"/>
              </w:rPr>
              <w:sym w:font="Wingdings 2" w:char="00A3"/>
            </w:r>
            <w:r>
              <w:rPr>
                <w:rFonts w:hint="default" w:ascii="Times New Roman" w:hAnsi="Times New Roman" w:cs="Times New Roman"/>
                <w:color w:val="auto"/>
                <w:kern w:val="21"/>
                <w:sz w:val="18"/>
                <w:szCs w:val="18"/>
              </w:rPr>
              <w:t>；三级A</w:t>
            </w:r>
            <w:r>
              <w:rPr>
                <w:rFonts w:hint="default" w:ascii="Times New Roman" w:hAnsi="Times New Roman" w:cs="Times New Roman"/>
                <w:color w:val="auto"/>
                <w:kern w:val="21"/>
                <w:sz w:val="21"/>
                <w:szCs w:val="21"/>
              </w:rPr>
              <w:sym w:font="Wingdings 2" w:char="00A3"/>
            </w:r>
            <w:r>
              <w:rPr>
                <w:rFonts w:hint="default" w:ascii="Times New Roman" w:hAnsi="Times New Roman" w:cs="Times New Roman"/>
                <w:color w:val="auto"/>
                <w:kern w:val="21"/>
                <w:sz w:val="18"/>
                <w:szCs w:val="18"/>
              </w:rPr>
              <w:t>；三级B</w:t>
            </w:r>
            <w:r>
              <w:rPr>
                <w:rFonts w:hint="default" w:ascii="Times New Roman" w:hAnsi="Times New Roman" w:cs="Times New Roman"/>
                <w:color w:val="auto"/>
                <w:kern w:val="21"/>
                <w:sz w:val="21"/>
                <w:szCs w:val="21"/>
              </w:rPr>
              <w:sym w:font="Wingdings 2" w:char="0052"/>
            </w:r>
          </w:p>
        </w:tc>
        <w:tc>
          <w:tcPr>
            <w:tcW w:w="4588" w:type="dxa"/>
            <w:gridSpan w:val="6"/>
            <w:vAlign w:val="center"/>
          </w:tcPr>
          <w:p>
            <w:pPr>
              <w:widowControl/>
              <w:spacing w:line="240" w:lineRule="auto"/>
              <w:ind w:firstLine="360"/>
              <w:jc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一级</w:t>
            </w:r>
            <w:r>
              <w:rPr>
                <w:rFonts w:hint="default" w:ascii="Times New Roman" w:hAnsi="Times New Roman" w:cs="Times New Roman"/>
                <w:color w:val="auto"/>
                <w:kern w:val="21"/>
                <w:sz w:val="21"/>
                <w:szCs w:val="21"/>
              </w:rPr>
              <w:sym w:font="Wingdings 2" w:char="00A3"/>
            </w:r>
            <w:r>
              <w:rPr>
                <w:rFonts w:hint="default" w:ascii="Times New Roman" w:hAnsi="Times New Roman" w:cs="Times New Roman"/>
                <w:color w:val="auto"/>
                <w:kern w:val="21"/>
                <w:sz w:val="18"/>
                <w:szCs w:val="18"/>
              </w:rPr>
              <w:t>；二级</w:t>
            </w:r>
            <w:r>
              <w:rPr>
                <w:rFonts w:hint="default" w:ascii="Times New Roman" w:hAnsi="Times New Roman" w:cs="Times New Roman"/>
                <w:color w:val="auto"/>
                <w:kern w:val="21"/>
                <w:sz w:val="21"/>
                <w:szCs w:val="21"/>
              </w:rPr>
              <w:sym w:font="Wingdings 2" w:char="00A3"/>
            </w:r>
            <w:r>
              <w:rPr>
                <w:rFonts w:hint="default" w:ascii="Times New Roman" w:hAnsi="Times New Roman" w:cs="Times New Roman"/>
                <w:color w:val="auto"/>
                <w:kern w:val="21"/>
                <w:sz w:val="18"/>
                <w:szCs w:val="18"/>
              </w:rPr>
              <w:t>；三级</w:t>
            </w:r>
            <w:r>
              <w:rPr>
                <w:rFonts w:hint="default" w:ascii="Times New Roman" w:hAnsi="Times New Roman" w:cs="Times New Roman"/>
                <w:color w:val="auto"/>
                <w:kern w:val="21"/>
                <w:sz w:val="21"/>
                <w:szCs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5" w:type="dxa"/>
          <w:trHeight w:val="196" w:hRule="atLeast"/>
          <w:jc w:val="center"/>
        </w:trPr>
        <w:tc>
          <w:tcPr>
            <w:tcW w:w="1055" w:type="dxa"/>
            <w:vMerge w:val="restart"/>
            <w:vAlign w:val="center"/>
          </w:tcPr>
          <w:p>
            <w:pPr>
              <w:widowControl/>
              <w:spacing w:line="240" w:lineRule="auto"/>
              <w:ind w:firstLine="0" w:firstLineChars="0"/>
              <w:jc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现状调查</w:t>
            </w:r>
          </w:p>
          <w:p>
            <w:pPr>
              <w:spacing w:line="240" w:lineRule="auto"/>
              <w:ind w:firstLine="360"/>
              <w:rPr>
                <w:rFonts w:hint="default" w:ascii="Times New Roman" w:hAnsi="Times New Roman" w:cs="Times New Roman"/>
                <w:color w:val="auto"/>
                <w:kern w:val="21"/>
                <w:sz w:val="18"/>
                <w:szCs w:val="18"/>
              </w:rPr>
            </w:pPr>
          </w:p>
        </w:tc>
        <w:tc>
          <w:tcPr>
            <w:tcW w:w="3084" w:type="dxa"/>
            <w:vMerge w:val="restart"/>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区域污染源</w:t>
            </w:r>
          </w:p>
        </w:tc>
        <w:tc>
          <w:tcPr>
            <w:tcW w:w="5926" w:type="dxa"/>
            <w:gridSpan w:val="5"/>
            <w:vAlign w:val="center"/>
          </w:tcPr>
          <w:p>
            <w:pPr>
              <w:widowControl/>
              <w:spacing w:line="240" w:lineRule="auto"/>
              <w:ind w:firstLine="360"/>
              <w:jc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调查项目</w:t>
            </w:r>
          </w:p>
        </w:tc>
        <w:tc>
          <w:tcPr>
            <w:tcW w:w="4588" w:type="dxa"/>
            <w:gridSpan w:val="6"/>
            <w:vAlign w:val="center"/>
          </w:tcPr>
          <w:p>
            <w:pPr>
              <w:widowControl/>
              <w:spacing w:line="240" w:lineRule="auto"/>
              <w:ind w:firstLine="360"/>
              <w:jc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5" w:type="dxa"/>
          <w:trHeight w:val="532" w:hRule="atLeast"/>
          <w:jc w:val="center"/>
        </w:trPr>
        <w:tc>
          <w:tcPr>
            <w:tcW w:w="1055" w:type="dxa"/>
            <w:vMerge w:val="continue"/>
            <w:vAlign w:val="center"/>
          </w:tcPr>
          <w:p>
            <w:pPr>
              <w:spacing w:line="240" w:lineRule="auto"/>
              <w:ind w:firstLine="360"/>
              <w:rPr>
                <w:rFonts w:hint="default" w:ascii="Times New Roman" w:hAnsi="Times New Roman" w:cs="Times New Roman"/>
                <w:color w:val="auto"/>
                <w:kern w:val="21"/>
                <w:sz w:val="18"/>
                <w:szCs w:val="18"/>
              </w:rPr>
            </w:pPr>
          </w:p>
        </w:tc>
        <w:tc>
          <w:tcPr>
            <w:tcW w:w="3084" w:type="dxa"/>
            <w:vMerge w:val="continue"/>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1"/>
                <w:sz w:val="18"/>
                <w:szCs w:val="18"/>
              </w:rPr>
            </w:pPr>
          </w:p>
        </w:tc>
        <w:tc>
          <w:tcPr>
            <w:tcW w:w="4083" w:type="dxa"/>
            <w:gridSpan w:val="3"/>
            <w:vAlign w:val="center"/>
          </w:tcPr>
          <w:p>
            <w:pPr>
              <w:widowControl/>
              <w:spacing w:line="240" w:lineRule="auto"/>
              <w:ind w:firstLine="0" w:firstLineChars="0"/>
              <w:jc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已建</w:t>
            </w:r>
            <w:r>
              <w:rPr>
                <w:rFonts w:hint="default" w:ascii="Times New Roman" w:hAnsi="Times New Roman" w:cs="Times New Roman"/>
                <w:color w:val="auto"/>
                <w:kern w:val="21"/>
                <w:sz w:val="21"/>
                <w:szCs w:val="21"/>
              </w:rPr>
              <w:sym w:font="Wingdings 2" w:char="0052"/>
            </w:r>
            <w:r>
              <w:rPr>
                <w:rFonts w:hint="default" w:ascii="Times New Roman" w:hAnsi="Times New Roman" w:cs="Times New Roman"/>
                <w:color w:val="auto"/>
                <w:kern w:val="21"/>
                <w:sz w:val="18"/>
                <w:szCs w:val="18"/>
              </w:rPr>
              <w:t>；在建</w:t>
            </w:r>
            <w:r>
              <w:rPr>
                <w:rFonts w:hint="default" w:ascii="Times New Roman" w:hAnsi="Times New Roman" w:cs="Times New Roman"/>
                <w:color w:val="auto"/>
                <w:kern w:val="21"/>
                <w:sz w:val="21"/>
                <w:szCs w:val="21"/>
              </w:rPr>
              <w:sym w:font="Wingdings 2" w:char="0052"/>
            </w:r>
            <w:r>
              <w:rPr>
                <w:rFonts w:hint="default" w:ascii="Times New Roman" w:hAnsi="Times New Roman" w:cs="Times New Roman"/>
                <w:color w:val="auto"/>
                <w:kern w:val="21"/>
                <w:sz w:val="18"/>
                <w:szCs w:val="18"/>
              </w:rPr>
              <w:t>；拟建</w:t>
            </w:r>
            <w:r>
              <w:rPr>
                <w:rFonts w:hint="default" w:ascii="Times New Roman" w:hAnsi="Times New Roman" w:cs="Times New Roman"/>
                <w:color w:val="auto"/>
                <w:kern w:val="21"/>
                <w:sz w:val="21"/>
                <w:szCs w:val="21"/>
              </w:rPr>
              <w:sym w:font="Wingdings 2" w:char="0052"/>
            </w:r>
            <w:r>
              <w:rPr>
                <w:rFonts w:hint="default" w:ascii="Times New Roman" w:hAnsi="Times New Roman" w:cs="Times New Roman"/>
                <w:color w:val="auto"/>
                <w:kern w:val="21"/>
                <w:sz w:val="18"/>
                <w:szCs w:val="18"/>
              </w:rPr>
              <w:t>；其他</w:t>
            </w:r>
            <w:r>
              <w:rPr>
                <w:rFonts w:hint="default" w:ascii="Times New Roman" w:hAnsi="Times New Roman" w:cs="Times New Roman"/>
                <w:color w:val="auto"/>
                <w:kern w:val="21"/>
                <w:sz w:val="21"/>
                <w:szCs w:val="21"/>
              </w:rPr>
              <w:sym w:font="Wingdings 2" w:char="00A3"/>
            </w:r>
          </w:p>
        </w:tc>
        <w:tc>
          <w:tcPr>
            <w:tcW w:w="1843" w:type="dxa"/>
            <w:gridSpan w:val="2"/>
            <w:vAlign w:val="center"/>
          </w:tcPr>
          <w:p>
            <w:pPr>
              <w:widowControl/>
              <w:spacing w:line="240" w:lineRule="auto"/>
              <w:ind w:firstLine="0" w:firstLineChars="0"/>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拟替代的污染源</w:t>
            </w:r>
            <w:r>
              <w:rPr>
                <w:rFonts w:hint="default" w:ascii="Times New Roman" w:hAnsi="Times New Roman" w:cs="Times New Roman"/>
                <w:color w:val="auto"/>
                <w:kern w:val="21"/>
                <w:sz w:val="21"/>
                <w:szCs w:val="21"/>
              </w:rPr>
              <w:sym w:font="Wingdings 2" w:char="00A3"/>
            </w:r>
          </w:p>
        </w:tc>
        <w:tc>
          <w:tcPr>
            <w:tcW w:w="4588" w:type="dxa"/>
            <w:gridSpan w:val="6"/>
            <w:vAlign w:val="center"/>
          </w:tcPr>
          <w:p>
            <w:pPr>
              <w:widowControl/>
              <w:spacing w:line="240" w:lineRule="auto"/>
              <w:ind w:firstLine="0" w:firstLineChars="0"/>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排污许可证</w:t>
            </w:r>
            <w:r>
              <w:rPr>
                <w:rFonts w:hint="default" w:ascii="Times New Roman" w:hAnsi="Times New Roman" w:cs="Times New Roman"/>
                <w:color w:val="auto"/>
                <w:kern w:val="21"/>
                <w:sz w:val="21"/>
                <w:szCs w:val="21"/>
              </w:rPr>
              <w:sym w:font="Wingdings 2" w:char="00A3"/>
            </w:r>
            <w:r>
              <w:rPr>
                <w:rFonts w:hint="default" w:ascii="Times New Roman" w:hAnsi="Times New Roman" w:cs="Times New Roman"/>
                <w:color w:val="auto"/>
                <w:kern w:val="21"/>
                <w:sz w:val="18"/>
                <w:szCs w:val="18"/>
              </w:rPr>
              <w:t>；环评</w:t>
            </w:r>
            <w:r>
              <w:rPr>
                <w:rFonts w:hint="default" w:ascii="Times New Roman" w:hAnsi="Times New Roman" w:cs="Times New Roman"/>
                <w:color w:val="auto"/>
                <w:kern w:val="21"/>
                <w:sz w:val="21"/>
                <w:szCs w:val="21"/>
              </w:rPr>
              <w:sym w:font="Wingdings 2" w:char="0052"/>
            </w:r>
            <w:r>
              <w:rPr>
                <w:rFonts w:hint="default" w:ascii="Times New Roman" w:hAnsi="Times New Roman" w:cs="Times New Roman"/>
                <w:color w:val="auto"/>
                <w:kern w:val="21"/>
                <w:sz w:val="18"/>
                <w:szCs w:val="18"/>
              </w:rPr>
              <w:t>；环保验收</w:t>
            </w:r>
            <w:r>
              <w:rPr>
                <w:rFonts w:hint="default" w:ascii="Times New Roman" w:hAnsi="Times New Roman" w:cs="Times New Roman"/>
                <w:color w:val="auto"/>
                <w:kern w:val="21"/>
                <w:sz w:val="21"/>
                <w:szCs w:val="21"/>
              </w:rPr>
              <w:sym w:font="Wingdings 2" w:char="0052"/>
            </w:r>
            <w:r>
              <w:rPr>
                <w:rFonts w:hint="default" w:ascii="Times New Roman" w:hAnsi="Times New Roman" w:cs="Times New Roman"/>
                <w:color w:val="auto"/>
                <w:kern w:val="21"/>
                <w:sz w:val="18"/>
                <w:szCs w:val="18"/>
              </w:rPr>
              <w:t>；既有实测</w:t>
            </w:r>
            <w:r>
              <w:rPr>
                <w:rFonts w:hint="default" w:ascii="Times New Roman" w:hAnsi="Times New Roman" w:cs="Times New Roman"/>
                <w:color w:val="auto"/>
                <w:kern w:val="21"/>
                <w:sz w:val="21"/>
                <w:szCs w:val="21"/>
              </w:rPr>
              <w:sym w:font="Wingdings 2" w:char="00A3"/>
            </w:r>
            <w:r>
              <w:rPr>
                <w:rFonts w:hint="default" w:ascii="Times New Roman" w:hAnsi="Times New Roman" w:cs="Times New Roman"/>
                <w:color w:val="auto"/>
                <w:kern w:val="21"/>
                <w:sz w:val="18"/>
                <w:szCs w:val="18"/>
              </w:rPr>
              <w:t>；现场监测</w:t>
            </w:r>
            <w:r>
              <w:rPr>
                <w:rFonts w:hint="default" w:ascii="Times New Roman" w:hAnsi="Times New Roman" w:cs="Times New Roman"/>
                <w:color w:val="auto"/>
                <w:kern w:val="21"/>
                <w:sz w:val="21"/>
                <w:szCs w:val="21"/>
              </w:rPr>
              <w:sym w:font="Wingdings 2" w:char="0052"/>
            </w:r>
            <w:r>
              <w:rPr>
                <w:rFonts w:hint="default" w:ascii="Times New Roman" w:hAnsi="Times New Roman" w:cs="Times New Roman"/>
                <w:color w:val="auto"/>
                <w:kern w:val="21"/>
                <w:sz w:val="18"/>
                <w:szCs w:val="18"/>
              </w:rPr>
              <w:t>；入河排放口数据</w:t>
            </w:r>
            <w:r>
              <w:rPr>
                <w:rFonts w:hint="default" w:ascii="Times New Roman" w:hAnsi="Times New Roman" w:cs="Times New Roman"/>
                <w:color w:val="auto"/>
                <w:kern w:val="21"/>
                <w:sz w:val="21"/>
                <w:szCs w:val="21"/>
              </w:rPr>
              <w:sym w:font="Wingdings 2" w:char="00A3"/>
            </w:r>
            <w:r>
              <w:rPr>
                <w:rFonts w:hint="default" w:ascii="Times New Roman" w:hAnsi="Times New Roman" w:cs="Times New Roman"/>
                <w:color w:val="auto"/>
                <w:kern w:val="21"/>
                <w:sz w:val="18"/>
                <w:szCs w:val="18"/>
              </w:rPr>
              <w:t>；其他</w:t>
            </w:r>
            <w:r>
              <w:rPr>
                <w:rFonts w:hint="default" w:ascii="Times New Roman" w:hAnsi="Times New Roman" w:cs="Times New Roman"/>
                <w:color w:val="auto"/>
                <w:kern w:val="21"/>
                <w:sz w:val="21"/>
                <w:szCs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5" w:type="dxa"/>
          <w:trHeight w:val="90" w:hRule="atLeast"/>
          <w:jc w:val="center"/>
        </w:trPr>
        <w:tc>
          <w:tcPr>
            <w:tcW w:w="1055" w:type="dxa"/>
            <w:vMerge w:val="continue"/>
            <w:vAlign w:val="center"/>
          </w:tcPr>
          <w:p>
            <w:pPr>
              <w:spacing w:line="240" w:lineRule="auto"/>
              <w:ind w:firstLine="360"/>
              <w:rPr>
                <w:rFonts w:hint="default" w:ascii="Times New Roman" w:hAnsi="Times New Roman" w:cs="Times New Roman"/>
                <w:color w:val="auto"/>
                <w:kern w:val="21"/>
                <w:sz w:val="18"/>
                <w:szCs w:val="18"/>
              </w:rPr>
            </w:pPr>
          </w:p>
        </w:tc>
        <w:tc>
          <w:tcPr>
            <w:tcW w:w="3084" w:type="dxa"/>
            <w:vMerge w:val="restart"/>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受影响水体水环境质量</w:t>
            </w:r>
          </w:p>
        </w:tc>
        <w:tc>
          <w:tcPr>
            <w:tcW w:w="5926" w:type="dxa"/>
            <w:gridSpan w:val="5"/>
            <w:vAlign w:val="center"/>
          </w:tcPr>
          <w:p>
            <w:pPr>
              <w:widowControl/>
              <w:spacing w:line="240" w:lineRule="auto"/>
              <w:ind w:firstLine="360"/>
              <w:jc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调查时期</w:t>
            </w:r>
          </w:p>
        </w:tc>
        <w:tc>
          <w:tcPr>
            <w:tcW w:w="4588" w:type="dxa"/>
            <w:gridSpan w:val="6"/>
            <w:vAlign w:val="center"/>
          </w:tcPr>
          <w:p>
            <w:pPr>
              <w:widowControl/>
              <w:spacing w:line="240" w:lineRule="auto"/>
              <w:ind w:firstLine="360"/>
              <w:jc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5" w:type="dxa"/>
          <w:trHeight w:val="337" w:hRule="atLeast"/>
          <w:jc w:val="center"/>
        </w:trPr>
        <w:tc>
          <w:tcPr>
            <w:tcW w:w="1055" w:type="dxa"/>
            <w:vMerge w:val="continue"/>
            <w:vAlign w:val="center"/>
          </w:tcPr>
          <w:p>
            <w:pPr>
              <w:spacing w:line="240" w:lineRule="auto"/>
              <w:ind w:firstLine="360"/>
              <w:rPr>
                <w:rFonts w:hint="default" w:ascii="Times New Roman" w:hAnsi="Times New Roman" w:cs="Times New Roman"/>
                <w:color w:val="auto"/>
                <w:kern w:val="21"/>
                <w:sz w:val="18"/>
                <w:szCs w:val="18"/>
              </w:rPr>
            </w:pPr>
          </w:p>
        </w:tc>
        <w:tc>
          <w:tcPr>
            <w:tcW w:w="3084" w:type="dxa"/>
            <w:vMerge w:val="continue"/>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1"/>
                <w:sz w:val="18"/>
                <w:szCs w:val="18"/>
              </w:rPr>
            </w:pPr>
          </w:p>
        </w:tc>
        <w:tc>
          <w:tcPr>
            <w:tcW w:w="5926" w:type="dxa"/>
            <w:gridSpan w:val="5"/>
            <w:vAlign w:val="center"/>
          </w:tcPr>
          <w:p>
            <w:pPr>
              <w:widowControl/>
              <w:spacing w:line="240" w:lineRule="auto"/>
              <w:ind w:firstLine="0" w:firstLineChars="0"/>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丰水期</w:t>
            </w:r>
            <w:r>
              <w:rPr>
                <w:rFonts w:hint="default" w:ascii="Times New Roman" w:hAnsi="Times New Roman" w:cs="Times New Roman"/>
                <w:color w:val="auto"/>
                <w:kern w:val="21"/>
                <w:sz w:val="21"/>
                <w:szCs w:val="21"/>
              </w:rPr>
              <w:sym w:font="Wingdings 2" w:char="00A3"/>
            </w:r>
            <w:r>
              <w:rPr>
                <w:rFonts w:hint="default" w:ascii="Times New Roman" w:hAnsi="Times New Roman" w:cs="Times New Roman"/>
                <w:color w:val="auto"/>
                <w:kern w:val="21"/>
                <w:sz w:val="18"/>
                <w:szCs w:val="18"/>
              </w:rPr>
              <w:t>；平水期</w:t>
            </w:r>
            <w:r>
              <w:rPr>
                <w:rFonts w:hint="default" w:ascii="Times New Roman" w:hAnsi="Times New Roman" w:cs="Times New Roman"/>
                <w:color w:val="auto"/>
                <w:kern w:val="21"/>
                <w:sz w:val="21"/>
                <w:szCs w:val="21"/>
              </w:rPr>
              <w:sym w:font="Wingdings 2" w:char="00A3"/>
            </w:r>
            <w:r>
              <w:rPr>
                <w:rFonts w:hint="default" w:ascii="Times New Roman" w:hAnsi="Times New Roman" w:cs="Times New Roman"/>
                <w:color w:val="auto"/>
                <w:kern w:val="21"/>
                <w:sz w:val="18"/>
                <w:szCs w:val="18"/>
              </w:rPr>
              <w:t>；枯水期</w:t>
            </w:r>
            <w:r>
              <w:rPr>
                <w:rFonts w:hint="default" w:ascii="Times New Roman" w:hAnsi="Times New Roman" w:cs="Times New Roman"/>
                <w:color w:val="auto"/>
                <w:kern w:val="21"/>
                <w:sz w:val="21"/>
                <w:szCs w:val="21"/>
              </w:rPr>
              <w:sym w:font="Wingdings 2" w:char="0052"/>
            </w:r>
            <w:r>
              <w:rPr>
                <w:rFonts w:hint="default" w:ascii="Times New Roman" w:hAnsi="Times New Roman" w:cs="Times New Roman"/>
                <w:color w:val="auto"/>
                <w:kern w:val="21"/>
                <w:sz w:val="18"/>
                <w:szCs w:val="18"/>
              </w:rPr>
              <w:t>；冰封期</w:t>
            </w:r>
            <w:r>
              <w:rPr>
                <w:rFonts w:hint="default" w:ascii="Times New Roman" w:hAnsi="Times New Roman" w:cs="Times New Roman"/>
                <w:color w:val="auto"/>
                <w:kern w:val="21"/>
                <w:sz w:val="21"/>
                <w:szCs w:val="21"/>
              </w:rPr>
              <w:sym w:font="Wingdings 2" w:char="00A3"/>
            </w:r>
          </w:p>
          <w:p>
            <w:pPr>
              <w:spacing w:line="240" w:lineRule="auto"/>
              <w:ind w:left="0" w:leftChars="0" w:firstLine="0" w:firstLineChars="0"/>
              <w:jc w:val="left"/>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春季</w:t>
            </w:r>
            <w:r>
              <w:rPr>
                <w:rFonts w:hint="default" w:ascii="Times New Roman" w:hAnsi="Times New Roman" w:cs="Times New Roman"/>
                <w:color w:val="auto"/>
                <w:kern w:val="21"/>
                <w:sz w:val="21"/>
                <w:szCs w:val="21"/>
              </w:rPr>
              <w:sym w:font="Wingdings 2" w:char="00A3"/>
            </w:r>
            <w:r>
              <w:rPr>
                <w:rFonts w:hint="default" w:ascii="Times New Roman" w:hAnsi="Times New Roman" w:cs="Times New Roman"/>
                <w:color w:val="auto"/>
                <w:kern w:val="21"/>
                <w:sz w:val="18"/>
                <w:szCs w:val="18"/>
              </w:rPr>
              <w:t>；夏季</w:t>
            </w:r>
            <w:r>
              <w:rPr>
                <w:rFonts w:hint="default" w:ascii="Times New Roman" w:hAnsi="Times New Roman" w:cs="Times New Roman"/>
                <w:color w:val="auto"/>
                <w:kern w:val="21"/>
                <w:sz w:val="21"/>
                <w:szCs w:val="21"/>
              </w:rPr>
              <w:sym w:font="Wingdings 2" w:char="00A3"/>
            </w:r>
            <w:r>
              <w:rPr>
                <w:rFonts w:hint="default" w:ascii="Times New Roman" w:hAnsi="Times New Roman" w:cs="Times New Roman"/>
                <w:color w:val="auto"/>
                <w:kern w:val="21"/>
                <w:sz w:val="18"/>
                <w:szCs w:val="18"/>
              </w:rPr>
              <w:t>；秋季</w:t>
            </w:r>
            <w:r>
              <w:rPr>
                <w:rFonts w:hint="default" w:ascii="Times New Roman" w:hAnsi="Times New Roman" w:cs="Times New Roman"/>
                <w:color w:val="auto"/>
                <w:kern w:val="21"/>
                <w:sz w:val="21"/>
                <w:szCs w:val="21"/>
              </w:rPr>
              <w:sym w:font="Wingdings 2" w:char="00A3"/>
            </w:r>
            <w:r>
              <w:rPr>
                <w:rFonts w:hint="default" w:ascii="Times New Roman" w:hAnsi="Times New Roman" w:cs="Times New Roman"/>
                <w:color w:val="auto"/>
                <w:kern w:val="21"/>
                <w:sz w:val="18"/>
                <w:szCs w:val="18"/>
              </w:rPr>
              <w:t>；冬季</w:t>
            </w:r>
            <w:r>
              <w:rPr>
                <w:rFonts w:hint="default" w:ascii="Times New Roman" w:hAnsi="Times New Roman" w:cs="Times New Roman"/>
                <w:color w:val="auto"/>
                <w:kern w:val="21"/>
                <w:sz w:val="21"/>
                <w:szCs w:val="21"/>
              </w:rPr>
              <w:sym w:font="Wingdings 2" w:char="00A3"/>
            </w:r>
          </w:p>
        </w:tc>
        <w:tc>
          <w:tcPr>
            <w:tcW w:w="4588" w:type="dxa"/>
            <w:gridSpan w:val="6"/>
            <w:vAlign w:val="center"/>
          </w:tcPr>
          <w:p>
            <w:pPr>
              <w:widowControl/>
              <w:spacing w:line="240" w:lineRule="auto"/>
              <w:ind w:firstLine="0" w:firstLineChars="0"/>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生态环境保护主管部门</w:t>
            </w:r>
            <w:r>
              <w:rPr>
                <w:rFonts w:hint="default" w:ascii="Times New Roman" w:hAnsi="Times New Roman" w:cs="Times New Roman"/>
                <w:color w:val="auto"/>
                <w:kern w:val="21"/>
                <w:sz w:val="21"/>
                <w:szCs w:val="21"/>
              </w:rPr>
              <w:sym w:font="Wingdings 2" w:char="0052"/>
            </w:r>
            <w:r>
              <w:rPr>
                <w:rFonts w:hint="default" w:ascii="Times New Roman" w:hAnsi="Times New Roman" w:cs="Times New Roman"/>
                <w:color w:val="auto"/>
                <w:kern w:val="21"/>
                <w:sz w:val="18"/>
                <w:szCs w:val="18"/>
              </w:rPr>
              <w:t>；补充监测</w:t>
            </w:r>
            <w:r>
              <w:rPr>
                <w:rFonts w:hint="default" w:ascii="Times New Roman" w:hAnsi="Times New Roman" w:cs="Times New Roman"/>
                <w:color w:val="auto"/>
                <w:kern w:val="21"/>
                <w:sz w:val="21"/>
                <w:szCs w:val="21"/>
              </w:rPr>
              <w:sym w:font="Wingdings 2" w:char="0052"/>
            </w:r>
            <w:r>
              <w:rPr>
                <w:rFonts w:hint="default" w:ascii="Times New Roman" w:hAnsi="Times New Roman" w:cs="Times New Roman"/>
                <w:color w:val="auto"/>
                <w:kern w:val="21"/>
                <w:sz w:val="18"/>
                <w:szCs w:val="18"/>
              </w:rPr>
              <w:t>；其他</w:t>
            </w:r>
            <w:r>
              <w:rPr>
                <w:rFonts w:hint="default" w:ascii="Times New Roman" w:hAnsi="Times New Roman" w:cs="Times New Roman"/>
                <w:color w:val="auto"/>
                <w:kern w:val="21"/>
                <w:sz w:val="21"/>
                <w:szCs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5" w:type="dxa"/>
          <w:trHeight w:val="90" w:hRule="atLeast"/>
          <w:jc w:val="center"/>
        </w:trPr>
        <w:tc>
          <w:tcPr>
            <w:tcW w:w="1055" w:type="dxa"/>
            <w:vMerge w:val="continue"/>
            <w:vAlign w:val="center"/>
          </w:tcPr>
          <w:p>
            <w:pPr>
              <w:spacing w:line="240" w:lineRule="auto"/>
              <w:ind w:firstLine="360"/>
              <w:rPr>
                <w:rFonts w:hint="default" w:ascii="Times New Roman" w:hAnsi="Times New Roman" w:cs="Times New Roman"/>
                <w:color w:val="auto"/>
                <w:kern w:val="21"/>
                <w:sz w:val="18"/>
                <w:szCs w:val="18"/>
              </w:rPr>
            </w:pPr>
          </w:p>
        </w:tc>
        <w:tc>
          <w:tcPr>
            <w:tcW w:w="3084"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区域水资源开发利用状况</w:t>
            </w:r>
          </w:p>
        </w:tc>
        <w:tc>
          <w:tcPr>
            <w:tcW w:w="10514" w:type="dxa"/>
            <w:gridSpan w:val="11"/>
            <w:vAlign w:val="center"/>
          </w:tcPr>
          <w:p>
            <w:pPr>
              <w:widowControl/>
              <w:spacing w:line="240" w:lineRule="auto"/>
              <w:ind w:firstLine="360"/>
              <w:jc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未开发</w:t>
            </w:r>
            <w:r>
              <w:rPr>
                <w:rFonts w:hint="default" w:ascii="Times New Roman" w:hAnsi="Times New Roman" w:cs="Times New Roman"/>
                <w:color w:val="auto"/>
                <w:kern w:val="21"/>
                <w:sz w:val="21"/>
                <w:szCs w:val="21"/>
              </w:rPr>
              <w:sym w:font="Wingdings 2" w:char="00A3"/>
            </w:r>
            <w:r>
              <w:rPr>
                <w:rFonts w:hint="default" w:ascii="Times New Roman" w:hAnsi="Times New Roman" w:cs="Times New Roman"/>
                <w:color w:val="auto"/>
                <w:kern w:val="21"/>
                <w:sz w:val="18"/>
                <w:szCs w:val="18"/>
              </w:rPr>
              <w:t>；开发量40%以下</w:t>
            </w:r>
            <w:r>
              <w:rPr>
                <w:rFonts w:hint="default" w:ascii="Times New Roman" w:hAnsi="Times New Roman" w:cs="Times New Roman"/>
                <w:color w:val="auto"/>
                <w:kern w:val="21"/>
                <w:sz w:val="21"/>
                <w:szCs w:val="21"/>
              </w:rPr>
              <w:sym w:font="Wingdings 2" w:char="00A3"/>
            </w:r>
            <w:r>
              <w:rPr>
                <w:rFonts w:hint="default" w:ascii="Times New Roman" w:hAnsi="Times New Roman" w:cs="Times New Roman"/>
                <w:color w:val="auto"/>
                <w:kern w:val="21"/>
                <w:sz w:val="18"/>
                <w:szCs w:val="18"/>
              </w:rPr>
              <w:t>；开发量40%以上</w:t>
            </w:r>
            <w:r>
              <w:rPr>
                <w:rFonts w:hint="default" w:ascii="Times New Roman" w:hAnsi="Times New Roman" w:cs="Times New Roman"/>
                <w:color w:val="auto"/>
                <w:kern w:val="21"/>
                <w:sz w:val="21"/>
                <w:szCs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5" w:type="dxa"/>
          <w:trHeight w:val="634" w:hRule="atLeast"/>
          <w:jc w:val="center"/>
        </w:trPr>
        <w:tc>
          <w:tcPr>
            <w:tcW w:w="1055" w:type="dxa"/>
            <w:vMerge w:val="continue"/>
            <w:vAlign w:val="center"/>
          </w:tcPr>
          <w:p>
            <w:pPr>
              <w:spacing w:line="240" w:lineRule="auto"/>
              <w:ind w:firstLine="360"/>
              <w:rPr>
                <w:rFonts w:hint="default" w:ascii="Times New Roman" w:hAnsi="Times New Roman" w:cs="Times New Roman"/>
                <w:color w:val="auto"/>
                <w:kern w:val="21"/>
                <w:sz w:val="18"/>
                <w:szCs w:val="18"/>
              </w:rPr>
            </w:pPr>
          </w:p>
        </w:tc>
        <w:tc>
          <w:tcPr>
            <w:tcW w:w="3084"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水文情势调查</w:t>
            </w:r>
          </w:p>
        </w:tc>
        <w:tc>
          <w:tcPr>
            <w:tcW w:w="5926" w:type="dxa"/>
            <w:gridSpan w:val="5"/>
            <w:vAlign w:val="center"/>
          </w:tcPr>
          <w:p>
            <w:pPr>
              <w:widowControl/>
              <w:spacing w:line="240" w:lineRule="auto"/>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丰水期</w:t>
            </w:r>
            <w:r>
              <w:rPr>
                <w:rFonts w:hint="default" w:ascii="Times New Roman" w:hAnsi="Times New Roman" w:cs="Times New Roman"/>
                <w:color w:val="auto"/>
                <w:kern w:val="21"/>
                <w:sz w:val="21"/>
                <w:szCs w:val="21"/>
              </w:rPr>
              <w:sym w:font="Wingdings 2" w:char="00A3"/>
            </w:r>
            <w:r>
              <w:rPr>
                <w:rFonts w:hint="default" w:ascii="Times New Roman" w:hAnsi="Times New Roman" w:cs="Times New Roman"/>
                <w:color w:val="auto"/>
                <w:kern w:val="21"/>
                <w:sz w:val="18"/>
                <w:szCs w:val="18"/>
              </w:rPr>
              <w:t>；平水期</w:t>
            </w:r>
            <w:r>
              <w:rPr>
                <w:rFonts w:hint="default" w:ascii="Times New Roman" w:hAnsi="Times New Roman" w:cs="Times New Roman"/>
                <w:color w:val="auto"/>
                <w:kern w:val="21"/>
                <w:sz w:val="21"/>
                <w:szCs w:val="21"/>
              </w:rPr>
              <w:sym w:font="Wingdings 2" w:char="00A3"/>
            </w:r>
            <w:r>
              <w:rPr>
                <w:rFonts w:hint="default" w:ascii="Times New Roman" w:hAnsi="Times New Roman" w:cs="Times New Roman"/>
                <w:color w:val="auto"/>
                <w:kern w:val="21"/>
                <w:sz w:val="18"/>
                <w:szCs w:val="18"/>
              </w:rPr>
              <w:t>；枯水期</w:t>
            </w:r>
            <w:r>
              <w:rPr>
                <w:rFonts w:hint="default" w:ascii="Times New Roman" w:hAnsi="Times New Roman" w:cs="Times New Roman"/>
                <w:color w:val="auto"/>
                <w:kern w:val="21"/>
                <w:sz w:val="21"/>
                <w:szCs w:val="21"/>
              </w:rPr>
              <w:sym w:font="Wingdings 2" w:char="00A3"/>
            </w:r>
            <w:r>
              <w:rPr>
                <w:rFonts w:hint="default" w:ascii="Times New Roman" w:hAnsi="Times New Roman" w:cs="Times New Roman"/>
                <w:color w:val="auto"/>
                <w:kern w:val="21"/>
                <w:sz w:val="18"/>
                <w:szCs w:val="18"/>
              </w:rPr>
              <w:t>；冰封期</w:t>
            </w:r>
            <w:r>
              <w:rPr>
                <w:rFonts w:hint="default" w:ascii="Times New Roman" w:hAnsi="Times New Roman" w:cs="Times New Roman"/>
                <w:color w:val="auto"/>
                <w:kern w:val="21"/>
                <w:sz w:val="21"/>
                <w:szCs w:val="21"/>
              </w:rPr>
              <w:sym w:font="Wingdings 2" w:char="00A3"/>
            </w:r>
          </w:p>
          <w:p>
            <w:pPr>
              <w:spacing w:line="240" w:lineRule="auto"/>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春季</w:t>
            </w:r>
            <w:r>
              <w:rPr>
                <w:rFonts w:hint="default" w:ascii="Times New Roman" w:hAnsi="Times New Roman" w:cs="Times New Roman"/>
                <w:color w:val="auto"/>
                <w:kern w:val="21"/>
                <w:sz w:val="21"/>
                <w:szCs w:val="21"/>
              </w:rPr>
              <w:sym w:font="Wingdings 2" w:char="00A3"/>
            </w:r>
            <w:r>
              <w:rPr>
                <w:rFonts w:hint="default" w:ascii="Times New Roman" w:hAnsi="Times New Roman" w:cs="Times New Roman"/>
                <w:color w:val="auto"/>
                <w:kern w:val="21"/>
                <w:sz w:val="18"/>
                <w:szCs w:val="18"/>
              </w:rPr>
              <w:t>；夏季</w:t>
            </w:r>
            <w:r>
              <w:rPr>
                <w:rFonts w:hint="default" w:ascii="Times New Roman" w:hAnsi="Times New Roman" w:cs="Times New Roman"/>
                <w:color w:val="auto"/>
                <w:kern w:val="21"/>
                <w:sz w:val="21"/>
                <w:szCs w:val="21"/>
              </w:rPr>
              <w:sym w:font="Wingdings 2" w:char="00A3"/>
            </w:r>
            <w:r>
              <w:rPr>
                <w:rFonts w:hint="default" w:ascii="Times New Roman" w:hAnsi="Times New Roman" w:cs="Times New Roman"/>
                <w:color w:val="auto"/>
                <w:kern w:val="21"/>
                <w:sz w:val="18"/>
                <w:szCs w:val="18"/>
              </w:rPr>
              <w:t>；秋季</w:t>
            </w:r>
            <w:r>
              <w:rPr>
                <w:rFonts w:hint="default" w:ascii="Times New Roman" w:hAnsi="Times New Roman" w:cs="Times New Roman"/>
                <w:color w:val="auto"/>
                <w:kern w:val="21"/>
                <w:sz w:val="21"/>
                <w:szCs w:val="21"/>
              </w:rPr>
              <w:sym w:font="Wingdings 2" w:char="00A3"/>
            </w:r>
            <w:r>
              <w:rPr>
                <w:rFonts w:hint="default" w:ascii="Times New Roman" w:hAnsi="Times New Roman" w:cs="Times New Roman"/>
                <w:color w:val="auto"/>
                <w:kern w:val="21"/>
                <w:sz w:val="18"/>
                <w:szCs w:val="18"/>
              </w:rPr>
              <w:t>；冬季</w:t>
            </w:r>
            <w:r>
              <w:rPr>
                <w:rFonts w:hint="default" w:ascii="Times New Roman" w:hAnsi="Times New Roman" w:cs="Times New Roman"/>
                <w:color w:val="auto"/>
                <w:kern w:val="21"/>
                <w:sz w:val="21"/>
                <w:szCs w:val="21"/>
              </w:rPr>
              <w:sym w:font="Wingdings 2" w:char="00A3"/>
            </w:r>
          </w:p>
        </w:tc>
        <w:tc>
          <w:tcPr>
            <w:tcW w:w="4588" w:type="dxa"/>
            <w:gridSpan w:val="6"/>
            <w:vAlign w:val="center"/>
          </w:tcPr>
          <w:p>
            <w:pPr>
              <w:spacing w:line="240" w:lineRule="auto"/>
              <w:ind w:firstLine="360"/>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水行政主管部门</w:t>
            </w:r>
            <w:r>
              <w:rPr>
                <w:rFonts w:hint="default" w:ascii="Times New Roman" w:hAnsi="Times New Roman" w:cs="Times New Roman"/>
                <w:color w:val="auto"/>
                <w:kern w:val="21"/>
                <w:sz w:val="21"/>
                <w:szCs w:val="21"/>
              </w:rPr>
              <w:sym w:font="Wingdings 2" w:char="00A3"/>
            </w:r>
            <w:r>
              <w:rPr>
                <w:rFonts w:hint="default" w:ascii="Times New Roman" w:hAnsi="Times New Roman" w:cs="Times New Roman"/>
                <w:color w:val="auto"/>
                <w:kern w:val="21"/>
                <w:sz w:val="18"/>
                <w:szCs w:val="18"/>
              </w:rPr>
              <w:t>；补充监测</w:t>
            </w:r>
            <w:r>
              <w:rPr>
                <w:rFonts w:hint="default" w:ascii="Times New Roman" w:hAnsi="Times New Roman" w:cs="Times New Roman"/>
                <w:color w:val="auto"/>
                <w:kern w:val="21"/>
                <w:sz w:val="21"/>
                <w:szCs w:val="21"/>
              </w:rPr>
              <w:sym w:font="Wingdings 2" w:char="00A3"/>
            </w:r>
            <w:r>
              <w:rPr>
                <w:rFonts w:hint="default" w:ascii="Times New Roman" w:hAnsi="Times New Roman" w:cs="Times New Roman"/>
                <w:color w:val="auto"/>
                <w:kern w:val="21"/>
                <w:sz w:val="18"/>
                <w:szCs w:val="18"/>
              </w:rPr>
              <w:t>；其他</w:t>
            </w:r>
            <w:r>
              <w:rPr>
                <w:rFonts w:hint="default" w:ascii="Times New Roman" w:hAnsi="Times New Roman" w:cs="Times New Roman"/>
                <w:color w:val="auto"/>
                <w:kern w:val="21"/>
                <w:sz w:val="21"/>
                <w:szCs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5" w:type="dxa"/>
          <w:trHeight w:val="117" w:hRule="atLeast"/>
          <w:jc w:val="center"/>
        </w:trPr>
        <w:tc>
          <w:tcPr>
            <w:tcW w:w="1055" w:type="dxa"/>
            <w:vMerge w:val="continue"/>
            <w:vAlign w:val="center"/>
          </w:tcPr>
          <w:p>
            <w:pPr>
              <w:widowControl/>
              <w:spacing w:line="240" w:lineRule="auto"/>
              <w:ind w:firstLine="360"/>
              <w:rPr>
                <w:rFonts w:hint="default" w:ascii="Times New Roman" w:hAnsi="Times New Roman" w:cs="Times New Roman"/>
                <w:color w:val="auto"/>
                <w:kern w:val="21"/>
                <w:sz w:val="18"/>
                <w:szCs w:val="18"/>
              </w:rPr>
            </w:pPr>
          </w:p>
        </w:tc>
        <w:tc>
          <w:tcPr>
            <w:tcW w:w="3084" w:type="dxa"/>
            <w:vMerge w:val="restart"/>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补充监测</w:t>
            </w:r>
          </w:p>
        </w:tc>
        <w:tc>
          <w:tcPr>
            <w:tcW w:w="5926" w:type="dxa"/>
            <w:gridSpan w:val="5"/>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监测时期</w:t>
            </w:r>
          </w:p>
        </w:tc>
        <w:tc>
          <w:tcPr>
            <w:tcW w:w="2858" w:type="dxa"/>
            <w:gridSpan w:val="5"/>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监测因子</w:t>
            </w:r>
          </w:p>
        </w:tc>
        <w:tc>
          <w:tcPr>
            <w:tcW w:w="1730" w:type="dxa"/>
            <w:vAlign w:val="center"/>
          </w:tcPr>
          <w:p>
            <w:pPr>
              <w:widowControl/>
              <w:spacing w:line="240" w:lineRule="auto"/>
              <w:ind w:firstLine="180" w:firstLineChars="100"/>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监测断面或点位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5" w:type="dxa"/>
          <w:trHeight w:val="54" w:hRule="atLeast"/>
          <w:jc w:val="center"/>
        </w:trPr>
        <w:tc>
          <w:tcPr>
            <w:tcW w:w="1055" w:type="dxa"/>
            <w:vMerge w:val="continue"/>
            <w:vAlign w:val="center"/>
          </w:tcPr>
          <w:p>
            <w:pPr>
              <w:widowControl/>
              <w:spacing w:line="240" w:lineRule="auto"/>
              <w:ind w:firstLine="360"/>
              <w:rPr>
                <w:rFonts w:hint="default" w:ascii="Times New Roman" w:hAnsi="Times New Roman" w:cs="Times New Roman"/>
                <w:color w:val="auto"/>
                <w:kern w:val="21"/>
                <w:sz w:val="18"/>
                <w:szCs w:val="18"/>
              </w:rPr>
            </w:pPr>
          </w:p>
        </w:tc>
        <w:tc>
          <w:tcPr>
            <w:tcW w:w="3084" w:type="dxa"/>
            <w:vMerge w:val="continue"/>
            <w:vAlign w:val="center"/>
          </w:tcPr>
          <w:p>
            <w:pPr>
              <w:spacing w:line="240" w:lineRule="auto"/>
              <w:ind w:firstLine="360"/>
              <w:rPr>
                <w:rFonts w:hint="default" w:ascii="Times New Roman" w:hAnsi="Times New Roman" w:cs="Times New Roman"/>
                <w:color w:val="auto"/>
                <w:kern w:val="21"/>
                <w:sz w:val="18"/>
                <w:szCs w:val="18"/>
              </w:rPr>
            </w:pPr>
          </w:p>
        </w:tc>
        <w:tc>
          <w:tcPr>
            <w:tcW w:w="5926" w:type="dxa"/>
            <w:gridSpan w:val="5"/>
            <w:vAlign w:val="center"/>
          </w:tcPr>
          <w:p>
            <w:pPr>
              <w:widowControl/>
              <w:spacing w:line="240" w:lineRule="auto"/>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丰水期</w:t>
            </w:r>
            <w:r>
              <w:rPr>
                <w:rFonts w:hint="default" w:ascii="Times New Roman" w:hAnsi="Times New Roman" w:cs="Times New Roman"/>
                <w:color w:val="auto"/>
                <w:kern w:val="21"/>
                <w:sz w:val="21"/>
                <w:szCs w:val="21"/>
              </w:rPr>
              <w:sym w:font="Wingdings 2" w:char="00A3"/>
            </w:r>
            <w:r>
              <w:rPr>
                <w:rFonts w:hint="default" w:ascii="Times New Roman" w:hAnsi="Times New Roman" w:cs="Times New Roman"/>
                <w:color w:val="auto"/>
                <w:kern w:val="21"/>
                <w:sz w:val="18"/>
                <w:szCs w:val="18"/>
              </w:rPr>
              <w:t>；平水期</w:t>
            </w:r>
            <w:r>
              <w:rPr>
                <w:rFonts w:hint="default" w:ascii="Times New Roman" w:hAnsi="Times New Roman" w:cs="Times New Roman"/>
                <w:color w:val="auto"/>
                <w:kern w:val="21"/>
                <w:sz w:val="21"/>
                <w:szCs w:val="21"/>
              </w:rPr>
              <w:sym w:font="Wingdings 2" w:char="00A3"/>
            </w:r>
            <w:r>
              <w:rPr>
                <w:rFonts w:hint="default" w:ascii="Times New Roman" w:hAnsi="Times New Roman" w:cs="Times New Roman"/>
                <w:color w:val="auto"/>
                <w:kern w:val="21"/>
                <w:sz w:val="18"/>
                <w:szCs w:val="18"/>
              </w:rPr>
              <w:t>；枯水期</w:t>
            </w:r>
            <w:r>
              <w:rPr>
                <w:rFonts w:hint="default" w:ascii="Times New Roman" w:hAnsi="Times New Roman" w:cs="Times New Roman"/>
                <w:color w:val="auto"/>
                <w:kern w:val="21"/>
                <w:sz w:val="21"/>
                <w:szCs w:val="21"/>
              </w:rPr>
              <w:sym w:font="Wingdings 2" w:char="0052"/>
            </w:r>
            <w:r>
              <w:rPr>
                <w:rFonts w:hint="default" w:ascii="Times New Roman" w:hAnsi="Times New Roman" w:cs="Times New Roman"/>
                <w:color w:val="auto"/>
                <w:kern w:val="21"/>
                <w:sz w:val="18"/>
                <w:szCs w:val="18"/>
              </w:rPr>
              <w:t>；冰封期</w:t>
            </w:r>
            <w:r>
              <w:rPr>
                <w:rFonts w:hint="default" w:ascii="Times New Roman" w:hAnsi="Times New Roman" w:cs="Times New Roman"/>
                <w:color w:val="auto"/>
                <w:kern w:val="21"/>
                <w:sz w:val="21"/>
                <w:szCs w:val="21"/>
              </w:rPr>
              <w:sym w:font="Wingdings 2" w:char="00A3"/>
            </w:r>
          </w:p>
          <w:p>
            <w:pPr>
              <w:spacing w:line="240" w:lineRule="auto"/>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春季</w:t>
            </w:r>
            <w:r>
              <w:rPr>
                <w:rFonts w:hint="default" w:ascii="Times New Roman" w:hAnsi="Times New Roman" w:cs="Times New Roman"/>
                <w:color w:val="auto"/>
                <w:kern w:val="21"/>
                <w:sz w:val="21"/>
                <w:szCs w:val="21"/>
              </w:rPr>
              <w:sym w:font="Wingdings 2" w:char="00A3"/>
            </w:r>
            <w:r>
              <w:rPr>
                <w:rFonts w:hint="default" w:ascii="Times New Roman" w:hAnsi="Times New Roman" w:cs="Times New Roman"/>
                <w:color w:val="auto"/>
                <w:kern w:val="21"/>
                <w:sz w:val="18"/>
                <w:szCs w:val="18"/>
              </w:rPr>
              <w:t>；夏季</w:t>
            </w:r>
            <w:r>
              <w:rPr>
                <w:rFonts w:hint="default" w:ascii="Times New Roman" w:hAnsi="Times New Roman" w:cs="Times New Roman"/>
                <w:color w:val="auto"/>
                <w:kern w:val="21"/>
                <w:sz w:val="21"/>
                <w:szCs w:val="21"/>
              </w:rPr>
              <w:sym w:font="Wingdings 2" w:char="00A3"/>
            </w:r>
            <w:r>
              <w:rPr>
                <w:rFonts w:hint="default" w:ascii="Times New Roman" w:hAnsi="Times New Roman" w:cs="Times New Roman"/>
                <w:color w:val="auto"/>
                <w:kern w:val="21"/>
                <w:sz w:val="18"/>
                <w:szCs w:val="18"/>
              </w:rPr>
              <w:t>；秋季</w:t>
            </w:r>
            <w:r>
              <w:rPr>
                <w:rFonts w:hint="default" w:ascii="Times New Roman" w:hAnsi="Times New Roman" w:cs="Times New Roman"/>
                <w:color w:val="auto"/>
                <w:kern w:val="21"/>
                <w:sz w:val="21"/>
                <w:szCs w:val="21"/>
              </w:rPr>
              <w:sym w:font="Wingdings 2" w:char="00A3"/>
            </w:r>
            <w:r>
              <w:rPr>
                <w:rFonts w:hint="default" w:ascii="Times New Roman" w:hAnsi="Times New Roman" w:cs="Times New Roman"/>
                <w:color w:val="auto"/>
                <w:kern w:val="21"/>
                <w:sz w:val="18"/>
                <w:szCs w:val="18"/>
              </w:rPr>
              <w:t>；冬季</w:t>
            </w:r>
            <w:r>
              <w:rPr>
                <w:rFonts w:hint="default" w:ascii="Times New Roman" w:hAnsi="Times New Roman" w:cs="Times New Roman"/>
                <w:color w:val="auto"/>
                <w:kern w:val="21"/>
                <w:sz w:val="21"/>
                <w:szCs w:val="21"/>
              </w:rPr>
              <w:sym w:font="Wingdings 2" w:char="00A3"/>
            </w:r>
          </w:p>
        </w:tc>
        <w:tc>
          <w:tcPr>
            <w:tcW w:w="2858" w:type="dxa"/>
            <w:gridSpan w:val="5"/>
            <w:vAlign w:val="center"/>
          </w:tcPr>
          <w:p>
            <w:pPr>
              <w:spacing w:line="240" w:lineRule="auto"/>
              <w:ind w:firstLine="0" w:firstLineChars="0"/>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pH、BOD</w:t>
            </w:r>
            <w:r>
              <w:rPr>
                <w:rFonts w:hint="default" w:ascii="Times New Roman" w:hAnsi="Times New Roman" w:cs="Times New Roman"/>
                <w:color w:val="auto"/>
                <w:kern w:val="21"/>
                <w:sz w:val="18"/>
                <w:szCs w:val="18"/>
                <w:vertAlign w:val="subscript"/>
              </w:rPr>
              <w:t>5</w:t>
            </w:r>
            <w:r>
              <w:rPr>
                <w:rFonts w:hint="default" w:ascii="Times New Roman" w:hAnsi="Times New Roman" w:cs="Times New Roman"/>
                <w:color w:val="auto"/>
                <w:kern w:val="21"/>
                <w:sz w:val="18"/>
                <w:szCs w:val="18"/>
              </w:rPr>
              <w:t>、化学需氧量、悬浮物、石油类、阴离子表面活性剂、氨氮、总氮、总磷、色度、粪大肠菌群、氟化物、硫化物、总汞、总镉、总铬、六价铬、总砷、总铅</w:t>
            </w:r>
          </w:p>
        </w:tc>
        <w:tc>
          <w:tcPr>
            <w:tcW w:w="1730" w:type="dxa"/>
            <w:vAlign w:val="center"/>
          </w:tcPr>
          <w:p>
            <w:pPr>
              <w:widowControl/>
              <w:spacing w:line="240" w:lineRule="auto"/>
              <w:ind w:firstLine="0" w:firstLineChars="0"/>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监测测断面或点位个数（3）个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5" w:type="dxa"/>
          <w:trHeight w:val="90" w:hRule="atLeast"/>
          <w:jc w:val="center"/>
        </w:trPr>
        <w:tc>
          <w:tcPr>
            <w:tcW w:w="1055" w:type="dxa"/>
            <w:vMerge w:val="restart"/>
            <w:vAlign w:val="center"/>
          </w:tcPr>
          <w:p>
            <w:pPr>
              <w:spacing w:line="240" w:lineRule="auto"/>
              <w:ind w:firstLine="0" w:firstLineChars="0"/>
              <w:jc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现状评价</w:t>
            </w:r>
          </w:p>
        </w:tc>
        <w:tc>
          <w:tcPr>
            <w:tcW w:w="3084" w:type="dxa"/>
            <w:vAlign w:val="center"/>
          </w:tcPr>
          <w:p>
            <w:pPr>
              <w:widowControl/>
              <w:spacing w:line="240" w:lineRule="auto"/>
              <w:ind w:firstLine="0" w:firstLineChars="0"/>
              <w:jc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评价范围</w:t>
            </w:r>
          </w:p>
        </w:tc>
        <w:tc>
          <w:tcPr>
            <w:tcW w:w="10514" w:type="dxa"/>
            <w:gridSpan w:val="11"/>
            <w:vAlign w:val="center"/>
          </w:tcPr>
          <w:p>
            <w:pPr>
              <w:widowControl/>
              <w:spacing w:line="240" w:lineRule="auto"/>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河流：长度（</w:t>
            </w:r>
            <w:r>
              <w:rPr>
                <w:rFonts w:hint="default" w:ascii="Times New Roman" w:hAnsi="Times New Roman" w:cs="Times New Roman"/>
                <w:color w:val="auto"/>
                <w:kern w:val="21"/>
                <w:sz w:val="18"/>
                <w:szCs w:val="18"/>
                <w:lang w:val="en-US" w:eastAsia="zh-CN"/>
              </w:rPr>
              <w:t xml:space="preserve"> </w:t>
            </w:r>
            <w:r>
              <w:rPr>
                <w:rFonts w:hint="default" w:ascii="Times New Roman" w:hAnsi="Times New Roman" w:cs="Times New Roman"/>
                <w:color w:val="auto"/>
                <w:kern w:val="21"/>
                <w:sz w:val="18"/>
                <w:szCs w:val="18"/>
              </w:rPr>
              <w:t>）km；湖库、河口及近岸海域：面积（</w:t>
            </w:r>
            <w:r>
              <w:rPr>
                <w:rFonts w:hint="default" w:ascii="Times New Roman" w:hAnsi="Times New Roman" w:cs="Times New Roman"/>
                <w:color w:val="auto"/>
                <w:kern w:val="21"/>
                <w:sz w:val="18"/>
                <w:szCs w:val="18"/>
                <w:lang w:val="en-US" w:eastAsia="zh-CN"/>
              </w:rPr>
              <w:t xml:space="preserve"> </w:t>
            </w:r>
            <w:r>
              <w:rPr>
                <w:rFonts w:hint="default" w:ascii="Times New Roman" w:hAnsi="Times New Roman" w:cs="Times New Roman"/>
                <w:color w:val="auto"/>
                <w:kern w:val="21"/>
                <w:sz w:val="18"/>
                <w:szCs w:val="18"/>
              </w:rPr>
              <w:t>）km²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5" w:type="dxa"/>
          <w:trHeight w:val="10" w:hRule="atLeast"/>
          <w:jc w:val="center"/>
        </w:trPr>
        <w:tc>
          <w:tcPr>
            <w:tcW w:w="1055" w:type="dxa"/>
            <w:vMerge w:val="continue"/>
            <w:vAlign w:val="center"/>
          </w:tcPr>
          <w:p>
            <w:pPr>
              <w:spacing w:line="240" w:lineRule="auto"/>
              <w:ind w:firstLine="360"/>
              <w:jc w:val="center"/>
              <w:rPr>
                <w:rFonts w:hint="default" w:ascii="Times New Roman" w:hAnsi="Times New Roman" w:cs="Times New Roman"/>
                <w:color w:val="auto"/>
                <w:kern w:val="21"/>
                <w:sz w:val="18"/>
                <w:szCs w:val="18"/>
              </w:rPr>
            </w:pPr>
          </w:p>
        </w:tc>
        <w:tc>
          <w:tcPr>
            <w:tcW w:w="3084"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评价因子</w:t>
            </w:r>
          </w:p>
        </w:tc>
        <w:tc>
          <w:tcPr>
            <w:tcW w:w="10514" w:type="dxa"/>
            <w:gridSpan w:val="11"/>
            <w:vAlign w:val="center"/>
          </w:tcPr>
          <w:p>
            <w:pPr>
              <w:widowControl/>
              <w:spacing w:line="240" w:lineRule="auto"/>
              <w:rPr>
                <w:rFonts w:hint="default" w:ascii="Times New Roman" w:hAnsi="Times New Roman" w:eastAsia="宋体" w:cs="Times New Roman"/>
                <w:color w:val="auto"/>
                <w:kern w:val="21"/>
                <w:sz w:val="18"/>
                <w:szCs w:val="18"/>
                <w:lang w:eastAsia="zh-CN"/>
              </w:rPr>
            </w:pPr>
            <w:r>
              <w:rPr>
                <w:rFonts w:hint="default" w:ascii="Times New Roman" w:hAnsi="Times New Roman" w:cs="Times New Roman"/>
                <w:color w:val="auto"/>
                <w:kern w:val="21"/>
                <w:sz w:val="18"/>
                <w:szCs w:val="18"/>
              </w:rPr>
              <w:t>pH、BOD</w:t>
            </w:r>
            <w:r>
              <w:rPr>
                <w:rFonts w:hint="default" w:ascii="Times New Roman" w:hAnsi="Times New Roman" w:cs="Times New Roman"/>
                <w:color w:val="auto"/>
                <w:kern w:val="21"/>
                <w:sz w:val="18"/>
                <w:szCs w:val="18"/>
                <w:vertAlign w:val="subscript"/>
              </w:rPr>
              <w:t>5</w:t>
            </w:r>
            <w:r>
              <w:rPr>
                <w:rFonts w:hint="default" w:ascii="Times New Roman" w:hAnsi="Times New Roman" w:cs="Times New Roman"/>
                <w:color w:val="auto"/>
                <w:kern w:val="21"/>
                <w:sz w:val="18"/>
                <w:szCs w:val="18"/>
              </w:rPr>
              <w:t>、化学需氧量、悬浮物、动植物油、石油类、阴离子表面活性剂、氨氮、总氮、总磷、色度、粪大肠细菌群数、氟化物、硫化物、总汞、总镉、总铬、六价铬、总砷、总铅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5" w:type="dxa"/>
          <w:trHeight w:val="20" w:hRule="atLeast"/>
          <w:jc w:val="center"/>
        </w:trPr>
        <w:tc>
          <w:tcPr>
            <w:tcW w:w="1055" w:type="dxa"/>
            <w:vMerge w:val="continue"/>
            <w:vAlign w:val="center"/>
          </w:tcPr>
          <w:p>
            <w:pPr>
              <w:spacing w:line="240" w:lineRule="auto"/>
              <w:ind w:firstLine="360"/>
              <w:jc w:val="center"/>
              <w:rPr>
                <w:rFonts w:hint="default" w:ascii="Times New Roman" w:hAnsi="Times New Roman" w:cs="Times New Roman"/>
                <w:color w:val="auto"/>
                <w:kern w:val="21"/>
                <w:sz w:val="18"/>
                <w:szCs w:val="18"/>
              </w:rPr>
            </w:pPr>
          </w:p>
        </w:tc>
        <w:tc>
          <w:tcPr>
            <w:tcW w:w="3084" w:type="dxa"/>
            <w:vMerge w:val="restart"/>
            <w:vAlign w:val="center"/>
          </w:tcPr>
          <w:p>
            <w:pPr>
              <w:widowControl/>
              <w:spacing w:line="240" w:lineRule="auto"/>
              <w:ind w:firstLine="0" w:firstLineChars="0"/>
              <w:jc w:val="center"/>
              <w:rPr>
                <w:rFonts w:hint="default" w:ascii="Times New Roman" w:hAnsi="Times New Roman" w:eastAsia="宋体" w:cs="Times New Roman"/>
                <w:color w:val="auto"/>
                <w:kern w:val="21"/>
                <w:sz w:val="18"/>
                <w:szCs w:val="18"/>
                <w:lang w:eastAsia="zh-CN"/>
              </w:rPr>
            </w:pPr>
            <w:r>
              <w:rPr>
                <w:rFonts w:hint="default" w:ascii="Times New Roman" w:hAnsi="Times New Roman" w:cs="Times New Roman"/>
                <w:color w:val="auto"/>
                <w:kern w:val="21"/>
                <w:sz w:val="18"/>
                <w:szCs w:val="18"/>
                <w:lang w:eastAsia="zh-CN"/>
              </w:rPr>
              <w:t>评价标准</w:t>
            </w:r>
          </w:p>
        </w:tc>
        <w:tc>
          <w:tcPr>
            <w:tcW w:w="10514" w:type="dxa"/>
            <w:gridSpan w:val="11"/>
            <w:vAlign w:val="center"/>
          </w:tcPr>
          <w:p>
            <w:pPr>
              <w:widowControl/>
              <w:spacing w:line="240" w:lineRule="auto"/>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河流、湖库、河口I类</w:t>
            </w:r>
            <w:r>
              <w:rPr>
                <w:rFonts w:hint="default" w:ascii="Times New Roman" w:hAnsi="Times New Roman" w:cs="Times New Roman"/>
                <w:color w:val="auto"/>
                <w:kern w:val="21"/>
                <w:sz w:val="21"/>
                <w:szCs w:val="21"/>
              </w:rPr>
              <w:sym w:font="Wingdings 2" w:char="00A3"/>
            </w:r>
            <w:r>
              <w:rPr>
                <w:rFonts w:hint="default" w:ascii="Times New Roman" w:hAnsi="Times New Roman" w:cs="Times New Roman"/>
                <w:color w:val="auto"/>
                <w:kern w:val="21"/>
                <w:sz w:val="18"/>
                <w:szCs w:val="18"/>
              </w:rPr>
              <w:t>；II类</w:t>
            </w:r>
            <w:r>
              <w:rPr>
                <w:rFonts w:hint="default" w:ascii="Times New Roman" w:hAnsi="Times New Roman" w:cs="Times New Roman"/>
                <w:color w:val="auto"/>
                <w:kern w:val="21"/>
                <w:sz w:val="21"/>
                <w:szCs w:val="21"/>
              </w:rPr>
              <w:sym w:font="Wingdings 2" w:char="00A3"/>
            </w:r>
            <w:r>
              <w:rPr>
                <w:rFonts w:hint="default" w:ascii="Times New Roman" w:hAnsi="Times New Roman" w:cs="Times New Roman"/>
                <w:color w:val="auto"/>
                <w:kern w:val="21"/>
                <w:sz w:val="18"/>
                <w:szCs w:val="18"/>
              </w:rPr>
              <w:t>；</w:t>
            </w:r>
            <w:r>
              <w:rPr>
                <w:rFonts w:hint="default" w:ascii="Times New Roman" w:hAnsi="Times New Roman" w:cs="Times New Roman"/>
                <w:color w:val="auto"/>
                <w:kern w:val="21"/>
                <w:sz w:val="18"/>
                <w:szCs w:val="18"/>
                <w:lang w:eastAsia="zh-CN"/>
              </w:rPr>
              <w:t>Ⅲ</w:t>
            </w:r>
            <w:r>
              <w:rPr>
                <w:rFonts w:hint="default" w:ascii="Times New Roman" w:hAnsi="Times New Roman" w:cs="Times New Roman"/>
                <w:color w:val="auto"/>
                <w:kern w:val="21"/>
                <w:sz w:val="18"/>
                <w:szCs w:val="18"/>
              </w:rPr>
              <w:t>类</w:t>
            </w:r>
            <w:r>
              <w:rPr>
                <w:rFonts w:hint="default" w:ascii="Times New Roman" w:hAnsi="Times New Roman" w:cs="Times New Roman"/>
                <w:color w:val="auto"/>
                <w:kern w:val="21"/>
                <w:sz w:val="21"/>
                <w:szCs w:val="21"/>
              </w:rPr>
              <w:sym w:font="Wingdings 2" w:char="0052"/>
            </w:r>
            <w:r>
              <w:rPr>
                <w:rFonts w:hint="default" w:ascii="Times New Roman" w:hAnsi="Times New Roman" w:cs="Times New Roman"/>
                <w:color w:val="auto"/>
                <w:kern w:val="21"/>
                <w:sz w:val="18"/>
                <w:szCs w:val="18"/>
              </w:rPr>
              <w:t>；IV类</w:t>
            </w:r>
            <w:r>
              <w:rPr>
                <w:rFonts w:hint="default" w:ascii="Times New Roman" w:hAnsi="Times New Roman" w:cs="Times New Roman"/>
                <w:color w:val="auto"/>
                <w:kern w:val="21"/>
                <w:sz w:val="21"/>
                <w:szCs w:val="21"/>
              </w:rPr>
              <w:sym w:font="Wingdings 2" w:char="00A3"/>
            </w:r>
            <w:r>
              <w:rPr>
                <w:rFonts w:hint="default" w:ascii="Times New Roman" w:hAnsi="Times New Roman" w:cs="Times New Roman"/>
                <w:color w:val="auto"/>
                <w:kern w:val="21"/>
                <w:sz w:val="18"/>
                <w:szCs w:val="18"/>
              </w:rPr>
              <w:t>；V类</w:t>
            </w:r>
            <w:r>
              <w:rPr>
                <w:rFonts w:hint="default" w:ascii="Times New Roman" w:hAnsi="Times New Roman" w:cs="Times New Roman"/>
                <w:color w:val="auto"/>
                <w:kern w:val="21"/>
                <w:sz w:val="21"/>
                <w:szCs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5" w:type="dxa"/>
          <w:trHeight w:val="20" w:hRule="atLeast"/>
          <w:jc w:val="center"/>
        </w:trPr>
        <w:tc>
          <w:tcPr>
            <w:tcW w:w="1055" w:type="dxa"/>
            <w:vMerge w:val="continue"/>
            <w:vAlign w:val="center"/>
          </w:tcPr>
          <w:p>
            <w:pPr>
              <w:spacing w:line="240" w:lineRule="auto"/>
              <w:ind w:firstLine="360"/>
              <w:jc w:val="center"/>
              <w:rPr>
                <w:rFonts w:hint="default" w:ascii="Times New Roman" w:hAnsi="Times New Roman" w:cs="Times New Roman"/>
                <w:color w:val="auto"/>
                <w:kern w:val="21"/>
                <w:sz w:val="18"/>
                <w:szCs w:val="18"/>
              </w:rPr>
            </w:pPr>
          </w:p>
        </w:tc>
        <w:tc>
          <w:tcPr>
            <w:tcW w:w="3084" w:type="dxa"/>
            <w:vMerge w:val="continue"/>
            <w:vAlign w:val="center"/>
          </w:tcPr>
          <w:p>
            <w:pPr>
              <w:spacing w:line="240" w:lineRule="auto"/>
              <w:ind w:firstLine="360"/>
              <w:jc w:val="center"/>
              <w:rPr>
                <w:rFonts w:hint="default" w:ascii="Times New Roman" w:hAnsi="Times New Roman" w:cs="Times New Roman"/>
                <w:color w:val="auto"/>
                <w:kern w:val="21"/>
                <w:sz w:val="18"/>
                <w:szCs w:val="18"/>
              </w:rPr>
            </w:pPr>
          </w:p>
        </w:tc>
        <w:tc>
          <w:tcPr>
            <w:tcW w:w="10514" w:type="dxa"/>
            <w:gridSpan w:val="11"/>
            <w:vAlign w:val="center"/>
          </w:tcPr>
          <w:p>
            <w:pPr>
              <w:widowControl/>
              <w:spacing w:line="240" w:lineRule="auto"/>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近岸海域第一类</w:t>
            </w:r>
            <w:r>
              <w:rPr>
                <w:rFonts w:hint="default" w:ascii="Times New Roman" w:hAnsi="Times New Roman" w:cs="Times New Roman"/>
                <w:color w:val="auto"/>
                <w:kern w:val="21"/>
                <w:sz w:val="21"/>
                <w:szCs w:val="21"/>
              </w:rPr>
              <w:sym w:font="Wingdings 2" w:char="00A3"/>
            </w:r>
            <w:r>
              <w:rPr>
                <w:rFonts w:hint="default" w:ascii="Times New Roman" w:hAnsi="Times New Roman" w:cs="Times New Roman"/>
                <w:color w:val="auto"/>
                <w:kern w:val="21"/>
                <w:sz w:val="18"/>
                <w:szCs w:val="18"/>
              </w:rPr>
              <w:t>；第二类</w:t>
            </w:r>
            <w:r>
              <w:rPr>
                <w:rFonts w:hint="default" w:ascii="Times New Roman" w:hAnsi="Times New Roman" w:cs="Times New Roman"/>
                <w:color w:val="auto"/>
                <w:kern w:val="21"/>
                <w:sz w:val="21"/>
                <w:szCs w:val="21"/>
              </w:rPr>
              <w:sym w:font="Wingdings 2" w:char="00A3"/>
            </w:r>
            <w:r>
              <w:rPr>
                <w:rFonts w:hint="default" w:ascii="Times New Roman" w:hAnsi="Times New Roman" w:cs="Times New Roman"/>
                <w:color w:val="auto"/>
                <w:kern w:val="21"/>
                <w:sz w:val="18"/>
                <w:szCs w:val="18"/>
              </w:rPr>
              <w:t>；第一类</w:t>
            </w:r>
            <w:r>
              <w:rPr>
                <w:rFonts w:hint="default" w:ascii="Times New Roman" w:hAnsi="Times New Roman" w:cs="Times New Roman"/>
                <w:color w:val="auto"/>
                <w:kern w:val="21"/>
                <w:sz w:val="21"/>
                <w:szCs w:val="21"/>
              </w:rPr>
              <w:sym w:font="Wingdings 2" w:char="00A3"/>
            </w:r>
            <w:r>
              <w:rPr>
                <w:rFonts w:hint="default" w:ascii="Times New Roman" w:hAnsi="Times New Roman" w:cs="Times New Roman"/>
                <w:color w:val="auto"/>
                <w:kern w:val="21"/>
                <w:sz w:val="18"/>
                <w:szCs w:val="18"/>
              </w:rPr>
              <w:t>；第四类</w:t>
            </w:r>
            <w:r>
              <w:rPr>
                <w:rFonts w:hint="default" w:ascii="Times New Roman" w:hAnsi="Times New Roman" w:cs="Times New Roman"/>
                <w:color w:val="auto"/>
                <w:kern w:val="21"/>
                <w:sz w:val="21"/>
                <w:szCs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5" w:type="dxa"/>
          <w:trHeight w:val="10" w:hRule="atLeast"/>
          <w:jc w:val="center"/>
        </w:trPr>
        <w:tc>
          <w:tcPr>
            <w:tcW w:w="1055" w:type="dxa"/>
            <w:vMerge w:val="continue"/>
            <w:vAlign w:val="center"/>
          </w:tcPr>
          <w:p>
            <w:pPr>
              <w:spacing w:line="240" w:lineRule="auto"/>
              <w:ind w:firstLine="360"/>
              <w:jc w:val="center"/>
              <w:rPr>
                <w:rFonts w:hint="default" w:ascii="Times New Roman" w:hAnsi="Times New Roman" w:cs="Times New Roman"/>
                <w:color w:val="auto"/>
                <w:kern w:val="21"/>
                <w:sz w:val="18"/>
                <w:szCs w:val="18"/>
              </w:rPr>
            </w:pPr>
          </w:p>
        </w:tc>
        <w:tc>
          <w:tcPr>
            <w:tcW w:w="3084" w:type="dxa"/>
            <w:vMerge w:val="continue"/>
            <w:vAlign w:val="center"/>
          </w:tcPr>
          <w:p>
            <w:pPr>
              <w:widowControl/>
              <w:spacing w:line="240" w:lineRule="auto"/>
              <w:ind w:firstLine="360"/>
              <w:jc w:val="center"/>
              <w:rPr>
                <w:rFonts w:hint="default" w:ascii="Times New Roman" w:hAnsi="Times New Roman" w:cs="Times New Roman"/>
                <w:color w:val="auto"/>
                <w:kern w:val="21"/>
                <w:sz w:val="18"/>
                <w:szCs w:val="18"/>
              </w:rPr>
            </w:pPr>
          </w:p>
        </w:tc>
        <w:tc>
          <w:tcPr>
            <w:tcW w:w="10514" w:type="dxa"/>
            <w:gridSpan w:val="11"/>
            <w:vAlign w:val="center"/>
          </w:tcPr>
          <w:p>
            <w:pPr>
              <w:widowControl/>
              <w:spacing w:line="240" w:lineRule="auto"/>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规划年评价标准（</w:t>
            </w:r>
            <w:r>
              <w:rPr>
                <w:rFonts w:hint="default" w:ascii="Times New Roman" w:hAnsi="Times New Roman" w:cs="Times New Roman"/>
                <w:color w:val="auto"/>
                <w:kern w:val="21"/>
                <w:sz w:val="18"/>
                <w:szCs w:val="18"/>
                <w:lang w:eastAsia="zh-CN"/>
              </w:rPr>
              <w:t>Ⅲ</w:t>
            </w:r>
            <w:r>
              <w:rPr>
                <w:rFonts w:hint="default" w:ascii="Times New Roman" w:hAnsi="Times New Roman" w:cs="Times New Roman"/>
                <w:color w:val="auto"/>
                <w:kern w:val="21"/>
                <w:sz w:val="18"/>
                <w:szCs w:val="18"/>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5" w:type="dxa"/>
          <w:trHeight w:val="598" w:hRule="atLeast"/>
          <w:jc w:val="center"/>
        </w:trPr>
        <w:tc>
          <w:tcPr>
            <w:tcW w:w="1055" w:type="dxa"/>
            <w:vMerge w:val="continue"/>
          </w:tcPr>
          <w:p>
            <w:pPr>
              <w:spacing w:line="240" w:lineRule="auto"/>
              <w:ind w:firstLine="360"/>
              <w:jc w:val="center"/>
              <w:rPr>
                <w:rFonts w:hint="default" w:ascii="Times New Roman" w:hAnsi="Times New Roman" w:cs="Times New Roman"/>
                <w:color w:val="auto"/>
                <w:kern w:val="21"/>
                <w:sz w:val="18"/>
                <w:szCs w:val="18"/>
              </w:rPr>
            </w:pPr>
          </w:p>
        </w:tc>
        <w:tc>
          <w:tcPr>
            <w:tcW w:w="3084" w:type="dxa"/>
            <w:vAlign w:val="center"/>
          </w:tcPr>
          <w:p>
            <w:pPr>
              <w:widowControl/>
              <w:spacing w:line="240" w:lineRule="auto"/>
              <w:ind w:firstLine="0" w:firstLineChars="0"/>
              <w:jc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评价时期</w:t>
            </w:r>
          </w:p>
        </w:tc>
        <w:tc>
          <w:tcPr>
            <w:tcW w:w="10514" w:type="dxa"/>
            <w:gridSpan w:val="11"/>
            <w:vAlign w:val="center"/>
          </w:tcPr>
          <w:p>
            <w:pPr>
              <w:widowControl/>
              <w:spacing w:line="240" w:lineRule="auto"/>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丰水期</w:t>
            </w:r>
            <w:r>
              <w:rPr>
                <w:rFonts w:hint="default" w:ascii="Times New Roman" w:hAnsi="Times New Roman" w:cs="Times New Roman"/>
                <w:color w:val="auto"/>
                <w:kern w:val="21"/>
                <w:sz w:val="21"/>
                <w:szCs w:val="21"/>
              </w:rPr>
              <w:sym w:font="Wingdings 2" w:char="00A3"/>
            </w:r>
            <w:r>
              <w:rPr>
                <w:rFonts w:hint="default" w:ascii="Times New Roman" w:hAnsi="Times New Roman" w:cs="Times New Roman"/>
                <w:color w:val="auto"/>
                <w:kern w:val="21"/>
                <w:sz w:val="18"/>
                <w:szCs w:val="18"/>
              </w:rPr>
              <w:t>；平水期</w:t>
            </w:r>
            <w:r>
              <w:rPr>
                <w:rFonts w:hint="default" w:ascii="Times New Roman" w:hAnsi="Times New Roman" w:cs="Times New Roman"/>
                <w:color w:val="auto"/>
                <w:kern w:val="21"/>
                <w:sz w:val="21"/>
                <w:szCs w:val="21"/>
              </w:rPr>
              <w:sym w:font="Wingdings 2" w:char="00A3"/>
            </w:r>
            <w:r>
              <w:rPr>
                <w:rFonts w:hint="default" w:ascii="Times New Roman" w:hAnsi="Times New Roman" w:cs="Times New Roman"/>
                <w:color w:val="auto"/>
                <w:kern w:val="21"/>
                <w:sz w:val="18"/>
                <w:szCs w:val="18"/>
              </w:rPr>
              <w:t>；枯水期</w:t>
            </w:r>
            <w:r>
              <w:rPr>
                <w:rFonts w:hint="default" w:ascii="Times New Roman" w:hAnsi="Times New Roman" w:cs="Times New Roman"/>
                <w:color w:val="auto"/>
                <w:kern w:val="21"/>
                <w:sz w:val="21"/>
                <w:szCs w:val="21"/>
              </w:rPr>
              <w:sym w:font="Wingdings 2" w:char="0052"/>
            </w:r>
            <w:r>
              <w:rPr>
                <w:rFonts w:hint="default" w:ascii="Times New Roman" w:hAnsi="Times New Roman" w:cs="Times New Roman"/>
                <w:color w:val="auto"/>
                <w:kern w:val="21"/>
                <w:sz w:val="18"/>
                <w:szCs w:val="18"/>
              </w:rPr>
              <w:t>；冰封期</w:t>
            </w:r>
            <w:r>
              <w:rPr>
                <w:rFonts w:hint="default" w:ascii="Times New Roman" w:hAnsi="Times New Roman" w:cs="Times New Roman"/>
                <w:color w:val="auto"/>
                <w:kern w:val="21"/>
                <w:sz w:val="21"/>
                <w:szCs w:val="21"/>
              </w:rPr>
              <w:sym w:font="Wingdings 2" w:char="00A3"/>
            </w:r>
          </w:p>
          <w:p>
            <w:pPr>
              <w:spacing w:line="240" w:lineRule="auto"/>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春季</w:t>
            </w:r>
            <w:r>
              <w:rPr>
                <w:rFonts w:hint="default" w:ascii="Times New Roman" w:hAnsi="Times New Roman" w:cs="Times New Roman"/>
                <w:color w:val="auto"/>
                <w:kern w:val="21"/>
                <w:sz w:val="21"/>
                <w:szCs w:val="21"/>
              </w:rPr>
              <w:sym w:font="Wingdings 2" w:char="00A3"/>
            </w:r>
            <w:r>
              <w:rPr>
                <w:rFonts w:hint="default" w:ascii="Times New Roman" w:hAnsi="Times New Roman" w:cs="Times New Roman"/>
                <w:color w:val="auto"/>
                <w:kern w:val="21"/>
                <w:sz w:val="18"/>
                <w:szCs w:val="18"/>
              </w:rPr>
              <w:t>；夏季</w:t>
            </w:r>
            <w:r>
              <w:rPr>
                <w:rFonts w:hint="default" w:ascii="Times New Roman" w:hAnsi="Times New Roman" w:cs="Times New Roman"/>
                <w:color w:val="auto"/>
                <w:kern w:val="21"/>
                <w:sz w:val="21"/>
                <w:szCs w:val="21"/>
              </w:rPr>
              <w:sym w:font="Wingdings 2" w:char="00A3"/>
            </w:r>
            <w:r>
              <w:rPr>
                <w:rFonts w:hint="default" w:ascii="Times New Roman" w:hAnsi="Times New Roman" w:cs="Times New Roman"/>
                <w:color w:val="auto"/>
                <w:kern w:val="21"/>
                <w:sz w:val="18"/>
                <w:szCs w:val="18"/>
              </w:rPr>
              <w:t>；秋季</w:t>
            </w:r>
            <w:r>
              <w:rPr>
                <w:rFonts w:hint="default" w:ascii="Times New Roman" w:hAnsi="Times New Roman" w:cs="Times New Roman"/>
                <w:color w:val="auto"/>
                <w:kern w:val="21"/>
                <w:sz w:val="21"/>
                <w:szCs w:val="21"/>
              </w:rPr>
              <w:sym w:font="Wingdings 2" w:char="00A3"/>
            </w:r>
            <w:r>
              <w:rPr>
                <w:rFonts w:hint="default" w:ascii="Times New Roman" w:hAnsi="Times New Roman" w:cs="Times New Roman"/>
                <w:color w:val="auto"/>
                <w:kern w:val="21"/>
                <w:sz w:val="18"/>
                <w:szCs w:val="18"/>
              </w:rPr>
              <w:t>；冬季</w:t>
            </w:r>
            <w:r>
              <w:rPr>
                <w:rFonts w:hint="default" w:ascii="Times New Roman" w:hAnsi="Times New Roman" w:cs="Times New Roman"/>
                <w:color w:val="auto"/>
                <w:kern w:val="21"/>
                <w:sz w:val="21"/>
                <w:szCs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5" w:type="dxa"/>
          <w:trHeight w:val="524" w:hRule="atLeast"/>
          <w:jc w:val="center"/>
        </w:trPr>
        <w:tc>
          <w:tcPr>
            <w:tcW w:w="1055" w:type="dxa"/>
            <w:vMerge w:val="continue"/>
          </w:tcPr>
          <w:p>
            <w:pPr>
              <w:spacing w:line="240" w:lineRule="auto"/>
              <w:ind w:firstLine="360"/>
              <w:jc w:val="center"/>
              <w:rPr>
                <w:rFonts w:hint="default" w:ascii="Times New Roman" w:hAnsi="Times New Roman" w:cs="Times New Roman"/>
                <w:color w:val="auto"/>
                <w:kern w:val="21"/>
                <w:sz w:val="18"/>
                <w:szCs w:val="18"/>
              </w:rPr>
            </w:pPr>
          </w:p>
        </w:tc>
        <w:tc>
          <w:tcPr>
            <w:tcW w:w="3084" w:type="dxa"/>
            <w:vAlign w:val="center"/>
          </w:tcPr>
          <w:p>
            <w:pPr>
              <w:widowControl/>
              <w:spacing w:line="240" w:lineRule="auto"/>
              <w:ind w:firstLine="0" w:firstLineChars="0"/>
              <w:jc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评价结论</w:t>
            </w:r>
          </w:p>
        </w:tc>
        <w:tc>
          <w:tcPr>
            <w:tcW w:w="8269" w:type="dxa"/>
            <w:gridSpan w:val="8"/>
            <w:vAlign w:val="center"/>
          </w:tcPr>
          <w:p>
            <w:pPr>
              <w:widowControl/>
              <w:spacing w:line="240" w:lineRule="auto"/>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水环境功能区或水功能区、近岸海域环境</w:t>
            </w:r>
            <w:r>
              <w:rPr>
                <w:rFonts w:hint="default" w:ascii="Times New Roman" w:hAnsi="Times New Roman" w:cs="Times New Roman"/>
                <w:color w:val="auto"/>
                <w:kern w:val="21"/>
                <w:sz w:val="18"/>
                <w:szCs w:val="18"/>
                <w:lang w:eastAsia="zh-CN"/>
              </w:rPr>
              <w:t>功</w:t>
            </w:r>
            <w:r>
              <w:rPr>
                <w:rFonts w:hint="default" w:ascii="Times New Roman" w:hAnsi="Times New Roman" w:cs="Times New Roman"/>
                <w:color w:val="auto"/>
                <w:kern w:val="21"/>
                <w:sz w:val="18"/>
                <w:szCs w:val="18"/>
              </w:rPr>
              <w:t>能区水质达标状况：达标</w:t>
            </w:r>
            <w:r>
              <w:rPr>
                <w:rFonts w:hint="default" w:ascii="Times New Roman" w:hAnsi="Times New Roman" w:cs="Times New Roman"/>
                <w:color w:val="auto"/>
                <w:kern w:val="21"/>
                <w:sz w:val="21"/>
                <w:szCs w:val="21"/>
              </w:rPr>
              <w:sym w:font="Wingdings 2" w:char="0052"/>
            </w:r>
            <w:r>
              <w:rPr>
                <w:rFonts w:hint="default" w:ascii="Times New Roman" w:hAnsi="Times New Roman" w:cs="Times New Roman"/>
                <w:color w:val="auto"/>
                <w:kern w:val="21"/>
                <w:sz w:val="18"/>
                <w:szCs w:val="18"/>
              </w:rPr>
              <w:t>；不达标</w:t>
            </w:r>
            <w:r>
              <w:rPr>
                <w:rFonts w:hint="default" w:ascii="Times New Roman" w:hAnsi="Times New Roman" w:cs="Times New Roman"/>
                <w:color w:val="auto"/>
                <w:kern w:val="21"/>
                <w:sz w:val="21"/>
                <w:szCs w:val="21"/>
              </w:rPr>
              <w:sym w:font="Wingdings 2" w:char="00A3"/>
            </w:r>
            <w:r>
              <w:rPr>
                <w:rFonts w:hint="default" w:ascii="Times New Roman" w:hAnsi="Times New Roman" w:cs="Times New Roman"/>
                <w:color w:val="auto"/>
                <w:kern w:val="21"/>
                <w:sz w:val="18"/>
                <w:szCs w:val="18"/>
              </w:rPr>
              <w:t>；</w:t>
            </w:r>
          </w:p>
          <w:p>
            <w:pPr>
              <w:widowControl/>
              <w:spacing w:line="240" w:lineRule="auto"/>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水环境控制单元或断面水质达标状况：达标</w:t>
            </w:r>
            <w:r>
              <w:rPr>
                <w:rFonts w:hint="default" w:ascii="Times New Roman" w:hAnsi="Times New Roman" w:cs="Times New Roman"/>
                <w:color w:val="auto"/>
                <w:kern w:val="21"/>
                <w:sz w:val="21"/>
                <w:szCs w:val="21"/>
              </w:rPr>
              <w:sym w:font="Wingdings 2" w:char="0052"/>
            </w:r>
            <w:r>
              <w:rPr>
                <w:rFonts w:hint="default" w:ascii="Times New Roman" w:hAnsi="Times New Roman" w:cs="Times New Roman"/>
                <w:color w:val="auto"/>
                <w:kern w:val="21"/>
                <w:sz w:val="18"/>
                <w:szCs w:val="18"/>
              </w:rPr>
              <w:t>；不达标</w:t>
            </w:r>
            <w:r>
              <w:rPr>
                <w:rFonts w:hint="default" w:ascii="Times New Roman" w:hAnsi="Times New Roman" w:cs="Times New Roman"/>
                <w:color w:val="auto"/>
                <w:kern w:val="21"/>
                <w:sz w:val="21"/>
                <w:szCs w:val="21"/>
              </w:rPr>
              <w:sym w:font="Wingdings 2" w:char="00A3"/>
            </w:r>
          </w:p>
          <w:p>
            <w:pPr>
              <w:keepNext w:val="0"/>
              <w:keepLines w:val="0"/>
              <w:pageBreakBefore w:val="0"/>
              <w:widowControl/>
              <w:kinsoku/>
              <w:wordWrap/>
              <w:overflowPunct/>
              <w:topLinePunct w:val="0"/>
              <w:autoSpaceDE/>
              <w:autoSpaceDN/>
              <w:bidi w:val="0"/>
              <w:adjustRightInd/>
              <w:snapToGrid/>
              <w:spacing w:line="240" w:lineRule="auto"/>
              <w:ind w:left="0" w:leftChars="0" w:firstLine="0"/>
              <w:textAlignment w:val="auto"/>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水环境保护目标质量状况：达标</w:t>
            </w:r>
            <w:r>
              <w:rPr>
                <w:rFonts w:hint="default" w:ascii="Times New Roman" w:hAnsi="Times New Roman" w:cs="Times New Roman"/>
                <w:color w:val="auto"/>
                <w:kern w:val="21"/>
                <w:sz w:val="21"/>
                <w:szCs w:val="21"/>
              </w:rPr>
              <w:sym w:font="Wingdings 2" w:char="00A3"/>
            </w:r>
            <w:r>
              <w:rPr>
                <w:rFonts w:hint="default" w:ascii="Times New Roman" w:hAnsi="Times New Roman" w:cs="Times New Roman"/>
                <w:color w:val="auto"/>
                <w:kern w:val="21"/>
                <w:sz w:val="18"/>
                <w:szCs w:val="18"/>
              </w:rPr>
              <w:t>；不达标</w:t>
            </w:r>
            <w:r>
              <w:rPr>
                <w:rFonts w:hint="default" w:ascii="Times New Roman" w:hAnsi="Times New Roman" w:cs="Times New Roman"/>
                <w:color w:val="auto"/>
                <w:kern w:val="21"/>
                <w:sz w:val="21"/>
                <w:szCs w:val="21"/>
              </w:rPr>
              <w:sym w:font="Wingdings 2" w:char="0052"/>
            </w:r>
          </w:p>
          <w:p>
            <w:pPr>
              <w:keepNext w:val="0"/>
              <w:keepLines w:val="0"/>
              <w:pageBreakBefore w:val="0"/>
              <w:widowControl/>
              <w:kinsoku/>
              <w:wordWrap/>
              <w:overflowPunct/>
              <w:topLinePunct w:val="0"/>
              <w:autoSpaceDE/>
              <w:autoSpaceDN/>
              <w:bidi w:val="0"/>
              <w:adjustRightInd/>
              <w:snapToGrid/>
              <w:spacing w:line="240" w:lineRule="auto"/>
              <w:ind w:left="0" w:leftChars="0" w:firstLine="0"/>
              <w:textAlignment w:val="auto"/>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对照断面、控制断面等代表性断面的水质状况口：达标</w:t>
            </w:r>
            <w:r>
              <w:rPr>
                <w:rFonts w:hint="default" w:ascii="Times New Roman" w:hAnsi="Times New Roman" w:cs="Times New Roman"/>
                <w:color w:val="auto"/>
                <w:kern w:val="21"/>
                <w:sz w:val="21"/>
                <w:szCs w:val="21"/>
              </w:rPr>
              <w:sym w:font="Wingdings 2" w:char="00A3"/>
            </w:r>
            <w:r>
              <w:rPr>
                <w:rFonts w:hint="default" w:ascii="Times New Roman" w:hAnsi="Times New Roman" w:cs="Times New Roman"/>
                <w:color w:val="auto"/>
                <w:kern w:val="21"/>
                <w:sz w:val="18"/>
                <w:szCs w:val="18"/>
              </w:rPr>
              <w:t>；不达标</w:t>
            </w:r>
            <w:r>
              <w:rPr>
                <w:rFonts w:hint="default" w:ascii="Times New Roman" w:hAnsi="Times New Roman" w:cs="Times New Roman"/>
                <w:color w:val="auto"/>
                <w:kern w:val="21"/>
                <w:sz w:val="21"/>
                <w:szCs w:val="21"/>
              </w:rPr>
              <w:sym w:font="Wingdings 2" w:char="0052"/>
            </w:r>
          </w:p>
          <w:p>
            <w:pPr>
              <w:keepNext w:val="0"/>
              <w:keepLines w:val="0"/>
              <w:pageBreakBefore w:val="0"/>
              <w:widowControl/>
              <w:kinsoku/>
              <w:wordWrap/>
              <w:overflowPunct/>
              <w:topLinePunct w:val="0"/>
              <w:autoSpaceDE/>
              <w:autoSpaceDN/>
              <w:bidi w:val="0"/>
              <w:adjustRightInd/>
              <w:snapToGrid/>
              <w:spacing w:line="240" w:lineRule="auto"/>
              <w:ind w:left="0" w:leftChars="0" w:firstLine="0"/>
              <w:textAlignment w:val="auto"/>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底泥污染评价</w:t>
            </w:r>
            <w:r>
              <w:rPr>
                <w:rFonts w:hint="default" w:ascii="Times New Roman" w:hAnsi="Times New Roman" w:cs="Times New Roman"/>
                <w:color w:val="auto"/>
                <w:kern w:val="21"/>
                <w:sz w:val="21"/>
                <w:szCs w:val="21"/>
              </w:rPr>
              <w:sym w:font="Wingdings 2" w:char="00A3"/>
            </w:r>
          </w:p>
          <w:p>
            <w:pPr>
              <w:keepNext w:val="0"/>
              <w:keepLines w:val="0"/>
              <w:pageBreakBefore w:val="0"/>
              <w:widowControl/>
              <w:kinsoku/>
              <w:wordWrap/>
              <w:overflowPunct/>
              <w:topLinePunct w:val="0"/>
              <w:autoSpaceDE/>
              <w:autoSpaceDN/>
              <w:bidi w:val="0"/>
              <w:adjustRightInd/>
              <w:snapToGrid/>
              <w:spacing w:line="240" w:lineRule="auto"/>
              <w:ind w:left="0" w:leftChars="0" w:firstLine="0"/>
              <w:textAlignment w:val="auto"/>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水资源与开发利用程度及其水文情势评价</w:t>
            </w:r>
            <w:r>
              <w:rPr>
                <w:rFonts w:hint="default" w:ascii="Times New Roman" w:hAnsi="Times New Roman" w:cs="Times New Roman"/>
                <w:color w:val="auto"/>
                <w:kern w:val="21"/>
                <w:sz w:val="21"/>
                <w:szCs w:val="21"/>
              </w:rPr>
              <w:sym w:font="Wingdings 2" w:char="00A3"/>
            </w:r>
          </w:p>
          <w:p>
            <w:pPr>
              <w:keepNext w:val="0"/>
              <w:keepLines w:val="0"/>
              <w:pageBreakBefore w:val="0"/>
              <w:widowControl/>
              <w:kinsoku/>
              <w:wordWrap/>
              <w:overflowPunct/>
              <w:topLinePunct w:val="0"/>
              <w:autoSpaceDE/>
              <w:autoSpaceDN/>
              <w:bidi w:val="0"/>
              <w:adjustRightInd/>
              <w:snapToGrid/>
              <w:spacing w:line="240" w:lineRule="auto"/>
              <w:ind w:left="0" w:leftChars="0" w:firstLine="0"/>
              <w:textAlignment w:val="auto"/>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水环境质量回顾评价</w:t>
            </w:r>
            <w:r>
              <w:rPr>
                <w:rFonts w:hint="default" w:ascii="Times New Roman" w:hAnsi="Times New Roman" w:cs="Times New Roman"/>
                <w:color w:val="auto"/>
                <w:kern w:val="21"/>
                <w:sz w:val="21"/>
                <w:szCs w:val="21"/>
              </w:rPr>
              <w:sym w:font="Wingdings 2" w:char="00A3"/>
            </w:r>
          </w:p>
          <w:p>
            <w:pPr>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流域（区域）水资源（包括水能资源）与开发利用总体状况、生态流量管理要求与现状满足程度、建设项目占用水域空间的水流状况与河湖演变状况</w:t>
            </w:r>
            <w:r>
              <w:rPr>
                <w:rFonts w:hint="default" w:ascii="Times New Roman" w:hAnsi="Times New Roman" w:cs="Times New Roman"/>
                <w:color w:val="auto"/>
                <w:kern w:val="21"/>
                <w:sz w:val="21"/>
                <w:szCs w:val="21"/>
              </w:rPr>
              <w:sym w:font="Wingdings 2" w:char="00A3"/>
            </w:r>
          </w:p>
        </w:tc>
        <w:tc>
          <w:tcPr>
            <w:tcW w:w="2245" w:type="dxa"/>
            <w:gridSpan w:val="3"/>
            <w:vAlign w:val="center"/>
          </w:tcPr>
          <w:p>
            <w:pPr>
              <w:widowControl/>
              <w:spacing w:line="240" w:lineRule="auto"/>
              <w:ind w:firstLine="360"/>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达标区</w:t>
            </w:r>
            <w:r>
              <w:rPr>
                <w:rFonts w:hint="default" w:ascii="Times New Roman" w:hAnsi="Times New Roman" w:cs="Times New Roman"/>
                <w:color w:val="auto"/>
                <w:kern w:val="21"/>
                <w:sz w:val="21"/>
                <w:szCs w:val="21"/>
              </w:rPr>
              <w:sym w:font="Wingdings 2" w:char="00A3"/>
            </w:r>
          </w:p>
          <w:p>
            <w:pPr>
              <w:widowControl/>
              <w:spacing w:line="240" w:lineRule="auto"/>
              <w:ind w:firstLine="360"/>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不达标区</w:t>
            </w:r>
            <w:r>
              <w:rPr>
                <w:rFonts w:hint="default" w:ascii="Times New Roman" w:hAnsi="Times New Roman" w:cs="Times New Roman"/>
                <w:color w:val="auto"/>
                <w:kern w:val="21"/>
                <w:sz w:val="21"/>
                <w:szCs w:val="21"/>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5" w:type="dxa"/>
          <w:trHeight w:val="172" w:hRule="atLeast"/>
          <w:jc w:val="center"/>
        </w:trPr>
        <w:tc>
          <w:tcPr>
            <w:tcW w:w="1055" w:type="dxa"/>
            <w:vMerge w:val="restart"/>
            <w:vAlign w:val="center"/>
          </w:tcPr>
          <w:p>
            <w:pPr>
              <w:spacing w:line="240" w:lineRule="auto"/>
              <w:ind w:firstLine="0" w:firstLineChars="0"/>
              <w:jc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影响预测</w:t>
            </w:r>
          </w:p>
        </w:tc>
        <w:tc>
          <w:tcPr>
            <w:tcW w:w="3084"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预测范围</w:t>
            </w:r>
          </w:p>
        </w:tc>
        <w:tc>
          <w:tcPr>
            <w:tcW w:w="10514" w:type="dxa"/>
            <w:gridSpan w:val="11"/>
            <w:vAlign w:val="center"/>
          </w:tcPr>
          <w:p>
            <w:pPr>
              <w:keepNext w:val="0"/>
              <w:keepLines w:val="0"/>
              <w:pageBreakBefore w:val="0"/>
              <w:widowControl/>
              <w:kinsoku/>
              <w:wordWrap/>
              <w:overflowPunct/>
              <w:topLinePunct w:val="0"/>
              <w:autoSpaceDE/>
              <w:autoSpaceDN/>
              <w:bidi w:val="0"/>
              <w:adjustRightInd/>
              <w:snapToGrid/>
              <w:spacing w:line="240" w:lineRule="auto"/>
              <w:ind w:firstLine="0"/>
              <w:textAlignment w:val="auto"/>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河流长度（</w:t>
            </w:r>
            <w:r>
              <w:rPr>
                <w:rFonts w:hint="default" w:ascii="Times New Roman" w:hAnsi="Times New Roman" w:cs="Times New Roman"/>
                <w:color w:val="auto"/>
                <w:kern w:val="21"/>
                <w:sz w:val="18"/>
                <w:szCs w:val="18"/>
                <w:lang w:val="en-US" w:eastAsia="zh-CN"/>
              </w:rPr>
              <w:t xml:space="preserve"> </w:t>
            </w:r>
            <w:r>
              <w:rPr>
                <w:rFonts w:hint="default" w:ascii="Times New Roman" w:hAnsi="Times New Roman" w:cs="Times New Roman"/>
                <w:color w:val="auto"/>
                <w:kern w:val="21"/>
                <w:sz w:val="18"/>
                <w:szCs w:val="18"/>
              </w:rPr>
              <w:t>）km；湖明库、河口及近岸海域面积（</w:t>
            </w:r>
            <w:r>
              <w:rPr>
                <w:rFonts w:hint="default" w:ascii="Times New Roman" w:hAnsi="Times New Roman" w:cs="Times New Roman"/>
                <w:color w:val="auto"/>
                <w:kern w:val="21"/>
                <w:sz w:val="18"/>
                <w:szCs w:val="18"/>
                <w:lang w:val="en-US" w:eastAsia="zh-CN"/>
              </w:rPr>
              <w:t xml:space="preserve"> </w:t>
            </w:r>
            <w:r>
              <w:rPr>
                <w:rFonts w:hint="default" w:ascii="Times New Roman" w:hAnsi="Times New Roman" w:cs="Times New Roman"/>
                <w:color w:val="auto"/>
                <w:kern w:val="21"/>
                <w:sz w:val="18"/>
                <w:szCs w:val="18"/>
              </w:rPr>
              <w:t>）km²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5" w:type="dxa"/>
          <w:trHeight w:val="10" w:hRule="atLeast"/>
          <w:jc w:val="center"/>
        </w:trPr>
        <w:tc>
          <w:tcPr>
            <w:tcW w:w="1055" w:type="dxa"/>
            <w:vMerge w:val="continue"/>
            <w:vAlign w:val="center"/>
          </w:tcPr>
          <w:p>
            <w:pPr>
              <w:spacing w:line="240" w:lineRule="auto"/>
              <w:ind w:firstLine="360"/>
              <w:jc w:val="center"/>
              <w:rPr>
                <w:rFonts w:hint="default" w:ascii="Times New Roman" w:hAnsi="Times New Roman" w:cs="Times New Roman"/>
                <w:color w:val="auto"/>
                <w:kern w:val="21"/>
                <w:sz w:val="18"/>
                <w:szCs w:val="18"/>
              </w:rPr>
            </w:pPr>
          </w:p>
        </w:tc>
        <w:tc>
          <w:tcPr>
            <w:tcW w:w="3084"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预测因子</w:t>
            </w:r>
          </w:p>
        </w:tc>
        <w:tc>
          <w:tcPr>
            <w:tcW w:w="10514" w:type="dxa"/>
            <w:gridSpan w:val="11"/>
            <w:vAlign w:val="center"/>
          </w:tcPr>
          <w:p>
            <w:pPr>
              <w:keepNext w:val="0"/>
              <w:keepLines w:val="0"/>
              <w:pageBreakBefore w:val="0"/>
              <w:widowControl/>
              <w:kinsoku/>
              <w:wordWrap/>
              <w:overflowPunct/>
              <w:topLinePunct w:val="0"/>
              <w:autoSpaceDE/>
              <w:autoSpaceDN/>
              <w:bidi w:val="0"/>
              <w:adjustRightInd/>
              <w:snapToGrid/>
              <w:spacing w:line="240" w:lineRule="auto"/>
              <w:ind w:firstLine="0"/>
              <w:textAlignment w:val="auto"/>
              <w:rPr>
                <w:rFonts w:hint="default" w:ascii="Times New Roman" w:hAnsi="Times New Roman" w:eastAsia="宋体" w:cs="Times New Roman"/>
                <w:color w:val="auto"/>
                <w:kern w:val="21"/>
                <w:sz w:val="18"/>
                <w:szCs w:val="18"/>
                <w:lang w:eastAsia="zh-CN"/>
              </w:rPr>
            </w:pPr>
            <w:r>
              <w:rPr>
                <w:rFonts w:hint="default" w:ascii="Times New Roman" w:hAnsi="Times New Roman" w:cs="Times New Roman"/>
                <w:color w:val="auto"/>
                <w:kern w:val="21"/>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5" w:type="dxa"/>
          <w:trHeight w:val="19" w:hRule="atLeast"/>
          <w:jc w:val="center"/>
        </w:trPr>
        <w:tc>
          <w:tcPr>
            <w:tcW w:w="1055" w:type="dxa"/>
            <w:vMerge w:val="continue"/>
            <w:vAlign w:val="center"/>
          </w:tcPr>
          <w:p>
            <w:pPr>
              <w:widowControl/>
              <w:spacing w:line="240" w:lineRule="auto"/>
              <w:ind w:firstLine="360"/>
              <w:jc w:val="center"/>
              <w:rPr>
                <w:rFonts w:hint="default" w:ascii="Times New Roman" w:hAnsi="Times New Roman" w:cs="Times New Roman"/>
                <w:color w:val="auto"/>
                <w:kern w:val="21"/>
                <w:sz w:val="18"/>
                <w:szCs w:val="18"/>
              </w:rPr>
            </w:pPr>
          </w:p>
        </w:tc>
        <w:tc>
          <w:tcPr>
            <w:tcW w:w="3084"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预测时期</w:t>
            </w:r>
          </w:p>
        </w:tc>
        <w:tc>
          <w:tcPr>
            <w:tcW w:w="10514" w:type="dxa"/>
            <w:gridSpan w:val="11"/>
            <w:vAlign w:val="center"/>
          </w:tcPr>
          <w:p>
            <w:pPr>
              <w:keepNext w:val="0"/>
              <w:keepLines w:val="0"/>
              <w:pageBreakBefore w:val="0"/>
              <w:widowControl/>
              <w:kinsoku/>
              <w:wordWrap/>
              <w:overflowPunct/>
              <w:topLinePunct w:val="0"/>
              <w:autoSpaceDE/>
              <w:autoSpaceDN/>
              <w:bidi w:val="0"/>
              <w:adjustRightInd/>
              <w:snapToGrid/>
              <w:spacing w:line="240" w:lineRule="auto"/>
              <w:ind w:firstLine="0"/>
              <w:textAlignment w:val="auto"/>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丰水期</w:t>
            </w:r>
            <w:r>
              <w:rPr>
                <w:rFonts w:hint="default" w:ascii="Times New Roman" w:hAnsi="Times New Roman" w:cs="Times New Roman"/>
                <w:color w:val="auto"/>
                <w:kern w:val="21"/>
                <w:sz w:val="21"/>
                <w:szCs w:val="21"/>
              </w:rPr>
              <w:sym w:font="Wingdings 2" w:char="00A3"/>
            </w:r>
            <w:r>
              <w:rPr>
                <w:rFonts w:hint="default" w:ascii="Times New Roman" w:hAnsi="Times New Roman" w:cs="Times New Roman"/>
                <w:color w:val="auto"/>
                <w:kern w:val="21"/>
                <w:sz w:val="18"/>
                <w:szCs w:val="18"/>
              </w:rPr>
              <w:t>；平水期</w:t>
            </w:r>
            <w:r>
              <w:rPr>
                <w:rFonts w:hint="default" w:ascii="Times New Roman" w:hAnsi="Times New Roman" w:cs="Times New Roman"/>
                <w:color w:val="auto"/>
                <w:kern w:val="21"/>
                <w:sz w:val="21"/>
                <w:szCs w:val="21"/>
              </w:rPr>
              <w:sym w:font="Wingdings 2" w:char="00A3"/>
            </w:r>
            <w:r>
              <w:rPr>
                <w:rFonts w:hint="default" w:ascii="Times New Roman" w:hAnsi="Times New Roman" w:cs="Times New Roman"/>
                <w:color w:val="auto"/>
                <w:kern w:val="21"/>
                <w:sz w:val="18"/>
                <w:szCs w:val="18"/>
              </w:rPr>
              <w:t>；枯水期</w:t>
            </w:r>
            <w:r>
              <w:rPr>
                <w:rFonts w:hint="default" w:ascii="Times New Roman" w:hAnsi="Times New Roman" w:cs="Times New Roman"/>
                <w:color w:val="auto"/>
                <w:kern w:val="21"/>
                <w:sz w:val="21"/>
                <w:szCs w:val="21"/>
              </w:rPr>
              <w:sym w:font="Wingdings 2" w:char="00A3"/>
            </w:r>
            <w:r>
              <w:rPr>
                <w:rFonts w:hint="default" w:ascii="Times New Roman" w:hAnsi="Times New Roman" w:cs="Times New Roman"/>
                <w:color w:val="auto"/>
                <w:kern w:val="21"/>
                <w:sz w:val="18"/>
                <w:szCs w:val="18"/>
              </w:rPr>
              <w:t>；冰封期</w:t>
            </w:r>
            <w:r>
              <w:rPr>
                <w:rFonts w:hint="default" w:ascii="Times New Roman" w:hAnsi="Times New Roman" w:cs="Times New Roman"/>
                <w:color w:val="auto"/>
                <w:kern w:val="21"/>
                <w:sz w:val="21"/>
                <w:szCs w:val="21"/>
              </w:rPr>
              <w:sym w:font="Wingdings 2" w:char="00A3"/>
            </w:r>
          </w:p>
          <w:p>
            <w:pPr>
              <w:keepNext w:val="0"/>
              <w:keepLines w:val="0"/>
              <w:pageBreakBefore w:val="0"/>
              <w:widowControl/>
              <w:kinsoku/>
              <w:wordWrap/>
              <w:overflowPunct/>
              <w:topLinePunct w:val="0"/>
              <w:autoSpaceDE/>
              <w:autoSpaceDN/>
              <w:bidi w:val="0"/>
              <w:adjustRightInd/>
              <w:snapToGrid/>
              <w:spacing w:line="240" w:lineRule="auto"/>
              <w:ind w:firstLine="0"/>
              <w:textAlignment w:val="auto"/>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春季</w:t>
            </w:r>
            <w:r>
              <w:rPr>
                <w:rFonts w:hint="default" w:ascii="Times New Roman" w:hAnsi="Times New Roman" w:cs="Times New Roman"/>
                <w:color w:val="auto"/>
                <w:kern w:val="21"/>
                <w:sz w:val="21"/>
                <w:szCs w:val="21"/>
              </w:rPr>
              <w:sym w:font="Wingdings 2" w:char="00A3"/>
            </w:r>
            <w:r>
              <w:rPr>
                <w:rFonts w:hint="default" w:ascii="Times New Roman" w:hAnsi="Times New Roman" w:cs="Times New Roman"/>
                <w:color w:val="auto"/>
                <w:kern w:val="21"/>
                <w:sz w:val="18"/>
                <w:szCs w:val="18"/>
              </w:rPr>
              <w:t>；夏季</w:t>
            </w:r>
            <w:r>
              <w:rPr>
                <w:rFonts w:hint="default" w:ascii="Times New Roman" w:hAnsi="Times New Roman" w:cs="Times New Roman"/>
                <w:color w:val="auto"/>
                <w:kern w:val="21"/>
                <w:sz w:val="21"/>
                <w:szCs w:val="21"/>
              </w:rPr>
              <w:sym w:font="Wingdings 2" w:char="00A3"/>
            </w:r>
            <w:r>
              <w:rPr>
                <w:rFonts w:hint="default" w:ascii="Times New Roman" w:hAnsi="Times New Roman" w:cs="Times New Roman"/>
                <w:color w:val="auto"/>
                <w:kern w:val="21"/>
                <w:sz w:val="18"/>
                <w:szCs w:val="18"/>
              </w:rPr>
              <w:t>；秋季</w:t>
            </w:r>
            <w:r>
              <w:rPr>
                <w:rFonts w:hint="default" w:ascii="Times New Roman" w:hAnsi="Times New Roman" w:cs="Times New Roman"/>
                <w:color w:val="auto"/>
                <w:kern w:val="21"/>
                <w:sz w:val="21"/>
                <w:szCs w:val="21"/>
              </w:rPr>
              <w:sym w:font="Wingdings 2" w:char="00A3"/>
            </w:r>
            <w:r>
              <w:rPr>
                <w:rFonts w:hint="default" w:ascii="Times New Roman" w:hAnsi="Times New Roman" w:cs="Times New Roman"/>
                <w:color w:val="auto"/>
                <w:kern w:val="21"/>
                <w:sz w:val="18"/>
                <w:szCs w:val="18"/>
              </w:rPr>
              <w:t>；冬季</w:t>
            </w:r>
            <w:r>
              <w:rPr>
                <w:rFonts w:hint="default" w:ascii="Times New Roman" w:hAnsi="Times New Roman" w:cs="Times New Roman"/>
                <w:color w:val="auto"/>
                <w:kern w:val="21"/>
                <w:sz w:val="21"/>
                <w:szCs w:val="21"/>
              </w:rPr>
              <w:sym w:font="Wingdings 2" w:char="00A3"/>
            </w:r>
          </w:p>
          <w:p>
            <w:pPr>
              <w:keepNext w:val="0"/>
              <w:keepLines w:val="0"/>
              <w:pageBreakBefore w:val="0"/>
              <w:widowControl/>
              <w:kinsoku/>
              <w:wordWrap/>
              <w:overflowPunct/>
              <w:topLinePunct w:val="0"/>
              <w:autoSpaceDE/>
              <w:autoSpaceDN/>
              <w:bidi w:val="0"/>
              <w:adjustRightInd/>
              <w:snapToGrid/>
              <w:spacing w:line="240" w:lineRule="auto"/>
              <w:ind w:firstLine="0"/>
              <w:textAlignment w:val="auto"/>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设计水文条件</w:t>
            </w:r>
            <w:r>
              <w:rPr>
                <w:rFonts w:hint="default" w:ascii="Times New Roman" w:hAnsi="Times New Roman" w:cs="Times New Roman"/>
                <w:color w:val="auto"/>
                <w:kern w:val="21"/>
                <w:sz w:val="21"/>
                <w:szCs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5" w:type="dxa"/>
          <w:trHeight w:val="544" w:hRule="atLeast"/>
          <w:jc w:val="center"/>
        </w:trPr>
        <w:tc>
          <w:tcPr>
            <w:tcW w:w="1055" w:type="dxa"/>
            <w:vMerge w:val="continue"/>
            <w:vAlign w:val="center"/>
          </w:tcPr>
          <w:p>
            <w:pPr>
              <w:widowControl/>
              <w:spacing w:line="240" w:lineRule="auto"/>
              <w:ind w:firstLine="360"/>
              <w:jc w:val="center"/>
              <w:rPr>
                <w:rFonts w:hint="default" w:ascii="Times New Roman" w:hAnsi="Times New Roman" w:cs="Times New Roman"/>
                <w:color w:val="auto"/>
                <w:kern w:val="21"/>
                <w:sz w:val="18"/>
                <w:szCs w:val="18"/>
              </w:rPr>
            </w:pPr>
          </w:p>
        </w:tc>
        <w:tc>
          <w:tcPr>
            <w:tcW w:w="3084"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预测情景</w:t>
            </w:r>
          </w:p>
        </w:tc>
        <w:tc>
          <w:tcPr>
            <w:tcW w:w="10514" w:type="dxa"/>
            <w:gridSpan w:val="11"/>
            <w:vAlign w:val="center"/>
          </w:tcPr>
          <w:p>
            <w:pPr>
              <w:keepNext w:val="0"/>
              <w:keepLines w:val="0"/>
              <w:pageBreakBefore w:val="0"/>
              <w:widowControl/>
              <w:kinsoku/>
              <w:wordWrap/>
              <w:overflowPunct/>
              <w:topLinePunct w:val="0"/>
              <w:autoSpaceDE/>
              <w:autoSpaceDN/>
              <w:bidi w:val="0"/>
              <w:adjustRightInd/>
              <w:snapToGrid/>
              <w:spacing w:line="240" w:lineRule="auto"/>
              <w:ind w:firstLine="0"/>
              <w:textAlignment w:val="auto"/>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建设期</w:t>
            </w:r>
            <w:r>
              <w:rPr>
                <w:rFonts w:hint="default" w:ascii="Times New Roman" w:hAnsi="Times New Roman" w:cs="Times New Roman"/>
                <w:color w:val="auto"/>
                <w:kern w:val="21"/>
                <w:sz w:val="21"/>
                <w:szCs w:val="21"/>
              </w:rPr>
              <w:sym w:font="Wingdings 2" w:char="00A3"/>
            </w:r>
            <w:r>
              <w:rPr>
                <w:rFonts w:hint="default" w:ascii="Times New Roman" w:hAnsi="Times New Roman" w:cs="Times New Roman"/>
                <w:color w:val="auto"/>
                <w:kern w:val="21"/>
                <w:sz w:val="18"/>
                <w:szCs w:val="18"/>
              </w:rPr>
              <w:t>；生产运行期</w:t>
            </w:r>
            <w:r>
              <w:rPr>
                <w:rFonts w:hint="default" w:ascii="Times New Roman" w:hAnsi="Times New Roman" w:cs="Times New Roman"/>
                <w:color w:val="auto"/>
                <w:kern w:val="21"/>
                <w:sz w:val="21"/>
                <w:szCs w:val="21"/>
              </w:rPr>
              <w:sym w:font="Wingdings 2" w:char="00A3"/>
            </w:r>
            <w:r>
              <w:rPr>
                <w:rFonts w:hint="default" w:ascii="Times New Roman" w:hAnsi="Times New Roman" w:cs="Times New Roman"/>
                <w:color w:val="auto"/>
                <w:kern w:val="21"/>
                <w:sz w:val="18"/>
                <w:szCs w:val="18"/>
              </w:rPr>
              <w:t>；服务期满后</w:t>
            </w:r>
            <w:r>
              <w:rPr>
                <w:rFonts w:hint="default" w:ascii="Times New Roman" w:hAnsi="Times New Roman" w:cs="Times New Roman"/>
                <w:color w:val="auto"/>
                <w:kern w:val="21"/>
                <w:sz w:val="21"/>
                <w:szCs w:val="21"/>
              </w:rPr>
              <w:sym w:font="Wingdings 2" w:char="00A3"/>
            </w:r>
          </w:p>
          <w:p>
            <w:pPr>
              <w:keepNext w:val="0"/>
              <w:keepLines w:val="0"/>
              <w:pageBreakBefore w:val="0"/>
              <w:widowControl/>
              <w:kinsoku/>
              <w:wordWrap/>
              <w:overflowPunct/>
              <w:topLinePunct w:val="0"/>
              <w:autoSpaceDE/>
              <w:autoSpaceDN/>
              <w:bidi w:val="0"/>
              <w:adjustRightInd/>
              <w:snapToGrid/>
              <w:spacing w:line="240" w:lineRule="auto"/>
              <w:ind w:firstLine="0"/>
              <w:textAlignment w:val="auto"/>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正常工况</w:t>
            </w:r>
            <w:r>
              <w:rPr>
                <w:rFonts w:hint="default" w:ascii="Times New Roman" w:hAnsi="Times New Roman" w:cs="Times New Roman"/>
                <w:color w:val="auto"/>
                <w:kern w:val="21"/>
                <w:sz w:val="21"/>
                <w:szCs w:val="21"/>
              </w:rPr>
              <w:sym w:font="Wingdings 2" w:char="00A3"/>
            </w:r>
            <w:r>
              <w:rPr>
                <w:rFonts w:hint="default" w:ascii="Times New Roman" w:hAnsi="Times New Roman" w:cs="Times New Roman"/>
                <w:color w:val="auto"/>
                <w:kern w:val="21"/>
                <w:sz w:val="18"/>
                <w:szCs w:val="18"/>
              </w:rPr>
              <w:t>；非正常工况</w:t>
            </w:r>
            <w:r>
              <w:rPr>
                <w:rFonts w:hint="default" w:ascii="Times New Roman" w:hAnsi="Times New Roman" w:cs="Times New Roman"/>
                <w:color w:val="auto"/>
                <w:kern w:val="21"/>
                <w:sz w:val="21"/>
                <w:szCs w:val="21"/>
              </w:rPr>
              <w:sym w:font="Wingdings 2" w:char="00A3"/>
            </w:r>
            <w:r>
              <w:rPr>
                <w:rFonts w:hint="default" w:ascii="Times New Roman" w:hAnsi="Times New Roman" w:cs="Times New Roman"/>
                <w:color w:val="auto"/>
                <w:kern w:val="21"/>
                <w:sz w:val="18"/>
                <w:szCs w:val="18"/>
              </w:rPr>
              <w:t>；</w:t>
            </w:r>
          </w:p>
          <w:p>
            <w:pPr>
              <w:keepNext w:val="0"/>
              <w:keepLines w:val="0"/>
              <w:pageBreakBefore w:val="0"/>
              <w:widowControl/>
              <w:kinsoku/>
              <w:wordWrap/>
              <w:overflowPunct/>
              <w:topLinePunct w:val="0"/>
              <w:autoSpaceDE/>
              <w:autoSpaceDN/>
              <w:bidi w:val="0"/>
              <w:adjustRightInd/>
              <w:snapToGrid/>
              <w:spacing w:line="240" w:lineRule="auto"/>
              <w:ind w:firstLine="0"/>
              <w:textAlignment w:val="auto"/>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污染控制和减缓措施方案</w:t>
            </w:r>
            <w:r>
              <w:rPr>
                <w:rFonts w:hint="default" w:ascii="Times New Roman" w:hAnsi="Times New Roman" w:cs="Times New Roman"/>
                <w:color w:val="auto"/>
                <w:kern w:val="21"/>
                <w:sz w:val="21"/>
                <w:szCs w:val="21"/>
              </w:rPr>
              <w:sym w:font="Wingdings 2" w:char="00A3"/>
            </w:r>
          </w:p>
          <w:p>
            <w:pPr>
              <w:keepNext w:val="0"/>
              <w:keepLines w:val="0"/>
              <w:pageBreakBefore w:val="0"/>
              <w:widowControl/>
              <w:kinsoku/>
              <w:wordWrap/>
              <w:overflowPunct/>
              <w:topLinePunct w:val="0"/>
              <w:autoSpaceDE/>
              <w:autoSpaceDN/>
              <w:bidi w:val="0"/>
              <w:adjustRightInd/>
              <w:snapToGrid/>
              <w:spacing w:line="240" w:lineRule="auto"/>
              <w:ind w:firstLine="0"/>
              <w:textAlignment w:val="auto"/>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区（流）域环境质量改善目标要求情景</w:t>
            </w:r>
            <w:r>
              <w:rPr>
                <w:rFonts w:hint="default" w:ascii="Times New Roman" w:hAnsi="Times New Roman" w:cs="Times New Roman"/>
                <w:color w:val="auto"/>
                <w:kern w:val="21"/>
                <w:sz w:val="21"/>
                <w:szCs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5" w:type="dxa"/>
          <w:trHeight w:val="276" w:hRule="atLeast"/>
          <w:jc w:val="center"/>
        </w:trPr>
        <w:tc>
          <w:tcPr>
            <w:tcW w:w="1055" w:type="dxa"/>
            <w:vMerge w:val="continue"/>
            <w:vAlign w:val="center"/>
          </w:tcPr>
          <w:p>
            <w:pPr>
              <w:widowControl/>
              <w:spacing w:line="240" w:lineRule="auto"/>
              <w:ind w:firstLine="360"/>
              <w:jc w:val="center"/>
              <w:rPr>
                <w:rFonts w:hint="default" w:ascii="Times New Roman" w:hAnsi="Times New Roman" w:cs="Times New Roman"/>
                <w:color w:val="auto"/>
                <w:kern w:val="21"/>
                <w:sz w:val="18"/>
                <w:szCs w:val="18"/>
              </w:rPr>
            </w:pPr>
          </w:p>
        </w:tc>
        <w:tc>
          <w:tcPr>
            <w:tcW w:w="3084"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预测方法</w:t>
            </w:r>
          </w:p>
        </w:tc>
        <w:tc>
          <w:tcPr>
            <w:tcW w:w="10514" w:type="dxa"/>
            <w:gridSpan w:val="11"/>
            <w:vAlign w:val="center"/>
          </w:tcPr>
          <w:p>
            <w:pPr>
              <w:keepNext w:val="0"/>
              <w:keepLines w:val="0"/>
              <w:pageBreakBefore w:val="0"/>
              <w:widowControl/>
              <w:kinsoku/>
              <w:wordWrap/>
              <w:overflowPunct/>
              <w:topLinePunct w:val="0"/>
              <w:autoSpaceDE/>
              <w:autoSpaceDN/>
              <w:bidi w:val="0"/>
              <w:adjustRightInd/>
              <w:snapToGrid/>
              <w:spacing w:line="240" w:lineRule="auto"/>
              <w:ind w:firstLine="0"/>
              <w:textAlignment w:val="auto"/>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数值解口；解析解</w:t>
            </w:r>
            <w:r>
              <w:rPr>
                <w:rFonts w:hint="default" w:ascii="Times New Roman" w:hAnsi="Times New Roman" w:cs="Times New Roman"/>
                <w:color w:val="auto"/>
                <w:kern w:val="21"/>
                <w:sz w:val="21"/>
                <w:szCs w:val="21"/>
              </w:rPr>
              <w:sym w:font="Wingdings 2" w:char="00A3"/>
            </w:r>
            <w:r>
              <w:rPr>
                <w:rFonts w:hint="default" w:ascii="Times New Roman" w:hAnsi="Times New Roman" w:cs="Times New Roman"/>
                <w:color w:val="auto"/>
                <w:kern w:val="21"/>
                <w:sz w:val="18"/>
                <w:szCs w:val="18"/>
              </w:rPr>
              <w:t>；其他导则推荐模式</w:t>
            </w:r>
            <w:r>
              <w:rPr>
                <w:rFonts w:hint="default" w:ascii="Times New Roman" w:hAnsi="Times New Roman" w:cs="Times New Roman"/>
                <w:color w:val="auto"/>
                <w:kern w:val="21"/>
                <w:sz w:val="21"/>
                <w:szCs w:val="21"/>
              </w:rPr>
              <w:sym w:font="Wingdings 2" w:char="00A3"/>
            </w:r>
            <w:r>
              <w:rPr>
                <w:rFonts w:hint="default" w:ascii="Times New Roman" w:hAnsi="Times New Roman" w:cs="Times New Roman"/>
                <w:color w:val="auto"/>
                <w:kern w:val="21"/>
                <w:sz w:val="18"/>
                <w:szCs w:val="18"/>
              </w:rPr>
              <w:t>；其他</w:t>
            </w:r>
            <w:r>
              <w:rPr>
                <w:rFonts w:hint="default" w:ascii="Times New Roman" w:hAnsi="Times New Roman" w:cs="Times New Roman"/>
                <w:color w:val="auto"/>
                <w:kern w:val="21"/>
                <w:sz w:val="21"/>
                <w:szCs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5" w:type="dxa"/>
          <w:trHeight w:val="90" w:hRule="atLeast"/>
          <w:jc w:val="center"/>
        </w:trPr>
        <w:tc>
          <w:tcPr>
            <w:tcW w:w="1055" w:type="dxa"/>
            <w:vMerge w:val="restart"/>
            <w:vAlign w:val="center"/>
          </w:tcPr>
          <w:p>
            <w:pPr>
              <w:widowControl/>
              <w:spacing w:line="240" w:lineRule="auto"/>
              <w:ind w:firstLine="0" w:firstLineChars="0"/>
              <w:jc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环境影响评价</w:t>
            </w:r>
          </w:p>
        </w:tc>
        <w:tc>
          <w:tcPr>
            <w:tcW w:w="3084" w:type="dxa"/>
            <w:vAlign w:val="center"/>
          </w:tcPr>
          <w:p>
            <w:pPr>
              <w:widowControl/>
              <w:spacing w:line="240" w:lineRule="auto"/>
              <w:ind w:firstLine="0" w:firstLineChars="0"/>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水污染控制和水环境影响减缓措施有效性评价</w:t>
            </w:r>
          </w:p>
        </w:tc>
        <w:tc>
          <w:tcPr>
            <w:tcW w:w="10514" w:type="dxa"/>
            <w:gridSpan w:val="11"/>
            <w:vAlign w:val="center"/>
          </w:tcPr>
          <w:p>
            <w:pPr>
              <w:keepNext w:val="0"/>
              <w:keepLines w:val="0"/>
              <w:pageBreakBefore w:val="0"/>
              <w:widowControl/>
              <w:kinsoku/>
              <w:wordWrap/>
              <w:overflowPunct/>
              <w:topLinePunct w:val="0"/>
              <w:autoSpaceDE/>
              <w:autoSpaceDN/>
              <w:bidi w:val="0"/>
              <w:adjustRightInd/>
              <w:snapToGrid/>
              <w:spacing w:line="240" w:lineRule="auto"/>
              <w:ind w:firstLine="0"/>
              <w:textAlignment w:val="auto"/>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区（流）域水环境质量改善目标</w:t>
            </w:r>
            <w:r>
              <w:rPr>
                <w:rFonts w:hint="default" w:ascii="Times New Roman" w:hAnsi="Times New Roman" w:cs="Times New Roman"/>
                <w:color w:val="auto"/>
                <w:kern w:val="21"/>
                <w:sz w:val="21"/>
                <w:szCs w:val="21"/>
              </w:rPr>
              <w:sym w:font="Wingdings 2" w:char="00A3"/>
            </w:r>
            <w:r>
              <w:rPr>
                <w:rFonts w:hint="default" w:ascii="Times New Roman" w:hAnsi="Times New Roman" w:cs="Times New Roman"/>
                <w:color w:val="auto"/>
                <w:kern w:val="21"/>
                <w:sz w:val="18"/>
                <w:szCs w:val="18"/>
              </w:rPr>
              <w:t>；替代削减源</w:t>
            </w:r>
            <w:r>
              <w:rPr>
                <w:rFonts w:hint="default" w:ascii="Times New Roman" w:hAnsi="Times New Roman" w:cs="Times New Roman"/>
                <w:color w:val="auto"/>
                <w:kern w:val="21"/>
                <w:sz w:val="21"/>
                <w:szCs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5" w:type="dxa"/>
          <w:trHeight w:val="90" w:hRule="atLeast"/>
          <w:jc w:val="center"/>
        </w:trPr>
        <w:tc>
          <w:tcPr>
            <w:tcW w:w="1055" w:type="dxa"/>
            <w:vMerge w:val="continue"/>
            <w:vAlign w:val="center"/>
          </w:tcPr>
          <w:p>
            <w:pPr>
              <w:spacing w:line="240" w:lineRule="auto"/>
              <w:ind w:firstLine="360"/>
              <w:rPr>
                <w:rFonts w:hint="default" w:ascii="Times New Roman" w:hAnsi="Times New Roman" w:cs="Times New Roman"/>
                <w:color w:val="auto"/>
                <w:kern w:val="21"/>
                <w:sz w:val="18"/>
                <w:szCs w:val="18"/>
              </w:rPr>
            </w:pPr>
          </w:p>
        </w:tc>
        <w:tc>
          <w:tcPr>
            <w:tcW w:w="3084" w:type="dxa"/>
            <w:vAlign w:val="center"/>
          </w:tcPr>
          <w:p>
            <w:pPr>
              <w:widowControl/>
              <w:spacing w:line="240" w:lineRule="auto"/>
              <w:ind w:firstLine="0" w:firstLineChars="0"/>
              <w:jc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水环境影响评价</w:t>
            </w:r>
          </w:p>
        </w:tc>
        <w:tc>
          <w:tcPr>
            <w:tcW w:w="10514" w:type="dxa"/>
            <w:gridSpan w:val="11"/>
            <w:vAlign w:val="center"/>
          </w:tcPr>
          <w:p>
            <w:pPr>
              <w:keepNext w:val="0"/>
              <w:keepLines w:val="0"/>
              <w:pageBreakBefore w:val="0"/>
              <w:widowControl/>
              <w:kinsoku/>
              <w:wordWrap/>
              <w:overflowPunct/>
              <w:topLinePunct w:val="0"/>
              <w:autoSpaceDE/>
              <w:autoSpaceDN/>
              <w:bidi w:val="0"/>
              <w:adjustRightInd/>
              <w:snapToGrid/>
              <w:spacing w:line="240" w:lineRule="auto"/>
              <w:ind w:firstLine="0"/>
              <w:textAlignment w:val="auto"/>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排放口混合区外满足水环境管理要求</w:t>
            </w:r>
            <w:r>
              <w:rPr>
                <w:rFonts w:hint="default" w:ascii="Times New Roman" w:hAnsi="Times New Roman" w:cs="Times New Roman"/>
                <w:color w:val="auto"/>
                <w:kern w:val="21"/>
                <w:sz w:val="21"/>
                <w:szCs w:val="21"/>
              </w:rPr>
              <w:sym w:font="Wingdings 2" w:char="00A3"/>
            </w:r>
          </w:p>
          <w:p>
            <w:pPr>
              <w:keepNext w:val="0"/>
              <w:keepLines w:val="0"/>
              <w:pageBreakBefore w:val="0"/>
              <w:widowControl/>
              <w:kinsoku/>
              <w:wordWrap/>
              <w:overflowPunct/>
              <w:topLinePunct w:val="0"/>
              <w:autoSpaceDE/>
              <w:autoSpaceDN/>
              <w:bidi w:val="0"/>
              <w:adjustRightInd/>
              <w:snapToGrid/>
              <w:spacing w:line="240" w:lineRule="auto"/>
              <w:ind w:firstLine="0"/>
              <w:textAlignment w:val="auto"/>
              <w:rPr>
                <w:rFonts w:hint="default" w:ascii="Times New Roman" w:hAnsi="Times New Roman" w:cs="Times New Roman"/>
                <w:color w:val="auto"/>
                <w:kern w:val="21"/>
                <w:sz w:val="21"/>
                <w:szCs w:val="21"/>
              </w:rPr>
            </w:pPr>
            <w:r>
              <w:rPr>
                <w:rFonts w:hint="default" w:ascii="Times New Roman" w:hAnsi="Times New Roman" w:cs="Times New Roman"/>
                <w:color w:val="auto"/>
                <w:kern w:val="21"/>
                <w:sz w:val="18"/>
                <w:szCs w:val="18"/>
              </w:rPr>
              <w:t>水环境功能区或水功能区、近岸海域环填功能区水质达标</w:t>
            </w:r>
            <w:r>
              <w:rPr>
                <w:rFonts w:hint="default" w:ascii="Times New Roman" w:hAnsi="Times New Roman" w:cs="Times New Roman"/>
                <w:color w:val="auto"/>
                <w:kern w:val="21"/>
                <w:sz w:val="21"/>
                <w:szCs w:val="21"/>
              </w:rPr>
              <w:sym w:font="Wingdings 2" w:char="00A3"/>
            </w:r>
          </w:p>
          <w:p>
            <w:pPr>
              <w:keepNext w:val="0"/>
              <w:keepLines w:val="0"/>
              <w:pageBreakBefore w:val="0"/>
              <w:widowControl/>
              <w:kinsoku/>
              <w:wordWrap/>
              <w:overflowPunct/>
              <w:topLinePunct w:val="0"/>
              <w:autoSpaceDE/>
              <w:autoSpaceDN/>
              <w:bidi w:val="0"/>
              <w:adjustRightInd/>
              <w:snapToGrid/>
              <w:spacing w:line="240" w:lineRule="auto"/>
              <w:ind w:firstLine="0"/>
              <w:textAlignment w:val="auto"/>
              <w:rPr>
                <w:rFonts w:hint="default" w:ascii="Times New Roman" w:hAnsi="Times New Roman" w:cs="Times New Roman"/>
                <w:color w:val="auto"/>
                <w:kern w:val="21"/>
                <w:sz w:val="21"/>
                <w:szCs w:val="21"/>
              </w:rPr>
            </w:pPr>
            <w:r>
              <w:rPr>
                <w:rFonts w:hint="default" w:ascii="Times New Roman" w:hAnsi="Times New Roman" w:cs="Times New Roman"/>
                <w:color w:val="auto"/>
                <w:kern w:val="21"/>
                <w:sz w:val="18"/>
                <w:szCs w:val="18"/>
              </w:rPr>
              <w:t>满足水环境保护目标水域水环境质量要求</w:t>
            </w:r>
            <w:r>
              <w:rPr>
                <w:rFonts w:hint="default" w:ascii="Times New Roman" w:hAnsi="Times New Roman" w:cs="Times New Roman"/>
                <w:color w:val="auto"/>
                <w:kern w:val="21"/>
                <w:sz w:val="21"/>
                <w:szCs w:val="21"/>
              </w:rPr>
              <w:sym w:font="Wingdings 2" w:char="00A3"/>
            </w:r>
          </w:p>
          <w:p>
            <w:pPr>
              <w:keepNext w:val="0"/>
              <w:keepLines w:val="0"/>
              <w:pageBreakBefore w:val="0"/>
              <w:widowControl/>
              <w:kinsoku/>
              <w:wordWrap/>
              <w:overflowPunct/>
              <w:topLinePunct w:val="0"/>
              <w:autoSpaceDE/>
              <w:autoSpaceDN/>
              <w:bidi w:val="0"/>
              <w:adjustRightInd/>
              <w:snapToGrid/>
              <w:spacing w:line="240" w:lineRule="auto"/>
              <w:ind w:firstLine="0"/>
              <w:textAlignment w:val="auto"/>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水环境控制单元或断面水质达标</w:t>
            </w:r>
            <w:r>
              <w:rPr>
                <w:rFonts w:hint="default" w:ascii="Times New Roman" w:hAnsi="Times New Roman" w:cs="Times New Roman"/>
                <w:color w:val="auto"/>
                <w:kern w:val="21"/>
                <w:sz w:val="21"/>
                <w:szCs w:val="21"/>
              </w:rPr>
              <w:sym w:font="Wingdings 2" w:char="00A3"/>
            </w:r>
          </w:p>
          <w:p>
            <w:pPr>
              <w:keepNext w:val="0"/>
              <w:keepLines w:val="0"/>
              <w:pageBreakBefore w:val="0"/>
              <w:widowControl/>
              <w:kinsoku/>
              <w:wordWrap/>
              <w:overflowPunct/>
              <w:topLinePunct w:val="0"/>
              <w:autoSpaceDE/>
              <w:autoSpaceDN/>
              <w:bidi w:val="0"/>
              <w:adjustRightInd/>
              <w:snapToGrid/>
              <w:spacing w:line="240" w:lineRule="auto"/>
              <w:ind w:firstLine="0"/>
              <w:textAlignment w:val="auto"/>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满足重点水污染物排放总量控制指标要求，重点行业建设项目，主要污染物排放满足等量或减量替代要求</w:t>
            </w:r>
            <w:r>
              <w:rPr>
                <w:rFonts w:hint="default" w:ascii="Times New Roman" w:hAnsi="Times New Roman" w:cs="Times New Roman"/>
                <w:color w:val="auto"/>
                <w:kern w:val="21"/>
                <w:sz w:val="21"/>
                <w:szCs w:val="21"/>
              </w:rPr>
              <w:sym w:font="Wingdings 2" w:char="00A3"/>
            </w:r>
          </w:p>
          <w:p>
            <w:pPr>
              <w:keepNext w:val="0"/>
              <w:keepLines w:val="0"/>
              <w:pageBreakBefore w:val="0"/>
              <w:widowControl/>
              <w:kinsoku/>
              <w:wordWrap/>
              <w:overflowPunct/>
              <w:topLinePunct w:val="0"/>
              <w:autoSpaceDE/>
              <w:autoSpaceDN/>
              <w:bidi w:val="0"/>
              <w:adjustRightInd/>
              <w:snapToGrid/>
              <w:spacing w:line="240" w:lineRule="auto"/>
              <w:ind w:firstLine="0"/>
              <w:textAlignment w:val="auto"/>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满足区（流）域水环境质量改善目标要求</w:t>
            </w:r>
            <w:r>
              <w:rPr>
                <w:rFonts w:hint="default" w:ascii="Times New Roman" w:hAnsi="Times New Roman" w:cs="Times New Roman"/>
                <w:color w:val="auto"/>
                <w:kern w:val="21"/>
                <w:sz w:val="21"/>
                <w:szCs w:val="21"/>
              </w:rPr>
              <w:sym w:font="Wingdings 2" w:char="00A3"/>
            </w:r>
          </w:p>
          <w:p>
            <w:pPr>
              <w:keepNext w:val="0"/>
              <w:keepLines w:val="0"/>
              <w:pageBreakBefore w:val="0"/>
              <w:widowControl/>
              <w:kinsoku/>
              <w:wordWrap/>
              <w:overflowPunct/>
              <w:topLinePunct w:val="0"/>
              <w:autoSpaceDE/>
              <w:autoSpaceDN/>
              <w:bidi w:val="0"/>
              <w:adjustRightInd/>
              <w:snapToGrid/>
              <w:spacing w:line="240" w:lineRule="auto"/>
              <w:ind w:firstLine="0"/>
              <w:textAlignment w:val="auto"/>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水文要素影响型建设项目同时应包括水文情势变化评价、主要水文特征值影响评价、生态流量符合性评价</w:t>
            </w:r>
            <w:r>
              <w:rPr>
                <w:rFonts w:hint="default" w:ascii="Times New Roman" w:hAnsi="Times New Roman" w:cs="Times New Roman"/>
                <w:color w:val="auto"/>
                <w:kern w:val="21"/>
                <w:sz w:val="21"/>
                <w:szCs w:val="21"/>
              </w:rPr>
              <w:sym w:font="Wingdings 2" w:char="00A3"/>
            </w:r>
          </w:p>
          <w:p>
            <w:pPr>
              <w:keepNext w:val="0"/>
              <w:keepLines w:val="0"/>
              <w:pageBreakBefore w:val="0"/>
              <w:widowControl/>
              <w:kinsoku/>
              <w:wordWrap/>
              <w:overflowPunct/>
              <w:topLinePunct w:val="0"/>
              <w:autoSpaceDE/>
              <w:autoSpaceDN/>
              <w:bidi w:val="0"/>
              <w:adjustRightInd/>
              <w:snapToGrid/>
              <w:spacing w:line="240" w:lineRule="auto"/>
              <w:ind w:firstLine="0"/>
              <w:textAlignment w:val="auto"/>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对于新建设或调整入河（湖库、近岸海域）排放口的建设项目，应包括排放口设置的环境合理性评价</w:t>
            </w:r>
            <w:r>
              <w:rPr>
                <w:rFonts w:hint="default" w:ascii="Times New Roman" w:hAnsi="Times New Roman" w:cs="Times New Roman"/>
                <w:color w:val="auto"/>
                <w:kern w:val="21"/>
                <w:sz w:val="21"/>
                <w:szCs w:val="21"/>
              </w:rPr>
              <w:sym w:font="Wingdings 2" w:char="00A3"/>
            </w:r>
          </w:p>
          <w:p>
            <w:pPr>
              <w:keepNext w:val="0"/>
              <w:keepLines w:val="0"/>
              <w:pageBreakBefore w:val="0"/>
              <w:widowControl/>
              <w:kinsoku/>
              <w:wordWrap/>
              <w:overflowPunct/>
              <w:topLinePunct w:val="0"/>
              <w:autoSpaceDE/>
              <w:autoSpaceDN/>
              <w:bidi w:val="0"/>
              <w:adjustRightInd/>
              <w:snapToGrid/>
              <w:spacing w:line="240" w:lineRule="auto"/>
              <w:ind w:firstLine="0"/>
              <w:textAlignment w:val="auto"/>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满足生态保护红线、水环境质量底线、资源利用上线和环境准入清单管理要求</w:t>
            </w:r>
            <w:r>
              <w:rPr>
                <w:rFonts w:hint="default" w:ascii="Times New Roman" w:hAnsi="Times New Roman" w:cs="Times New Roman"/>
                <w:color w:val="auto"/>
                <w:kern w:val="21"/>
                <w:sz w:val="21"/>
                <w:szCs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5" w:type="dxa"/>
          <w:trHeight w:val="156" w:hRule="atLeast"/>
          <w:jc w:val="center"/>
        </w:trPr>
        <w:tc>
          <w:tcPr>
            <w:tcW w:w="1055" w:type="dxa"/>
            <w:vMerge w:val="continue"/>
          </w:tcPr>
          <w:p>
            <w:pPr>
              <w:spacing w:line="240" w:lineRule="auto"/>
              <w:ind w:firstLine="360"/>
              <w:rPr>
                <w:rFonts w:hint="default" w:ascii="Times New Roman" w:hAnsi="Times New Roman" w:cs="Times New Roman"/>
                <w:color w:val="auto"/>
                <w:kern w:val="21"/>
                <w:sz w:val="18"/>
                <w:szCs w:val="18"/>
              </w:rPr>
            </w:pPr>
          </w:p>
        </w:tc>
        <w:tc>
          <w:tcPr>
            <w:tcW w:w="3084" w:type="dxa"/>
            <w:vMerge w:val="restart"/>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污染源排放量核算</w:t>
            </w:r>
          </w:p>
        </w:tc>
        <w:tc>
          <w:tcPr>
            <w:tcW w:w="3091" w:type="dxa"/>
            <w:gridSpan w:val="2"/>
            <w:vAlign w:val="center"/>
          </w:tcPr>
          <w:p>
            <w:pPr>
              <w:widowControl/>
              <w:spacing w:line="240" w:lineRule="auto"/>
              <w:ind w:firstLine="0" w:firstLineChars="0"/>
              <w:jc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污染物名称</w:t>
            </w:r>
          </w:p>
        </w:tc>
        <w:tc>
          <w:tcPr>
            <w:tcW w:w="4336" w:type="dxa"/>
            <w:gridSpan w:val="5"/>
            <w:vAlign w:val="center"/>
          </w:tcPr>
          <w:p>
            <w:pPr>
              <w:widowControl/>
              <w:spacing w:line="240" w:lineRule="auto"/>
              <w:ind w:firstLine="360"/>
              <w:jc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排放量/(t/a)</w:t>
            </w:r>
          </w:p>
        </w:tc>
        <w:tc>
          <w:tcPr>
            <w:tcW w:w="3087" w:type="dxa"/>
            <w:gridSpan w:val="4"/>
            <w:vAlign w:val="center"/>
          </w:tcPr>
          <w:p>
            <w:pPr>
              <w:widowControl/>
              <w:spacing w:line="240" w:lineRule="auto"/>
              <w:ind w:firstLine="360"/>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排放浓度/(mg/L)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5" w:type="dxa"/>
          <w:trHeight w:val="88" w:hRule="atLeast"/>
          <w:jc w:val="center"/>
        </w:trPr>
        <w:tc>
          <w:tcPr>
            <w:tcW w:w="1055" w:type="dxa"/>
            <w:vMerge w:val="continue"/>
          </w:tcPr>
          <w:p>
            <w:pPr>
              <w:spacing w:line="240" w:lineRule="auto"/>
              <w:ind w:firstLine="360"/>
              <w:rPr>
                <w:rFonts w:hint="default" w:ascii="Times New Roman" w:hAnsi="Times New Roman" w:cs="Times New Roman"/>
                <w:color w:val="auto"/>
                <w:kern w:val="21"/>
                <w:sz w:val="18"/>
                <w:szCs w:val="18"/>
              </w:rPr>
            </w:pPr>
          </w:p>
        </w:tc>
        <w:tc>
          <w:tcPr>
            <w:tcW w:w="3084" w:type="dxa"/>
            <w:vMerge w:val="continue"/>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1"/>
                <w:sz w:val="18"/>
                <w:szCs w:val="18"/>
              </w:rPr>
            </w:pPr>
          </w:p>
        </w:tc>
        <w:tc>
          <w:tcPr>
            <w:tcW w:w="3091" w:type="dxa"/>
            <w:gridSpan w:val="2"/>
            <w:vAlign w:val="center"/>
          </w:tcPr>
          <w:p>
            <w:pPr>
              <w:widowControl/>
              <w:spacing w:line="240" w:lineRule="auto"/>
              <w:ind w:firstLine="0" w:firstLineChars="0"/>
              <w:rPr>
                <w:rFonts w:hint="default" w:ascii="Times New Roman" w:hAnsi="Times New Roman" w:eastAsia="宋体" w:cs="Times New Roman"/>
                <w:b/>
                <w:bCs/>
                <w:color w:val="auto"/>
                <w:kern w:val="21"/>
                <w:sz w:val="18"/>
                <w:szCs w:val="18"/>
                <w:lang w:eastAsia="zh-CN"/>
              </w:rPr>
            </w:pPr>
            <w:r>
              <w:rPr>
                <w:rFonts w:hint="default" w:ascii="Times New Roman" w:hAnsi="Times New Roman" w:cs="Times New Roman"/>
                <w:color w:val="auto"/>
                <w:kern w:val="21"/>
                <w:sz w:val="18"/>
                <w:szCs w:val="18"/>
                <w:lang w:bidi="ar"/>
              </w:rPr>
              <w:t>COD</w:t>
            </w:r>
            <w:r>
              <w:rPr>
                <w:rFonts w:hint="default" w:ascii="Times New Roman" w:hAnsi="Times New Roman" w:cs="Times New Roman"/>
                <w:color w:val="auto"/>
                <w:kern w:val="21"/>
                <w:sz w:val="18"/>
                <w:szCs w:val="18"/>
                <w:vertAlign w:val="subscript"/>
                <w:lang w:bidi="ar"/>
              </w:rPr>
              <w:t>C</w:t>
            </w:r>
            <w:r>
              <w:rPr>
                <w:rFonts w:hint="default" w:ascii="Times New Roman" w:hAnsi="Times New Roman" w:cs="Times New Roman"/>
                <w:color w:val="auto"/>
                <w:kern w:val="21"/>
                <w:sz w:val="18"/>
                <w:szCs w:val="18"/>
                <w:lang w:bidi="ar"/>
              </w:rPr>
              <w:t>r、BOD</w:t>
            </w:r>
            <w:r>
              <w:rPr>
                <w:rFonts w:hint="default" w:ascii="Times New Roman" w:hAnsi="Times New Roman" w:cs="Times New Roman"/>
                <w:color w:val="auto"/>
                <w:kern w:val="21"/>
                <w:sz w:val="18"/>
                <w:szCs w:val="18"/>
                <w:vertAlign w:val="subscript"/>
                <w:lang w:bidi="ar"/>
              </w:rPr>
              <w:t>5</w:t>
            </w:r>
            <w:r>
              <w:rPr>
                <w:rFonts w:hint="default" w:ascii="Times New Roman" w:hAnsi="Times New Roman" w:cs="Times New Roman"/>
                <w:color w:val="auto"/>
                <w:kern w:val="21"/>
                <w:sz w:val="18"/>
                <w:szCs w:val="18"/>
                <w:lang w:bidi="ar"/>
              </w:rPr>
              <w:t>、SS、</w:t>
            </w:r>
            <w:r>
              <w:rPr>
                <w:rFonts w:hint="default" w:ascii="Times New Roman" w:hAnsi="Times New Roman" w:cs="Times New Roman"/>
                <w:color w:val="auto"/>
                <w:kern w:val="21"/>
                <w:sz w:val="18"/>
                <w:szCs w:val="18"/>
                <w:lang w:eastAsia="zh-CN" w:bidi="ar"/>
              </w:rPr>
              <w:t>阴离子表面活性剂</w:t>
            </w:r>
          </w:p>
        </w:tc>
        <w:tc>
          <w:tcPr>
            <w:tcW w:w="4336" w:type="dxa"/>
            <w:gridSpan w:val="5"/>
            <w:vAlign w:val="center"/>
          </w:tcPr>
          <w:p>
            <w:pPr>
              <w:spacing w:line="240" w:lineRule="auto"/>
              <w:ind w:firstLine="0" w:firstLineChars="0"/>
              <w:rPr>
                <w:rFonts w:hint="default" w:ascii="Times New Roman" w:hAnsi="Times New Roman" w:eastAsia="宋体" w:cs="Times New Roman"/>
                <w:b/>
                <w:bCs/>
                <w:color w:val="auto"/>
                <w:kern w:val="21"/>
                <w:sz w:val="18"/>
                <w:szCs w:val="18"/>
                <w:lang w:val="en-US" w:eastAsia="zh-CN"/>
              </w:rPr>
            </w:pPr>
            <w:r>
              <w:rPr>
                <w:rFonts w:hint="default" w:ascii="Times New Roman" w:hAnsi="Times New Roman" w:cs="Times New Roman"/>
                <w:color w:val="auto"/>
                <w:kern w:val="21"/>
                <w:sz w:val="18"/>
                <w:szCs w:val="18"/>
                <w:lang w:bidi="ar"/>
              </w:rPr>
              <w:t>COD</w:t>
            </w:r>
            <w:r>
              <w:rPr>
                <w:rFonts w:hint="default" w:ascii="Times New Roman" w:hAnsi="Times New Roman" w:cs="Times New Roman"/>
                <w:color w:val="auto"/>
                <w:kern w:val="21"/>
                <w:sz w:val="18"/>
                <w:szCs w:val="18"/>
                <w:vertAlign w:val="subscript"/>
                <w:lang w:bidi="ar"/>
              </w:rPr>
              <w:t>C</w:t>
            </w:r>
            <w:r>
              <w:rPr>
                <w:rFonts w:hint="default" w:ascii="Times New Roman" w:hAnsi="Times New Roman" w:cs="Times New Roman"/>
                <w:color w:val="auto"/>
                <w:kern w:val="21"/>
                <w:sz w:val="18"/>
                <w:szCs w:val="18"/>
                <w:lang w:bidi="ar"/>
              </w:rPr>
              <w:t>r：</w:t>
            </w:r>
            <w:r>
              <w:rPr>
                <w:rFonts w:hint="default" w:ascii="Times New Roman" w:hAnsi="Times New Roman" w:cs="Times New Roman"/>
                <w:color w:val="auto"/>
                <w:kern w:val="21"/>
                <w:sz w:val="18"/>
                <w:szCs w:val="18"/>
                <w:lang w:val="en-US" w:eastAsia="zh-CN" w:bidi="ar"/>
              </w:rPr>
              <w:t>58.10、</w:t>
            </w:r>
            <w:r>
              <w:rPr>
                <w:rFonts w:hint="default" w:ascii="Times New Roman" w:hAnsi="Times New Roman" w:cs="Times New Roman"/>
                <w:color w:val="auto"/>
                <w:kern w:val="21"/>
                <w:sz w:val="18"/>
                <w:szCs w:val="18"/>
                <w:lang w:bidi="ar"/>
              </w:rPr>
              <w:t>BOD</w:t>
            </w:r>
            <w:r>
              <w:rPr>
                <w:rFonts w:hint="default" w:ascii="Times New Roman" w:hAnsi="Times New Roman" w:cs="Times New Roman"/>
                <w:color w:val="auto"/>
                <w:kern w:val="21"/>
                <w:sz w:val="18"/>
                <w:szCs w:val="18"/>
                <w:vertAlign w:val="subscript"/>
                <w:lang w:bidi="ar"/>
              </w:rPr>
              <w:t>5</w:t>
            </w:r>
            <w:r>
              <w:rPr>
                <w:rFonts w:hint="default" w:ascii="Times New Roman" w:hAnsi="Times New Roman" w:cs="Times New Roman"/>
                <w:color w:val="auto"/>
                <w:kern w:val="21"/>
                <w:sz w:val="18"/>
                <w:szCs w:val="18"/>
                <w:lang w:bidi="ar"/>
              </w:rPr>
              <w:t>：</w:t>
            </w:r>
            <w:r>
              <w:rPr>
                <w:rFonts w:hint="default" w:ascii="Times New Roman" w:hAnsi="Times New Roman" w:cs="Times New Roman"/>
                <w:color w:val="auto"/>
                <w:kern w:val="21"/>
                <w:sz w:val="18"/>
                <w:szCs w:val="18"/>
                <w:lang w:val="en-US" w:eastAsia="zh-CN" w:bidi="ar"/>
              </w:rPr>
              <w:t>23.70</w:t>
            </w:r>
            <w:r>
              <w:rPr>
                <w:rFonts w:hint="default" w:ascii="Times New Roman" w:hAnsi="Times New Roman" w:cs="Times New Roman"/>
                <w:color w:val="auto"/>
                <w:kern w:val="21"/>
                <w:sz w:val="18"/>
                <w:szCs w:val="18"/>
                <w:lang w:bidi="ar"/>
              </w:rPr>
              <w:t>、SS：</w:t>
            </w:r>
            <w:r>
              <w:rPr>
                <w:rFonts w:hint="default" w:ascii="Times New Roman" w:hAnsi="Times New Roman" w:cs="Times New Roman"/>
                <w:color w:val="auto"/>
                <w:kern w:val="21"/>
                <w:sz w:val="18"/>
                <w:szCs w:val="18"/>
                <w:lang w:val="en-US" w:eastAsia="zh-CN" w:bidi="ar"/>
              </w:rPr>
              <w:t>14.95</w:t>
            </w:r>
            <w:r>
              <w:rPr>
                <w:rFonts w:hint="default" w:ascii="Times New Roman" w:hAnsi="Times New Roman" w:cs="Times New Roman"/>
                <w:color w:val="auto"/>
                <w:kern w:val="21"/>
                <w:sz w:val="18"/>
                <w:szCs w:val="18"/>
                <w:lang w:bidi="ar"/>
              </w:rPr>
              <w:t>、</w:t>
            </w:r>
            <w:r>
              <w:rPr>
                <w:rFonts w:hint="default" w:ascii="Times New Roman" w:hAnsi="Times New Roman" w:cs="Times New Roman"/>
                <w:color w:val="auto"/>
                <w:kern w:val="21"/>
                <w:sz w:val="18"/>
                <w:szCs w:val="18"/>
                <w:lang w:eastAsia="zh-CN" w:bidi="ar"/>
              </w:rPr>
              <w:t>阴离子表面活性剂</w:t>
            </w:r>
            <w:r>
              <w:rPr>
                <w:rFonts w:hint="default" w:ascii="Times New Roman" w:hAnsi="Times New Roman" w:cs="Times New Roman"/>
                <w:color w:val="auto"/>
                <w:kern w:val="21"/>
                <w:sz w:val="18"/>
                <w:szCs w:val="18"/>
                <w:lang w:bidi="ar"/>
              </w:rPr>
              <w:t>：</w:t>
            </w:r>
            <w:r>
              <w:rPr>
                <w:rFonts w:hint="default" w:ascii="Times New Roman" w:hAnsi="Times New Roman" w:cs="Times New Roman"/>
                <w:color w:val="auto"/>
                <w:kern w:val="21"/>
                <w:sz w:val="18"/>
                <w:szCs w:val="18"/>
                <w:lang w:val="en-US" w:eastAsia="zh-CN" w:bidi="ar"/>
              </w:rPr>
              <w:t>3.81、氟化物：0.004</w:t>
            </w:r>
          </w:p>
        </w:tc>
        <w:tc>
          <w:tcPr>
            <w:tcW w:w="3087" w:type="dxa"/>
            <w:gridSpan w:val="4"/>
            <w:vAlign w:val="center"/>
          </w:tcPr>
          <w:p>
            <w:pPr>
              <w:widowControl/>
              <w:spacing w:line="240" w:lineRule="auto"/>
              <w:ind w:firstLine="0" w:firstLineChars="0"/>
              <w:jc w:val="left"/>
              <w:rPr>
                <w:rFonts w:hint="default" w:ascii="Times New Roman" w:hAnsi="Times New Roman" w:eastAsia="宋体" w:cs="Times New Roman"/>
                <w:b/>
                <w:bCs/>
                <w:color w:val="auto"/>
                <w:kern w:val="21"/>
                <w:sz w:val="18"/>
                <w:szCs w:val="18"/>
                <w:lang w:eastAsia="zh-CN"/>
              </w:rPr>
            </w:pPr>
            <w:r>
              <w:rPr>
                <w:rFonts w:hint="default" w:ascii="Times New Roman" w:hAnsi="Times New Roman" w:cs="Times New Roman"/>
                <w:color w:val="auto"/>
                <w:spacing w:val="-6"/>
                <w:kern w:val="21"/>
                <w:sz w:val="18"/>
                <w:szCs w:val="18"/>
                <w:lang w:bidi="ar"/>
              </w:rPr>
              <w:t>COD</w:t>
            </w:r>
            <w:r>
              <w:rPr>
                <w:rFonts w:hint="default" w:ascii="Times New Roman" w:hAnsi="Times New Roman" w:cs="Times New Roman"/>
                <w:color w:val="auto"/>
                <w:spacing w:val="-6"/>
                <w:kern w:val="21"/>
                <w:sz w:val="18"/>
                <w:szCs w:val="18"/>
                <w:vertAlign w:val="subscript"/>
                <w:lang w:bidi="ar"/>
              </w:rPr>
              <w:t>C</w:t>
            </w:r>
            <w:r>
              <w:rPr>
                <w:rFonts w:hint="default" w:ascii="Times New Roman" w:hAnsi="Times New Roman" w:cs="Times New Roman"/>
                <w:color w:val="auto"/>
                <w:spacing w:val="-6"/>
                <w:kern w:val="21"/>
                <w:sz w:val="18"/>
                <w:szCs w:val="18"/>
                <w:lang w:bidi="ar"/>
              </w:rPr>
              <w:t>r：</w:t>
            </w:r>
            <w:r>
              <w:rPr>
                <w:rFonts w:hint="default" w:ascii="Times New Roman" w:hAnsi="Times New Roman" w:cs="Times New Roman"/>
                <w:color w:val="auto"/>
                <w:spacing w:val="-6"/>
                <w:kern w:val="21"/>
                <w:sz w:val="18"/>
                <w:szCs w:val="18"/>
                <w:lang w:val="en-US" w:eastAsia="zh-CN" w:bidi="ar"/>
              </w:rPr>
              <w:t>107.39</w:t>
            </w:r>
            <w:r>
              <w:rPr>
                <w:rFonts w:hint="default" w:ascii="Times New Roman" w:hAnsi="Times New Roman" w:cs="Times New Roman"/>
                <w:color w:val="auto"/>
                <w:spacing w:val="-6"/>
                <w:kern w:val="21"/>
                <w:sz w:val="18"/>
                <w:szCs w:val="18"/>
              </w:rPr>
              <w:t>mg/L</w:t>
            </w:r>
            <w:r>
              <w:rPr>
                <w:rFonts w:hint="default" w:ascii="Times New Roman" w:hAnsi="Times New Roman" w:cs="Times New Roman"/>
                <w:color w:val="auto"/>
                <w:spacing w:val="-6"/>
                <w:kern w:val="21"/>
                <w:sz w:val="18"/>
                <w:szCs w:val="18"/>
                <w:lang w:bidi="ar"/>
              </w:rPr>
              <w:t>、BOD</w:t>
            </w:r>
            <w:r>
              <w:rPr>
                <w:rFonts w:hint="default" w:ascii="Times New Roman" w:hAnsi="Times New Roman" w:cs="Times New Roman"/>
                <w:color w:val="auto"/>
                <w:spacing w:val="-6"/>
                <w:kern w:val="21"/>
                <w:sz w:val="18"/>
                <w:szCs w:val="18"/>
                <w:vertAlign w:val="subscript"/>
                <w:lang w:bidi="ar"/>
              </w:rPr>
              <w:t>5</w:t>
            </w:r>
            <w:r>
              <w:rPr>
                <w:rFonts w:hint="default" w:ascii="Times New Roman" w:hAnsi="Times New Roman" w:cs="Times New Roman"/>
                <w:color w:val="auto"/>
                <w:spacing w:val="-6"/>
                <w:kern w:val="21"/>
                <w:sz w:val="18"/>
                <w:szCs w:val="18"/>
                <w:vertAlign w:val="baseline"/>
                <w:lang w:eastAsia="zh-CN" w:bidi="ar"/>
              </w:rPr>
              <w:t>：</w:t>
            </w:r>
            <w:r>
              <w:rPr>
                <w:rFonts w:hint="default" w:ascii="Times New Roman" w:hAnsi="Times New Roman" w:cs="Times New Roman"/>
                <w:color w:val="auto"/>
                <w:spacing w:val="-6"/>
                <w:kern w:val="21"/>
                <w:sz w:val="18"/>
                <w:szCs w:val="18"/>
                <w:vertAlign w:val="baseline"/>
                <w:lang w:val="en-US" w:eastAsia="zh-CN" w:bidi="ar"/>
              </w:rPr>
              <w:t>43.80</w:t>
            </w:r>
            <w:r>
              <w:rPr>
                <w:rFonts w:hint="default" w:ascii="Times New Roman" w:hAnsi="Times New Roman" w:cs="Times New Roman"/>
                <w:color w:val="auto"/>
                <w:spacing w:val="-6"/>
                <w:kern w:val="21"/>
                <w:sz w:val="18"/>
                <w:szCs w:val="18"/>
              </w:rPr>
              <w:t>mg/L</w:t>
            </w:r>
            <w:r>
              <w:rPr>
                <w:rFonts w:hint="default" w:ascii="Times New Roman" w:hAnsi="Times New Roman" w:cs="Times New Roman"/>
                <w:color w:val="auto"/>
                <w:spacing w:val="-6"/>
                <w:kern w:val="21"/>
                <w:sz w:val="18"/>
                <w:szCs w:val="18"/>
                <w:lang w:bidi="ar"/>
              </w:rPr>
              <w:t>、SS</w:t>
            </w:r>
            <w:r>
              <w:rPr>
                <w:rFonts w:hint="default" w:ascii="Times New Roman" w:hAnsi="Times New Roman" w:cs="Times New Roman"/>
                <w:color w:val="auto"/>
                <w:spacing w:val="-6"/>
                <w:kern w:val="21"/>
                <w:sz w:val="18"/>
                <w:szCs w:val="18"/>
                <w:lang w:eastAsia="zh-CN" w:bidi="ar"/>
              </w:rPr>
              <w:t>：</w:t>
            </w:r>
            <w:r>
              <w:rPr>
                <w:rFonts w:hint="default" w:ascii="Times New Roman" w:hAnsi="Times New Roman" w:cs="Times New Roman"/>
                <w:color w:val="auto"/>
                <w:spacing w:val="-6"/>
                <w:kern w:val="21"/>
                <w:sz w:val="18"/>
                <w:szCs w:val="18"/>
                <w:lang w:val="en-US" w:eastAsia="zh-CN" w:bidi="ar"/>
              </w:rPr>
              <w:t>27.62</w:t>
            </w:r>
            <w:r>
              <w:rPr>
                <w:rFonts w:hint="default" w:ascii="Times New Roman" w:hAnsi="Times New Roman" w:cs="Times New Roman"/>
                <w:color w:val="auto"/>
                <w:spacing w:val="-6"/>
                <w:kern w:val="21"/>
                <w:sz w:val="18"/>
                <w:szCs w:val="18"/>
              </w:rPr>
              <w:t>mg/L、</w:t>
            </w:r>
            <w:r>
              <w:rPr>
                <w:rFonts w:hint="default" w:ascii="Times New Roman" w:hAnsi="Times New Roman" w:cs="Times New Roman"/>
                <w:color w:val="auto"/>
                <w:spacing w:val="-6"/>
                <w:kern w:val="21"/>
                <w:sz w:val="18"/>
                <w:szCs w:val="18"/>
                <w:lang w:eastAsia="zh-CN"/>
              </w:rPr>
              <w:t>阴离子表面活性剂：</w:t>
            </w:r>
            <w:r>
              <w:rPr>
                <w:rFonts w:hint="default" w:ascii="Times New Roman" w:hAnsi="Times New Roman" w:cs="Times New Roman"/>
                <w:color w:val="auto"/>
                <w:spacing w:val="-6"/>
                <w:kern w:val="21"/>
                <w:sz w:val="18"/>
                <w:szCs w:val="18"/>
                <w:lang w:val="en-US" w:eastAsia="zh-CN"/>
              </w:rPr>
              <w:t>7.03</w:t>
            </w:r>
            <w:r>
              <w:rPr>
                <w:rFonts w:hint="default" w:ascii="Times New Roman" w:hAnsi="Times New Roman" w:cs="Times New Roman"/>
                <w:color w:val="auto"/>
                <w:spacing w:val="-6"/>
                <w:kern w:val="21"/>
                <w:sz w:val="18"/>
                <w:szCs w:val="18"/>
              </w:rPr>
              <w:t>mg/L</w:t>
            </w:r>
            <w:r>
              <w:rPr>
                <w:rFonts w:hint="default" w:ascii="Times New Roman" w:hAnsi="Times New Roman" w:cs="Times New Roman"/>
                <w:color w:val="auto"/>
                <w:spacing w:val="-6"/>
                <w:kern w:val="21"/>
                <w:sz w:val="18"/>
                <w:szCs w:val="18"/>
                <w:lang w:eastAsia="zh-CN"/>
              </w:rPr>
              <w:t>、氟化物：</w:t>
            </w:r>
            <w:r>
              <w:rPr>
                <w:rFonts w:hint="default" w:ascii="Times New Roman" w:hAnsi="Times New Roman" w:cs="Times New Roman"/>
                <w:color w:val="auto"/>
                <w:spacing w:val="-6"/>
                <w:kern w:val="21"/>
                <w:sz w:val="18"/>
                <w:szCs w:val="18"/>
                <w:lang w:val="en-US" w:eastAsia="zh-CN"/>
              </w:rPr>
              <w:t>0.01</w:t>
            </w:r>
            <w:r>
              <w:rPr>
                <w:rFonts w:hint="default" w:ascii="Times New Roman" w:hAnsi="Times New Roman" w:cs="Times New Roman"/>
                <w:color w:val="auto"/>
                <w:spacing w:val="-6"/>
                <w:kern w:val="21"/>
                <w:sz w:val="18"/>
                <w:szCs w:val="18"/>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5" w:type="dxa"/>
          <w:trHeight w:val="289" w:hRule="atLeast"/>
          <w:jc w:val="center"/>
        </w:trPr>
        <w:tc>
          <w:tcPr>
            <w:tcW w:w="1055" w:type="dxa"/>
            <w:vMerge w:val="continue"/>
          </w:tcPr>
          <w:p>
            <w:pPr>
              <w:spacing w:line="240" w:lineRule="auto"/>
              <w:ind w:firstLine="360"/>
              <w:rPr>
                <w:rFonts w:hint="default" w:ascii="Times New Roman" w:hAnsi="Times New Roman" w:cs="Times New Roman"/>
                <w:color w:val="auto"/>
                <w:kern w:val="21"/>
                <w:sz w:val="18"/>
                <w:szCs w:val="18"/>
              </w:rPr>
            </w:pPr>
          </w:p>
        </w:tc>
        <w:tc>
          <w:tcPr>
            <w:tcW w:w="3084"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1"/>
                <w:sz w:val="18"/>
                <w:szCs w:val="18"/>
              </w:rPr>
            </w:pPr>
          </w:p>
        </w:tc>
        <w:tc>
          <w:tcPr>
            <w:tcW w:w="189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污染源名称</w:t>
            </w:r>
          </w:p>
        </w:tc>
        <w:tc>
          <w:tcPr>
            <w:tcW w:w="2718" w:type="dxa"/>
            <w:gridSpan w:val="3"/>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排污许可证编号</w:t>
            </w:r>
          </w:p>
        </w:tc>
        <w:tc>
          <w:tcPr>
            <w:tcW w:w="1398" w:type="dxa"/>
            <w:gridSpan w:val="2"/>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污染物名称</w:t>
            </w:r>
          </w:p>
        </w:tc>
        <w:tc>
          <w:tcPr>
            <w:tcW w:w="2684" w:type="dxa"/>
            <w:gridSpan w:val="3"/>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排放量/(t/a)</w:t>
            </w:r>
          </w:p>
        </w:tc>
        <w:tc>
          <w:tcPr>
            <w:tcW w:w="1824" w:type="dxa"/>
            <w:gridSpan w:val="2"/>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排放浓度(mg/L)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5" w:type="dxa"/>
          <w:trHeight w:val="220" w:hRule="atLeast"/>
          <w:jc w:val="center"/>
        </w:trPr>
        <w:tc>
          <w:tcPr>
            <w:tcW w:w="1055" w:type="dxa"/>
            <w:vMerge w:val="continue"/>
          </w:tcPr>
          <w:p>
            <w:pPr>
              <w:spacing w:line="240" w:lineRule="auto"/>
              <w:ind w:firstLine="360"/>
              <w:rPr>
                <w:rFonts w:hint="default" w:ascii="Times New Roman" w:hAnsi="Times New Roman" w:cs="Times New Roman"/>
                <w:color w:val="auto"/>
                <w:kern w:val="21"/>
                <w:sz w:val="18"/>
                <w:szCs w:val="18"/>
              </w:rPr>
            </w:pPr>
          </w:p>
        </w:tc>
        <w:tc>
          <w:tcPr>
            <w:tcW w:w="3084"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替代源排放情况</w:t>
            </w:r>
          </w:p>
        </w:tc>
        <w:tc>
          <w:tcPr>
            <w:tcW w:w="189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w:t>
            </w:r>
          </w:p>
        </w:tc>
        <w:tc>
          <w:tcPr>
            <w:tcW w:w="2718" w:type="dxa"/>
            <w:gridSpan w:val="3"/>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w:t>
            </w:r>
          </w:p>
        </w:tc>
        <w:tc>
          <w:tcPr>
            <w:tcW w:w="1398" w:type="dxa"/>
            <w:gridSpan w:val="2"/>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w:t>
            </w:r>
          </w:p>
        </w:tc>
        <w:tc>
          <w:tcPr>
            <w:tcW w:w="2684" w:type="dxa"/>
            <w:gridSpan w:val="3"/>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w:t>
            </w:r>
          </w:p>
        </w:tc>
        <w:tc>
          <w:tcPr>
            <w:tcW w:w="1824" w:type="dxa"/>
            <w:gridSpan w:val="2"/>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5" w:type="dxa"/>
          <w:trHeight w:val="193" w:hRule="atLeast"/>
          <w:jc w:val="center"/>
        </w:trPr>
        <w:tc>
          <w:tcPr>
            <w:tcW w:w="1055" w:type="dxa"/>
            <w:vMerge w:val="continue"/>
          </w:tcPr>
          <w:p>
            <w:pPr>
              <w:spacing w:line="240" w:lineRule="auto"/>
              <w:ind w:firstLine="360"/>
              <w:rPr>
                <w:rFonts w:hint="default" w:ascii="Times New Roman" w:hAnsi="Times New Roman" w:cs="Times New Roman"/>
                <w:color w:val="auto"/>
                <w:kern w:val="21"/>
                <w:sz w:val="18"/>
                <w:szCs w:val="18"/>
              </w:rPr>
            </w:pPr>
          </w:p>
        </w:tc>
        <w:tc>
          <w:tcPr>
            <w:tcW w:w="3084" w:type="dxa"/>
            <w:vMerge w:val="restart"/>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生态流量确定</w:t>
            </w:r>
          </w:p>
        </w:tc>
        <w:tc>
          <w:tcPr>
            <w:tcW w:w="10514" w:type="dxa"/>
            <w:gridSpan w:val="11"/>
            <w:vAlign w:val="center"/>
          </w:tcPr>
          <w:p>
            <w:pPr>
              <w:widowControl/>
              <w:spacing w:line="240" w:lineRule="auto"/>
              <w:ind w:firstLine="360"/>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生态流量，一般水期（）m³/s；鱼类繁殖期（）；其他（）m³/s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5" w:type="dxa"/>
          <w:trHeight w:val="268" w:hRule="atLeast"/>
          <w:jc w:val="center"/>
        </w:trPr>
        <w:tc>
          <w:tcPr>
            <w:tcW w:w="1055" w:type="dxa"/>
            <w:vMerge w:val="continue"/>
          </w:tcPr>
          <w:p>
            <w:pPr>
              <w:widowControl/>
              <w:spacing w:line="240" w:lineRule="auto"/>
              <w:ind w:firstLine="360"/>
              <w:rPr>
                <w:rFonts w:hint="default" w:ascii="Times New Roman" w:hAnsi="Times New Roman" w:cs="Times New Roman"/>
                <w:color w:val="auto"/>
                <w:kern w:val="21"/>
                <w:sz w:val="18"/>
                <w:szCs w:val="18"/>
              </w:rPr>
            </w:pPr>
          </w:p>
        </w:tc>
        <w:tc>
          <w:tcPr>
            <w:tcW w:w="3084" w:type="dxa"/>
            <w:vMerge w:val="continue"/>
            <w:vAlign w:val="center"/>
          </w:tcPr>
          <w:p>
            <w:pPr>
              <w:widowControl/>
              <w:spacing w:line="240" w:lineRule="auto"/>
              <w:ind w:firstLine="360"/>
              <w:rPr>
                <w:rFonts w:hint="default" w:ascii="Times New Roman" w:hAnsi="Times New Roman" w:cs="Times New Roman"/>
                <w:color w:val="auto"/>
                <w:kern w:val="21"/>
                <w:sz w:val="18"/>
                <w:szCs w:val="18"/>
              </w:rPr>
            </w:pPr>
          </w:p>
        </w:tc>
        <w:tc>
          <w:tcPr>
            <w:tcW w:w="10514" w:type="dxa"/>
            <w:gridSpan w:val="11"/>
            <w:vAlign w:val="center"/>
          </w:tcPr>
          <w:p>
            <w:pPr>
              <w:widowControl/>
              <w:spacing w:line="240" w:lineRule="auto"/>
              <w:ind w:firstLine="360"/>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生态水位，一般水期（）m；鱼类繁殖期（）m；其他（）m；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070" w:type="dxa"/>
            <w:gridSpan w:val="2"/>
            <w:vMerge w:val="restart"/>
            <w:vAlign w:val="center"/>
          </w:tcPr>
          <w:p>
            <w:pPr>
              <w:spacing w:line="240" w:lineRule="auto"/>
              <w:ind w:firstLine="0" w:firstLineChars="0"/>
              <w:jc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防治措施</w:t>
            </w:r>
          </w:p>
        </w:tc>
        <w:tc>
          <w:tcPr>
            <w:tcW w:w="3084"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环保措施</w:t>
            </w:r>
          </w:p>
        </w:tc>
        <w:tc>
          <w:tcPr>
            <w:tcW w:w="10514" w:type="dxa"/>
            <w:gridSpan w:val="11"/>
            <w:vAlign w:val="center"/>
          </w:tcPr>
          <w:p>
            <w:pPr>
              <w:widowControl/>
              <w:spacing w:line="240" w:lineRule="auto"/>
              <w:ind w:firstLine="360"/>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污水处理设施</w:t>
            </w:r>
            <w:r>
              <w:rPr>
                <w:rFonts w:hint="default" w:ascii="Times New Roman" w:hAnsi="Times New Roman" w:cs="Times New Roman"/>
                <w:color w:val="auto"/>
                <w:kern w:val="21"/>
                <w:sz w:val="21"/>
                <w:szCs w:val="21"/>
              </w:rPr>
              <w:sym w:font="Wingdings 2" w:char="0052"/>
            </w:r>
            <w:r>
              <w:rPr>
                <w:rFonts w:hint="default" w:ascii="Times New Roman" w:hAnsi="Times New Roman" w:cs="Times New Roman"/>
                <w:color w:val="auto"/>
                <w:kern w:val="21"/>
                <w:sz w:val="18"/>
                <w:szCs w:val="18"/>
              </w:rPr>
              <w:t>；水文减缓设施</w:t>
            </w:r>
            <w:r>
              <w:rPr>
                <w:rFonts w:hint="default" w:ascii="Times New Roman" w:hAnsi="Times New Roman" w:cs="Times New Roman"/>
                <w:color w:val="auto"/>
                <w:kern w:val="21"/>
                <w:sz w:val="21"/>
                <w:szCs w:val="21"/>
              </w:rPr>
              <w:sym w:font="Wingdings 2" w:char="00A3"/>
            </w:r>
            <w:r>
              <w:rPr>
                <w:rFonts w:hint="default" w:ascii="Times New Roman" w:hAnsi="Times New Roman" w:cs="Times New Roman"/>
                <w:color w:val="auto"/>
                <w:kern w:val="21"/>
                <w:sz w:val="18"/>
                <w:szCs w:val="18"/>
              </w:rPr>
              <w:t>；生态流量保障设施</w:t>
            </w:r>
            <w:r>
              <w:rPr>
                <w:rFonts w:hint="default" w:ascii="Times New Roman" w:hAnsi="Times New Roman" w:cs="Times New Roman"/>
                <w:color w:val="auto"/>
                <w:kern w:val="21"/>
                <w:sz w:val="21"/>
                <w:szCs w:val="21"/>
              </w:rPr>
              <w:sym w:font="Wingdings 2" w:char="00A3"/>
            </w:r>
            <w:r>
              <w:rPr>
                <w:rFonts w:hint="default" w:ascii="Times New Roman" w:hAnsi="Times New Roman" w:cs="Times New Roman"/>
                <w:color w:val="auto"/>
                <w:kern w:val="21"/>
                <w:sz w:val="18"/>
                <w:szCs w:val="18"/>
              </w:rPr>
              <w:t>；:区域削减</w:t>
            </w:r>
            <w:r>
              <w:rPr>
                <w:rFonts w:hint="default" w:ascii="Times New Roman" w:hAnsi="Times New Roman" w:cs="Times New Roman"/>
                <w:color w:val="auto"/>
                <w:kern w:val="21"/>
                <w:sz w:val="21"/>
                <w:szCs w:val="21"/>
              </w:rPr>
              <w:sym w:font="Wingdings 2" w:char="00A3"/>
            </w:r>
            <w:r>
              <w:rPr>
                <w:rFonts w:hint="default" w:ascii="Times New Roman" w:hAnsi="Times New Roman" w:cs="Times New Roman"/>
                <w:color w:val="auto"/>
                <w:kern w:val="21"/>
                <w:sz w:val="18"/>
                <w:szCs w:val="18"/>
              </w:rPr>
              <w:t>；依托其他工程措施</w:t>
            </w:r>
            <w:r>
              <w:rPr>
                <w:rFonts w:hint="default" w:ascii="Times New Roman" w:hAnsi="Times New Roman" w:cs="Times New Roman"/>
                <w:color w:val="auto"/>
                <w:kern w:val="21"/>
                <w:sz w:val="21"/>
                <w:szCs w:val="21"/>
              </w:rPr>
              <w:sym w:font="Wingdings 2" w:char="00A3"/>
            </w:r>
            <w:r>
              <w:rPr>
                <w:rFonts w:hint="default" w:ascii="Times New Roman" w:hAnsi="Times New Roman" w:cs="Times New Roman"/>
                <w:color w:val="auto"/>
                <w:kern w:val="21"/>
                <w:sz w:val="18"/>
                <w:szCs w:val="18"/>
              </w:rPr>
              <w:t>；其他</w:t>
            </w:r>
            <w:r>
              <w:rPr>
                <w:rFonts w:hint="default" w:ascii="Times New Roman" w:hAnsi="Times New Roman" w:cs="Times New Roman"/>
                <w:color w:val="auto"/>
                <w:kern w:val="21"/>
                <w:sz w:val="21"/>
                <w:szCs w:val="21"/>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1070" w:type="dxa"/>
            <w:gridSpan w:val="2"/>
            <w:vMerge w:val="continue"/>
            <w:vAlign w:val="center"/>
          </w:tcPr>
          <w:p>
            <w:pPr>
              <w:spacing w:line="240" w:lineRule="auto"/>
              <w:ind w:firstLine="360"/>
              <w:rPr>
                <w:rFonts w:hint="default" w:ascii="Times New Roman" w:hAnsi="Times New Roman" w:cs="Times New Roman"/>
                <w:color w:val="auto"/>
                <w:kern w:val="21"/>
                <w:sz w:val="18"/>
                <w:szCs w:val="18"/>
              </w:rPr>
            </w:pPr>
          </w:p>
        </w:tc>
        <w:tc>
          <w:tcPr>
            <w:tcW w:w="3084" w:type="dxa"/>
            <w:vMerge w:val="restart"/>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监测计划</w:t>
            </w:r>
          </w:p>
        </w:tc>
        <w:tc>
          <w:tcPr>
            <w:tcW w:w="1890" w:type="dxa"/>
            <w:vAlign w:val="center"/>
          </w:tcPr>
          <w:p>
            <w:pPr>
              <w:widowControl/>
              <w:spacing w:line="240" w:lineRule="auto"/>
              <w:ind w:firstLine="360"/>
              <w:rPr>
                <w:rFonts w:hint="default" w:ascii="Times New Roman" w:hAnsi="Times New Roman" w:cs="Times New Roman"/>
                <w:color w:val="auto"/>
                <w:kern w:val="21"/>
                <w:sz w:val="18"/>
                <w:szCs w:val="18"/>
              </w:rPr>
            </w:pPr>
          </w:p>
        </w:tc>
        <w:tc>
          <w:tcPr>
            <w:tcW w:w="4116" w:type="dxa"/>
            <w:gridSpan w:val="5"/>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环境质量</w:t>
            </w:r>
          </w:p>
        </w:tc>
        <w:tc>
          <w:tcPr>
            <w:tcW w:w="4508" w:type="dxa"/>
            <w:gridSpan w:val="5"/>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污染源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1070" w:type="dxa"/>
            <w:gridSpan w:val="2"/>
            <w:vMerge w:val="continue"/>
            <w:vAlign w:val="center"/>
          </w:tcPr>
          <w:p>
            <w:pPr>
              <w:spacing w:line="240" w:lineRule="auto"/>
              <w:ind w:firstLine="360"/>
              <w:rPr>
                <w:rFonts w:hint="default" w:ascii="Times New Roman" w:hAnsi="Times New Roman" w:cs="Times New Roman"/>
                <w:color w:val="auto"/>
                <w:kern w:val="21"/>
                <w:sz w:val="18"/>
                <w:szCs w:val="18"/>
              </w:rPr>
            </w:pPr>
          </w:p>
        </w:tc>
        <w:tc>
          <w:tcPr>
            <w:tcW w:w="3084" w:type="dxa"/>
            <w:vMerge w:val="continue"/>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1"/>
                <w:sz w:val="18"/>
                <w:szCs w:val="18"/>
              </w:rPr>
            </w:pPr>
          </w:p>
        </w:tc>
        <w:tc>
          <w:tcPr>
            <w:tcW w:w="189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监测方案</w:t>
            </w:r>
          </w:p>
        </w:tc>
        <w:tc>
          <w:tcPr>
            <w:tcW w:w="4116" w:type="dxa"/>
            <w:gridSpan w:val="5"/>
            <w:vAlign w:val="center"/>
          </w:tcPr>
          <w:p>
            <w:pPr>
              <w:widowControl/>
              <w:spacing w:line="240" w:lineRule="auto"/>
              <w:ind w:firstLine="0" w:firstLineChars="0"/>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手动</w:t>
            </w:r>
            <w:r>
              <w:rPr>
                <w:rFonts w:hint="default" w:ascii="Times New Roman" w:hAnsi="Times New Roman" w:cs="Times New Roman"/>
                <w:color w:val="auto"/>
                <w:kern w:val="21"/>
                <w:sz w:val="21"/>
                <w:szCs w:val="21"/>
              </w:rPr>
              <w:sym w:font="Wingdings 2" w:char="00A3"/>
            </w:r>
            <w:r>
              <w:rPr>
                <w:rFonts w:hint="default" w:ascii="Times New Roman" w:hAnsi="Times New Roman" w:cs="Times New Roman"/>
                <w:color w:val="auto"/>
                <w:kern w:val="21"/>
                <w:sz w:val="18"/>
                <w:szCs w:val="18"/>
              </w:rPr>
              <w:t>；自动</w:t>
            </w:r>
            <w:r>
              <w:rPr>
                <w:rFonts w:hint="default" w:ascii="Times New Roman" w:hAnsi="Times New Roman" w:cs="Times New Roman"/>
                <w:color w:val="auto"/>
                <w:kern w:val="21"/>
                <w:sz w:val="21"/>
                <w:szCs w:val="21"/>
              </w:rPr>
              <w:sym w:font="Wingdings 2" w:char="00A3"/>
            </w:r>
            <w:r>
              <w:rPr>
                <w:rFonts w:hint="default" w:ascii="Times New Roman" w:hAnsi="Times New Roman" w:cs="Times New Roman"/>
                <w:color w:val="auto"/>
                <w:kern w:val="21"/>
                <w:sz w:val="18"/>
                <w:szCs w:val="18"/>
              </w:rPr>
              <w:t>；无监测</w:t>
            </w:r>
            <w:r>
              <w:rPr>
                <w:rFonts w:hint="default" w:ascii="Times New Roman" w:hAnsi="Times New Roman" w:cs="Times New Roman"/>
                <w:color w:val="auto"/>
                <w:kern w:val="21"/>
                <w:sz w:val="21"/>
                <w:szCs w:val="21"/>
              </w:rPr>
              <w:sym w:font="Wingdings 2" w:char="0052"/>
            </w:r>
          </w:p>
        </w:tc>
        <w:tc>
          <w:tcPr>
            <w:tcW w:w="4508" w:type="dxa"/>
            <w:gridSpan w:val="5"/>
            <w:vAlign w:val="center"/>
          </w:tcPr>
          <w:p>
            <w:pPr>
              <w:keepNext w:val="0"/>
              <w:keepLines w:val="0"/>
              <w:pageBreakBefore w:val="0"/>
              <w:widowControl/>
              <w:kinsoku/>
              <w:wordWrap/>
              <w:overflowPunct/>
              <w:topLinePunct w:val="0"/>
              <w:autoSpaceDE/>
              <w:autoSpaceDN/>
              <w:bidi w:val="0"/>
              <w:adjustRightInd/>
              <w:snapToGrid/>
              <w:spacing w:line="240" w:lineRule="auto"/>
              <w:ind w:firstLine="0"/>
              <w:textAlignment w:val="auto"/>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手动</w:t>
            </w:r>
            <w:r>
              <w:rPr>
                <w:rFonts w:hint="default" w:ascii="Times New Roman" w:hAnsi="Times New Roman" w:cs="Times New Roman"/>
                <w:color w:val="auto"/>
                <w:kern w:val="21"/>
                <w:sz w:val="21"/>
                <w:szCs w:val="21"/>
              </w:rPr>
              <w:sym w:font="Wingdings 2" w:char="00A3"/>
            </w:r>
            <w:r>
              <w:rPr>
                <w:rFonts w:hint="default" w:ascii="Times New Roman" w:hAnsi="Times New Roman" w:cs="Times New Roman"/>
                <w:color w:val="auto"/>
                <w:kern w:val="21"/>
                <w:sz w:val="18"/>
                <w:szCs w:val="18"/>
              </w:rPr>
              <w:t>；自动</w:t>
            </w:r>
            <w:r>
              <w:rPr>
                <w:rFonts w:hint="default" w:ascii="Times New Roman" w:hAnsi="Times New Roman" w:cs="Times New Roman"/>
                <w:color w:val="auto"/>
                <w:kern w:val="21"/>
                <w:sz w:val="21"/>
                <w:szCs w:val="21"/>
              </w:rPr>
              <w:sym w:font="Wingdings 2" w:char="0052"/>
            </w:r>
            <w:r>
              <w:rPr>
                <w:rFonts w:hint="default" w:ascii="Times New Roman" w:hAnsi="Times New Roman" w:cs="Times New Roman"/>
                <w:color w:val="auto"/>
                <w:kern w:val="21"/>
                <w:sz w:val="18"/>
                <w:szCs w:val="18"/>
              </w:rPr>
              <w:t>；无监测</w:t>
            </w:r>
            <w:r>
              <w:rPr>
                <w:rFonts w:hint="default" w:ascii="Times New Roman" w:hAnsi="Times New Roman" w:cs="Times New Roman"/>
                <w:color w:val="auto"/>
                <w:kern w:val="21"/>
                <w:sz w:val="21"/>
                <w:szCs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1070" w:type="dxa"/>
            <w:gridSpan w:val="2"/>
            <w:vMerge w:val="continue"/>
            <w:vAlign w:val="center"/>
          </w:tcPr>
          <w:p>
            <w:pPr>
              <w:spacing w:line="240" w:lineRule="auto"/>
              <w:ind w:firstLine="360"/>
              <w:rPr>
                <w:rFonts w:hint="default" w:ascii="Times New Roman" w:hAnsi="Times New Roman" w:cs="Times New Roman"/>
                <w:color w:val="auto"/>
                <w:kern w:val="21"/>
                <w:sz w:val="18"/>
                <w:szCs w:val="18"/>
              </w:rPr>
            </w:pPr>
          </w:p>
        </w:tc>
        <w:tc>
          <w:tcPr>
            <w:tcW w:w="3084" w:type="dxa"/>
            <w:vMerge w:val="continue"/>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1"/>
                <w:sz w:val="18"/>
                <w:szCs w:val="18"/>
              </w:rPr>
            </w:pPr>
          </w:p>
        </w:tc>
        <w:tc>
          <w:tcPr>
            <w:tcW w:w="189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监测点位</w:t>
            </w:r>
          </w:p>
        </w:tc>
        <w:tc>
          <w:tcPr>
            <w:tcW w:w="4116" w:type="dxa"/>
            <w:gridSpan w:val="5"/>
            <w:vAlign w:val="center"/>
          </w:tcPr>
          <w:p>
            <w:pPr>
              <w:widowControl/>
              <w:spacing w:line="240" w:lineRule="auto"/>
              <w:ind w:firstLine="0" w:firstLineChars="0"/>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w:t>
            </w:r>
          </w:p>
        </w:tc>
        <w:tc>
          <w:tcPr>
            <w:tcW w:w="4508" w:type="dxa"/>
            <w:gridSpan w:val="5"/>
            <w:vAlign w:val="center"/>
          </w:tcPr>
          <w:p>
            <w:pPr>
              <w:keepNext w:val="0"/>
              <w:keepLines w:val="0"/>
              <w:pageBreakBefore w:val="0"/>
              <w:widowControl/>
              <w:kinsoku/>
              <w:wordWrap/>
              <w:overflowPunct/>
              <w:topLinePunct w:val="0"/>
              <w:autoSpaceDE/>
              <w:autoSpaceDN/>
              <w:bidi w:val="0"/>
              <w:adjustRightInd/>
              <w:snapToGrid/>
              <w:spacing w:line="240" w:lineRule="auto"/>
              <w:ind w:firstLine="0"/>
              <w:textAlignment w:val="auto"/>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w:t>
            </w:r>
            <w:r>
              <w:rPr>
                <w:rFonts w:hint="default" w:ascii="Times New Roman" w:hAnsi="Times New Roman" w:cs="Times New Roman"/>
                <w:color w:val="auto"/>
                <w:kern w:val="21"/>
                <w:sz w:val="18"/>
                <w:szCs w:val="18"/>
                <w:lang w:eastAsia="zh-CN"/>
              </w:rPr>
              <w:t>项目总排口</w:t>
            </w:r>
            <w:r>
              <w:rPr>
                <w:rFonts w:hint="default" w:ascii="Times New Roman" w:hAnsi="Times New Roman" w:cs="Times New Roman"/>
                <w:color w:val="auto"/>
                <w:kern w:val="21"/>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070" w:type="dxa"/>
            <w:gridSpan w:val="2"/>
            <w:vMerge w:val="continue"/>
          </w:tcPr>
          <w:p>
            <w:pPr>
              <w:spacing w:line="240" w:lineRule="auto"/>
              <w:ind w:firstLine="360"/>
              <w:rPr>
                <w:rFonts w:hint="default" w:ascii="Times New Roman" w:hAnsi="Times New Roman" w:cs="Times New Roman"/>
                <w:color w:val="auto"/>
                <w:kern w:val="21"/>
                <w:sz w:val="18"/>
                <w:szCs w:val="18"/>
              </w:rPr>
            </w:pPr>
          </w:p>
        </w:tc>
        <w:tc>
          <w:tcPr>
            <w:tcW w:w="3084" w:type="dxa"/>
            <w:vMerge w:val="continue"/>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1"/>
                <w:sz w:val="18"/>
                <w:szCs w:val="18"/>
              </w:rPr>
            </w:pPr>
          </w:p>
        </w:tc>
        <w:tc>
          <w:tcPr>
            <w:tcW w:w="189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监测因子</w:t>
            </w:r>
          </w:p>
        </w:tc>
        <w:tc>
          <w:tcPr>
            <w:tcW w:w="4116" w:type="dxa"/>
            <w:gridSpan w:val="5"/>
            <w:vAlign w:val="center"/>
          </w:tcPr>
          <w:p>
            <w:pPr>
              <w:widowControl/>
              <w:spacing w:line="240" w:lineRule="auto"/>
              <w:ind w:firstLine="0" w:firstLineChars="0"/>
              <w:rPr>
                <w:rFonts w:hint="default" w:ascii="Times New Roman" w:hAnsi="Times New Roman" w:eastAsia="宋体" w:cs="Times New Roman"/>
                <w:color w:val="auto"/>
                <w:kern w:val="21"/>
                <w:sz w:val="18"/>
                <w:szCs w:val="18"/>
                <w:lang w:eastAsia="zh-CN"/>
              </w:rPr>
            </w:pPr>
            <w:r>
              <w:rPr>
                <w:rFonts w:hint="default" w:ascii="Times New Roman" w:hAnsi="Times New Roman" w:cs="Times New Roman"/>
                <w:color w:val="auto"/>
                <w:kern w:val="21"/>
                <w:sz w:val="18"/>
                <w:szCs w:val="18"/>
                <w:lang w:val="en-US" w:eastAsia="zh-CN"/>
              </w:rPr>
              <w:t>/</w:t>
            </w:r>
          </w:p>
        </w:tc>
        <w:tc>
          <w:tcPr>
            <w:tcW w:w="4508" w:type="dxa"/>
            <w:gridSpan w:val="5"/>
            <w:vAlign w:val="center"/>
          </w:tcPr>
          <w:p>
            <w:pPr>
              <w:widowControl/>
              <w:spacing w:line="240" w:lineRule="auto"/>
              <w:ind w:firstLine="0" w:firstLineChars="0"/>
              <w:rPr>
                <w:rFonts w:hint="default" w:ascii="Times New Roman" w:hAnsi="Times New Roman" w:cs="Times New Roman"/>
                <w:color w:val="auto"/>
                <w:kern w:val="21"/>
                <w:sz w:val="18"/>
                <w:szCs w:val="18"/>
              </w:rPr>
            </w:pPr>
            <w:r>
              <w:rPr>
                <w:rFonts w:hint="default" w:ascii="Times New Roman" w:hAnsi="Times New Roman" w:eastAsia="宋体" w:cs="Times New Roman"/>
                <w:color w:val="auto"/>
                <w:kern w:val="21"/>
                <w:sz w:val="18"/>
                <w:szCs w:val="18"/>
                <w:lang w:eastAsia="zh-CN"/>
              </w:rPr>
              <w:t>流量、pH、COD、氨氮</w:t>
            </w:r>
            <w:r>
              <w:rPr>
                <w:rFonts w:hint="default" w:ascii="Times New Roman" w:hAnsi="Times New Roman" w:cs="Times New Roman"/>
                <w:color w:val="auto"/>
                <w:kern w:val="21"/>
                <w:sz w:val="18"/>
                <w:szCs w:val="18"/>
                <w:lang w:eastAsia="zh-CN"/>
              </w:rPr>
              <w:t>、氟化物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1070" w:type="dxa"/>
            <w:gridSpan w:val="2"/>
            <w:vMerge w:val="continue"/>
          </w:tcPr>
          <w:p>
            <w:pPr>
              <w:widowControl/>
              <w:spacing w:line="240" w:lineRule="auto"/>
              <w:ind w:firstLine="360"/>
              <w:rPr>
                <w:rFonts w:hint="default" w:ascii="Times New Roman" w:hAnsi="Times New Roman" w:cs="Times New Roman"/>
                <w:color w:val="auto"/>
                <w:kern w:val="21"/>
                <w:sz w:val="18"/>
                <w:szCs w:val="18"/>
              </w:rPr>
            </w:pPr>
          </w:p>
        </w:tc>
        <w:tc>
          <w:tcPr>
            <w:tcW w:w="3084"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污染物排放清单</w:t>
            </w:r>
          </w:p>
        </w:tc>
        <w:tc>
          <w:tcPr>
            <w:tcW w:w="10514" w:type="dxa"/>
            <w:gridSpan w:val="11"/>
            <w:vAlign w:val="center"/>
          </w:tcPr>
          <w:p>
            <w:pPr>
              <w:widowControl/>
              <w:spacing w:line="240" w:lineRule="auto"/>
              <w:ind w:firstLine="420"/>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21"/>
                <w:szCs w:val="21"/>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jc w:val="center"/>
        </w:trPr>
        <w:tc>
          <w:tcPr>
            <w:tcW w:w="4154" w:type="dxa"/>
            <w:gridSpan w:val="3"/>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评价结论</w:t>
            </w:r>
          </w:p>
        </w:tc>
        <w:tc>
          <w:tcPr>
            <w:tcW w:w="10514" w:type="dxa"/>
            <w:gridSpan w:val="11"/>
            <w:vAlign w:val="center"/>
          </w:tcPr>
          <w:p>
            <w:pPr>
              <w:widowControl/>
              <w:spacing w:line="240" w:lineRule="auto"/>
              <w:ind w:firstLine="360"/>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可以接受</w:t>
            </w:r>
            <w:r>
              <w:rPr>
                <w:rFonts w:hint="default" w:ascii="Times New Roman" w:hAnsi="Times New Roman" w:cs="Times New Roman"/>
                <w:color w:val="auto"/>
                <w:kern w:val="21"/>
                <w:sz w:val="21"/>
                <w:szCs w:val="21"/>
              </w:rPr>
              <w:sym w:font="Wingdings 2" w:char="00A3"/>
            </w:r>
            <w:r>
              <w:rPr>
                <w:rFonts w:hint="default" w:ascii="Times New Roman" w:hAnsi="Times New Roman" w:cs="Times New Roman"/>
                <w:color w:val="auto"/>
                <w:kern w:val="21"/>
                <w:sz w:val="18"/>
                <w:szCs w:val="18"/>
              </w:rPr>
              <w:t>，不可以接受</w:t>
            </w:r>
            <w:r>
              <w:rPr>
                <w:rFonts w:hint="default" w:ascii="Times New Roman" w:hAnsi="Times New Roman" w:cs="Times New Roman"/>
                <w:color w:val="auto"/>
                <w:kern w:val="21"/>
                <w:sz w:val="21"/>
                <w:szCs w:val="21"/>
              </w:rPr>
              <w:sym w:font="Wingdings 2" w:char="0052"/>
            </w:r>
            <w:r>
              <w:rPr>
                <w:rFonts w:hint="default" w:ascii="Times New Roman" w:hAnsi="Times New Roman" w:cs="Times New Roman"/>
                <w:color w:val="auto"/>
                <w:kern w:val="21"/>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668" w:type="dxa"/>
            <w:gridSpan w:val="14"/>
            <w:vAlign w:val="center"/>
          </w:tcPr>
          <w:p>
            <w:pPr>
              <w:widowControl/>
              <w:spacing w:line="240" w:lineRule="auto"/>
              <w:ind w:firstLine="360"/>
              <w:jc w:val="center"/>
              <w:rPr>
                <w:rFonts w:hint="default" w:ascii="Times New Roman" w:hAnsi="Times New Roman" w:cs="Times New Roman"/>
                <w:color w:val="auto"/>
                <w:kern w:val="21"/>
                <w:szCs w:val="21"/>
              </w:rPr>
            </w:pPr>
            <w:r>
              <w:rPr>
                <w:rFonts w:hint="default" w:ascii="Times New Roman" w:hAnsi="Times New Roman" w:cs="Times New Roman"/>
                <w:color w:val="auto"/>
                <w:kern w:val="21"/>
                <w:sz w:val="18"/>
                <w:szCs w:val="18"/>
              </w:rPr>
              <w:t>注："</w:t>
            </w:r>
            <w:r>
              <w:rPr>
                <w:rFonts w:hint="default" w:ascii="Times New Roman" w:hAnsi="Times New Roman" w:cs="Times New Roman"/>
                <w:color w:val="auto"/>
                <w:kern w:val="21"/>
                <w:sz w:val="21"/>
                <w:szCs w:val="21"/>
              </w:rPr>
              <w:sym w:font="Wingdings 2" w:char="00A3"/>
            </w:r>
            <w:r>
              <w:rPr>
                <w:rFonts w:hint="default" w:ascii="Times New Roman" w:hAnsi="Times New Roman" w:cs="Times New Roman"/>
                <w:color w:val="auto"/>
                <w:kern w:val="21"/>
                <w:sz w:val="18"/>
                <w:szCs w:val="18"/>
              </w:rPr>
              <w:t>"为勾选项；可√；"（）"为内容填写项，"备注"为其他补充内容。</w:t>
            </w:r>
          </w:p>
        </w:tc>
      </w:tr>
    </w:tbl>
    <w:p>
      <w:pPr>
        <w:pStyle w:val="6"/>
        <w:spacing w:before="0" w:after="0" w:line="360" w:lineRule="auto"/>
        <w:rPr>
          <w:rFonts w:hint="default" w:ascii="Times New Roman" w:hAnsi="Times New Roman" w:cs="Times New Roman"/>
          <w:color w:val="FF0000"/>
          <w:szCs w:val="28"/>
          <w:lang w:val="en-US" w:eastAsia="zh-CN"/>
        </w:rPr>
        <w:sectPr>
          <w:pgSz w:w="16838" w:h="11906" w:orient="landscape"/>
          <w:pgMar w:top="1797" w:right="1440" w:bottom="1797" w:left="1440" w:header="851" w:footer="992" w:gutter="0"/>
          <w:pgBorders>
            <w:top w:val="none" w:sz="0" w:space="0"/>
            <w:left w:val="none" w:sz="0" w:space="0"/>
            <w:bottom w:val="none" w:sz="0" w:space="0"/>
            <w:right w:val="none" w:sz="0" w:space="0"/>
          </w:pgBorders>
          <w:cols w:space="0" w:num="1"/>
          <w:rtlGutter w:val="0"/>
          <w:docGrid w:linePitch="312" w:charSpace="0"/>
        </w:sectPr>
      </w:pPr>
    </w:p>
    <w:p>
      <w:pPr>
        <w:pStyle w:val="6"/>
        <w:spacing w:before="0" w:after="0" w:line="360" w:lineRule="auto"/>
        <w:rPr>
          <w:rFonts w:hint="default" w:ascii="Times New Roman" w:hAnsi="Times New Roman" w:cs="Times New Roman"/>
          <w:color w:val="auto"/>
          <w:szCs w:val="28"/>
        </w:rPr>
      </w:pPr>
      <w:bookmarkStart w:id="903" w:name="_Toc31035"/>
      <w:r>
        <w:rPr>
          <w:rFonts w:hint="default" w:ascii="Times New Roman" w:hAnsi="Times New Roman" w:cs="Times New Roman"/>
          <w:color w:val="auto"/>
          <w:szCs w:val="28"/>
          <w:lang w:val="en-US" w:eastAsia="zh-CN"/>
        </w:rPr>
        <w:t>5</w:t>
      </w:r>
      <w:r>
        <w:rPr>
          <w:rFonts w:hint="default" w:ascii="Times New Roman" w:hAnsi="Times New Roman" w:cs="Times New Roman"/>
          <w:color w:val="auto"/>
          <w:szCs w:val="28"/>
        </w:rPr>
        <w:t>.2.3运营期声环境影响分析</w:t>
      </w:r>
      <w:bookmarkEnd w:id="901"/>
      <w:bookmarkEnd w:id="902"/>
      <w:bookmarkEnd w:id="903"/>
    </w:p>
    <w:p>
      <w:pPr>
        <w:spacing w:line="360" w:lineRule="auto"/>
        <w:ind w:firstLine="482" w:firstLineChars="200"/>
        <w:rPr>
          <w:rFonts w:hint="default" w:ascii="Times New Roman" w:hAnsi="Times New Roman" w:eastAsia="宋体" w:cs="Times New Roman"/>
          <w:b/>
          <w:bCs/>
          <w:color w:val="auto"/>
          <w:szCs w:val="32"/>
          <w:lang w:eastAsia="zh-CN"/>
        </w:rPr>
      </w:pPr>
      <w:r>
        <w:rPr>
          <w:rFonts w:hint="default" w:ascii="Times New Roman" w:hAnsi="Times New Roman" w:cs="Times New Roman"/>
          <w:b/>
          <w:bCs/>
          <w:color w:val="auto"/>
          <w:szCs w:val="32"/>
          <w:lang w:eastAsia="zh-CN"/>
        </w:rPr>
        <w:t>一、声源分析</w:t>
      </w:r>
    </w:p>
    <w:p>
      <w:pPr>
        <w:spacing w:line="360" w:lineRule="auto"/>
        <w:ind w:firstLine="480"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1、主要声源的确定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Cs w:val="32"/>
          <w:lang w:eastAsia="zh-CN"/>
        </w:rPr>
      </w:pPr>
      <w:r>
        <w:rPr>
          <w:rFonts w:hint="default" w:ascii="Times New Roman" w:hAnsi="Times New Roman" w:cs="Times New Roman" w:eastAsiaTheme="minorEastAsia"/>
          <w:b w:val="0"/>
          <w:bCs w:val="0"/>
          <w:color w:val="auto"/>
          <w:sz w:val="24"/>
          <w:szCs w:val="24"/>
          <w:lang w:eastAsia="zh-CN"/>
        </w:rPr>
        <w:t>本项目为工业企业，主要噪声源为生产车间内的设备噪声，为固定声源；项目移动声源较少，为运输车辆噪声，本次环评不计列为项目主要噪声源。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2、声源的空间分布</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eastAsiaTheme="minorEastAsia"/>
          <w:b w:val="0"/>
          <w:bCs w:val="0"/>
          <w:color w:val="auto"/>
          <w:sz w:val="24"/>
          <w:szCs w:val="24"/>
          <w:lang w:eastAsia="zh-CN"/>
        </w:rPr>
      </w:pPr>
      <w:r>
        <w:rPr>
          <w:rFonts w:hint="default" w:ascii="Times New Roman" w:hAnsi="Times New Roman" w:cs="Times New Roman" w:eastAsiaTheme="minorEastAsia"/>
          <w:b w:val="0"/>
          <w:bCs w:val="0"/>
          <w:color w:val="auto"/>
          <w:sz w:val="24"/>
          <w:szCs w:val="24"/>
          <w:lang w:eastAsia="zh-CN"/>
        </w:rPr>
        <w:t>项目噪声源主要分布在切片车间内，噪声源为主要为切片机、清洗机、脱胶机，属于室内声源。</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 w:val="0"/>
          <w:bCs w:val="0"/>
          <w:color w:val="auto"/>
          <w:lang w:val="en-US" w:eastAsia="zh-CN"/>
        </w:rPr>
      </w:pPr>
      <w:r>
        <w:rPr>
          <w:rFonts w:hint="default" w:ascii="Times New Roman" w:hAnsi="Times New Roman" w:cs="Times New Roman" w:eastAsiaTheme="minorEastAsia"/>
          <w:color w:val="auto"/>
          <w:sz w:val="24"/>
          <w:szCs w:val="24"/>
          <w:lang w:eastAsia="zh-CN"/>
        </w:rPr>
        <w:t>项目产生噪声的噪声源强调查清单见下表，噪声源分布见图</w:t>
      </w:r>
      <w:r>
        <w:rPr>
          <w:rFonts w:hint="default" w:ascii="Times New Roman" w:hAnsi="Times New Roman" w:cs="Times New Roman" w:eastAsiaTheme="minorEastAsia"/>
          <w:color w:val="auto"/>
          <w:sz w:val="24"/>
          <w:szCs w:val="24"/>
          <w:lang w:val="en-US" w:eastAsia="zh-CN"/>
        </w:rPr>
        <w:t>5-2。</w:t>
      </w:r>
    </w:p>
    <w:p>
      <w:pPr>
        <w:snapToGrid w:val="0"/>
        <w:spacing w:line="360" w:lineRule="auto"/>
        <w:ind w:firstLine="480" w:firstLineChars="200"/>
        <w:rPr>
          <w:rFonts w:hint="default" w:ascii="Times New Roman" w:hAnsi="Times New Roman" w:cs="Times New Roman" w:eastAsiaTheme="minorEastAsia"/>
          <w:color w:val="FF0000"/>
          <w:sz w:val="24"/>
          <w:szCs w:val="24"/>
          <w:lang w:eastAsia="zh-CN"/>
        </w:rPr>
      </w:pPr>
    </w:p>
    <w:p>
      <w:pPr>
        <w:rPr>
          <w:rFonts w:hint="default" w:ascii="Times New Roman" w:hAnsi="Times New Roman" w:cs="Times New Roman" w:eastAsiaTheme="minorEastAsia"/>
          <w:color w:val="FF0000"/>
          <w:sz w:val="24"/>
          <w:szCs w:val="24"/>
          <w:lang w:eastAsia="zh-CN"/>
        </w:rPr>
      </w:pPr>
    </w:p>
    <w:p>
      <w:pPr>
        <w:pStyle w:val="2"/>
        <w:rPr>
          <w:rFonts w:hint="default" w:ascii="Times New Roman" w:hAnsi="Times New Roman" w:cs="Times New Roman" w:eastAsiaTheme="minorEastAsia"/>
          <w:color w:val="FF0000"/>
          <w:sz w:val="24"/>
          <w:szCs w:val="24"/>
          <w:lang w:eastAsia="zh-CN"/>
        </w:rPr>
      </w:pPr>
    </w:p>
    <w:p>
      <w:pPr>
        <w:rPr>
          <w:rFonts w:hint="default" w:ascii="Times New Roman" w:hAnsi="Times New Roman" w:cs="Times New Roman" w:eastAsiaTheme="minorEastAsia"/>
          <w:color w:val="FF0000"/>
          <w:sz w:val="24"/>
          <w:szCs w:val="24"/>
          <w:lang w:eastAsia="zh-CN"/>
        </w:rPr>
      </w:pPr>
    </w:p>
    <w:p>
      <w:pPr>
        <w:pStyle w:val="2"/>
        <w:rPr>
          <w:rFonts w:hint="default" w:ascii="Times New Roman" w:hAnsi="Times New Roman" w:cs="Times New Roman" w:eastAsiaTheme="minorEastAsia"/>
          <w:color w:val="FF0000"/>
          <w:sz w:val="24"/>
          <w:szCs w:val="24"/>
          <w:lang w:eastAsia="zh-CN"/>
        </w:rPr>
      </w:pPr>
    </w:p>
    <w:p>
      <w:pPr>
        <w:rPr>
          <w:rFonts w:hint="default" w:ascii="Times New Roman" w:hAnsi="Times New Roman" w:cs="Times New Roman"/>
          <w:color w:val="FF0000"/>
        </w:rPr>
        <w:sectPr>
          <w:pgSz w:w="11906" w:h="16838"/>
          <w:pgMar w:top="1440" w:right="1797" w:bottom="1440" w:left="1797" w:header="851" w:footer="992" w:gutter="0"/>
          <w:pgBorders>
            <w:top w:val="none" w:sz="0" w:space="0"/>
            <w:left w:val="none" w:sz="0" w:space="0"/>
            <w:bottom w:val="none" w:sz="0" w:space="0"/>
            <w:right w:val="none" w:sz="0" w:space="0"/>
          </w:pgBorders>
          <w:cols w:space="720" w:num="1"/>
          <w:docGrid w:linePitch="312" w:charSpace="0"/>
        </w:sectPr>
      </w:pPr>
    </w:p>
    <w:p>
      <w:pPr>
        <w:pStyle w:val="178"/>
        <w:keepNext w:val="0"/>
        <w:keepLines w:val="0"/>
        <w:pageBreakBefore w:val="0"/>
        <w:widowControl/>
        <w:numPr>
          <w:ilvl w:val="0"/>
          <w:numId w:val="7"/>
        </w:numPr>
        <w:kinsoku/>
        <w:wordWrap/>
        <w:overflowPunct/>
        <w:topLinePunct w:val="0"/>
        <w:autoSpaceDE/>
        <w:autoSpaceDN/>
        <w:bidi w:val="0"/>
        <w:adjustRightInd/>
        <w:snapToGrid/>
        <w:spacing w:beforeLines="0" w:afterLines="0" w:line="360" w:lineRule="auto"/>
        <w:ind w:left="0" w:leftChars="0" w:firstLine="0" w:firstLineChars="0"/>
        <w:textAlignment w:val="auto"/>
        <w:rPr>
          <w:rFonts w:hint="default" w:ascii="Times New Roman" w:hAnsi="Times New Roman" w:cs="Times New Roman"/>
          <w:b/>
          <w:color w:val="auto"/>
        </w:rPr>
      </w:pPr>
      <w:r>
        <w:rPr>
          <w:rFonts w:hint="default" w:ascii="Times New Roman" w:hAnsi="Times New Roman" w:cs="Times New Roman"/>
          <w:b/>
          <w:color w:val="auto"/>
          <w:lang w:eastAsia="zh-CN"/>
        </w:rPr>
        <w:t>工业企业噪声源强调查清单（室内声源）</w:t>
      </w:r>
    </w:p>
    <w:tbl>
      <w:tblPr>
        <w:tblStyle w:val="44"/>
        <w:tblW w:w="147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800"/>
        <w:gridCol w:w="667"/>
        <w:gridCol w:w="383"/>
        <w:gridCol w:w="1124"/>
        <w:gridCol w:w="766"/>
        <w:gridCol w:w="584"/>
        <w:gridCol w:w="509"/>
        <w:gridCol w:w="499"/>
        <w:gridCol w:w="530"/>
        <w:gridCol w:w="525"/>
        <w:gridCol w:w="492"/>
        <w:gridCol w:w="542"/>
        <w:gridCol w:w="455"/>
        <w:gridCol w:w="450"/>
        <w:gridCol w:w="418"/>
        <w:gridCol w:w="520"/>
        <w:gridCol w:w="551"/>
        <w:gridCol w:w="547"/>
        <w:gridCol w:w="514"/>
        <w:gridCol w:w="514"/>
        <w:gridCol w:w="563"/>
        <w:gridCol w:w="498"/>
        <w:gridCol w:w="450"/>
        <w:gridCol w:w="514"/>
        <w:gridCol w:w="493"/>
        <w:gridCol w:w="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exact"/>
          <w:jc w:val="center"/>
        </w:trPr>
        <w:tc>
          <w:tcPr>
            <w:tcW w:w="426" w:type="dxa"/>
            <w:vMerge w:val="restart"/>
            <w:vAlign w:val="center"/>
          </w:tcPr>
          <w:p>
            <w:pPr>
              <w:jc w:val="both"/>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b/>
                <w:color w:val="auto"/>
                <w:sz w:val="18"/>
                <w:szCs w:val="18"/>
              </w:rPr>
              <w:t>序号</w:t>
            </w:r>
          </w:p>
        </w:tc>
        <w:tc>
          <w:tcPr>
            <w:tcW w:w="800" w:type="dxa"/>
            <w:vMerge w:val="restart"/>
            <w:vAlign w:val="center"/>
          </w:tcPr>
          <w:p>
            <w:pPr>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b/>
                <w:color w:val="auto"/>
                <w:sz w:val="18"/>
                <w:szCs w:val="18"/>
              </w:rPr>
              <w:t>建筑物名称</w:t>
            </w:r>
          </w:p>
        </w:tc>
        <w:tc>
          <w:tcPr>
            <w:tcW w:w="667" w:type="dxa"/>
            <w:vMerge w:val="restart"/>
            <w:vAlign w:val="center"/>
          </w:tcPr>
          <w:p>
            <w:pPr>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b/>
                <w:color w:val="auto"/>
                <w:sz w:val="18"/>
                <w:szCs w:val="18"/>
              </w:rPr>
              <w:t>声源名称</w:t>
            </w:r>
          </w:p>
        </w:tc>
        <w:tc>
          <w:tcPr>
            <w:tcW w:w="383" w:type="dxa"/>
            <w:vMerge w:val="restart"/>
            <w:vAlign w:val="center"/>
          </w:tcPr>
          <w:p>
            <w:pPr>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b/>
                <w:color w:val="auto"/>
                <w:sz w:val="18"/>
                <w:szCs w:val="18"/>
              </w:rPr>
              <w:t>型号</w:t>
            </w:r>
          </w:p>
        </w:tc>
        <w:tc>
          <w:tcPr>
            <w:tcW w:w="1124" w:type="dxa"/>
            <w:vAlign w:val="center"/>
          </w:tcPr>
          <w:p>
            <w:pPr>
              <w:jc w:val="center"/>
              <w:rPr>
                <w:rFonts w:hint="default" w:ascii="Times New Roman" w:hAnsi="Times New Roman" w:cs="Times New Roman" w:eastAsiaTheme="minorEastAsia"/>
                <w:color w:val="auto"/>
                <w:sz w:val="18"/>
                <w:szCs w:val="18"/>
                <w:lang w:eastAsia="zh-CN"/>
              </w:rPr>
            </w:pPr>
            <w:r>
              <w:rPr>
                <w:rFonts w:hint="default" w:ascii="Times New Roman" w:hAnsi="Times New Roman" w:cs="Times New Roman" w:eastAsiaTheme="minorEastAsia"/>
                <w:b/>
                <w:color w:val="auto"/>
                <w:sz w:val="18"/>
                <w:szCs w:val="18"/>
                <w:lang w:eastAsia="zh-CN"/>
              </w:rPr>
              <w:t>声源源强</w:t>
            </w:r>
          </w:p>
        </w:tc>
        <w:tc>
          <w:tcPr>
            <w:tcW w:w="766" w:type="dxa"/>
            <w:vMerge w:val="restart"/>
            <w:vAlign w:val="center"/>
          </w:tcPr>
          <w:p>
            <w:pPr>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b/>
                <w:color w:val="auto"/>
                <w:sz w:val="18"/>
                <w:szCs w:val="18"/>
              </w:rPr>
              <w:t>声源控制措施</w:t>
            </w:r>
          </w:p>
        </w:tc>
        <w:tc>
          <w:tcPr>
            <w:tcW w:w="1592" w:type="dxa"/>
            <w:gridSpan w:val="3"/>
            <w:vAlign w:val="center"/>
          </w:tcPr>
          <w:p>
            <w:pPr>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b/>
                <w:color w:val="auto"/>
                <w:sz w:val="18"/>
                <w:szCs w:val="18"/>
              </w:rPr>
              <w:t>空间相对位置/m</w:t>
            </w:r>
          </w:p>
        </w:tc>
        <w:tc>
          <w:tcPr>
            <w:tcW w:w="2089" w:type="dxa"/>
            <w:gridSpan w:val="4"/>
            <w:vAlign w:val="center"/>
          </w:tcPr>
          <w:p>
            <w:pPr>
              <w:jc w:val="center"/>
              <w:rPr>
                <w:rFonts w:hint="default" w:ascii="Times New Roman" w:hAnsi="Times New Roman" w:cs="Times New Roman" w:eastAsiaTheme="minorEastAsia"/>
                <w:b/>
                <w:color w:val="auto"/>
                <w:sz w:val="18"/>
                <w:szCs w:val="18"/>
              </w:rPr>
            </w:pPr>
            <w:r>
              <w:rPr>
                <w:rFonts w:hint="default" w:ascii="Times New Roman" w:hAnsi="Times New Roman" w:cs="Times New Roman" w:eastAsiaTheme="minorEastAsia"/>
                <w:b/>
                <w:color w:val="auto"/>
                <w:sz w:val="18"/>
                <w:szCs w:val="18"/>
              </w:rPr>
              <w:t>距室内边界距离/m</w:t>
            </w:r>
          </w:p>
        </w:tc>
        <w:tc>
          <w:tcPr>
            <w:tcW w:w="1843" w:type="dxa"/>
            <w:gridSpan w:val="4"/>
            <w:vAlign w:val="center"/>
          </w:tcPr>
          <w:p>
            <w:pPr>
              <w:jc w:val="center"/>
              <w:rPr>
                <w:rFonts w:hint="default" w:ascii="Times New Roman" w:hAnsi="Times New Roman" w:cs="Times New Roman" w:eastAsiaTheme="minorEastAsia"/>
                <w:b/>
                <w:color w:val="auto"/>
                <w:sz w:val="18"/>
                <w:szCs w:val="18"/>
              </w:rPr>
            </w:pPr>
            <w:r>
              <w:rPr>
                <w:rFonts w:hint="default" w:ascii="Times New Roman" w:hAnsi="Times New Roman" w:cs="Times New Roman" w:eastAsiaTheme="minorEastAsia"/>
                <w:b/>
                <w:color w:val="auto"/>
                <w:sz w:val="18"/>
                <w:szCs w:val="18"/>
              </w:rPr>
              <w:t>室内边界声级/dB(A)</w:t>
            </w:r>
          </w:p>
        </w:tc>
        <w:tc>
          <w:tcPr>
            <w:tcW w:w="551" w:type="dxa"/>
            <w:vMerge w:val="restart"/>
            <w:vAlign w:val="center"/>
          </w:tcPr>
          <w:p>
            <w:pPr>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b/>
                <w:color w:val="auto"/>
                <w:sz w:val="18"/>
                <w:szCs w:val="18"/>
              </w:rPr>
              <w:t>运行时段</w:t>
            </w:r>
          </w:p>
        </w:tc>
        <w:tc>
          <w:tcPr>
            <w:tcW w:w="2138" w:type="dxa"/>
            <w:gridSpan w:val="4"/>
            <w:vAlign w:val="center"/>
          </w:tcPr>
          <w:p>
            <w:pPr>
              <w:jc w:val="center"/>
              <w:rPr>
                <w:rFonts w:hint="default" w:ascii="Times New Roman" w:hAnsi="Times New Roman" w:cs="Times New Roman" w:eastAsiaTheme="minorEastAsia"/>
                <w:b/>
                <w:color w:val="auto"/>
                <w:sz w:val="18"/>
                <w:szCs w:val="18"/>
              </w:rPr>
            </w:pPr>
            <w:r>
              <w:rPr>
                <w:rFonts w:hint="default" w:ascii="Times New Roman" w:hAnsi="Times New Roman" w:cs="Times New Roman" w:eastAsiaTheme="minorEastAsia"/>
                <w:b/>
                <w:color w:val="auto"/>
                <w:sz w:val="18"/>
                <w:szCs w:val="18"/>
              </w:rPr>
              <w:t>建筑物插入损失 / dB(A)</w:t>
            </w:r>
            <w:bookmarkStart w:id="904" w:name="PT_10"/>
            <w:bookmarkEnd w:id="904"/>
          </w:p>
        </w:tc>
        <w:tc>
          <w:tcPr>
            <w:tcW w:w="2411" w:type="dxa"/>
            <w:gridSpan w:val="5"/>
            <w:vAlign w:val="center"/>
          </w:tcPr>
          <w:p>
            <w:pPr>
              <w:jc w:val="center"/>
              <w:rPr>
                <w:rFonts w:hint="default" w:ascii="Times New Roman" w:hAnsi="Times New Roman" w:cs="Times New Roman" w:eastAsiaTheme="minorEastAsia"/>
                <w:b/>
                <w:bCs w:val="0"/>
                <w:color w:val="auto"/>
                <w:sz w:val="18"/>
                <w:szCs w:val="18"/>
              </w:rPr>
            </w:pPr>
            <w:r>
              <w:rPr>
                <w:rFonts w:hint="default" w:ascii="Times New Roman" w:hAnsi="Times New Roman" w:cs="Times New Roman" w:eastAsiaTheme="minorEastAsia"/>
                <w:b/>
                <w:bCs w:val="0"/>
                <w:color w:val="auto"/>
                <w:sz w:val="18"/>
                <w:szCs w:val="18"/>
              </w:rPr>
              <w:t>建筑物外噪声声压级/dB(A)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426" w:type="dxa"/>
            <w:vMerge w:val="continue"/>
            <w:shd w:val="clear" w:color="auto" w:fill="FFFFFF"/>
            <w:tcMar>
              <w:top w:w="0" w:type="dxa"/>
              <w:left w:w="0" w:type="dxa"/>
              <w:bottom w:w="0" w:type="dxa"/>
              <w:right w:w="0" w:type="dxa"/>
            </w:tcMar>
            <w:vAlign w:val="center"/>
          </w:tcPr>
          <w:p>
            <w:pPr>
              <w:jc w:val="center"/>
              <w:rPr>
                <w:rFonts w:hint="default" w:ascii="Times New Roman" w:hAnsi="Times New Roman" w:cs="Times New Roman" w:eastAsiaTheme="minorEastAsia"/>
                <w:color w:val="auto"/>
                <w:sz w:val="18"/>
                <w:szCs w:val="18"/>
                <w:lang w:val="en-US" w:eastAsia="zh-CN"/>
              </w:rPr>
            </w:pPr>
          </w:p>
        </w:tc>
        <w:tc>
          <w:tcPr>
            <w:tcW w:w="800" w:type="dxa"/>
            <w:vMerge w:val="continue"/>
            <w:shd w:val="clear" w:color="auto" w:fill="FFFFFF"/>
            <w:tcMar>
              <w:top w:w="0" w:type="dxa"/>
              <w:left w:w="0" w:type="dxa"/>
              <w:bottom w:w="0" w:type="dxa"/>
              <w:right w:w="0" w:type="dxa"/>
            </w:tcMar>
            <w:vAlign w:val="center"/>
          </w:tcPr>
          <w:p>
            <w:pPr>
              <w:jc w:val="center"/>
              <w:rPr>
                <w:rFonts w:hint="default" w:ascii="Times New Roman" w:hAnsi="Times New Roman" w:cs="Times New Roman" w:eastAsiaTheme="minorEastAsia"/>
                <w:color w:val="auto"/>
                <w:sz w:val="18"/>
                <w:szCs w:val="18"/>
              </w:rPr>
            </w:pPr>
          </w:p>
        </w:tc>
        <w:tc>
          <w:tcPr>
            <w:tcW w:w="667" w:type="dxa"/>
            <w:vMerge w:val="continue"/>
            <w:shd w:val="clear" w:color="auto" w:fill="FFFFFF"/>
            <w:tcMar>
              <w:top w:w="0" w:type="dxa"/>
              <w:left w:w="0" w:type="dxa"/>
              <w:bottom w:w="0" w:type="dxa"/>
              <w:right w:w="0" w:type="dxa"/>
            </w:tcMar>
            <w:vAlign w:val="center"/>
          </w:tcPr>
          <w:p>
            <w:pPr>
              <w:jc w:val="center"/>
              <w:rPr>
                <w:rFonts w:hint="default" w:ascii="Times New Roman" w:hAnsi="Times New Roman" w:cs="Times New Roman" w:eastAsiaTheme="minorEastAsia"/>
                <w:color w:val="auto"/>
                <w:sz w:val="18"/>
                <w:szCs w:val="18"/>
              </w:rPr>
            </w:pPr>
          </w:p>
        </w:tc>
        <w:tc>
          <w:tcPr>
            <w:tcW w:w="383" w:type="dxa"/>
            <w:vMerge w:val="continue"/>
            <w:shd w:val="clear" w:color="auto" w:fill="FFFFFF"/>
            <w:tcMar>
              <w:top w:w="0" w:type="dxa"/>
              <w:left w:w="0" w:type="dxa"/>
              <w:bottom w:w="0" w:type="dxa"/>
              <w:right w:w="0" w:type="dxa"/>
            </w:tcMar>
            <w:vAlign w:val="center"/>
          </w:tcPr>
          <w:p>
            <w:pPr>
              <w:jc w:val="center"/>
              <w:rPr>
                <w:rFonts w:hint="default" w:ascii="Times New Roman" w:hAnsi="Times New Roman" w:cs="Times New Roman" w:eastAsiaTheme="minorEastAsia"/>
                <w:color w:val="auto"/>
                <w:sz w:val="18"/>
                <w:szCs w:val="18"/>
              </w:rPr>
            </w:pPr>
          </w:p>
        </w:tc>
        <w:tc>
          <w:tcPr>
            <w:tcW w:w="1124" w:type="dxa"/>
            <w:shd w:val="clear" w:color="auto" w:fill="FFFFFF"/>
            <w:tcMar>
              <w:top w:w="0" w:type="dxa"/>
              <w:left w:w="0" w:type="dxa"/>
              <w:bottom w:w="0" w:type="dxa"/>
              <w:right w:w="0" w:type="dxa"/>
            </w:tcMar>
            <w:vAlign w:val="center"/>
          </w:tcPr>
          <w:p>
            <w:pPr>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（声压级/距声源距离）/（dB(A)/m）</w:t>
            </w:r>
          </w:p>
        </w:tc>
        <w:tc>
          <w:tcPr>
            <w:tcW w:w="766" w:type="dxa"/>
            <w:vMerge w:val="continue"/>
            <w:shd w:val="clear" w:color="auto" w:fill="FFFFFF"/>
            <w:tcMar>
              <w:top w:w="0" w:type="dxa"/>
              <w:left w:w="0" w:type="dxa"/>
              <w:bottom w:w="0" w:type="dxa"/>
              <w:right w:w="0" w:type="dxa"/>
            </w:tcMar>
            <w:vAlign w:val="center"/>
          </w:tcPr>
          <w:p>
            <w:pPr>
              <w:jc w:val="center"/>
              <w:rPr>
                <w:rFonts w:hint="default" w:ascii="Times New Roman" w:hAnsi="Times New Roman" w:cs="Times New Roman" w:eastAsiaTheme="minorEastAsia"/>
                <w:color w:val="auto"/>
                <w:sz w:val="18"/>
                <w:szCs w:val="18"/>
              </w:rPr>
            </w:pPr>
          </w:p>
        </w:tc>
        <w:tc>
          <w:tcPr>
            <w:tcW w:w="584" w:type="dxa"/>
            <w:shd w:val="clear" w:color="auto" w:fill="FFFFFF"/>
            <w:tcMar>
              <w:top w:w="0" w:type="dxa"/>
              <w:left w:w="0" w:type="dxa"/>
              <w:bottom w:w="0" w:type="dxa"/>
              <w:right w:w="0" w:type="dxa"/>
            </w:tcMar>
            <w:vAlign w:val="center"/>
          </w:tcPr>
          <w:p>
            <w:pPr>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X</w:t>
            </w:r>
          </w:p>
        </w:tc>
        <w:tc>
          <w:tcPr>
            <w:tcW w:w="5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Y</w:t>
            </w:r>
          </w:p>
        </w:tc>
        <w:tc>
          <w:tcPr>
            <w:tcW w:w="499" w:type="dxa"/>
            <w:shd w:val="clear" w:color="auto" w:fill="FFFFFF"/>
            <w:tcMar>
              <w:top w:w="0" w:type="dxa"/>
              <w:left w:w="0" w:type="dxa"/>
              <w:bottom w:w="0" w:type="dxa"/>
              <w:right w:w="0" w:type="dxa"/>
            </w:tcMar>
            <w:vAlign w:val="center"/>
          </w:tcPr>
          <w:p>
            <w:pPr>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Z</w:t>
            </w:r>
          </w:p>
        </w:tc>
        <w:tc>
          <w:tcPr>
            <w:tcW w:w="530" w:type="dxa"/>
            <w:shd w:val="clear" w:color="auto" w:fill="FFFFFF"/>
            <w:tcMar>
              <w:top w:w="0" w:type="dxa"/>
              <w:left w:w="0" w:type="dxa"/>
              <w:bottom w:w="0" w:type="dxa"/>
              <w:right w:w="0" w:type="dxa"/>
            </w:tcMar>
            <w:vAlign w:val="center"/>
          </w:tcPr>
          <w:p>
            <w:pPr>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lang w:val="en-US" w:eastAsia="zh-CN"/>
              </w:rPr>
              <w:t>东</w:t>
            </w:r>
          </w:p>
        </w:tc>
        <w:tc>
          <w:tcPr>
            <w:tcW w:w="525" w:type="dxa"/>
            <w:shd w:val="clear" w:color="auto" w:fill="FFFFFF"/>
            <w:tcMar>
              <w:top w:w="0" w:type="dxa"/>
              <w:left w:w="0" w:type="dxa"/>
              <w:bottom w:w="0" w:type="dxa"/>
              <w:right w:w="0" w:type="dxa"/>
            </w:tcMar>
            <w:vAlign w:val="center"/>
          </w:tcPr>
          <w:p>
            <w:pPr>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lang w:val="en-US" w:eastAsia="zh-CN"/>
              </w:rPr>
              <w:t>南</w:t>
            </w:r>
          </w:p>
        </w:tc>
        <w:tc>
          <w:tcPr>
            <w:tcW w:w="492" w:type="dxa"/>
            <w:shd w:val="clear" w:color="auto" w:fill="FFFFFF"/>
            <w:tcMar>
              <w:top w:w="0" w:type="dxa"/>
              <w:left w:w="0" w:type="dxa"/>
              <w:bottom w:w="0" w:type="dxa"/>
              <w:right w:w="0" w:type="dxa"/>
            </w:tcMar>
            <w:vAlign w:val="center"/>
          </w:tcPr>
          <w:p>
            <w:pPr>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lang w:val="en-US" w:eastAsia="zh-CN"/>
              </w:rPr>
              <w:t>西</w:t>
            </w:r>
          </w:p>
        </w:tc>
        <w:tc>
          <w:tcPr>
            <w:tcW w:w="542" w:type="dxa"/>
            <w:shd w:val="clear" w:color="auto" w:fill="FFFFFF"/>
            <w:tcMar>
              <w:top w:w="0" w:type="dxa"/>
              <w:left w:w="0" w:type="dxa"/>
              <w:bottom w:w="0" w:type="dxa"/>
              <w:right w:w="0" w:type="dxa"/>
            </w:tcMar>
            <w:vAlign w:val="center"/>
          </w:tcPr>
          <w:p>
            <w:pPr>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lang w:val="en-US" w:eastAsia="zh-CN"/>
              </w:rPr>
              <w:t>北</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lang w:val="en-US" w:eastAsia="zh-CN"/>
              </w:rPr>
              <w:t>东</w:t>
            </w:r>
          </w:p>
        </w:tc>
        <w:tc>
          <w:tcPr>
            <w:tcW w:w="450" w:type="dxa"/>
            <w:shd w:val="clear" w:color="auto" w:fill="FFFFFF"/>
            <w:tcMar>
              <w:top w:w="0" w:type="dxa"/>
              <w:left w:w="0" w:type="dxa"/>
              <w:bottom w:w="0" w:type="dxa"/>
              <w:right w:w="0" w:type="dxa"/>
            </w:tcMar>
            <w:vAlign w:val="center"/>
          </w:tcPr>
          <w:p>
            <w:pPr>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lang w:val="en-US" w:eastAsia="zh-CN"/>
              </w:rPr>
              <w:t>南</w:t>
            </w:r>
          </w:p>
        </w:tc>
        <w:tc>
          <w:tcPr>
            <w:tcW w:w="418" w:type="dxa"/>
            <w:shd w:val="clear" w:color="auto" w:fill="FFFFFF"/>
            <w:tcMar>
              <w:top w:w="0" w:type="dxa"/>
              <w:left w:w="0" w:type="dxa"/>
              <w:bottom w:w="0" w:type="dxa"/>
              <w:right w:w="0" w:type="dxa"/>
            </w:tcMar>
            <w:vAlign w:val="center"/>
          </w:tcPr>
          <w:p>
            <w:pPr>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lang w:val="en-US" w:eastAsia="zh-CN"/>
              </w:rPr>
              <w:t>西</w:t>
            </w:r>
          </w:p>
        </w:tc>
        <w:tc>
          <w:tcPr>
            <w:tcW w:w="520" w:type="dxa"/>
            <w:shd w:val="clear" w:color="auto" w:fill="FFFFFF"/>
            <w:tcMar>
              <w:top w:w="0" w:type="dxa"/>
              <w:left w:w="0" w:type="dxa"/>
              <w:bottom w:w="0" w:type="dxa"/>
              <w:right w:w="0" w:type="dxa"/>
            </w:tcMar>
            <w:vAlign w:val="center"/>
          </w:tcPr>
          <w:p>
            <w:pPr>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lang w:val="en-US" w:eastAsia="zh-CN"/>
              </w:rPr>
              <w:t>北</w:t>
            </w:r>
          </w:p>
        </w:tc>
        <w:tc>
          <w:tcPr>
            <w:tcW w:w="551" w:type="dxa"/>
            <w:vMerge w:val="continue"/>
            <w:shd w:val="clear" w:color="auto" w:fill="FFFFFF"/>
            <w:tcMar>
              <w:top w:w="0" w:type="dxa"/>
              <w:left w:w="0" w:type="dxa"/>
              <w:bottom w:w="0" w:type="dxa"/>
              <w:right w:w="0" w:type="dxa"/>
            </w:tcMar>
            <w:vAlign w:val="center"/>
          </w:tcPr>
          <w:p>
            <w:pPr>
              <w:jc w:val="center"/>
              <w:rPr>
                <w:rFonts w:hint="default" w:ascii="Times New Roman" w:hAnsi="Times New Roman" w:cs="Times New Roman" w:eastAsiaTheme="minorEastAsia"/>
                <w:color w:val="auto"/>
                <w:sz w:val="18"/>
                <w:szCs w:val="18"/>
              </w:rPr>
            </w:pPr>
          </w:p>
        </w:tc>
        <w:tc>
          <w:tcPr>
            <w:tcW w:w="547" w:type="dxa"/>
            <w:shd w:val="clear" w:color="auto" w:fill="FFFFFF"/>
            <w:tcMar>
              <w:top w:w="0" w:type="dxa"/>
              <w:left w:w="0" w:type="dxa"/>
              <w:bottom w:w="0" w:type="dxa"/>
              <w:right w:w="0" w:type="dxa"/>
            </w:tcMar>
            <w:vAlign w:val="center"/>
          </w:tcPr>
          <w:p>
            <w:pPr>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lang w:val="en-US" w:eastAsia="zh-CN"/>
              </w:rPr>
              <w:t>东</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lang w:val="en-US" w:eastAsia="zh-CN"/>
              </w:rPr>
              <w:t>南</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lang w:val="en-US" w:eastAsia="zh-CN"/>
              </w:rPr>
              <w:t>西</w:t>
            </w:r>
          </w:p>
        </w:tc>
        <w:tc>
          <w:tcPr>
            <w:tcW w:w="563" w:type="dxa"/>
            <w:shd w:val="clear" w:color="auto" w:fill="FFFFFF"/>
            <w:tcMar>
              <w:top w:w="0" w:type="dxa"/>
              <w:left w:w="0" w:type="dxa"/>
              <w:bottom w:w="0" w:type="dxa"/>
              <w:right w:w="0" w:type="dxa"/>
            </w:tcMar>
            <w:vAlign w:val="center"/>
          </w:tcPr>
          <w:p>
            <w:pPr>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lang w:val="en-US" w:eastAsia="zh-CN"/>
              </w:rPr>
              <w:t>北</w:t>
            </w:r>
          </w:p>
        </w:tc>
        <w:tc>
          <w:tcPr>
            <w:tcW w:w="498" w:type="dxa"/>
            <w:shd w:val="clear" w:color="auto" w:fill="FFFFFF"/>
            <w:tcMar>
              <w:top w:w="0" w:type="dxa"/>
              <w:left w:w="0" w:type="dxa"/>
              <w:bottom w:w="0" w:type="dxa"/>
              <w:right w:w="0" w:type="dxa"/>
            </w:tcMar>
            <w:vAlign w:val="center"/>
          </w:tcPr>
          <w:p>
            <w:pPr>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lang w:val="en-US" w:eastAsia="zh-CN"/>
              </w:rPr>
              <w:t>东</w:t>
            </w:r>
          </w:p>
        </w:tc>
        <w:tc>
          <w:tcPr>
            <w:tcW w:w="450" w:type="dxa"/>
            <w:shd w:val="clear" w:color="auto" w:fill="FFFFFF"/>
            <w:tcMar>
              <w:top w:w="0" w:type="dxa"/>
              <w:left w:w="0" w:type="dxa"/>
              <w:bottom w:w="0" w:type="dxa"/>
              <w:right w:w="0" w:type="dxa"/>
            </w:tcMar>
            <w:vAlign w:val="center"/>
          </w:tcPr>
          <w:p>
            <w:pPr>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lang w:val="en-US" w:eastAsia="zh-CN"/>
              </w:rPr>
              <w:t>南</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lang w:val="en-US" w:eastAsia="zh-CN"/>
              </w:rPr>
              <w:t>西</w:t>
            </w:r>
          </w:p>
        </w:tc>
        <w:tc>
          <w:tcPr>
            <w:tcW w:w="493" w:type="dxa"/>
            <w:shd w:val="clear" w:color="auto" w:fill="FFFFFF"/>
            <w:tcMar>
              <w:top w:w="0" w:type="dxa"/>
              <w:left w:w="0" w:type="dxa"/>
              <w:bottom w:w="0" w:type="dxa"/>
              <w:right w:w="0" w:type="dxa"/>
            </w:tcMar>
            <w:vAlign w:val="center"/>
          </w:tcPr>
          <w:p>
            <w:pPr>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lang w:val="en-US" w:eastAsia="zh-CN"/>
              </w:rPr>
              <w:t>北</w:t>
            </w:r>
          </w:p>
        </w:tc>
        <w:tc>
          <w:tcPr>
            <w:tcW w:w="456" w:type="dxa"/>
            <w:shd w:val="clear" w:color="auto" w:fill="FFFFFF"/>
            <w:tcMar>
              <w:top w:w="0" w:type="dxa"/>
              <w:left w:w="0" w:type="dxa"/>
              <w:bottom w:w="0" w:type="dxa"/>
              <w:right w:w="0" w:type="dxa"/>
            </w:tcMar>
            <w:vAlign w:val="center"/>
          </w:tcPr>
          <w:p>
            <w:pPr>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建筑物外距离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42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1</w:t>
            </w:r>
          </w:p>
        </w:tc>
        <w:tc>
          <w:tcPr>
            <w:tcW w:w="8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切片车间</w:t>
            </w:r>
          </w:p>
        </w:tc>
        <w:tc>
          <w:tcPr>
            <w:tcW w:w="667"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切片机</w:t>
            </w:r>
          </w:p>
        </w:tc>
        <w:tc>
          <w:tcPr>
            <w:tcW w:w="38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p>
        </w:tc>
        <w:tc>
          <w:tcPr>
            <w:tcW w:w="112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75</w:t>
            </w:r>
            <w:r>
              <w:rPr>
                <w:rFonts w:hint="default" w:ascii="Times New Roman" w:hAnsi="Times New Roman" w:eastAsia="宋体" w:cs="Times New Roman"/>
                <w:color w:val="auto"/>
                <w:sz w:val="18"/>
                <w:szCs w:val="18"/>
                <w:lang w:val="en-US" w:eastAsia="zh-CN"/>
              </w:rPr>
              <w:t>/1</w:t>
            </w:r>
          </w:p>
        </w:tc>
        <w:tc>
          <w:tcPr>
            <w:tcW w:w="766"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eastAsia="zh-CN"/>
              </w:rPr>
              <w:t>基础减震</w:t>
            </w:r>
          </w:p>
        </w:tc>
        <w:tc>
          <w:tcPr>
            <w:tcW w:w="58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-86.7</w:t>
            </w:r>
          </w:p>
        </w:tc>
        <w:tc>
          <w:tcPr>
            <w:tcW w:w="5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16.1</w:t>
            </w:r>
          </w:p>
        </w:tc>
        <w:tc>
          <w:tcPr>
            <w:tcW w:w="49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c>
          <w:tcPr>
            <w:tcW w:w="53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87.3</w:t>
            </w:r>
          </w:p>
        </w:tc>
        <w:tc>
          <w:tcPr>
            <w:tcW w:w="52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96.4</w:t>
            </w:r>
          </w:p>
        </w:tc>
        <w:tc>
          <w:tcPr>
            <w:tcW w:w="49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66.8</w:t>
            </w:r>
          </w:p>
        </w:tc>
        <w:tc>
          <w:tcPr>
            <w:tcW w:w="54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158.9</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56.8</w:t>
            </w:r>
          </w:p>
        </w:tc>
        <w:tc>
          <w:tcPr>
            <w:tcW w:w="45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56.7</w:t>
            </w:r>
          </w:p>
        </w:tc>
        <w:tc>
          <w:tcPr>
            <w:tcW w:w="41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56.8</w:t>
            </w:r>
          </w:p>
        </w:tc>
        <w:tc>
          <w:tcPr>
            <w:tcW w:w="52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56.7</w:t>
            </w:r>
          </w:p>
        </w:tc>
        <w:tc>
          <w:tcPr>
            <w:tcW w:w="55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lang w:eastAsia="zh-CN"/>
              </w:rPr>
              <w:t>全天</w:t>
            </w:r>
          </w:p>
        </w:tc>
        <w:tc>
          <w:tcPr>
            <w:tcW w:w="54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16.0</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c>
          <w:tcPr>
            <w:tcW w:w="56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16.0</w:t>
            </w:r>
          </w:p>
        </w:tc>
        <w:tc>
          <w:tcPr>
            <w:tcW w:w="49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50.8</w:t>
            </w:r>
          </w:p>
        </w:tc>
        <w:tc>
          <w:tcPr>
            <w:tcW w:w="45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40.7</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50.8</w:t>
            </w:r>
          </w:p>
        </w:tc>
        <w:tc>
          <w:tcPr>
            <w:tcW w:w="49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40.7</w:t>
            </w:r>
          </w:p>
        </w:tc>
        <w:tc>
          <w:tcPr>
            <w:tcW w:w="45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42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2</w:t>
            </w:r>
          </w:p>
        </w:tc>
        <w:tc>
          <w:tcPr>
            <w:tcW w:w="8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切片车间</w:t>
            </w:r>
          </w:p>
        </w:tc>
        <w:tc>
          <w:tcPr>
            <w:tcW w:w="66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宋体" w:cs="Times New Roman"/>
                <w:color w:val="auto"/>
                <w:sz w:val="18"/>
                <w:szCs w:val="18"/>
                <w:lang w:eastAsia="zh-CN"/>
              </w:rPr>
              <w:t>切片机</w:t>
            </w:r>
          </w:p>
        </w:tc>
        <w:tc>
          <w:tcPr>
            <w:tcW w:w="38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p>
        </w:tc>
        <w:tc>
          <w:tcPr>
            <w:tcW w:w="112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75</w:t>
            </w:r>
            <w:r>
              <w:rPr>
                <w:rFonts w:hint="default" w:ascii="Times New Roman" w:hAnsi="Times New Roman" w:eastAsia="宋体" w:cs="Times New Roman"/>
                <w:color w:val="auto"/>
                <w:sz w:val="18"/>
                <w:szCs w:val="18"/>
                <w:lang w:val="en-US" w:eastAsia="zh-CN"/>
              </w:rPr>
              <w:t>/1</w:t>
            </w:r>
          </w:p>
        </w:tc>
        <w:tc>
          <w:tcPr>
            <w:tcW w:w="76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基础减震</w:t>
            </w:r>
          </w:p>
        </w:tc>
        <w:tc>
          <w:tcPr>
            <w:tcW w:w="58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-83.3</w:t>
            </w:r>
          </w:p>
        </w:tc>
        <w:tc>
          <w:tcPr>
            <w:tcW w:w="5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17.8</w:t>
            </w:r>
          </w:p>
        </w:tc>
        <w:tc>
          <w:tcPr>
            <w:tcW w:w="49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c>
          <w:tcPr>
            <w:tcW w:w="53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83.9</w:t>
            </w:r>
          </w:p>
        </w:tc>
        <w:tc>
          <w:tcPr>
            <w:tcW w:w="52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95.8</w:t>
            </w:r>
          </w:p>
        </w:tc>
        <w:tc>
          <w:tcPr>
            <w:tcW w:w="49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69.4</w:t>
            </w:r>
          </w:p>
        </w:tc>
        <w:tc>
          <w:tcPr>
            <w:tcW w:w="54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158.7</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48.8</w:t>
            </w:r>
          </w:p>
        </w:tc>
        <w:tc>
          <w:tcPr>
            <w:tcW w:w="45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48.7</w:t>
            </w:r>
          </w:p>
        </w:tc>
        <w:tc>
          <w:tcPr>
            <w:tcW w:w="41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48.8</w:t>
            </w:r>
          </w:p>
        </w:tc>
        <w:tc>
          <w:tcPr>
            <w:tcW w:w="52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48.7</w:t>
            </w:r>
          </w:p>
        </w:tc>
        <w:tc>
          <w:tcPr>
            <w:tcW w:w="55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全天</w:t>
            </w:r>
          </w:p>
        </w:tc>
        <w:tc>
          <w:tcPr>
            <w:tcW w:w="54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16.0</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c>
          <w:tcPr>
            <w:tcW w:w="56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16.0</w:t>
            </w:r>
          </w:p>
        </w:tc>
        <w:tc>
          <w:tcPr>
            <w:tcW w:w="49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42.8</w:t>
            </w:r>
          </w:p>
        </w:tc>
        <w:tc>
          <w:tcPr>
            <w:tcW w:w="45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32.7</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42.8</w:t>
            </w:r>
          </w:p>
        </w:tc>
        <w:tc>
          <w:tcPr>
            <w:tcW w:w="49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32.7</w:t>
            </w:r>
          </w:p>
        </w:tc>
        <w:tc>
          <w:tcPr>
            <w:tcW w:w="45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42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3</w:t>
            </w:r>
          </w:p>
        </w:tc>
        <w:tc>
          <w:tcPr>
            <w:tcW w:w="8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切片车间</w:t>
            </w:r>
          </w:p>
        </w:tc>
        <w:tc>
          <w:tcPr>
            <w:tcW w:w="66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宋体" w:cs="Times New Roman"/>
                <w:color w:val="auto"/>
                <w:sz w:val="18"/>
                <w:szCs w:val="18"/>
                <w:lang w:eastAsia="zh-CN"/>
              </w:rPr>
              <w:t>切片机</w:t>
            </w:r>
          </w:p>
        </w:tc>
        <w:tc>
          <w:tcPr>
            <w:tcW w:w="38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p>
        </w:tc>
        <w:tc>
          <w:tcPr>
            <w:tcW w:w="112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75</w:t>
            </w:r>
            <w:r>
              <w:rPr>
                <w:rFonts w:hint="default" w:ascii="Times New Roman" w:hAnsi="Times New Roman" w:eastAsia="宋体" w:cs="Times New Roman"/>
                <w:color w:val="auto"/>
                <w:sz w:val="18"/>
                <w:szCs w:val="18"/>
                <w:lang w:val="en-US" w:eastAsia="zh-CN"/>
              </w:rPr>
              <w:t>/1</w:t>
            </w:r>
          </w:p>
        </w:tc>
        <w:tc>
          <w:tcPr>
            <w:tcW w:w="76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基础减震</w:t>
            </w:r>
          </w:p>
        </w:tc>
        <w:tc>
          <w:tcPr>
            <w:tcW w:w="58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-79.3</w:t>
            </w:r>
          </w:p>
        </w:tc>
        <w:tc>
          <w:tcPr>
            <w:tcW w:w="5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19.9</w:t>
            </w:r>
          </w:p>
        </w:tc>
        <w:tc>
          <w:tcPr>
            <w:tcW w:w="49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c>
          <w:tcPr>
            <w:tcW w:w="53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79.9</w:t>
            </w:r>
          </w:p>
        </w:tc>
        <w:tc>
          <w:tcPr>
            <w:tcW w:w="52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95.5</w:t>
            </w:r>
          </w:p>
        </w:tc>
        <w:tc>
          <w:tcPr>
            <w:tcW w:w="49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72.6</w:t>
            </w:r>
          </w:p>
        </w:tc>
        <w:tc>
          <w:tcPr>
            <w:tcW w:w="54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158.4</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48.8</w:t>
            </w:r>
          </w:p>
        </w:tc>
        <w:tc>
          <w:tcPr>
            <w:tcW w:w="45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48.7</w:t>
            </w:r>
          </w:p>
        </w:tc>
        <w:tc>
          <w:tcPr>
            <w:tcW w:w="41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48.8</w:t>
            </w:r>
          </w:p>
        </w:tc>
        <w:tc>
          <w:tcPr>
            <w:tcW w:w="52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48.7</w:t>
            </w:r>
          </w:p>
        </w:tc>
        <w:tc>
          <w:tcPr>
            <w:tcW w:w="55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全天</w:t>
            </w:r>
          </w:p>
        </w:tc>
        <w:tc>
          <w:tcPr>
            <w:tcW w:w="54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16.0</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c>
          <w:tcPr>
            <w:tcW w:w="56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16.0</w:t>
            </w:r>
          </w:p>
        </w:tc>
        <w:tc>
          <w:tcPr>
            <w:tcW w:w="49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42.8</w:t>
            </w:r>
          </w:p>
        </w:tc>
        <w:tc>
          <w:tcPr>
            <w:tcW w:w="45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32.7</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42.8</w:t>
            </w:r>
          </w:p>
        </w:tc>
        <w:tc>
          <w:tcPr>
            <w:tcW w:w="49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32.7</w:t>
            </w:r>
          </w:p>
        </w:tc>
        <w:tc>
          <w:tcPr>
            <w:tcW w:w="45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42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4</w:t>
            </w:r>
          </w:p>
        </w:tc>
        <w:tc>
          <w:tcPr>
            <w:tcW w:w="8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切片车间</w:t>
            </w:r>
          </w:p>
        </w:tc>
        <w:tc>
          <w:tcPr>
            <w:tcW w:w="66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宋体" w:cs="Times New Roman"/>
                <w:color w:val="auto"/>
                <w:sz w:val="18"/>
                <w:szCs w:val="18"/>
                <w:lang w:eastAsia="zh-CN"/>
              </w:rPr>
              <w:t>切片机</w:t>
            </w:r>
          </w:p>
        </w:tc>
        <w:tc>
          <w:tcPr>
            <w:tcW w:w="38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p>
        </w:tc>
        <w:tc>
          <w:tcPr>
            <w:tcW w:w="112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75</w:t>
            </w:r>
            <w:r>
              <w:rPr>
                <w:rFonts w:hint="default" w:ascii="Times New Roman" w:hAnsi="Times New Roman" w:eastAsia="宋体" w:cs="Times New Roman"/>
                <w:color w:val="auto"/>
                <w:sz w:val="18"/>
                <w:szCs w:val="18"/>
                <w:lang w:val="en-US" w:eastAsia="zh-CN"/>
              </w:rPr>
              <w:t>/1</w:t>
            </w:r>
          </w:p>
        </w:tc>
        <w:tc>
          <w:tcPr>
            <w:tcW w:w="76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基础减震</w:t>
            </w:r>
          </w:p>
        </w:tc>
        <w:tc>
          <w:tcPr>
            <w:tcW w:w="58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-76</w:t>
            </w:r>
          </w:p>
        </w:tc>
        <w:tc>
          <w:tcPr>
            <w:tcW w:w="5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21.7</w:t>
            </w:r>
          </w:p>
        </w:tc>
        <w:tc>
          <w:tcPr>
            <w:tcW w:w="49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c>
          <w:tcPr>
            <w:tcW w:w="53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76.6</w:t>
            </w:r>
          </w:p>
        </w:tc>
        <w:tc>
          <w:tcPr>
            <w:tcW w:w="52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95.4</w:t>
            </w:r>
          </w:p>
        </w:tc>
        <w:tc>
          <w:tcPr>
            <w:tcW w:w="49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75.3</w:t>
            </w:r>
          </w:p>
        </w:tc>
        <w:tc>
          <w:tcPr>
            <w:tcW w:w="54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158.2</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48.8</w:t>
            </w:r>
          </w:p>
        </w:tc>
        <w:tc>
          <w:tcPr>
            <w:tcW w:w="45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48.7</w:t>
            </w:r>
          </w:p>
        </w:tc>
        <w:tc>
          <w:tcPr>
            <w:tcW w:w="41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48.8</w:t>
            </w:r>
          </w:p>
        </w:tc>
        <w:tc>
          <w:tcPr>
            <w:tcW w:w="52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48.7</w:t>
            </w:r>
          </w:p>
        </w:tc>
        <w:tc>
          <w:tcPr>
            <w:tcW w:w="55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全天</w:t>
            </w:r>
          </w:p>
        </w:tc>
        <w:tc>
          <w:tcPr>
            <w:tcW w:w="54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16.0</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c>
          <w:tcPr>
            <w:tcW w:w="56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16.0</w:t>
            </w:r>
          </w:p>
        </w:tc>
        <w:tc>
          <w:tcPr>
            <w:tcW w:w="49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42.8</w:t>
            </w:r>
          </w:p>
        </w:tc>
        <w:tc>
          <w:tcPr>
            <w:tcW w:w="45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32.7</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42.8</w:t>
            </w:r>
          </w:p>
        </w:tc>
        <w:tc>
          <w:tcPr>
            <w:tcW w:w="49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32.7</w:t>
            </w:r>
          </w:p>
        </w:tc>
        <w:tc>
          <w:tcPr>
            <w:tcW w:w="45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42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5</w:t>
            </w:r>
          </w:p>
        </w:tc>
        <w:tc>
          <w:tcPr>
            <w:tcW w:w="8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切片车间</w:t>
            </w:r>
          </w:p>
        </w:tc>
        <w:tc>
          <w:tcPr>
            <w:tcW w:w="66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宋体" w:cs="Times New Roman"/>
                <w:color w:val="auto"/>
                <w:sz w:val="18"/>
                <w:szCs w:val="18"/>
                <w:lang w:eastAsia="zh-CN"/>
              </w:rPr>
              <w:t>切片机</w:t>
            </w:r>
          </w:p>
        </w:tc>
        <w:tc>
          <w:tcPr>
            <w:tcW w:w="38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p>
        </w:tc>
        <w:tc>
          <w:tcPr>
            <w:tcW w:w="112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75</w:t>
            </w:r>
            <w:r>
              <w:rPr>
                <w:rFonts w:hint="default" w:ascii="Times New Roman" w:hAnsi="Times New Roman" w:eastAsia="宋体" w:cs="Times New Roman"/>
                <w:color w:val="auto"/>
                <w:sz w:val="18"/>
                <w:szCs w:val="18"/>
                <w:lang w:val="en-US" w:eastAsia="zh-CN"/>
              </w:rPr>
              <w:t>/1</w:t>
            </w:r>
          </w:p>
        </w:tc>
        <w:tc>
          <w:tcPr>
            <w:tcW w:w="76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基础减震</w:t>
            </w:r>
          </w:p>
        </w:tc>
        <w:tc>
          <w:tcPr>
            <w:tcW w:w="58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-72.8</w:t>
            </w:r>
          </w:p>
        </w:tc>
        <w:tc>
          <w:tcPr>
            <w:tcW w:w="5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23.4</w:t>
            </w:r>
          </w:p>
        </w:tc>
        <w:tc>
          <w:tcPr>
            <w:tcW w:w="49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c>
          <w:tcPr>
            <w:tcW w:w="53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73.5</w:t>
            </w:r>
          </w:p>
        </w:tc>
        <w:tc>
          <w:tcPr>
            <w:tcW w:w="52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95.4</w:t>
            </w:r>
          </w:p>
        </w:tc>
        <w:tc>
          <w:tcPr>
            <w:tcW w:w="49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78.0</w:t>
            </w:r>
          </w:p>
        </w:tc>
        <w:tc>
          <w:tcPr>
            <w:tcW w:w="54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158.1</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48.8</w:t>
            </w:r>
          </w:p>
        </w:tc>
        <w:tc>
          <w:tcPr>
            <w:tcW w:w="45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48.7</w:t>
            </w:r>
          </w:p>
        </w:tc>
        <w:tc>
          <w:tcPr>
            <w:tcW w:w="41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48.8</w:t>
            </w:r>
          </w:p>
        </w:tc>
        <w:tc>
          <w:tcPr>
            <w:tcW w:w="52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48.7</w:t>
            </w:r>
          </w:p>
        </w:tc>
        <w:tc>
          <w:tcPr>
            <w:tcW w:w="55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全天</w:t>
            </w:r>
          </w:p>
        </w:tc>
        <w:tc>
          <w:tcPr>
            <w:tcW w:w="54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16.0</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c>
          <w:tcPr>
            <w:tcW w:w="56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16.0</w:t>
            </w:r>
          </w:p>
        </w:tc>
        <w:tc>
          <w:tcPr>
            <w:tcW w:w="49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42.8</w:t>
            </w:r>
          </w:p>
        </w:tc>
        <w:tc>
          <w:tcPr>
            <w:tcW w:w="45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32.7</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42.8</w:t>
            </w:r>
          </w:p>
        </w:tc>
        <w:tc>
          <w:tcPr>
            <w:tcW w:w="49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32.7</w:t>
            </w:r>
          </w:p>
        </w:tc>
        <w:tc>
          <w:tcPr>
            <w:tcW w:w="45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42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6</w:t>
            </w:r>
          </w:p>
        </w:tc>
        <w:tc>
          <w:tcPr>
            <w:tcW w:w="8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切片车间</w:t>
            </w:r>
          </w:p>
        </w:tc>
        <w:tc>
          <w:tcPr>
            <w:tcW w:w="66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宋体" w:cs="Times New Roman"/>
                <w:color w:val="auto"/>
                <w:sz w:val="18"/>
                <w:szCs w:val="18"/>
                <w:lang w:eastAsia="zh-CN"/>
              </w:rPr>
              <w:t>切片机</w:t>
            </w:r>
          </w:p>
        </w:tc>
        <w:tc>
          <w:tcPr>
            <w:tcW w:w="38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p>
        </w:tc>
        <w:tc>
          <w:tcPr>
            <w:tcW w:w="112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75</w:t>
            </w:r>
            <w:r>
              <w:rPr>
                <w:rFonts w:hint="default" w:ascii="Times New Roman" w:hAnsi="Times New Roman" w:eastAsia="宋体" w:cs="Times New Roman"/>
                <w:color w:val="auto"/>
                <w:sz w:val="18"/>
                <w:szCs w:val="18"/>
                <w:lang w:val="en-US" w:eastAsia="zh-CN"/>
              </w:rPr>
              <w:t>/1</w:t>
            </w:r>
          </w:p>
        </w:tc>
        <w:tc>
          <w:tcPr>
            <w:tcW w:w="76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基础减震</w:t>
            </w:r>
          </w:p>
        </w:tc>
        <w:tc>
          <w:tcPr>
            <w:tcW w:w="58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-68.4</w:t>
            </w:r>
          </w:p>
        </w:tc>
        <w:tc>
          <w:tcPr>
            <w:tcW w:w="5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25.5</w:t>
            </w:r>
          </w:p>
        </w:tc>
        <w:tc>
          <w:tcPr>
            <w:tcW w:w="49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c>
          <w:tcPr>
            <w:tcW w:w="53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69.4</w:t>
            </w:r>
          </w:p>
        </w:tc>
        <w:tc>
          <w:tcPr>
            <w:tcW w:w="52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95.5</w:t>
            </w:r>
          </w:p>
        </w:tc>
        <w:tc>
          <w:tcPr>
            <w:tcW w:w="49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81.8</w:t>
            </w:r>
          </w:p>
        </w:tc>
        <w:tc>
          <w:tcPr>
            <w:tcW w:w="54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158.4</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48.8</w:t>
            </w:r>
          </w:p>
        </w:tc>
        <w:tc>
          <w:tcPr>
            <w:tcW w:w="45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48.7</w:t>
            </w:r>
          </w:p>
        </w:tc>
        <w:tc>
          <w:tcPr>
            <w:tcW w:w="41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48.8</w:t>
            </w:r>
          </w:p>
        </w:tc>
        <w:tc>
          <w:tcPr>
            <w:tcW w:w="52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48.7</w:t>
            </w:r>
          </w:p>
        </w:tc>
        <w:tc>
          <w:tcPr>
            <w:tcW w:w="55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全天</w:t>
            </w:r>
          </w:p>
        </w:tc>
        <w:tc>
          <w:tcPr>
            <w:tcW w:w="54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16.0</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c>
          <w:tcPr>
            <w:tcW w:w="56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16.0</w:t>
            </w:r>
          </w:p>
        </w:tc>
        <w:tc>
          <w:tcPr>
            <w:tcW w:w="49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42.8</w:t>
            </w:r>
          </w:p>
        </w:tc>
        <w:tc>
          <w:tcPr>
            <w:tcW w:w="45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32.7</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42.8</w:t>
            </w:r>
          </w:p>
        </w:tc>
        <w:tc>
          <w:tcPr>
            <w:tcW w:w="49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32.7</w:t>
            </w:r>
          </w:p>
        </w:tc>
        <w:tc>
          <w:tcPr>
            <w:tcW w:w="45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42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7</w:t>
            </w:r>
          </w:p>
        </w:tc>
        <w:tc>
          <w:tcPr>
            <w:tcW w:w="8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切片车间</w:t>
            </w:r>
          </w:p>
        </w:tc>
        <w:tc>
          <w:tcPr>
            <w:tcW w:w="66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宋体" w:cs="Times New Roman"/>
                <w:color w:val="auto"/>
                <w:sz w:val="18"/>
                <w:szCs w:val="18"/>
                <w:lang w:eastAsia="zh-CN"/>
              </w:rPr>
              <w:t>切片机</w:t>
            </w:r>
          </w:p>
        </w:tc>
        <w:tc>
          <w:tcPr>
            <w:tcW w:w="38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p>
        </w:tc>
        <w:tc>
          <w:tcPr>
            <w:tcW w:w="112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75</w:t>
            </w:r>
            <w:r>
              <w:rPr>
                <w:rFonts w:hint="default" w:ascii="Times New Roman" w:hAnsi="Times New Roman" w:eastAsia="宋体" w:cs="Times New Roman"/>
                <w:color w:val="auto"/>
                <w:sz w:val="18"/>
                <w:szCs w:val="18"/>
                <w:lang w:val="en-US" w:eastAsia="zh-CN"/>
              </w:rPr>
              <w:t>/1</w:t>
            </w:r>
          </w:p>
        </w:tc>
        <w:tc>
          <w:tcPr>
            <w:tcW w:w="76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基础减震</w:t>
            </w:r>
          </w:p>
        </w:tc>
        <w:tc>
          <w:tcPr>
            <w:tcW w:w="58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-64.7</w:t>
            </w:r>
          </w:p>
        </w:tc>
        <w:tc>
          <w:tcPr>
            <w:tcW w:w="5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27.2</w:t>
            </w:r>
          </w:p>
        </w:tc>
        <w:tc>
          <w:tcPr>
            <w:tcW w:w="49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c>
          <w:tcPr>
            <w:tcW w:w="53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66.2</w:t>
            </w:r>
          </w:p>
        </w:tc>
        <w:tc>
          <w:tcPr>
            <w:tcW w:w="52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95.7</w:t>
            </w:r>
          </w:p>
        </w:tc>
        <w:tc>
          <w:tcPr>
            <w:tcW w:w="49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85.2</w:t>
            </w:r>
          </w:p>
        </w:tc>
        <w:tc>
          <w:tcPr>
            <w:tcW w:w="54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158.7</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48.8</w:t>
            </w:r>
          </w:p>
        </w:tc>
        <w:tc>
          <w:tcPr>
            <w:tcW w:w="45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48.7</w:t>
            </w:r>
          </w:p>
        </w:tc>
        <w:tc>
          <w:tcPr>
            <w:tcW w:w="41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48.8</w:t>
            </w:r>
          </w:p>
        </w:tc>
        <w:tc>
          <w:tcPr>
            <w:tcW w:w="52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48.7</w:t>
            </w:r>
          </w:p>
        </w:tc>
        <w:tc>
          <w:tcPr>
            <w:tcW w:w="55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全天</w:t>
            </w:r>
          </w:p>
        </w:tc>
        <w:tc>
          <w:tcPr>
            <w:tcW w:w="54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16.0</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c>
          <w:tcPr>
            <w:tcW w:w="56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16.0</w:t>
            </w:r>
          </w:p>
        </w:tc>
        <w:tc>
          <w:tcPr>
            <w:tcW w:w="49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42.8</w:t>
            </w:r>
          </w:p>
        </w:tc>
        <w:tc>
          <w:tcPr>
            <w:tcW w:w="45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32.7</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42.8</w:t>
            </w:r>
          </w:p>
        </w:tc>
        <w:tc>
          <w:tcPr>
            <w:tcW w:w="49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32.7</w:t>
            </w:r>
          </w:p>
        </w:tc>
        <w:tc>
          <w:tcPr>
            <w:tcW w:w="45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42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8</w:t>
            </w:r>
          </w:p>
        </w:tc>
        <w:tc>
          <w:tcPr>
            <w:tcW w:w="8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切片车间</w:t>
            </w:r>
          </w:p>
        </w:tc>
        <w:tc>
          <w:tcPr>
            <w:tcW w:w="66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宋体" w:cs="Times New Roman"/>
                <w:color w:val="auto"/>
                <w:sz w:val="18"/>
                <w:szCs w:val="18"/>
                <w:lang w:eastAsia="zh-CN"/>
              </w:rPr>
              <w:t>切片机</w:t>
            </w:r>
          </w:p>
        </w:tc>
        <w:tc>
          <w:tcPr>
            <w:tcW w:w="38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p>
        </w:tc>
        <w:tc>
          <w:tcPr>
            <w:tcW w:w="112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75</w:t>
            </w:r>
            <w:r>
              <w:rPr>
                <w:rFonts w:hint="default" w:ascii="Times New Roman" w:hAnsi="Times New Roman" w:eastAsia="宋体" w:cs="Times New Roman"/>
                <w:color w:val="auto"/>
                <w:sz w:val="18"/>
                <w:szCs w:val="18"/>
                <w:lang w:val="en-US" w:eastAsia="zh-CN"/>
              </w:rPr>
              <w:t>/1</w:t>
            </w:r>
          </w:p>
        </w:tc>
        <w:tc>
          <w:tcPr>
            <w:tcW w:w="76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基础减震</w:t>
            </w:r>
          </w:p>
        </w:tc>
        <w:tc>
          <w:tcPr>
            <w:tcW w:w="58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-61.1</w:t>
            </w:r>
          </w:p>
        </w:tc>
        <w:tc>
          <w:tcPr>
            <w:tcW w:w="5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29</w:t>
            </w:r>
          </w:p>
        </w:tc>
        <w:tc>
          <w:tcPr>
            <w:tcW w:w="49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c>
          <w:tcPr>
            <w:tcW w:w="53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63.0</w:t>
            </w:r>
          </w:p>
        </w:tc>
        <w:tc>
          <w:tcPr>
            <w:tcW w:w="52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96.1</w:t>
            </w:r>
          </w:p>
        </w:tc>
        <w:tc>
          <w:tcPr>
            <w:tcW w:w="49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88.5</w:t>
            </w:r>
          </w:p>
        </w:tc>
        <w:tc>
          <w:tcPr>
            <w:tcW w:w="54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159.1</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48.8</w:t>
            </w:r>
          </w:p>
        </w:tc>
        <w:tc>
          <w:tcPr>
            <w:tcW w:w="45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48.7</w:t>
            </w:r>
          </w:p>
        </w:tc>
        <w:tc>
          <w:tcPr>
            <w:tcW w:w="41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48.8</w:t>
            </w:r>
          </w:p>
        </w:tc>
        <w:tc>
          <w:tcPr>
            <w:tcW w:w="52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48.7</w:t>
            </w:r>
          </w:p>
        </w:tc>
        <w:tc>
          <w:tcPr>
            <w:tcW w:w="55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全天</w:t>
            </w:r>
          </w:p>
        </w:tc>
        <w:tc>
          <w:tcPr>
            <w:tcW w:w="54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16.0</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c>
          <w:tcPr>
            <w:tcW w:w="56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16.0</w:t>
            </w:r>
          </w:p>
        </w:tc>
        <w:tc>
          <w:tcPr>
            <w:tcW w:w="49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42.8</w:t>
            </w:r>
          </w:p>
        </w:tc>
        <w:tc>
          <w:tcPr>
            <w:tcW w:w="45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32.7</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42.8</w:t>
            </w:r>
          </w:p>
        </w:tc>
        <w:tc>
          <w:tcPr>
            <w:tcW w:w="49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32.7</w:t>
            </w:r>
          </w:p>
        </w:tc>
        <w:tc>
          <w:tcPr>
            <w:tcW w:w="45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42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9</w:t>
            </w:r>
          </w:p>
        </w:tc>
        <w:tc>
          <w:tcPr>
            <w:tcW w:w="8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切片车间</w:t>
            </w:r>
          </w:p>
        </w:tc>
        <w:tc>
          <w:tcPr>
            <w:tcW w:w="66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宋体" w:cs="Times New Roman"/>
                <w:color w:val="auto"/>
                <w:sz w:val="18"/>
                <w:szCs w:val="18"/>
                <w:lang w:eastAsia="zh-CN"/>
              </w:rPr>
              <w:t>切片机</w:t>
            </w:r>
          </w:p>
        </w:tc>
        <w:tc>
          <w:tcPr>
            <w:tcW w:w="38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p>
        </w:tc>
        <w:tc>
          <w:tcPr>
            <w:tcW w:w="112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75</w:t>
            </w:r>
            <w:r>
              <w:rPr>
                <w:rFonts w:hint="default" w:ascii="Times New Roman" w:hAnsi="Times New Roman" w:eastAsia="宋体" w:cs="Times New Roman"/>
                <w:color w:val="auto"/>
                <w:sz w:val="18"/>
                <w:szCs w:val="18"/>
                <w:lang w:val="en-US" w:eastAsia="zh-CN"/>
              </w:rPr>
              <w:t>/1</w:t>
            </w:r>
          </w:p>
        </w:tc>
        <w:tc>
          <w:tcPr>
            <w:tcW w:w="76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基础减震</w:t>
            </w:r>
          </w:p>
        </w:tc>
        <w:tc>
          <w:tcPr>
            <w:tcW w:w="58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-58.5</w:t>
            </w:r>
          </w:p>
        </w:tc>
        <w:tc>
          <w:tcPr>
            <w:tcW w:w="5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30.5</w:t>
            </w:r>
          </w:p>
        </w:tc>
        <w:tc>
          <w:tcPr>
            <w:tcW w:w="49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c>
          <w:tcPr>
            <w:tcW w:w="53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60.6</w:t>
            </w:r>
          </w:p>
        </w:tc>
        <w:tc>
          <w:tcPr>
            <w:tcW w:w="52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96.8</w:t>
            </w:r>
          </w:p>
        </w:tc>
        <w:tc>
          <w:tcPr>
            <w:tcW w:w="49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90.9</w:t>
            </w:r>
          </w:p>
        </w:tc>
        <w:tc>
          <w:tcPr>
            <w:tcW w:w="54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159.2</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48.8</w:t>
            </w:r>
          </w:p>
        </w:tc>
        <w:tc>
          <w:tcPr>
            <w:tcW w:w="45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48.7</w:t>
            </w:r>
          </w:p>
        </w:tc>
        <w:tc>
          <w:tcPr>
            <w:tcW w:w="41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48.8</w:t>
            </w:r>
          </w:p>
        </w:tc>
        <w:tc>
          <w:tcPr>
            <w:tcW w:w="52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48.7</w:t>
            </w:r>
          </w:p>
        </w:tc>
        <w:tc>
          <w:tcPr>
            <w:tcW w:w="55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全天</w:t>
            </w:r>
          </w:p>
        </w:tc>
        <w:tc>
          <w:tcPr>
            <w:tcW w:w="54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16.0</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c>
          <w:tcPr>
            <w:tcW w:w="56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16.0</w:t>
            </w:r>
          </w:p>
        </w:tc>
        <w:tc>
          <w:tcPr>
            <w:tcW w:w="49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42.8</w:t>
            </w:r>
          </w:p>
        </w:tc>
        <w:tc>
          <w:tcPr>
            <w:tcW w:w="45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32.7</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42.8</w:t>
            </w:r>
          </w:p>
        </w:tc>
        <w:tc>
          <w:tcPr>
            <w:tcW w:w="49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32.7</w:t>
            </w:r>
          </w:p>
        </w:tc>
        <w:tc>
          <w:tcPr>
            <w:tcW w:w="45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42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10</w:t>
            </w:r>
          </w:p>
        </w:tc>
        <w:tc>
          <w:tcPr>
            <w:tcW w:w="8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切片车间</w:t>
            </w:r>
          </w:p>
        </w:tc>
        <w:tc>
          <w:tcPr>
            <w:tcW w:w="66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宋体" w:cs="Times New Roman"/>
                <w:color w:val="auto"/>
                <w:sz w:val="18"/>
                <w:szCs w:val="18"/>
                <w:lang w:eastAsia="zh-CN"/>
              </w:rPr>
              <w:t>切片机</w:t>
            </w:r>
          </w:p>
        </w:tc>
        <w:tc>
          <w:tcPr>
            <w:tcW w:w="38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p>
        </w:tc>
        <w:tc>
          <w:tcPr>
            <w:tcW w:w="112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75</w:t>
            </w:r>
            <w:r>
              <w:rPr>
                <w:rFonts w:hint="default" w:ascii="Times New Roman" w:hAnsi="Times New Roman" w:eastAsia="宋体" w:cs="Times New Roman"/>
                <w:color w:val="auto"/>
                <w:sz w:val="18"/>
                <w:szCs w:val="18"/>
                <w:lang w:val="en-US" w:eastAsia="zh-CN"/>
              </w:rPr>
              <w:t>/1</w:t>
            </w:r>
          </w:p>
        </w:tc>
        <w:tc>
          <w:tcPr>
            <w:tcW w:w="76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基础减震</w:t>
            </w:r>
          </w:p>
        </w:tc>
        <w:tc>
          <w:tcPr>
            <w:tcW w:w="58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-54.5</w:t>
            </w:r>
          </w:p>
        </w:tc>
        <w:tc>
          <w:tcPr>
            <w:tcW w:w="5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31.7</w:t>
            </w:r>
          </w:p>
        </w:tc>
        <w:tc>
          <w:tcPr>
            <w:tcW w:w="49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c>
          <w:tcPr>
            <w:tcW w:w="53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58.0</w:t>
            </w:r>
          </w:p>
        </w:tc>
        <w:tc>
          <w:tcPr>
            <w:tcW w:w="52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96.8</w:t>
            </w:r>
          </w:p>
        </w:tc>
        <w:tc>
          <w:tcPr>
            <w:tcW w:w="49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94.7</w:t>
            </w:r>
          </w:p>
        </w:tc>
        <w:tc>
          <w:tcPr>
            <w:tcW w:w="54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160.5</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48.8</w:t>
            </w:r>
          </w:p>
        </w:tc>
        <w:tc>
          <w:tcPr>
            <w:tcW w:w="45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48.7</w:t>
            </w:r>
          </w:p>
        </w:tc>
        <w:tc>
          <w:tcPr>
            <w:tcW w:w="41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48.7</w:t>
            </w:r>
          </w:p>
        </w:tc>
        <w:tc>
          <w:tcPr>
            <w:tcW w:w="52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48.7</w:t>
            </w:r>
          </w:p>
        </w:tc>
        <w:tc>
          <w:tcPr>
            <w:tcW w:w="55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全天</w:t>
            </w:r>
          </w:p>
        </w:tc>
        <w:tc>
          <w:tcPr>
            <w:tcW w:w="54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16.0</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c>
          <w:tcPr>
            <w:tcW w:w="56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16.0</w:t>
            </w:r>
          </w:p>
        </w:tc>
        <w:tc>
          <w:tcPr>
            <w:tcW w:w="49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42.8</w:t>
            </w:r>
          </w:p>
        </w:tc>
        <w:tc>
          <w:tcPr>
            <w:tcW w:w="45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32.7</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42.7</w:t>
            </w:r>
          </w:p>
        </w:tc>
        <w:tc>
          <w:tcPr>
            <w:tcW w:w="49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32.7</w:t>
            </w:r>
          </w:p>
        </w:tc>
        <w:tc>
          <w:tcPr>
            <w:tcW w:w="45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42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11</w:t>
            </w:r>
          </w:p>
        </w:tc>
        <w:tc>
          <w:tcPr>
            <w:tcW w:w="8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切片车间</w:t>
            </w:r>
          </w:p>
        </w:tc>
        <w:tc>
          <w:tcPr>
            <w:tcW w:w="66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宋体" w:cs="Times New Roman"/>
                <w:color w:val="auto"/>
                <w:sz w:val="18"/>
                <w:szCs w:val="18"/>
                <w:lang w:eastAsia="zh-CN"/>
              </w:rPr>
              <w:t>切片机</w:t>
            </w:r>
          </w:p>
        </w:tc>
        <w:tc>
          <w:tcPr>
            <w:tcW w:w="38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p>
        </w:tc>
        <w:tc>
          <w:tcPr>
            <w:tcW w:w="112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75</w:t>
            </w:r>
            <w:r>
              <w:rPr>
                <w:rFonts w:hint="default" w:ascii="Times New Roman" w:hAnsi="Times New Roman" w:eastAsia="宋体" w:cs="Times New Roman"/>
                <w:color w:val="auto"/>
                <w:sz w:val="18"/>
                <w:szCs w:val="18"/>
                <w:lang w:val="en-US" w:eastAsia="zh-CN"/>
              </w:rPr>
              <w:t>/1</w:t>
            </w:r>
          </w:p>
        </w:tc>
        <w:tc>
          <w:tcPr>
            <w:tcW w:w="76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基础减震</w:t>
            </w:r>
          </w:p>
        </w:tc>
        <w:tc>
          <w:tcPr>
            <w:tcW w:w="58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-50.9</w:t>
            </w:r>
          </w:p>
        </w:tc>
        <w:tc>
          <w:tcPr>
            <w:tcW w:w="5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33.7</w:t>
            </w:r>
          </w:p>
        </w:tc>
        <w:tc>
          <w:tcPr>
            <w:tcW w:w="49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c>
          <w:tcPr>
            <w:tcW w:w="53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54.9</w:t>
            </w:r>
          </w:p>
        </w:tc>
        <w:tc>
          <w:tcPr>
            <w:tcW w:w="52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98.0</w:t>
            </w:r>
          </w:p>
        </w:tc>
        <w:tc>
          <w:tcPr>
            <w:tcW w:w="49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98.2</w:t>
            </w:r>
          </w:p>
        </w:tc>
        <w:tc>
          <w:tcPr>
            <w:tcW w:w="54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160.9</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48.8</w:t>
            </w:r>
          </w:p>
        </w:tc>
        <w:tc>
          <w:tcPr>
            <w:tcW w:w="45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48.7</w:t>
            </w:r>
          </w:p>
        </w:tc>
        <w:tc>
          <w:tcPr>
            <w:tcW w:w="41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48.7</w:t>
            </w:r>
          </w:p>
        </w:tc>
        <w:tc>
          <w:tcPr>
            <w:tcW w:w="52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48.7</w:t>
            </w:r>
          </w:p>
        </w:tc>
        <w:tc>
          <w:tcPr>
            <w:tcW w:w="55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全天</w:t>
            </w:r>
          </w:p>
        </w:tc>
        <w:tc>
          <w:tcPr>
            <w:tcW w:w="54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16.0</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c>
          <w:tcPr>
            <w:tcW w:w="56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16.0</w:t>
            </w:r>
          </w:p>
        </w:tc>
        <w:tc>
          <w:tcPr>
            <w:tcW w:w="49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42.8</w:t>
            </w:r>
          </w:p>
        </w:tc>
        <w:tc>
          <w:tcPr>
            <w:tcW w:w="45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32.7</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42.7</w:t>
            </w:r>
          </w:p>
        </w:tc>
        <w:tc>
          <w:tcPr>
            <w:tcW w:w="49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32.7</w:t>
            </w:r>
          </w:p>
        </w:tc>
        <w:tc>
          <w:tcPr>
            <w:tcW w:w="45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42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12</w:t>
            </w:r>
          </w:p>
        </w:tc>
        <w:tc>
          <w:tcPr>
            <w:tcW w:w="8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切片车间</w:t>
            </w:r>
          </w:p>
        </w:tc>
        <w:tc>
          <w:tcPr>
            <w:tcW w:w="66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宋体" w:cs="Times New Roman"/>
                <w:color w:val="auto"/>
                <w:sz w:val="18"/>
                <w:szCs w:val="18"/>
                <w:lang w:eastAsia="zh-CN"/>
              </w:rPr>
              <w:t>切片机</w:t>
            </w:r>
          </w:p>
        </w:tc>
        <w:tc>
          <w:tcPr>
            <w:tcW w:w="38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p>
        </w:tc>
        <w:tc>
          <w:tcPr>
            <w:tcW w:w="112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75</w:t>
            </w:r>
            <w:r>
              <w:rPr>
                <w:rFonts w:hint="default" w:ascii="Times New Roman" w:hAnsi="Times New Roman" w:eastAsia="宋体" w:cs="Times New Roman"/>
                <w:color w:val="auto"/>
                <w:sz w:val="18"/>
                <w:szCs w:val="18"/>
                <w:lang w:val="en-US" w:eastAsia="zh-CN"/>
              </w:rPr>
              <w:t>/1</w:t>
            </w:r>
          </w:p>
        </w:tc>
        <w:tc>
          <w:tcPr>
            <w:tcW w:w="76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基础减震</w:t>
            </w:r>
          </w:p>
        </w:tc>
        <w:tc>
          <w:tcPr>
            <w:tcW w:w="58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-47.8</w:t>
            </w:r>
          </w:p>
        </w:tc>
        <w:tc>
          <w:tcPr>
            <w:tcW w:w="5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35.3</w:t>
            </w:r>
          </w:p>
        </w:tc>
        <w:tc>
          <w:tcPr>
            <w:tcW w:w="49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c>
          <w:tcPr>
            <w:tcW w:w="53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52.5</w:t>
            </w:r>
          </w:p>
        </w:tc>
        <w:tc>
          <w:tcPr>
            <w:tcW w:w="52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98.9</w:t>
            </w:r>
          </w:p>
        </w:tc>
        <w:tc>
          <w:tcPr>
            <w:tcW w:w="49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101.1</w:t>
            </w:r>
          </w:p>
        </w:tc>
        <w:tc>
          <w:tcPr>
            <w:tcW w:w="54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161.5</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48.8</w:t>
            </w:r>
          </w:p>
        </w:tc>
        <w:tc>
          <w:tcPr>
            <w:tcW w:w="45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48.7</w:t>
            </w:r>
          </w:p>
        </w:tc>
        <w:tc>
          <w:tcPr>
            <w:tcW w:w="41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48.7</w:t>
            </w:r>
          </w:p>
        </w:tc>
        <w:tc>
          <w:tcPr>
            <w:tcW w:w="52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48.7</w:t>
            </w:r>
          </w:p>
        </w:tc>
        <w:tc>
          <w:tcPr>
            <w:tcW w:w="55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全天</w:t>
            </w:r>
          </w:p>
        </w:tc>
        <w:tc>
          <w:tcPr>
            <w:tcW w:w="54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16.0</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c>
          <w:tcPr>
            <w:tcW w:w="56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16.0</w:t>
            </w:r>
          </w:p>
        </w:tc>
        <w:tc>
          <w:tcPr>
            <w:tcW w:w="49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42.8</w:t>
            </w:r>
          </w:p>
        </w:tc>
        <w:tc>
          <w:tcPr>
            <w:tcW w:w="45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32.7</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42.7</w:t>
            </w:r>
          </w:p>
        </w:tc>
        <w:tc>
          <w:tcPr>
            <w:tcW w:w="49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32.7</w:t>
            </w:r>
          </w:p>
        </w:tc>
        <w:tc>
          <w:tcPr>
            <w:tcW w:w="45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42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13</w:t>
            </w:r>
          </w:p>
        </w:tc>
        <w:tc>
          <w:tcPr>
            <w:tcW w:w="8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切片车间</w:t>
            </w:r>
          </w:p>
        </w:tc>
        <w:tc>
          <w:tcPr>
            <w:tcW w:w="66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宋体" w:cs="Times New Roman"/>
                <w:color w:val="auto"/>
                <w:sz w:val="18"/>
                <w:szCs w:val="18"/>
                <w:lang w:eastAsia="zh-CN"/>
              </w:rPr>
              <w:t>切片机</w:t>
            </w:r>
          </w:p>
        </w:tc>
        <w:tc>
          <w:tcPr>
            <w:tcW w:w="38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p>
        </w:tc>
        <w:tc>
          <w:tcPr>
            <w:tcW w:w="112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75</w:t>
            </w:r>
            <w:r>
              <w:rPr>
                <w:rFonts w:hint="default" w:ascii="Times New Roman" w:hAnsi="Times New Roman" w:eastAsia="宋体" w:cs="Times New Roman"/>
                <w:color w:val="auto"/>
                <w:sz w:val="18"/>
                <w:szCs w:val="18"/>
                <w:lang w:val="en-US" w:eastAsia="zh-CN"/>
              </w:rPr>
              <w:t>/1</w:t>
            </w:r>
          </w:p>
        </w:tc>
        <w:tc>
          <w:tcPr>
            <w:tcW w:w="76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基础减震</w:t>
            </w:r>
          </w:p>
        </w:tc>
        <w:tc>
          <w:tcPr>
            <w:tcW w:w="58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-44.5</w:t>
            </w:r>
          </w:p>
        </w:tc>
        <w:tc>
          <w:tcPr>
            <w:tcW w:w="5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37.3</w:t>
            </w:r>
          </w:p>
        </w:tc>
        <w:tc>
          <w:tcPr>
            <w:tcW w:w="49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c>
          <w:tcPr>
            <w:tcW w:w="53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49.8</w:t>
            </w:r>
          </w:p>
        </w:tc>
        <w:tc>
          <w:tcPr>
            <w:tcW w:w="52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100.4</w:t>
            </w:r>
          </w:p>
        </w:tc>
        <w:tc>
          <w:tcPr>
            <w:tcW w:w="49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104.4</w:t>
            </w:r>
          </w:p>
        </w:tc>
        <w:tc>
          <w:tcPr>
            <w:tcW w:w="54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162.0</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48.8</w:t>
            </w:r>
          </w:p>
        </w:tc>
        <w:tc>
          <w:tcPr>
            <w:tcW w:w="45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48.7</w:t>
            </w:r>
          </w:p>
        </w:tc>
        <w:tc>
          <w:tcPr>
            <w:tcW w:w="41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48.7</w:t>
            </w:r>
          </w:p>
        </w:tc>
        <w:tc>
          <w:tcPr>
            <w:tcW w:w="52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48.7</w:t>
            </w:r>
          </w:p>
        </w:tc>
        <w:tc>
          <w:tcPr>
            <w:tcW w:w="55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全天</w:t>
            </w:r>
          </w:p>
        </w:tc>
        <w:tc>
          <w:tcPr>
            <w:tcW w:w="54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16.0</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c>
          <w:tcPr>
            <w:tcW w:w="56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16.0</w:t>
            </w:r>
          </w:p>
        </w:tc>
        <w:tc>
          <w:tcPr>
            <w:tcW w:w="49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42.8</w:t>
            </w:r>
          </w:p>
        </w:tc>
        <w:tc>
          <w:tcPr>
            <w:tcW w:w="45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32.7</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42.7</w:t>
            </w:r>
          </w:p>
        </w:tc>
        <w:tc>
          <w:tcPr>
            <w:tcW w:w="49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32.7</w:t>
            </w:r>
          </w:p>
        </w:tc>
        <w:tc>
          <w:tcPr>
            <w:tcW w:w="45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42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14</w:t>
            </w:r>
          </w:p>
        </w:tc>
        <w:tc>
          <w:tcPr>
            <w:tcW w:w="8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切片车间</w:t>
            </w:r>
          </w:p>
        </w:tc>
        <w:tc>
          <w:tcPr>
            <w:tcW w:w="66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宋体" w:cs="Times New Roman"/>
                <w:color w:val="auto"/>
                <w:sz w:val="18"/>
                <w:szCs w:val="18"/>
                <w:lang w:eastAsia="zh-CN"/>
              </w:rPr>
              <w:t>切片机</w:t>
            </w:r>
          </w:p>
        </w:tc>
        <w:tc>
          <w:tcPr>
            <w:tcW w:w="38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p>
        </w:tc>
        <w:tc>
          <w:tcPr>
            <w:tcW w:w="112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75</w:t>
            </w:r>
            <w:r>
              <w:rPr>
                <w:rFonts w:hint="default" w:ascii="Times New Roman" w:hAnsi="Times New Roman" w:eastAsia="宋体" w:cs="Times New Roman"/>
                <w:color w:val="auto"/>
                <w:sz w:val="18"/>
                <w:szCs w:val="18"/>
                <w:lang w:val="en-US" w:eastAsia="zh-CN"/>
              </w:rPr>
              <w:t>/1</w:t>
            </w:r>
          </w:p>
        </w:tc>
        <w:tc>
          <w:tcPr>
            <w:tcW w:w="76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基础减震</w:t>
            </w:r>
          </w:p>
        </w:tc>
        <w:tc>
          <w:tcPr>
            <w:tcW w:w="58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-41.4</w:t>
            </w:r>
          </w:p>
        </w:tc>
        <w:tc>
          <w:tcPr>
            <w:tcW w:w="5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39.1</w:t>
            </w:r>
          </w:p>
        </w:tc>
        <w:tc>
          <w:tcPr>
            <w:tcW w:w="49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c>
          <w:tcPr>
            <w:tcW w:w="53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47.5</w:t>
            </w:r>
          </w:p>
        </w:tc>
        <w:tc>
          <w:tcPr>
            <w:tcW w:w="52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101.8</w:t>
            </w:r>
          </w:p>
        </w:tc>
        <w:tc>
          <w:tcPr>
            <w:tcW w:w="49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107.4</w:t>
            </w:r>
          </w:p>
        </w:tc>
        <w:tc>
          <w:tcPr>
            <w:tcW w:w="54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162.5</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48.8</w:t>
            </w:r>
          </w:p>
        </w:tc>
        <w:tc>
          <w:tcPr>
            <w:tcW w:w="45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48.7</w:t>
            </w:r>
          </w:p>
        </w:tc>
        <w:tc>
          <w:tcPr>
            <w:tcW w:w="41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48.7</w:t>
            </w:r>
          </w:p>
        </w:tc>
        <w:tc>
          <w:tcPr>
            <w:tcW w:w="52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48.7</w:t>
            </w:r>
          </w:p>
        </w:tc>
        <w:tc>
          <w:tcPr>
            <w:tcW w:w="55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全天</w:t>
            </w:r>
          </w:p>
        </w:tc>
        <w:tc>
          <w:tcPr>
            <w:tcW w:w="54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16.0</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c>
          <w:tcPr>
            <w:tcW w:w="56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16.0</w:t>
            </w:r>
          </w:p>
        </w:tc>
        <w:tc>
          <w:tcPr>
            <w:tcW w:w="49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42.8</w:t>
            </w:r>
          </w:p>
        </w:tc>
        <w:tc>
          <w:tcPr>
            <w:tcW w:w="45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32.7</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42.7</w:t>
            </w:r>
          </w:p>
        </w:tc>
        <w:tc>
          <w:tcPr>
            <w:tcW w:w="49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32.7</w:t>
            </w:r>
          </w:p>
        </w:tc>
        <w:tc>
          <w:tcPr>
            <w:tcW w:w="45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42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15</w:t>
            </w:r>
          </w:p>
        </w:tc>
        <w:tc>
          <w:tcPr>
            <w:tcW w:w="8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切片车间</w:t>
            </w:r>
          </w:p>
        </w:tc>
        <w:tc>
          <w:tcPr>
            <w:tcW w:w="66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宋体" w:cs="Times New Roman"/>
                <w:color w:val="auto"/>
                <w:sz w:val="18"/>
                <w:szCs w:val="18"/>
                <w:lang w:eastAsia="zh-CN"/>
              </w:rPr>
              <w:t>切片机</w:t>
            </w:r>
          </w:p>
        </w:tc>
        <w:tc>
          <w:tcPr>
            <w:tcW w:w="38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p>
        </w:tc>
        <w:tc>
          <w:tcPr>
            <w:tcW w:w="112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75</w:t>
            </w:r>
            <w:r>
              <w:rPr>
                <w:rFonts w:hint="default" w:ascii="Times New Roman" w:hAnsi="Times New Roman" w:eastAsia="宋体" w:cs="Times New Roman"/>
                <w:color w:val="auto"/>
                <w:sz w:val="18"/>
                <w:szCs w:val="18"/>
                <w:lang w:val="en-US" w:eastAsia="zh-CN"/>
              </w:rPr>
              <w:t>/1</w:t>
            </w:r>
          </w:p>
        </w:tc>
        <w:tc>
          <w:tcPr>
            <w:tcW w:w="76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基础减震</w:t>
            </w:r>
          </w:p>
        </w:tc>
        <w:tc>
          <w:tcPr>
            <w:tcW w:w="58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-37.8</w:t>
            </w:r>
          </w:p>
        </w:tc>
        <w:tc>
          <w:tcPr>
            <w:tcW w:w="5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40.5</w:t>
            </w:r>
          </w:p>
        </w:tc>
        <w:tc>
          <w:tcPr>
            <w:tcW w:w="49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c>
          <w:tcPr>
            <w:tcW w:w="53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45.7</w:t>
            </w:r>
          </w:p>
        </w:tc>
        <w:tc>
          <w:tcPr>
            <w:tcW w:w="52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102.9</w:t>
            </w:r>
          </w:p>
        </w:tc>
        <w:tc>
          <w:tcPr>
            <w:tcW w:w="49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111.0</w:t>
            </w:r>
          </w:p>
        </w:tc>
        <w:tc>
          <w:tcPr>
            <w:tcW w:w="54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163.8</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48.8</w:t>
            </w:r>
          </w:p>
        </w:tc>
        <w:tc>
          <w:tcPr>
            <w:tcW w:w="45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48.7</w:t>
            </w:r>
          </w:p>
        </w:tc>
        <w:tc>
          <w:tcPr>
            <w:tcW w:w="41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48.7</w:t>
            </w:r>
          </w:p>
        </w:tc>
        <w:tc>
          <w:tcPr>
            <w:tcW w:w="52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48.7</w:t>
            </w:r>
          </w:p>
        </w:tc>
        <w:tc>
          <w:tcPr>
            <w:tcW w:w="55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全天</w:t>
            </w:r>
          </w:p>
        </w:tc>
        <w:tc>
          <w:tcPr>
            <w:tcW w:w="54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16.0</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c>
          <w:tcPr>
            <w:tcW w:w="56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16.0</w:t>
            </w:r>
          </w:p>
        </w:tc>
        <w:tc>
          <w:tcPr>
            <w:tcW w:w="49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42.8</w:t>
            </w:r>
          </w:p>
        </w:tc>
        <w:tc>
          <w:tcPr>
            <w:tcW w:w="45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32.7</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42.7</w:t>
            </w:r>
          </w:p>
        </w:tc>
        <w:tc>
          <w:tcPr>
            <w:tcW w:w="49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32.7</w:t>
            </w:r>
          </w:p>
        </w:tc>
        <w:tc>
          <w:tcPr>
            <w:tcW w:w="45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42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16</w:t>
            </w:r>
          </w:p>
        </w:tc>
        <w:tc>
          <w:tcPr>
            <w:tcW w:w="8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切片车间</w:t>
            </w:r>
          </w:p>
        </w:tc>
        <w:tc>
          <w:tcPr>
            <w:tcW w:w="66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宋体" w:cs="Times New Roman"/>
                <w:color w:val="auto"/>
                <w:sz w:val="18"/>
                <w:szCs w:val="18"/>
                <w:lang w:eastAsia="zh-CN"/>
              </w:rPr>
              <w:t>切片机</w:t>
            </w:r>
          </w:p>
        </w:tc>
        <w:tc>
          <w:tcPr>
            <w:tcW w:w="38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p>
        </w:tc>
        <w:tc>
          <w:tcPr>
            <w:tcW w:w="112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75</w:t>
            </w:r>
            <w:r>
              <w:rPr>
                <w:rFonts w:hint="default" w:ascii="Times New Roman" w:hAnsi="Times New Roman" w:eastAsia="宋体" w:cs="Times New Roman"/>
                <w:color w:val="auto"/>
                <w:sz w:val="18"/>
                <w:szCs w:val="18"/>
                <w:lang w:val="en-US" w:eastAsia="zh-CN"/>
              </w:rPr>
              <w:t>/1</w:t>
            </w:r>
          </w:p>
        </w:tc>
        <w:tc>
          <w:tcPr>
            <w:tcW w:w="76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基础减震</w:t>
            </w:r>
          </w:p>
        </w:tc>
        <w:tc>
          <w:tcPr>
            <w:tcW w:w="58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-34.7</w:t>
            </w:r>
          </w:p>
        </w:tc>
        <w:tc>
          <w:tcPr>
            <w:tcW w:w="5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42</w:t>
            </w:r>
          </w:p>
        </w:tc>
        <w:tc>
          <w:tcPr>
            <w:tcW w:w="49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c>
          <w:tcPr>
            <w:tcW w:w="53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44.1</w:t>
            </w:r>
          </w:p>
        </w:tc>
        <w:tc>
          <w:tcPr>
            <w:tcW w:w="52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104.2</w:t>
            </w:r>
          </w:p>
        </w:tc>
        <w:tc>
          <w:tcPr>
            <w:tcW w:w="49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114.1</w:t>
            </w:r>
          </w:p>
        </w:tc>
        <w:tc>
          <w:tcPr>
            <w:tcW w:w="54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164.8</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48.8</w:t>
            </w:r>
          </w:p>
        </w:tc>
        <w:tc>
          <w:tcPr>
            <w:tcW w:w="45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48.7</w:t>
            </w:r>
          </w:p>
        </w:tc>
        <w:tc>
          <w:tcPr>
            <w:tcW w:w="41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48.7</w:t>
            </w:r>
          </w:p>
        </w:tc>
        <w:tc>
          <w:tcPr>
            <w:tcW w:w="52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48.7</w:t>
            </w:r>
          </w:p>
        </w:tc>
        <w:tc>
          <w:tcPr>
            <w:tcW w:w="55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全天</w:t>
            </w:r>
          </w:p>
        </w:tc>
        <w:tc>
          <w:tcPr>
            <w:tcW w:w="54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16.0</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c>
          <w:tcPr>
            <w:tcW w:w="56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16.0</w:t>
            </w:r>
          </w:p>
        </w:tc>
        <w:tc>
          <w:tcPr>
            <w:tcW w:w="49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42.8</w:t>
            </w:r>
          </w:p>
        </w:tc>
        <w:tc>
          <w:tcPr>
            <w:tcW w:w="45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32.7</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42.7</w:t>
            </w:r>
          </w:p>
        </w:tc>
        <w:tc>
          <w:tcPr>
            <w:tcW w:w="49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32.7</w:t>
            </w:r>
          </w:p>
        </w:tc>
        <w:tc>
          <w:tcPr>
            <w:tcW w:w="45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42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17</w:t>
            </w:r>
          </w:p>
        </w:tc>
        <w:tc>
          <w:tcPr>
            <w:tcW w:w="8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切片车间</w:t>
            </w:r>
          </w:p>
        </w:tc>
        <w:tc>
          <w:tcPr>
            <w:tcW w:w="66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宋体" w:cs="Times New Roman"/>
                <w:color w:val="auto"/>
                <w:sz w:val="18"/>
                <w:szCs w:val="18"/>
                <w:lang w:eastAsia="zh-CN"/>
              </w:rPr>
              <w:t>切片机</w:t>
            </w:r>
          </w:p>
        </w:tc>
        <w:tc>
          <w:tcPr>
            <w:tcW w:w="38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p>
        </w:tc>
        <w:tc>
          <w:tcPr>
            <w:tcW w:w="112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75</w:t>
            </w:r>
            <w:r>
              <w:rPr>
                <w:rFonts w:hint="default" w:ascii="Times New Roman" w:hAnsi="Times New Roman" w:eastAsia="宋体" w:cs="Times New Roman"/>
                <w:color w:val="auto"/>
                <w:sz w:val="18"/>
                <w:szCs w:val="18"/>
                <w:lang w:val="en-US" w:eastAsia="zh-CN"/>
              </w:rPr>
              <w:t>/1</w:t>
            </w:r>
          </w:p>
        </w:tc>
        <w:tc>
          <w:tcPr>
            <w:tcW w:w="76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基础减震</w:t>
            </w:r>
          </w:p>
        </w:tc>
        <w:tc>
          <w:tcPr>
            <w:tcW w:w="58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-93.1</w:t>
            </w:r>
          </w:p>
        </w:tc>
        <w:tc>
          <w:tcPr>
            <w:tcW w:w="5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12.9</w:t>
            </w:r>
          </w:p>
        </w:tc>
        <w:tc>
          <w:tcPr>
            <w:tcW w:w="49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c>
          <w:tcPr>
            <w:tcW w:w="53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93.8</w:t>
            </w:r>
          </w:p>
        </w:tc>
        <w:tc>
          <w:tcPr>
            <w:tcW w:w="52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97.8</w:t>
            </w:r>
          </w:p>
        </w:tc>
        <w:tc>
          <w:tcPr>
            <w:tcW w:w="49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62.3</w:t>
            </w:r>
          </w:p>
        </w:tc>
        <w:tc>
          <w:tcPr>
            <w:tcW w:w="54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159.7</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48.7</w:t>
            </w:r>
          </w:p>
        </w:tc>
        <w:tc>
          <w:tcPr>
            <w:tcW w:w="45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48.7</w:t>
            </w:r>
          </w:p>
        </w:tc>
        <w:tc>
          <w:tcPr>
            <w:tcW w:w="41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48.8</w:t>
            </w:r>
          </w:p>
        </w:tc>
        <w:tc>
          <w:tcPr>
            <w:tcW w:w="52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48.7</w:t>
            </w:r>
          </w:p>
        </w:tc>
        <w:tc>
          <w:tcPr>
            <w:tcW w:w="55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全天</w:t>
            </w:r>
          </w:p>
        </w:tc>
        <w:tc>
          <w:tcPr>
            <w:tcW w:w="54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16.0</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c>
          <w:tcPr>
            <w:tcW w:w="56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16.0</w:t>
            </w:r>
          </w:p>
        </w:tc>
        <w:tc>
          <w:tcPr>
            <w:tcW w:w="49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42.7</w:t>
            </w:r>
          </w:p>
        </w:tc>
        <w:tc>
          <w:tcPr>
            <w:tcW w:w="45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32.7</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42.8</w:t>
            </w:r>
          </w:p>
        </w:tc>
        <w:tc>
          <w:tcPr>
            <w:tcW w:w="49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32.7</w:t>
            </w:r>
          </w:p>
        </w:tc>
        <w:tc>
          <w:tcPr>
            <w:tcW w:w="45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42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18</w:t>
            </w:r>
          </w:p>
        </w:tc>
        <w:tc>
          <w:tcPr>
            <w:tcW w:w="8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切片车间</w:t>
            </w:r>
          </w:p>
        </w:tc>
        <w:tc>
          <w:tcPr>
            <w:tcW w:w="66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宋体" w:cs="Times New Roman"/>
                <w:color w:val="auto"/>
                <w:sz w:val="18"/>
                <w:szCs w:val="18"/>
                <w:lang w:eastAsia="zh-CN"/>
              </w:rPr>
              <w:t>切片机</w:t>
            </w:r>
          </w:p>
        </w:tc>
        <w:tc>
          <w:tcPr>
            <w:tcW w:w="38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p>
        </w:tc>
        <w:tc>
          <w:tcPr>
            <w:tcW w:w="112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75</w:t>
            </w:r>
            <w:r>
              <w:rPr>
                <w:rFonts w:hint="default" w:ascii="Times New Roman" w:hAnsi="Times New Roman" w:eastAsia="宋体" w:cs="Times New Roman"/>
                <w:color w:val="auto"/>
                <w:sz w:val="18"/>
                <w:szCs w:val="18"/>
                <w:lang w:val="en-US" w:eastAsia="zh-CN"/>
              </w:rPr>
              <w:t>/1</w:t>
            </w:r>
          </w:p>
        </w:tc>
        <w:tc>
          <w:tcPr>
            <w:tcW w:w="76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基础减震</w:t>
            </w:r>
          </w:p>
        </w:tc>
        <w:tc>
          <w:tcPr>
            <w:tcW w:w="58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-31.8</w:t>
            </w:r>
          </w:p>
        </w:tc>
        <w:tc>
          <w:tcPr>
            <w:tcW w:w="5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43.4</w:t>
            </w:r>
          </w:p>
        </w:tc>
        <w:tc>
          <w:tcPr>
            <w:tcW w:w="49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c>
          <w:tcPr>
            <w:tcW w:w="53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42.8</w:t>
            </w:r>
          </w:p>
        </w:tc>
        <w:tc>
          <w:tcPr>
            <w:tcW w:w="52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105.5</w:t>
            </w:r>
          </w:p>
        </w:tc>
        <w:tc>
          <w:tcPr>
            <w:tcW w:w="49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117.0</w:t>
            </w:r>
          </w:p>
        </w:tc>
        <w:tc>
          <w:tcPr>
            <w:tcW w:w="54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165.7</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48.8</w:t>
            </w:r>
          </w:p>
        </w:tc>
        <w:tc>
          <w:tcPr>
            <w:tcW w:w="45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48.7</w:t>
            </w:r>
          </w:p>
        </w:tc>
        <w:tc>
          <w:tcPr>
            <w:tcW w:w="41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48.7</w:t>
            </w:r>
          </w:p>
        </w:tc>
        <w:tc>
          <w:tcPr>
            <w:tcW w:w="52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48.7</w:t>
            </w:r>
          </w:p>
        </w:tc>
        <w:tc>
          <w:tcPr>
            <w:tcW w:w="55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全天</w:t>
            </w:r>
          </w:p>
        </w:tc>
        <w:tc>
          <w:tcPr>
            <w:tcW w:w="54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16.0</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c>
          <w:tcPr>
            <w:tcW w:w="56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16.0</w:t>
            </w:r>
          </w:p>
        </w:tc>
        <w:tc>
          <w:tcPr>
            <w:tcW w:w="49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42.8</w:t>
            </w:r>
          </w:p>
        </w:tc>
        <w:tc>
          <w:tcPr>
            <w:tcW w:w="45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32.7</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42.7</w:t>
            </w:r>
          </w:p>
        </w:tc>
        <w:tc>
          <w:tcPr>
            <w:tcW w:w="49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32.7</w:t>
            </w:r>
          </w:p>
        </w:tc>
        <w:tc>
          <w:tcPr>
            <w:tcW w:w="45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42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19</w:t>
            </w:r>
          </w:p>
        </w:tc>
        <w:tc>
          <w:tcPr>
            <w:tcW w:w="8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切片车间</w:t>
            </w:r>
          </w:p>
        </w:tc>
        <w:tc>
          <w:tcPr>
            <w:tcW w:w="66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宋体" w:cs="Times New Roman"/>
                <w:color w:val="auto"/>
                <w:sz w:val="18"/>
                <w:szCs w:val="18"/>
                <w:lang w:eastAsia="zh-CN"/>
              </w:rPr>
              <w:t>切片机</w:t>
            </w:r>
          </w:p>
        </w:tc>
        <w:tc>
          <w:tcPr>
            <w:tcW w:w="38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p>
        </w:tc>
        <w:tc>
          <w:tcPr>
            <w:tcW w:w="112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75</w:t>
            </w:r>
            <w:r>
              <w:rPr>
                <w:rFonts w:hint="default" w:ascii="Times New Roman" w:hAnsi="Times New Roman" w:eastAsia="宋体" w:cs="Times New Roman"/>
                <w:color w:val="auto"/>
                <w:sz w:val="18"/>
                <w:szCs w:val="18"/>
                <w:lang w:val="en-US" w:eastAsia="zh-CN"/>
              </w:rPr>
              <w:t>/1</w:t>
            </w:r>
          </w:p>
        </w:tc>
        <w:tc>
          <w:tcPr>
            <w:tcW w:w="76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基础减震</w:t>
            </w:r>
          </w:p>
        </w:tc>
        <w:tc>
          <w:tcPr>
            <w:tcW w:w="58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-29.2</w:t>
            </w:r>
          </w:p>
        </w:tc>
        <w:tc>
          <w:tcPr>
            <w:tcW w:w="5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44.5</w:t>
            </w:r>
          </w:p>
        </w:tc>
        <w:tc>
          <w:tcPr>
            <w:tcW w:w="49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c>
          <w:tcPr>
            <w:tcW w:w="53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41.9</w:t>
            </w:r>
          </w:p>
        </w:tc>
        <w:tc>
          <w:tcPr>
            <w:tcW w:w="52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106.6</w:t>
            </w:r>
          </w:p>
        </w:tc>
        <w:tc>
          <w:tcPr>
            <w:tcW w:w="49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119.7</w:t>
            </w:r>
          </w:p>
        </w:tc>
        <w:tc>
          <w:tcPr>
            <w:tcW w:w="54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166.7</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48.8</w:t>
            </w:r>
          </w:p>
        </w:tc>
        <w:tc>
          <w:tcPr>
            <w:tcW w:w="45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48.7</w:t>
            </w:r>
          </w:p>
        </w:tc>
        <w:tc>
          <w:tcPr>
            <w:tcW w:w="41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48.7</w:t>
            </w:r>
          </w:p>
        </w:tc>
        <w:tc>
          <w:tcPr>
            <w:tcW w:w="52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48.7</w:t>
            </w:r>
          </w:p>
        </w:tc>
        <w:tc>
          <w:tcPr>
            <w:tcW w:w="55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全天</w:t>
            </w:r>
          </w:p>
        </w:tc>
        <w:tc>
          <w:tcPr>
            <w:tcW w:w="54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16.0</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c>
          <w:tcPr>
            <w:tcW w:w="56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16.0</w:t>
            </w:r>
          </w:p>
        </w:tc>
        <w:tc>
          <w:tcPr>
            <w:tcW w:w="49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42.8</w:t>
            </w:r>
          </w:p>
        </w:tc>
        <w:tc>
          <w:tcPr>
            <w:tcW w:w="45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32.7</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42.7</w:t>
            </w:r>
          </w:p>
        </w:tc>
        <w:tc>
          <w:tcPr>
            <w:tcW w:w="49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32.7</w:t>
            </w:r>
          </w:p>
        </w:tc>
        <w:tc>
          <w:tcPr>
            <w:tcW w:w="45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42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20</w:t>
            </w:r>
          </w:p>
        </w:tc>
        <w:tc>
          <w:tcPr>
            <w:tcW w:w="8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切片车间</w:t>
            </w:r>
          </w:p>
        </w:tc>
        <w:tc>
          <w:tcPr>
            <w:tcW w:w="66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宋体" w:cs="Times New Roman"/>
                <w:color w:val="auto"/>
                <w:sz w:val="18"/>
                <w:szCs w:val="18"/>
                <w:lang w:eastAsia="zh-CN"/>
              </w:rPr>
              <w:t>切片机</w:t>
            </w:r>
          </w:p>
        </w:tc>
        <w:tc>
          <w:tcPr>
            <w:tcW w:w="38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p>
        </w:tc>
        <w:tc>
          <w:tcPr>
            <w:tcW w:w="112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75</w:t>
            </w:r>
            <w:r>
              <w:rPr>
                <w:rFonts w:hint="default" w:ascii="Times New Roman" w:hAnsi="Times New Roman" w:eastAsia="宋体" w:cs="Times New Roman"/>
                <w:color w:val="auto"/>
                <w:sz w:val="18"/>
                <w:szCs w:val="18"/>
                <w:lang w:val="en-US" w:eastAsia="zh-CN"/>
              </w:rPr>
              <w:t>/1</w:t>
            </w:r>
          </w:p>
        </w:tc>
        <w:tc>
          <w:tcPr>
            <w:tcW w:w="76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基础减震</w:t>
            </w:r>
          </w:p>
        </w:tc>
        <w:tc>
          <w:tcPr>
            <w:tcW w:w="58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-25.9</w:t>
            </w:r>
          </w:p>
        </w:tc>
        <w:tc>
          <w:tcPr>
            <w:tcW w:w="5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46.3</w:t>
            </w:r>
          </w:p>
        </w:tc>
        <w:tc>
          <w:tcPr>
            <w:tcW w:w="49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c>
          <w:tcPr>
            <w:tcW w:w="53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40.7</w:t>
            </w:r>
          </w:p>
        </w:tc>
        <w:tc>
          <w:tcPr>
            <w:tcW w:w="52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108.5</w:t>
            </w:r>
          </w:p>
        </w:tc>
        <w:tc>
          <w:tcPr>
            <w:tcW w:w="49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123.0</w:t>
            </w:r>
          </w:p>
        </w:tc>
        <w:tc>
          <w:tcPr>
            <w:tcW w:w="54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167.8</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48.8</w:t>
            </w:r>
          </w:p>
        </w:tc>
        <w:tc>
          <w:tcPr>
            <w:tcW w:w="45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48.7</w:t>
            </w:r>
          </w:p>
        </w:tc>
        <w:tc>
          <w:tcPr>
            <w:tcW w:w="41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48.7</w:t>
            </w:r>
          </w:p>
        </w:tc>
        <w:tc>
          <w:tcPr>
            <w:tcW w:w="52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48.7</w:t>
            </w:r>
          </w:p>
        </w:tc>
        <w:tc>
          <w:tcPr>
            <w:tcW w:w="55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全天</w:t>
            </w:r>
          </w:p>
        </w:tc>
        <w:tc>
          <w:tcPr>
            <w:tcW w:w="54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16.0</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c>
          <w:tcPr>
            <w:tcW w:w="56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16.0</w:t>
            </w:r>
          </w:p>
        </w:tc>
        <w:tc>
          <w:tcPr>
            <w:tcW w:w="49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42.8</w:t>
            </w:r>
          </w:p>
        </w:tc>
        <w:tc>
          <w:tcPr>
            <w:tcW w:w="45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32.7</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42.7</w:t>
            </w:r>
          </w:p>
        </w:tc>
        <w:tc>
          <w:tcPr>
            <w:tcW w:w="49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32.7</w:t>
            </w:r>
          </w:p>
        </w:tc>
        <w:tc>
          <w:tcPr>
            <w:tcW w:w="45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42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21</w:t>
            </w:r>
          </w:p>
        </w:tc>
        <w:tc>
          <w:tcPr>
            <w:tcW w:w="8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切片车间</w:t>
            </w:r>
          </w:p>
        </w:tc>
        <w:tc>
          <w:tcPr>
            <w:tcW w:w="66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宋体" w:cs="Times New Roman"/>
                <w:color w:val="auto"/>
                <w:sz w:val="18"/>
                <w:szCs w:val="18"/>
                <w:lang w:eastAsia="zh-CN"/>
              </w:rPr>
              <w:t>切片机</w:t>
            </w:r>
          </w:p>
        </w:tc>
        <w:tc>
          <w:tcPr>
            <w:tcW w:w="38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p>
        </w:tc>
        <w:tc>
          <w:tcPr>
            <w:tcW w:w="112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75</w:t>
            </w:r>
            <w:r>
              <w:rPr>
                <w:rFonts w:hint="default" w:ascii="Times New Roman" w:hAnsi="Times New Roman" w:eastAsia="宋体" w:cs="Times New Roman"/>
                <w:color w:val="auto"/>
                <w:sz w:val="18"/>
                <w:szCs w:val="18"/>
                <w:lang w:val="en-US" w:eastAsia="zh-CN"/>
              </w:rPr>
              <w:t>/1</w:t>
            </w:r>
          </w:p>
        </w:tc>
        <w:tc>
          <w:tcPr>
            <w:tcW w:w="76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基础减震</w:t>
            </w:r>
          </w:p>
        </w:tc>
        <w:tc>
          <w:tcPr>
            <w:tcW w:w="58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-23</w:t>
            </w:r>
          </w:p>
        </w:tc>
        <w:tc>
          <w:tcPr>
            <w:tcW w:w="5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48.1</w:t>
            </w:r>
          </w:p>
        </w:tc>
        <w:tc>
          <w:tcPr>
            <w:tcW w:w="49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c>
          <w:tcPr>
            <w:tcW w:w="53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39.7</w:t>
            </w:r>
          </w:p>
        </w:tc>
        <w:tc>
          <w:tcPr>
            <w:tcW w:w="52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110.4</w:t>
            </w:r>
          </w:p>
        </w:tc>
        <w:tc>
          <w:tcPr>
            <w:tcW w:w="49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126.0</w:t>
            </w:r>
          </w:p>
        </w:tc>
        <w:tc>
          <w:tcPr>
            <w:tcW w:w="54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168.7</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48.8</w:t>
            </w:r>
          </w:p>
        </w:tc>
        <w:tc>
          <w:tcPr>
            <w:tcW w:w="45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48.7</w:t>
            </w:r>
          </w:p>
        </w:tc>
        <w:tc>
          <w:tcPr>
            <w:tcW w:w="41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48.7</w:t>
            </w:r>
          </w:p>
        </w:tc>
        <w:tc>
          <w:tcPr>
            <w:tcW w:w="52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48.7</w:t>
            </w:r>
          </w:p>
        </w:tc>
        <w:tc>
          <w:tcPr>
            <w:tcW w:w="55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全天</w:t>
            </w:r>
          </w:p>
        </w:tc>
        <w:tc>
          <w:tcPr>
            <w:tcW w:w="54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16.0</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c>
          <w:tcPr>
            <w:tcW w:w="56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16.0</w:t>
            </w:r>
          </w:p>
        </w:tc>
        <w:tc>
          <w:tcPr>
            <w:tcW w:w="49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42.8</w:t>
            </w:r>
          </w:p>
        </w:tc>
        <w:tc>
          <w:tcPr>
            <w:tcW w:w="45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32.7</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42.7</w:t>
            </w:r>
          </w:p>
        </w:tc>
        <w:tc>
          <w:tcPr>
            <w:tcW w:w="49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32.7</w:t>
            </w:r>
          </w:p>
        </w:tc>
        <w:tc>
          <w:tcPr>
            <w:tcW w:w="45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42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22</w:t>
            </w:r>
          </w:p>
        </w:tc>
        <w:tc>
          <w:tcPr>
            <w:tcW w:w="8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切片车间</w:t>
            </w:r>
          </w:p>
        </w:tc>
        <w:tc>
          <w:tcPr>
            <w:tcW w:w="66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宋体" w:cs="Times New Roman"/>
                <w:color w:val="auto"/>
                <w:sz w:val="18"/>
                <w:szCs w:val="18"/>
                <w:lang w:eastAsia="zh-CN"/>
              </w:rPr>
              <w:t>切片机</w:t>
            </w:r>
          </w:p>
        </w:tc>
        <w:tc>
          <w:tcPr>
            <w:tcW w:w="38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p>
        </w:tc>
        <w:tc>
          <w:tcPr>
            <w:tcW w:w="112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75</w:t>
            </w:r>
            <w:r>
              <w:rPr>
                <w:rFonts w:hint="default" w:ascii="Times New Roman" w:hAnsi="Times New Roman" w:eastAsia="宋体" w:cs="Times New Roman"/>
                <w:color w:val="auto"/>
                <w:sz w:val="18"/>
                <w:szCs w:val="18"/>
                <w:lang w:val="en-US" w:eastAsia="zh-CN"/>
              </w:rPr>
              <w:t>/1</w:t>
            </w:r>
          </w:p>
        </w:tc>
        <w:tc>
          <w:tcPr>
            <w:tcW w:w="76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基础减震</w:t>
            </w:r>
          </w:p>
        </w:tc>
        <w:tc>
          <w:tcPr>
            <w:tcW w:w="58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-89.6</w:t>
            </w:r>
          </w:p>
        </w:tc>
        <w:tc>
          <w:tcPr>
            <w:tcW w:w="5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3.9</w:t>
            </w:r>
          </w:p>
        </w:tc>
        <w:tc>
          <w:tcPr>
            <w:tcW w:w="49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c>
          <w:tcPr>
            <w:tcW w:w="53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99.0</w:t>
            </w:r>
          </w:p>
        </w:tc>
        <w:tc>
          <w:tcPr>
            <w:tcW w:w="52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88.7</w:t>
            </w:r>
          </w:p>
        </w:tc>
        <w:tc>
          <w:tcPr>
            <w:tcW w:w="49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69.8</w:t>
            </w:r>
          </w:p>
        </w:tc>
        <w:tc>
          <w:tcPr>
            <w:tcW w:w="54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169.3</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48.7</w:t>
            </w:r>
          </w:p>
        </w:tc>
        <w:tc>
          <w:tcPr>
            <w:tcW w:w="45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48.8</w:t>
            </w:r>
          </w:p>
        </w:tc>
        <w:tc>
          <w:tcPr>
            <w:tcW w:w="41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48.8</w:t>
            </w:r>
          </w:p>
        </w:tc>
        <w:tc>
          <w:tcPr>
            <w:tcW w:w="52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48.7</w:t>
            </w:r>
          </w:p>
        </w:tc>
        <w:tc>
          <w:tcPr>
            <w:tcW w:w="55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全天</w:t>
            </w:r>
          </w:p>
        </w:tc>
        <w:tc>
          <w:tcPr>
            <w:tcW w:w="54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16.0</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c>
          <w:tcPr>
            <w:tcW w:w="56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16.0</w:t>
            </w:r>
          </w:p>
        </w:tc>
        <w:tc>
          <w:tcPr>
            <w:tcW w:w="49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42.7</w:t>
            </w:r>
          </w:p>
        </w:tc>
        <w:tc>
          <w:tcPr>
            <w:tcW w:w="45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32.8</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42.8</w:t>
            </w:r>
          </w:p>
        </w:tc>
        <w:tc>
          <w:tcPr>
            <w:tcW w:w="49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32.7</w:t>
            </w:r>
          </w:p>
        </w:tc>
        <w:tc>
          <w:tcPr>
            <w:tcW w:w="45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42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23</w:t>
            </w:r>
          </w:p>
        </w:tc>
        <w:tc>
          <w:tcPr>
            <w:tcW w:w="8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切片车间</w:t>
            </w:r>
          </w:p>
        </w:tc>
        <w:tc>
          <w:tcPr>
            <w:tcW w:w="66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宋体" w:cs="Times New Roman"/>
                <w:color w:val="auto"/>
                <w:sz w:val="18"/>
                <w:szCs w:val="18"/>
                <w:lang w:eastAsia="zh-CN"/>
              </w:rPr>
              <w:t>切片机</w:t>
            </w:r>
          </w:p>
        </w:tc>
        <w:tc>
          <w:tcPr>
            <w:tcW w:w="38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p>
        </w:tc>
        <w:tc>
          <w:tcPr>
            <w:tcW w:w="112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75</w:t>
            </w:r>
            <w:r>
              <w:rPr>
                <w:rFonts w:hint="default" w:ascii="Times New Roman" w:hAnsi="Times New Roman" w:eastAsia="宋体" w:cs="Times New Roman"/>
                <w:color w:val="auto"/>
                <w:sz w:val="18"/>
                <w:szCs w:val="18"/>
                <w:lang w:val="en-US" w:eastAsia="zh-CN"/>
              </w:rPr>
              <w:t>/1</w:t>
            </w:r>
          </w:p>
        </w:tc>
        <w:tc>
          <w:tcPr>
            <w:tcW w:w="76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基础减震</w:t>
            </w:r>
          </w:p>
        </w:tc>
        <w:tc>
          <w:tcPr>
            <w:tcW w:w="58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-87.1</w:t>
            </w:r>
          </w:p>
        </w:tc>
        <w:tc>
          <w:tcPr>
            <w:tcW w:w="5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w:t>
            </w:r>
          </w:p>
        </w:tc>
        <w:tc>
          <w:tcPr>
            <w:tcW w:w="49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c>
          <w:tcPr>
            <w:tcW w:w="53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96.8</w:t>
            </w:r>
          </w:p>
        </w:tc>
        <w:tc>
          <w:tcPr>
            <w:tcW w:w="52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87.7</w:t>
            </w:r>
          </w:p>
        </w:tc>
        <w:tc>
          <w:tcPr>
            <w:tcW w:w="49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71.4</w:t>
            </w:r>
          </w:p>
        </w:tc>
        <w:tc>
          <w:tcPr>
            <w:tcW w:w="54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169.3</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48.7</w:t>
            </w:r>
          </w:p>
        </w:tc>
        <w:tc>
          <w:tcPr>
            <w:tcW w:w="45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48.8</w:t>
            </w:r>
          </w:p>
        </w:tc>
        <w:tc>
          <w:tcPr>
            <w:tcW w:w="41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48.8</w:t>
            </w:r>
          </w:p>
        </w:tc>
        <w:tc>
          <w:tcPr>
            <w:tcW w:w="52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48.7</w:t>
            </w:r>
          </w:p>
        </w:tc>
        <w:tc>
          <w:tcPr>
            <w:tcW w:w="55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全天</w:t>
            </w:r>
          </w:p>
        </w:tc>
        <w:tc>
          <w:tcPr>
            <w:tcW w:w="54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16.0</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c>
          <w:tcPr>
            <w:tcW w:w="56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16.0</w:t>
            </w:r>
          </w:p>
        </w:tc>
        <w:tc>
          <w:tcPr>
            <w:tcW w:w="49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42.7</w:t>
            </w:r>
          </w:p>
        </w:tc>
        <w:tc>
          <w:tcPr>
            <w:tcW w:w="45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32.8</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42.8</w:t>
            </w:r>
          </w:p>
        </w:tc>
        <w:tc>
          <w:tcPr>
            <w:tcW w:w="49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32.7</w:t>
            </w:r>
          </w:p>
        </w:tc>
        <w:tc>
          <w:tcPr>
            <w:tcW w:w="45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42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24</w:t>
            </w:r>
          </w:p>
        </w:tc>
        <w:tc>
          <w:tcPr>
            <w:tcW w:w="8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切片车间</w:t>
            </w:r>
          </w:p>
        </w:tc>
        <w:tc>
          <w:tcPr>
            <w:tcW w:w="66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宋体" w:cs="Times New Roman"/>
                <w:color w:val="auto"/>
                <w:sz w:val="18"/>
                <w:szCs w:val="18"/>
                <w:lang w:eastAsia="zh-CN"/>
              </w:rPr>
              <w:t>切片机</w:t>
            </w:r>
          </w:p>
        </w:tc>
        <w:tc>
          <w:tcPr>
            <w:tcW w:w="38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p>
        </w:tc>
        <w:tc>
          <w:tcPr>
            <w:tcW w:w="112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75</w:t>
            </w:r>
            <w:r>
              <w:rPr>
                <w:rFonts w:hint="default" w:ascii="Times New Roman" w:hAnsi="Times New Roman" w:eastAsia="宋体" w:cs="Times New Roman"/>
                <w:color w:val="auto"/>
                <w:sz w:val="18"/>
                <w:szCs w:val="18"/>
                <w:lang w:val="en-US" w:eastAsia="zh-CN"/>
              </w:rPr>
              <w:t>/1</w:t>
            </w:r>
          </w:p>
        </w:tc>
        <w:tc>
          <w:tcPr>
            <w:tcW w:w="76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基础减震</w:t>
            </w:r>
          </w:p>
        </w:tc>
        <w:tc>
          <w:tcPr>
            <w:tcW w:w="58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-84.6</w:t>
            </w:r>
          </w:p>
        </w:tc>
        <w:tc>
          <w:tcPr>
            <w:tcW w:w="5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6.6</w:t>
            </w:r>
          </w:p>
        </w:tc>
        <w:tc>
          <w:tcPr>
            <w:tcW w:w="49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c>
          <w:tcPr>
            <w:tcW w:w="53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94.0</w:t>
            </w:r>
          </w:p>
        </w:tc>
        <w:tc>
          <w:tcPr>
            <w:tcW w:w="52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87.5</w:t>
            </w:r>
          </w:p>
        </w:tc>
        <w:tc>
          <w:tcPr>
            <w:tcW w:w="49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72.7</w:t>
            </w:r>
          </w:p>
        </w:tc>
        <w:tc>
          <w:tcPr>
            <w:tcW w:w="54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168.5</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48.7</w:t>
            </w:r>
          </w:p>
        </w:tc>
        <w:tc>
          <w:tcPr>
            <w:tcW w:w="45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48.8</w:t>
            </w:r>
          </w:p>
        </w:tc>
        <w:tc>
          <w:tcPr>
            <w:tcW w:w="41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48.8</w:t>
            </w:r>
          </w:p>
        </w:tc>
        <w:tc>
          <w:tcPr>
            <w:tcW w:w="52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48.7</w:t>
            </w:r>
          </w:p>
        </w:tc>
        <w:tc>
          <w:tcPr>
            <w:tcW w:w="55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全天</w:t>
            </w:r>
          </w:p>
        </w:tc>
        <w:tc>
          <w:tcPr>
            <w:tcW w:w="54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16.0</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c>
          <w:tcPr>
            <w:tcW w:w="56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16.0</w:t>
            </w:r>
          </w:p>
        </w:tc>
        <w:tc>
          <w:tcPr>
            <w:tcW w:w="49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42.7</w:t>
            </w:r>
          </w:p>
        </w:tc>
        <w:tc>
          <w:tcPr>
            <w:tcW w:w="45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32.8</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42.8</w:t>
            </w:r>
          </w:p>
        </w:tc>
        <w:tc>
          <w:tcPr>
            <w:tcW w:w="49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32.7</w:t>
            </w:r>
          </w:p>
        </w:tc>
        <w:tc>
          <w:tcPr>
            <w:tcW w:w="45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42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25</w:t>
            </w:r>
          </w:p>
        </w:tc>
        <w:tc>
          <w:tcPr>
            <w:tcW w:w="8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切片车间</w:t>
            </w:r>
          </w:p>
        </w:tc>
        <w:tc>
          <w:tcPr>
            <w:tcW w:w="66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宋体" w:cs="Times New Roman"/>
                <w:color w:val="auto"/>
                <w:sz w:val="18"/>
                <w:szCs w:val="18"/>
                <w:lang w:eastAsia="zh-CN"/>
              </w:rPr>
              <w:t>切片机</w:t>
            </w:r>
          </w:p>
        </w:tc>
        <w:tc>
          <w:tcPr>
            <w:tcW w:w="38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p>
        </w:tc>
        <w:tc>
          <w:tcPr>
            <w:tcW w:w="112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75</w:t>
            </w:r>
            <w:r>
              <w:rPr>
                <w:rFonts w:hint="default" w:ascii="Times New Roman" w:hAnsi="Times New Roman" w:eastAsia="宋体" w:cs="Times New Roman"/>
                <w:color w:val="auto"/>
                <w:sz w:val="18"/>
                <w:szCs w:val="18"/>
                <w:lang w:val="en-US" w:eastAsia="zh-CN"/>
              </w:rPr>
              <w:t>/1</w:t>
            </w:r>
          </w:p>
        </w:tc>
        <w:tc>
          <w:tcPr>
            <w:tcW w:w="76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基础减震</w:t>
            </w:r>
          </w:p>
        </w:tc>
        <w:tc>
          <w:tcPr>
            <w:tcW w:w="58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-81.9</w:t>
            </w:r>
          </w:p>
        </w:tc>
        <w:tc>
          <w:tcPr>
            <w:tcW w:w="5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w:t>
            </w:r>
          </w:p>
        </w:tc>
        <w:tc>
          <w:tcPr>
            <w:tcW w:w="49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c>
          <w:tcPr>
            <w:tcW w:w="53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91.4</w:t>
            </w:r>
          </w:p>
        </w:tc>
        <w:tc>
          <w:tcPr>
            <w:tcW w:w="52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87.0</w:t>
            </w:r>
          </w:p>
        </w:tc>
        <w:tc>
          <w:tcPr>
            <w:tcW w:w="49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74.5</w:t>
            </w:r>
          </w:p>
        </w:tc>
        <w:tc>
          <w:tcPr>
            <w:tcW w:w="54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168.2</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48.8</w:t>
            </w:r>
          </w:p>
        </w:tc>
        <w:tc>
          <w:tcPr>
            <w:tcW w:w="45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48.8</w:t>
            </w:r>
          </w:p>
        </w:tc>
        <w:tc>
          <w:tcPr>
            <w:tcW w:w="41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48.8</w:t>
            </w:r>
          </w:p>
        </w:tc>
        <w:tc>
          <w:tcPr>
            <w:tcW w:w="52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48.7</w:t>
            </w:r>
          </w:p>
        </w:tc>
        <w:tc>
          <w:tcPr>
            <w:tcW w:w="55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全天</w:t>
            </w:r>
          </w:p>
        </w:tc>
        <w:tc>
          <w:tcPr>
            <w:tcW w:w="54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16.0</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c>
          <w:tcPr>
            <w:tcW w:w="56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16.0</w:t>
            </w:r>
          </w:p>
        </w:tc>
        <w:tc>
          <w:tcPr>
            <w:tcW w:w="49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42.8</w:t>
            </w:r>
          </w:p>
        </w:tc>
        <w:tc>
          <w:tcPr>
            <w:tcW w:w="45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32.8</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42.8</w:t>
            </w:r>
          </w:p>
        </w:tc>
        <w:tc>
          <w:tcPr>
            <w:tcW w:w="49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32.7</w:t>
            </w:r>
          </w:p>
        </w:tc>
        <w:tc>
          <w:tcPr>
            <w:tcW w:w="45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42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26</w:t>
            </w:r>
          </w:p>
        </w:tc>
        <w:tc>
          <w:tcPr>
            <w:tcW w:w="8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切片车间</w:t>
            </w:r>
          </w:p>
        </w:tc>
        <w:tc>
          <w:tcPr>
            <w:tcW w:w="66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宋体" w:cs="Times New Roman"/>
                <w:color w:val="auto"/>
                <w:sz w:val="18"/>
                <w:szCs w:val="18"/>
                <w:lang w:eastAsia="zh-CN"/>
              </w:rPr>
              <w:t>切片机</w:t>
            </w:r>
          </w:p>
        </w:tc>
        <w:tc>
          <w:tcPr>
            <w:tcW w:w="38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p>
        </w:tc>
        <w:tc>
          <w:tcPr>
            <w:tcW w:w="112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75</w:t>
            </w:r>
            <w:r>
              <w:rPr>
                <w:rFonts w:hint="default" w:ascii="Times New Roman" w:hAnsi="Times New Roman" w:eastAsia="宋体" w:cs="Times New Roman"/>
                <w:color w:val="auto"/>
                <w:sz w:val="18"/>
                <w:szCs w:val="18"/>
                <w:lang w:val="en-US" w:eastAsia="zh-CN"/>
              </w:rPr>
              <w:t>/1</w:t>
            </w:r>
          </w:p>
        </w:tc>
        <w:tc>
          <w:tcPr>
            <w:tcW w:w="76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基础减震</w:t>
            </w:r>
          </w:p>
        </w:tc>
        <w:tc>
          <w:tcPr>
            <w:tcW w:w="58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-79</w:t>
            </w:r>
          </w:p>
        </w:tc>
        <w:tc>
          <w:tcPr>
            <w:tcW w:w="5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9.2</w:t>
            </w:r>
          </w:p>
        </w:tc>
        <w:tc>
          <w:tcPr>
            <w:tcW w:w="49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c>
          <w:tcPr>
            <w:tcW w:w="53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88.8</w:t>
            </w:r>
          </w:p>
        </w:tc>
        <w:tc>
          <w:tcPr>
            <w:tcW w:w="52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86.3</w:t>
            </w:r>
          </w:p>
        </w:tc>
        <w:tc>
          <w:tcPr>
            <w:tcW w:w="49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76.6</w:t>
            </w:r>
          </w:p>
        </w:tc>
        <w:tc>
          <w:tcPr>
            <w:tcW w:w="54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168.3</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48.8</w:t>
            </w:r>
          </w:p>
        </w:tc>
        <w:tc>
          <w:tcPr>
            <w:tcW w:w="45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48.8</w:t>
            </w:r>
          </w:p>
        </w:tc>
        <w:tc>
          <w:tcPr>
            <w:tcW w:w="41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48.8</w:t>
            </w:r>
          </w:p>
        </w:tc>
        <w:tc>
          <w:tcPr>
            <w:tcW w:w="52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48.7</w:t>
            </w:r>
          </w:p>
        </w:tc>
        <w:tc>
          <w:tcPr>
            <w:tcW w:w="55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全天</w:t>
            </w:r>
          </w:p>
        </w:tc>
        <w:tc>
          <w:tcPr>
            <w:tcW w:w="54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16.0</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c>
          <w:tcPr>
            <w:tcW w:w="56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16.0</w:t>
            </w:r>
          </w:p>
        </w:tc>
        <w:tc>
          <w:tcPr>
            <w:tcW w:w="49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42.8</w:t>
            </w:r>
          </w:p>
        </w:tc>
        <w:tc>
          <w:tcPr>
            <w:tcW w:w="45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32.8</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42.8</w:t>
            </w:r>
          </w:p>
        </w:tc>
        <w:tc>
          <w:tcPr>
            <w:tcW w:w="49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32.7</w:t>
            </w:r>
          </w:p>
        </w:tc>
        <w:tc>
          <w:tcPr>
            <w:tcW w:w="45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42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27</w:t>
            </w:r>
          </w:p>
        </w:tc>
        <w:tc>
          <w:tcPr>
            <w:tcW w:w="8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切片车间</w:t>
            </w:r>
          </w:p>
        </w:tc>
        <w:tc>
          <w:tcPr>
            <w:tcW w:w="66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宋体" w:cs="Times New Roman"/>
                <w:color w:val="auto"/>
                <w:sz w:val="18"/>
                <w:szCs w:val="18"/>
                <w:lang w:eastAsia="zh-CN"/>
              </w:rPr>
              <w:t>切片机</w:t>
            </w:r>
          </w:p>
        </w:tc>
        <w:tc>
          <w:tcPr>
            <w:tcW w:w="38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p>
        </w:tc>
        <w:tc>
          <w:tcPr>
            <w:tcW w:w="112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75</w:t>
            </w:r>
            <w:r>
              <w:rPr>
                <w:rFonts w:hint="default" w:ascii="Times New Roman" w:hAnsi="Times New Roman" w:eastAsia="宋体" w:cs="Times New Roman"/>
                <w:color w:val="auto"/>
                <w:sz w:val="18"/>
                <w:szCs w:val="18"/>
                <w:lang w:val="en-US" w:eastAsia="zh-CN"/>
              </w:rPr>
              <w:t>/1</w:t>
            </w:r>
          </w:p>
        </w:tc>
        <w:tc>
          <w:tcPr>
            <w:tcW w:w="76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基础减震</w:t>
            </w:r>
          </w:p>
        </w:tc>
        <w:tc>
          <w:tcPr>
            <w:tcW w:w="58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-76.2</w:t>
            </w:r>
          </w:p>
        </w:tc>
        <w:tc>
          <w:tcPr>
            <w:tcW w:w="5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10.8</w:t>
            </w:r>
          </w:p>
        </w:tc>
        <w:tc>
          <w:tcPr>
            <w:tcW w:w="49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c>
          <w:tcPr>
            <w:tcW w:w="53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86.1</w:t>
            </w:r>
          </w:p>
        </w:tc>
        <w:tc>
          <w:tcPr>
            <w:tcW w:w="52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86.1</w:t>
            </w:r>
          </w:p>
        </w:tc>
        <w:tc>
          <w:tcPr>
            <w:tcW w:w="49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78.6</w:t>
            </w:r>
          </w:p>
        </w:tc>
        <w:tc>
          <w:tcPr>
            <w:tcW w:w="54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167.9</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48.8</w:t>
            </w:r>
          </w:p>
        </w:tc>
        <w:tc>
          <w:tcPr>
            <w:tcW w:w="45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48.8</w:t>
            </w:r>
          </w:p>
        </w:tc>
        <w:tc>
          <w:tcPr>
            <w:tcW w:w="41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48.8</w:t>
            </w:r>
          </w:p>
        </w:tc>
        <w:tc>
          <w:tcPr>
            <w:tcW w:w="52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48.7</w:t>
            </w:r>
          </w:p>
        </w:tc>
        <w:tc>
          <w:tcPr>
            <w:tcW w:w="55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全天</w:t>
            </w:r>
          </w:p>
        </w:tc>
        <w:tc>
          <w:tcPr>
            <w:tcW w:w="54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16.0</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c>
          <w:tcPr>
            <w:tcW w:w="56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16.0</w:t>
            </w:r>
          </w:p>
        </w:tc>
        <w:tc>
          <w:tcPr>
            <w:tcW w:w="49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42.8</w:t>
            </w:r>
          </w:p>
        </w:tc>
        <w:tc>
          <w:tcPr>
            <w:tcW w:w="45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32.8</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42.8</w:t>
            </w:r>
          </w:p>
        </w:tc>
        <w:tc>
          <w:tcPr>
            <w:tcW w:w="49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32.7</w:t>
            </w:r>
          </w:p>
        </w:tc>
        <w:tc>
          <w:tcPr>
            <w:tcW w:w="45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42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28</w:t>
            </w:r>
          </w:p>
        </w:tc>
        <w:tc>
          <w:tcPr>
            <w:tcW w:w="8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切片车间</w:t>
            </w:r>
          </w:p>
        </w:tc>
        <w:tc>
          <w:tcPr>
            <w:tcW w:w="66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宋体" w:cs="Times New Roman"/>
                <w:color w:val="auto"/>
                <w:sz w:val="18"/>
                <w:szCs w:val="18"/>
                <w:lang w:eastAsia="zh-CN"/>
              </w:rPr>
              <w:t>切片机</w:t>
            </w:r>
          </w:p>
        </w:tc>
        <w:tc>
          <w:tcPr>
            <w:tcW w:w="38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p>
        </w:tc>
        <w:tc>
          <w:tcPr>
            <w:tcW w:w="112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75</w:t>
            </w:r>
            <w:r>
              <w:rPr>
                <w:rFonts w:hint="default" w:ascii="Times New Roman" w:hAnsi="Times New Roman" w:eastAsia="宋体" w:cs="Times New Roman"/>
                <w:color w:val="auto"/>
                <w:sz w:val="18"/>
                <w:szCs w:val="18"/>
                <w:lang w:val="en-US" w:eastAsia="zh-CN"/>
              </w:rPr>
              <w:t>/1</w:t>
            </w:r>
          </w:p>
        </w:tc>
        <w:tc>
          <w:tcPr>
            <w:tcW w:w="76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基础减震</w:t>
            </w:r>
          </w:p>
        </w:tc>
        <w:tc>
          <w:tcPr>
            <w:tcW w:w="58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-73.2</w:t>
            </w:r>
          </w:p>
        </w:tc>
        <w:tc>
          <w:tcPr>
            <w:tcW w:w="5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12.2</w:t>
            </w:r>
          </w:p>
        </w:tc>
        <w:tc>
          <w:tcPr>
            <w:tcW w:w="49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c>
          <w:tcPr>
            <w:tcW w:w="53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83.4</w:t>
            </w:r>
          </w:p>
        </w:tc>
        <w:tc>
          <w:tcPr>
            <w:tcW w:w="52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85.7</w:t>
            </w:r>
          </w:p>
        </w:tc>
        <w:tc>
          <w:tcPr>
            <w:tcW w:w="49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80.8</w:t>
            </w:r>
          </w:p>
        </w:tc>
        <w:tc>
          <w:tcPr>
            <w:tcW w:w="54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168.0</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48.8</w:t>
            </w:r>
          </w:p>
        </w:tc>
        <w:tc>
          <w:tcPr>
            <w:tcW w:w="45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48.8</w:t>
            </w:r>
          </w:p>
        </w:tc>
        <w:tc>
          <w:tcPr>
            <w:tcW w:w="41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48.8</w:t>
            </w:r>
          </w:p>
        </w:tc>
        <w:tc>
          <w:tcPr>
            <w:tcW w:w="52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48.7</w:t>
            </w:r>
          </w:p>
        </w:tc>
        <w:tc>
          <w:tcPr>
            <w:tcW w:w="55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全天</w:t>
            </w:r>
          </w:p>
        </w:tc>
        <w:tc>
          <w:tcPr>
            <w:tcW w:w="54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16.0</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c>
          <w:tcPr>
            <w:tcW w:w="56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16.0</w:t>
            </w:r>
          </w:p>
        </w:tc>
        <w:tc>
          <w:tcPr>
            <w:tcW w:w="49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42.8</w:t>
            </w:r>
          </w:p>
        </w:tc>
        <w:tc>
          <w:tcPr>
            <w:tcW w:w="45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32.8</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42.8</w:t>
            </w:r>
          </w:p>
        </w:tc>
        <w:tc>
          <w:tcPr>
            <w:tcW w:w="49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32.7</w:t>
            </w:r>
          </w:p>
        </w:tc>
        <w:tc>
          <w:tcPr>
            <w:tcW w:w="45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42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29</w:t>
            </w:r>
          </w:p>
        </w:tc>
        <w:tc>
          <w:tcPr>
            <w:tcW w:w="8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切片车间</w:t>
            </w:r>
          </w:p>
        </w:tc>
        <w:tc>
          <w:tcPr>
            <w:tcW w:w="66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宋体" w:cs="Times New Roman"/>
                <w:color w:val="auto"/>
                <w:sz w:val="18"/>
                <w:szCs w:val="18"/>
                <w:lang w:eastAsia="zh-CN"/>
              </w:rPr>
              <w:t>切片机</w:t>
            </w:r>
          </w:p>
        </w:tc>
        <w:tc>
          <w:tcPr>
            <w:tcW w:w="38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p>
        </w:tc>
        <w:tc>
          <w:tcPr>
            <w:tcW w:w="112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75</w:t>
            </w:r>
            <w:r>
              <w:rPr>
                <w:rFonts w:hint="default" w:ascii="Times New Roman" w:hAnsi="Times New Roman" w:eastAsia="宋体" w:cs="Times New Roman"/>
                <w:color w:val="auto"/>
                <w:sz w:val="18"/>
                <w:szCs w:val="18"/>
                <w:lang w:val="en-US" w:eastAsia="zh-CN"/>
              </w:rPr>
              <w:t>/1</w:t>
            </w:r>
          </w:p>
        </w:tc>
        <w:tc>
          <w:tcPr>
            <w:tcW w:w="76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基础减震</w:t>
            </w:r>
          </w:p>
        </w:tc>
        <w:tc>
          <w:tcPr>
            <w:tcW w:w="58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-70.1</w:t>
            </w:r>
          </w:p>
        </w:tc>
        <w:tc>
          <w:tcPr>
            <w:tcW w:w="5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13.7</w:t>
            </w:r>
          </w:p>
        </w:tc>
        <w:tc>
          <w:tcPr>
            <w:tcW w:w="49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c>
          <w:tcPr>
            <w:tcW w:w="53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80.7</w:t>
            </w:r>
          </w:p>
        </w:tc>
        <w:tc>
          <w:tcPr>
            <w:tcW w:w="52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85.6</w:t>
            </w:r>
          </w:p>
        </w:tc>
        <w:tc>
          <w:tcPr>
            <w:tcW w:w="49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83.2</w:t>
            </w:r>
          </w:p>
        </w:tc>
        <w:tc>
          <w:tcPr>
            <w:tcW w:w="54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168.0</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48.8</w:t>
            </w:r>
          </w:p>
        </w:tc>
        <w:tc>
          <w:tcPr>
            <w:tcW w:w="45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48.8</w:t>
            </w:r>
          </w:p>
        </w:tc>
        <w:tc>
          <w:tcPr>
            <w:tcW w:w="41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48.8</w:t>
            </w:r>
          </w:p>
        </w:tc>
        <w:tc>
          <w:tcPr>
            <w:tcW w:w="52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48.7</w:t>
            </w:r>
          </w:p>
        </w:tc>
        <w:tc>
          <w:tcPr>
            <w:tcW w:w="55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全天</w:t>
            </w:r>
          </w:p>
        </w:tc>
        <w:tc>
          <w:tcPr>
            <w:tcW w:w="54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16.0</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c>
          <w:tcPr>
            <w:tcW w:w="56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16.0</w:t>
            </w:r>
          </w:p>
        </w:tc>
        <w:tc>
          <w:tcPr>
            <w:tcW w:w="49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42.8</w:t>
            </w:r>
          </w:p>
        </w:tc>
        <w:tc>
          <w:tcPr>
            <w:tcW w:w="45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32.8</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42.8</w:t>
            </w:r>
          </w:p>
        </w:tc>
        <w:tc>
          <w:tcPr>
            <w:tcW w:w="49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32.7</w:t>
            </w:r>
          </w:p>
        </w:tc>
        <w:tc>
          <w:tcPr>
            <w:tcW w:w="45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42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30</w:t>
            </w:r>
          </w:p>
        </w:tc>
        <w:tc>
          <w:tcPr>
            <w:tcW w:w="8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切片车间</w:t>
            </w:r>
          </w:p>
        </w:tc>
        <w:tc>
          <w:tcPr>
            <w:tcW w:w="66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宋体" w:cs="Times New Roman"/>
                <w:color w:val="auto"/>
                <w:sz w:val="18"/>
                <w:szCs w:val="18"/>
                <w:lang w:eastAsia="zh-CN"/>
              </w:rPr>
              <w:t>切片机</w:t>
            </w:r>
          </w:p>
        </w:tc>
        <w:tc>
          <w:tcPr>
            <w:tcW w:w="38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p>
        </w:tc>
        <w:tc>
          <w:tcPr>
            <w:tcW w:w="112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75</w:t>
            </w:r>
            <w:r>
              <w:rPr>
                <w:rFonts w:hint="default" w:ascii="Times New Roman" w:hAnsi="Times New Roman" w:eastAsia="宋体" w:cs="Times New Roman"/>
                <w:color w:val="auto"/>
                <w:sz w:val="18"/>
                <w:szCs w:val="18"/>
                <w:lang w:val="en-US" w:eastAsia="zh-CN"/>
              </w:rPr>
              <w:t>/1</w:t>
            </w:r>
          </w:p>
        </w:tc>
        <w:tc>
          <w:tcPr>
            <w:tcW w:w="76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基础减震</w:t>
            </w:r>
          </w:p>
        </w:tc>
        <w:tc>
          <w:tcPr>
            <w:tcW w:w="58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-66.8</w:t>
            </w:r>
          </w:p>
        </w:tc>
        <w:tc>
          <w:tcPr>
            <w:tcW w:w="5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15.2</w:t>
            </w:r>
          </w:p>
        </w:tc>
        <w:tc>
          <w:tcPr>
            <w:tcW w:w="49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c>
          <w:tcPr>
            <w:tcW w:w="53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77.9</w:t>
            </w:r>
          </w:p>
        </w:tc>
        <w:tc>
          <w:tcPr>
            <w:tcW w:w="52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85.4</w:t>
            </w:r>
          </w:p>
        </w:tc>
        <w:tc>
          <w:tcPr>
            <w:tcW w:w="49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85.9</w:t>
            </w:r>
          </w:p>
        </w:tc>
        <w:tc>
          <w:tcPr>
            <w:tcW w:w="54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168.2</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48.8</w:t>
            </w:r>
          </w:p>
        </w:tc>
        <w:tc>
          <w:tcPr>
            <w:tcW w:w="45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48.8</w:t>
            </w:r>
          </w:p>
        </w:tc>
        <w:tc>
          <w:tcPr>
            <w:tcW w:w="41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48.8</w:t>
            </w:r>
          </w:p>
        </w:tc>
        <w:tc>
          <w:tcPr>
            <w:tcW w:w="52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48.7</w:t>
            </w:r>
          </w:p>
        </w:tc>
        <w:tc>
          <w:tcPr>
            <w:tcW w:w="55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全天</w:t>
            </w:r>
          </w:p>
        </w:tc>
        <w:tc>
          <w:tcPr>
            <w:tcW w:w="54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16.0</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c>
          <w:tcPr>
            <w:tcW w:w="56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16.0</w:t>
            </w:r>
          </w:p>
        </w:tc>
        <w:tc>
          <w:tcPr>
            <w:tcW w:w="49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42.8</w:t>
            </w:r>
          </w:p>
        </w:tc>
        <w:tc>
          <w:tcPr>
            <w:tcW w:w="45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32.8</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42.8</w:t>
            </w:r>
          </w:p>
        </w:tc>
        <w:tc>
          <w:tcPr>
            <w:tcW w:w="49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32.7</w:t>
            </w:r>
          </w:p>
        </w:tc>
        <w:tc>
          <w:tcPr>
            <w:tcW w:w="45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42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31</w:t>
            </w:r>
          </w:p>
        </w:tc>
        <w:tc>
          <w:tcPr>
            <w:tcW w:w="8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切片车间</w:t>
            </w:r>
          </w:p>
        </w:tc>
        <w:tc>
          <w:tcPr>
            <w:tcW w:w="66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宋体" w:cs="Times New Roman"/>
                <w:color w:val="auto"/>
                <w:sz w:val="18"/>
                <w:szCs w:val="18"/>
                <w:lang w:eastAsia="zh-CN"/>
              </w:rPr>
              <w:t>切片机</w:t>
            </w:r>
          </w:p>
        </w:tc>
        <w:tc>
          <w:tcPr>
            <w:tcW w:w="38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p>
        </w:tc>
        <w:tc>
          <w:tcPr>
            <w:tcW w:w="112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75</w:t>
            </w:r>
            <w:r>
              <w:rPr>
                <w:rFonts w:hint="default" w:ascii="Times New Roman" w:hAnsi="Times New Roman" w:eastAsia="宋体" w:cs="Times New Roman"/>
                <w:color w:val="auto"/>
                <w:sz w:val="18"/>
                <w:szCs w:val="18"/>
                <w:lang w:val="en-US" w:eastAsia="zh-CN"/>
              </w:rPr>
              <w:t>/1</w:t>
            </w:r>
          </w:p>
        </w:tc>
        <w:tc>
          <w:tcPr>
            <w:tcW w:w="76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基础减震</w:t>
            </w:r>
          </w:p>
        </w:tc>
        <w:tc>
          <w:tcPr>
            <w:tcW w:w="58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-63.7</w:t>
            </w:r>
          </w:p>
        </w:tc>
        <w:tc>
          <w:tcPr>
            <w:tcW w:w="5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17</w:t>
            </w:r>
          </w:p>
        </w:tc>
        <w:tc>
          <w:tcPr>
            <w:tcW w:w="49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c>
          <w:tcPr>
            <w:tcW w:w="53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75.0</w:t>
            </w:r>
          </w:p>
        </w:tc>
        <w:tc>
          <w:tcPr>
            <w:tcW w:w="52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85.8</w:t>
            </w:r>
          </w:p>
        </w:tc>
        <w:tc>
          <w:tcPr>
            <w:tcW w:w="49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88.4</w:t>
            </w:r>
          </w:p>
        </w:tc>
        <w:tc>
          <w:tcPr>
            <w:tcW w:w="54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168.1</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48.8</w:t>
            </w:r>
          </w:p>
        </w:tc>
        <w:tc>
          <w:tcPr>
            <w:tcW w:w="45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48.8</w:t>
            </w:r>
          </w:p>
        </w:tc>
        <w:tc>
          <w:tcPr>
            <w:tcW w:w="41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48.8</w:t>
            </w:r>
          </w:p>
        </w:tc>
        <w:tc>
          <w:tcPr>
            <w:tcW w:w="52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48.7</w:t>
            </w:r>
          </w:p>
        </w:tc>
        <w:tc>
          <w:tcPr>
            <w:tcW w:w="55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全天</w:t>
            </w:r>
          </w:p>
        </w:tc>
        <w:tc>
          <w:tcPr>
            <w:tcW w:w="54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16.0</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c>
          <w:tcPr>
            <w:tcW w:w="56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16.0</w:t>
            </w:r>
          </w:p>
        </w:tc>
        <w:tc>
          <w:tcPr>
            <w:tcW w:w="49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42.8</w:t>
            </w:r>
          </w:p>
        </w:tc>
        <w:tc>
          <w:tcPr>
            <w:tcW w:w="45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32.8</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42.8</w:t>
            </w:r>
          </w:p>
        </w:tc>
        <w:tc>
          <w:tcPr>
            <w:tcW w:w="49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32.7</w:t>
            </w:r>
          </w:p>
        </w:tc>
        <w:tc>
          <w:tcPr>
            <w:tcW w:w="45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42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32</w:t>
            </w:r>
          </w:p>
        </w:tc>
        <w:tc>
          <w:tcPr>
            <w:tcW w:w="8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切片车间</w:t>
            </w:r>
          </w:p>
        </w:tc>
        <w:tc>
          <w:tcPr>
            <w:tcW w:w="66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宋体" w:cs="Times New Roman"/>
                <w:color w:val="auto"/>
                <w:sz w:val="18"/>
                <w:szCs w:val="18"/>
                <w:lang w:eastAsia="zh-CN"/>
              </w:rPr>
              <w:t>切片机</w:t>
            </w:r>
          </w:p>
        </w:tc>
        <w:tc>
          <w:tcPr>
            <w:tcW w:w="38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p>
        </w:tc>
        <w:tc>
          <w:tcPr>
            <w:tcW w:w="112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75</w:t>
            </w:r>
            <w:r>
              <w:rPr>
                <w:rFonts w:hint="default" w:ascii="Times New Roman" w:hAnsi="Times New Roman" w:eastAsia="宋体" w:cs="Times New Roman"/>
                <w:color w:val="auto"/>
                <w:sz w:val="18"/>
                <w:szCs w:val="18"/>
                <w:lang w:val="en-US" w:eastAsia="zh-CN"/>
              </w:rPr>
              <w:t>/1</w:t>
            </w:r>
          </w:p>
        </w:tc>
        <w:tc>
          <w:tcPr>
            <w:tcW w:w="76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基础减震</w:t>
            </w:r>
          </w:p>
        </w:tc>
        <w:tc>
          <w:tcPr>
            <w:tcW w:w="58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-60.7</w:t>
            </w:r>
          </w:p>
        </w:tc>
        <w:tc>
          <w:tcPr>
            <w:tcW w:w="5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18.5</w:t>
            </w:r>
          </w:p>
        </w:tc>
        <w:tc>
          <w:tcPr>
            <w:tcW w:w="49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c>
          <w:tcPr>
            <w:tcW w:w="53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72.5</w:t>
            </w:r>
          </w:p>
        </w:tc>
        <w:tc>
          <w:tcPr>
            <w:tcW w:w="52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86.1</w:t>
            </w:r>
          </w:p>
        </w:tc>
        <w:tc>
          <w:tcPr>
            <w:tcW w:w="49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90.9</w:t>
            </w:r>
          </w:p>
        </w:tc>
        <w:tc>
          <w:tcPr>
            <w:tcW w:w="54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168.3</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48.8</w:t>
            </w:r>
          </w:p>
        </w:tc>
        <w:tc>
          <w:tcPr>
            <w:tcW w:w="45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48.8</w:t>
            </w:r>
          </w:p>
        </w:tc>
        <w:tc>
          <w:tcPr>
            <w:tcW w:w="41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48.8</w:t>
            </w:r>
          </w:p>
        </w:tc>
        <w:tc>
          <w:tcPr>
            <w:tcW w:w="52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48.7</w:t>
            </w:r>
          </w:p>
        </w:tc>
        <w:tc>
          <w:tcPr>
            <w:tcW w:w="55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全天</w:t>
            </w:r>
          </w:p>
        </w:tc>
        <w:tc>
          <w:tcPr>
            <w:tcW w:w="54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16.0</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c>
          <w:tcPr>
            <w:tcW w:w="56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16.0</w:t>
            </w:r>
          </w:p>
        </w:tc>
        <w:tc>
          <w:tcPr>
            <w:tcW w:w="49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42.8</w:t>
            </w:r>
          </w:p>
        </w:tc>
        <w:tc>
          <w:tcPr>
            <w:tcW w:w="45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32.8</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42.8</w:t>
            </w:r>
          </w:p>
        </w:tc>
        <w:tc>
          <w:tcPr>
            <w:tcW w:w="49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32.7</w:t>
            </w:r>
          </w:p>
        </w:tc>
        <w:tc>
          <w:tcPr>
            <w:tcW w:w="45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42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33</w:t>
            </w:r>
          </w:p>
        </w:tc>
        <w:tc>
          <w:tcPr>
            <w:tcW w:w="8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切片车间</w:t>
            </w:r>
          </w:p>
        </w:tc>
        <w:tc>
          <w:tcPr>
            <w:tcW w:w="66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宋体" w:cs="Times New Roman"/>
                <w:color w:val="auto"/>
                <w:sz w:val="18"/>
                <w:szCs w:val="18"/>
                <w:lang w:eastAsia="zh-CN"/>
              </w:rPr>
              <w:t>切片机</w:t>
            </w:r>
          </w:p>
        </w:tc>
        <w:tc>
          <w:tcPr>
            <w:tcW w:w="38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p>
        </w:tc>
        <w:tc>
          <w:tcPr>
            <w:tcW w:w="112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75</w:t>
            </w:r>
            <w:r>
              <w:rPr>
                <w:rFonts w:hint="default" w:ascii="Times New Roman" w:hAnsi="Times New Roman" w:eastAsia="宋体" w:cs="Times New Roman"/>
                <w:color w:val="auto"/>
                <w:sz w:val="18"/>
                <w:szCs w:val="18"/>
                <w:lang w:val="en-US" w:eastAsia="zh-CN"/>
              </w:rPr>
              <w:t>/1</w:t>
            </w:r>
          </w:p>
        </w:tc>
        <w:tc>
          <w:tcPr>
            <w:tcW w:w="76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基础减震</w:t>
            </w:r>
          </w:p>
        </w:tc>
        <w:tc>
          <w:tcPr>
            <w:tcW w:w="58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-57.1</w:t>
            </w:r>
          </w:p>
        </w:tc>
        <w:tc>
          <w:tcPr>
            <w:tcW w:w="5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20.5</w:t>
            </w:r>
          </w:p>
        </w:tc>
        <w:tc>
          <w:tcPr>
            <w:tcW w:w="49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c>
          <w:tcPr>
            <w:tcW w:w="53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69.4</w:t>
            </w:r>
          </w:p>
        </w:tc>
        <w:tc>
          <w:tcPr>
            <w:tcW w:w="52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86.8</w:t>
            </w:r>
          </w:p>
        </w:tc>
        <w:tc>
          <w:tcPr>
            <w:tcW w:w="49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93.9</w:t>
            </w:r>
          </w:p>
        </w:tc>
        <w:tc>
          <w:tcPr>
            <w:tcW w:w="54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168.4</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48.8</w:t>
            </w:r>
          </w:p>
        </w:tc>
        <w:tc>
          <w:tcPr>
            <w:tcW w:w="45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48.8</w:t>
            </w:r>
          </w:p>
        </w:tc>
        <w:tc>
          <w:tcPr>
            <w:tcW w:w="41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48.7</w:t>
            </w:r>
          </w:p>
        </w:tc>
        <w:tc>
          <w:tcPr>
            <w:tcW w:w="52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48.7</w:t>
            </w:r>
          </w:p>
        </w:tc>
        <w:tc>
          <w:tcPr>
            <w:tcW w:w="55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全天</w:t>
            </w:r>
          </w:p>
        </w:tc>
        <w:tc>
          <w:tcPr>
            <w:tcW w:w="54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16.0</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c>
          <w:tcPr>
            <w:tcW w:w="56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16.0</w:t>
            </w:r>
          </w:p>
        </w:tc>
        <w:tc>
          <w:tcPr>
            <w:tcW w:w="49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42.8</w:t>
            </w:r>
          </w:p>
        </w:tc>
        <w:tc>
          <w:tcPr>
            <w:tcW w:w="45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32.8</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42.7</w:t>
            </w:r>
          </w:p>
        </w:tc>
        <w:tc>
          <w:tcPr>
            <w:tcW w:w="49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32.7</w:t>
            </w:r>
          </w:p>
        </w:tc>
        <w:tc>
          <w:tcPr>
            <w:tcW w:w="45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42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34</w:t>
            </w:r>
          </w:p>
        </w:tc>
        <w:tc>
          <w:tcPr>
            <w:tcW w:w="8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切片车间</w:t>
            </w:r>
          </w:p>
        </w:tc>
        <w:tc>
          <w:tcPr>
            <w:tcW w:w="66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宋体" w:cs="Times New Roman"/>
                <w:color w:val="auto"/>
                <w:sz w:val="18"/>
                <w:szCs w:val="18"/>
                <w:lang w:eastAsia="zh-CN"/>
              </w:rPr>
              <w:t>切片机</w:t>
            </w:r>
          </w:p>
        </w:tc>
        <w:tc>
          <w:tcPr>
            <w:tcW w:w="38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p>
        </w:tc>
        <w:tc>
          <w:tcPr>
            <w:tcW w:w="112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75</w:t>
            </w:r>
            <w:r>
              <w:rPr>
                <w:rFonts w:hint="default" w:ascii="Times New Roman" w:hAnsi="Times New Roman" w:eastAsia="宋体" w:cs="Times New Roman"/>
                <w:color w:val="auto"/>
                <w:sz w:val="18"/>
                <w:szCs w:val="18"/>
                <w:lang w:val="en-US" w:eastAsia="zh-CN"/>
              </w:rPr>
              <w:t>/1</w:t>
            </w:r>
          </w:p>
        </w:tc>
        <w:tc>
          <w:tcPr>
            <w:tcW w:w="76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基础减震</w:t>
            </w:r>
          </w:p>
        </w:tc>
        <w:tc>
          <w:tcPr>
            <w:tcW w:w="58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-53.6</w:t>
            </w:r>
          </w:p>
        </w:tc>
        <w:tc>
          <w:tcPr>
            <w:tcW w:w="5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22.3</w:t>
            </w:r>
          </w:p>
        </w:tc>
        <w:tc>
          <w:tcPr>
            <w:tcW w:w="49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c>
          <w:tcPr>
            <w:tcW w:w="53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66.6</w:t>
            </w:r>
          </w:p>
        </w:tc>
        <w:tc>
          <w:tcPr>
            <w:tcW w:w="52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87.5</w:t>
            </w:r>
          </w:p>
        </w:tc>
        <w:tc>
          <w:tcPr>
            <w:tcW w:w="49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97.0</w:t>
            </w:r>
          </w:p>
        </w:tc>
        <w:tc>
          <w:tcPr>
            <w:tcW w:w="54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168.8</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48.8</w:t>
            </w:r>
          </w:p>
        </w:tc>
        <w:tc>
          <w:tcPr>
            <w:tcW w:w="45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48.8</w:t>
            </w:r>
          </w:p>
        </w:tc>
        <w:tc>
          <w:tcPr>
            <w:tcW w:w="41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48.7</w:t>
            </w:r>
          </w:p>
        </w:tc>
        <w:tc>
          <w:tcPr>
            <w:tcW w:w="52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48.7</w:t>
            </w:r>
          </w:p>
        </w:tc>
        <w:tc>
          <w:tcPr>
            <w:tcW w:w="55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全天</w:t>
            </w:r>
          </w:p>
        </w:tc>
        <w:tc>
          <w:tcPr>
            <w:tcW w:w="54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16.0</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c>
          <w:tcPr>
            <w:tcW w:w="56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16.0</w:t>
            </w:r>
          </w:p>
        </w:tc>
        <w:tc>
          <w:tcPr>
            <w:tcW w:w="49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42.8</w:t>
            </w:r>
          </w:p>
        </w:tc>
        <w:tc>
          <w:tcPr>
            <w:tcW w:w="45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32.8</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42.7</w:t>
            </w:r>
          </w:p>
        </w:tc>
        <w:tc>
          <w:tcPr>
            <w:tcW w:w="49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32.7</w:t>
            </w:r>
          </w:p>
        </w:tc>
        <w:tc>
          <w:tcPr>
            <w:tcW w:w="45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42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35</w:t>
            </w:r>
          </w:p>
        </w:tc>
        <w:tc>
          <w:tcPr>
            <w:tcW w:w="8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切片车间</w:t>
            </w:r>
          </w:p>
        </w:tc>
        <w:tc>
          <w:tcPr>
            <w:tcW w:w="66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宋体" w:cs="Times New Roman"/>
                <w:color w:val="auto"/>
                <w:sz w:val="18"/>
                <w:szCs w:val="18"/>
                <w:lang w:eastAsia="zh-CN"/>
              </w:rPr>
              <w:t>切片机</w:t>
            </w:r>
          </w:p>
        </w:tc>
        <w:tc>
          <w:tcPr>
            <w:tcW w:w="38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p>
        </w:tc>
        <w:tc>
          <w:tcPr>
            <w:tcW w:w="112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75</w:t>
            </w:r>
            <w:r>
              <w:rPr>
                <w:rFonts w:hint="default" w:ascii="Times New Roman" w:hAnsi="Times New Roman" w:eastAsia="宋体" w:cs="Times New Roman"/>
                <w:color w:val="auto"/>
                <w:sz w:val="18"/>
                <w:szCs w:val="18"/>
                <w:lang w:val="en-US" w:eastAsia="zh-CN"/>
              </w:rPr>
              <w:t>/1</w:t>
            </w:r>
          </w:p>
        </w:tc>
        <w:tc>
          <w:tcPr>
            <w:tcW w:w="76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基础减震</w:t>
            </w:r>
          </w:p>
        </w:tc>
        <w:tc>
          <w:tcPr>
            <w:tcW w:w="58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-50</w:t>
            </w:r>
          </w:p>
        </w:tc>
        <w:tc>
          <w:tcPr>
            <w:tcW w:w="5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23.7</w:t>
            </w:r>
          </w:p>
        </w:tc>
        <w:tc>
          <w:tcPr>
            <w:tcW w:w="49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c>
          <w:tcPr>
            <w:tcW w:w="53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64.3</w:t>
            </w:r>
          </w:p>
        </w:tc>
        <w:tc>
          <w:tcPr>
            <w:tcW w:w="52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88.0</w:t>
            </w:r>
          </w:p>
        </w:tc>
        <w:tc>
          <w:tcPr>
            <w:tcW w:w="49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100.3</w:t>
            </w:r>
          </w:p>
        </w:tc>
        <w:tc>
          <w:tcPr>
            <w:tcW w:w="54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169.6</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48.8</w:t>
            </w:r>
          </w:p>
        </w:tc>
        <w:tc>
          <w:tcPr>
            <w:tcW w:w="45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48.8</w:t>
            </w:r>
          </w:p>
        </w:tc>
        <w:tc>
          <w:tcPr>
            <w:tcW w:w="41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48.7</w:t>
            </w:r>
          </w:p>
        </w:tc>
        <w:tc>
          <w:tcPr>
            <w:tcW w:w="52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48.7</w:t>
            </w:r>
          </w:p>
        </w:tc>
        <w:tc>
          <w:tcPr>
            <w:tcW w:w="55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全天</w:t>
            </w:r>
          </w:p>
        </w:tc>
        <w:tc>
          <w:tcPr>
            <w:tcW w:w="54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16.0</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c>
          <w:tcPr>
            <w:tcW w:w="56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16.0</w:t>
            </w:r>
          </w:p>
        </w:tc>
        <w:tc>
          <w:tcPr>
            <w:tcW w:w="49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42.8</w:t>
            </w:r>
          </w:p>
        </w:tc>
        <w:tc>
          <w:tcPr>
            <w:tcW w:w="45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32.8</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42.7</w:t>
            </w:r>
          </w:p>
        </w:tc>
        <w:tc>
          <w:tcPr>
            <w:tcW w:w="49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32.7</w:t>
            </w:r>
          </w:p>
        </w:tc>
        <w:tc>
          <w:tcPr>
            <w:tcW w:w="45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42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36</w:t>
            </w:r>
          </w:p>
        </w:tc>
        <w:tc>
          <w:tcPr>
            <w:tcW w:w="8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切片车间</w:t>
            </w:r>
          </w:p>
        </w:tc>
        <w:tc>
          <w:tcPr>
            <w:tcW w:w="66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宋体" w:cs="Times New Roman"/>
                <w:color w:val="auto"/>
                <w:sz w:val="18"/>
                <w:szCs w:val="18"/>
                <w:lang w:eastAsia="zh-CN"/>
              </w:rPr>
              <w:t>切片机</w:t>
            </w:r>
          </w:p>
        </w:tc>
        <w:tc>
          <w:tcPr>
            <w:tcW w:w="38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p>
        </w:tc>
        <w:tc>
          <w:tcPr>
            <w:tcW w:w="112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75</w:t>
            </w:r>
            <w:r>
              <w:rPr>
                <w:rFonts w:hint="default" w:ascii="Times New Roman" w:hAnsi="Times New Roman" w:eastAsia="宋体" w:cs="Times New Roman"/>
                <w:color w:val="auto"/>
                <w:sz w:val="18"/>
                <w:szCs w:val="18"/>
                <w:lang w:val="en-US" w:eastAsia="zh-CN"/>
              </w:rPr>
              <w:t>/1</w:t>
            </w:r>
          </w:p>
        </w:tc>
        <w:tc>
          <w:tcPr>
            <w:tcW w:w="76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基础减震</w:t>
            </w:r>
          </w:p>
        </w:tc>
        <w:tc>
          <w:tcPr>
            <w:tcW w:w="58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-46.6</w:t>
            </w:r>
          </w:p>
        </w:tc>
        <w:tc>
          <w:tcPr>
            <w:tcW w:w="5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24.9</w:t>
            </w:r>
          </w:p>
        </w:tc>
        <w:tc>
          <w:tcPr>
            <w:tcW w:w="49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c>
          <w:tcPr>
            <w:tcW w:w="53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62.4</w:t>
            </w:r>
          </w:p>
        </w:tc>
        <w:tc>
          <w:tcPr>
            <w:tcW w:w="52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88.5</w:t>
            </w:r>
          </w:p>
        </w:tc>
        <w:tc>
          <w:tcPr>
            <w:tcW w:w="49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103.4</w:t>
            </w:r>
          </w:p>
        </w:tc>
        <w:tc>
          <w:tcPr>
            <w:tcW w:w="54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170.6</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48.8</w:t>
            </w:r>
          </w:p>
        </w:tc>
        <w:tc>
          <w:tcPr>
            <w:tcW w:w="45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48.8</w:t>
            </w:r>
          </w:p>
        </w:tc>
        <w:tc>
          <w:tcPr>
            <w:tcW w:w="41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48.7</w:t>
            </w:r>
          </w:p>
        </w:tc>
        <w:tc>
          <w:tcPr>
            <w:tcW w:w="52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48.7</w:t>
            </w:r>
          </w:p>
        </w:tc>
        <w:tc>
          <w:tcPr>
            <w:tcW w:w="55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全天</w:t>
            </w:r>
          </w:p>
        </w:tc>
        <w:tc>
          <w:tcPr>
            <w:tcW w:w="54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16.0</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c>
          <w:tcPr>
            <w:tcW w:w="56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16.0</w:t>
            </w:r>
          </w:p>
        </w:tc>
        <w:tc>
          <w:tcPr>
            <w:tcW w:w="49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42.8</w:t>
            </w:r>
          </w:p>
        </w:tc>
        <w:tc>
          <w:tcPr>
            <w:tcW w:w="45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32.8</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42.7</w:t>
            </w:r>
          </w:p>
        </w:tc>
        <w:tc>
          <w:tcPr>
            <w:tcW w:w="49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32.7</w:t>
            </w:r>
          </w:p>
        </w:tc>
        <w:tc>
          <w:tcPr>
            <w:tcW w:w="45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42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37</w:t>
            </w:r>
          </w:p>
        </w:tc>
        <w:tc>
          <w:tcPr>
            <w:tcW w:w="8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切片车间</w:t>
            </w:r>
          </w:p>
        </w:tc>
        <w:tc>
          <w:tcPr>
            <w:tcW w:w="66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宋体" w:cs="Times New Roman"/>
                <w:color w:val="auto"/>
                <w:sz w:val="18"/>
                <w:szCs w:val="18"/>
                <w:lang w:eastAsia="zh-CN"/>
              </w:rPr>
              <w:t>切片机</w:t>
            </w:r>
          </w:p>
        </w:tc>
        <w:tc>
          <w:tcPr>
            <w:tcW w:w="38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p>
        </w:tc>
        <w:tc>
          <w:tcPr>
            <w:tcW w:w="112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75</w:t>
            </w:r>
            <w:r>
              <w:rPr>
                <w:rFonts w:hint="default" w:ascii="Times New Roman" w:hAnsi="Times New Roman" w:eastAsia="宋体" w:cs="Times New Roman"/>
                <w:color w:val="auto"/>
                <w:sz w:val="18"/>
                <w:szCs w:val="18"/>
                <w:lang w:val="en-US" w:eastAsia="zh-CN"/>
              </w:rPr>
              <w:t>/1</w:t>
            </w:r>
          </w:p>
        </w:tc>
        <w:tc>
          <w:tcPr>
            <w:tcW w:w="76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基础减震</w:t>
            </w:r>
          </w:p>
        </w:tc>
        <w:tc>
          <w:tcPr>
            <w:tcW w:w="58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-43.2</w:t>
            </w:r>
          </w:p>
        </w:tc>
        <w:tc>
          <w:tcPr>
            <w:tcW w:w="5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27.4</w:t>
            </w:r>
          </w:p>
        </w:tc>
        <w:tc>
          <w:tcPr>
            <w:tcW w:w="49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c>
          <w:tcPr>
            <w:tcW w:w="53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59.3</w:t>
            </w:r>
          </w:p>
        </w:tc>
        <w:tc>
          <w:tcPr>
            <w:tcW w:w="52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90.4</w:t>
            </w:r>
          </w:p>
        </w:tc>
        <w:tc>
          <w:tcPr>
            <w:tcW w:w="49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106.4</w:t>
            </w:r>
          </w:p>
        </w:tc>
        <w:tc>
          <w:tcPr>
            <w:tcW w:w="54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170.6</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48.8</w:t>
            </w:r>
          </w:p>
        </w:tc>
        <w:tc>
          <w:tcPr>
            <w:tcW w:w="45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48.8</w:t>
            </w:r>
          </w:p>
        </w:tc>
        <w:tc>
          <w:tcPr>
            <w:tcW w:w="41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48.7</w:t>
            </w:r>
          </w:p>
        </w:tc>
        <w:tc>
          <w:tcPr>
            <w:tcW w:w="52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48.7</w:t>
            </w:r>
          </w:p>
        </w:tc>
        <w:tc>
          <w:tcPr>
            <w:tcW w:w="55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全天</w:t>
            </w:r>
          </w:p>
        </w:tc>
        <w:tc>
          <w:tcPr>
            <w:tcW w:w="54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16.0</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c>
          <w:tcPr>
            <w:tcW w:w="56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16.0</w:t>
            </w:r>
          </w:p>
        </w:tc>
        <w:tc>
          <w:tcPr>
            <w:tcW w:w="49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42.8</w:t>
            </w:r>
          </w:p>
        </w:tc>
        <w:tc>
          <w:tcPr>
            <w:tcW w:w="45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32.8</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42.7</w:t>
            </w:r>
          </w:p>
        </w:tc>
        <w:tc>
          <w:tcPr>
            <w:tcW w:w="49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32.7</w:t>
            </w:r>
          </w:p>
        </w:tc>
        <w:tc>
          <w:tcPr>
            <w:tcW w:w="45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42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38</w:t>
            </w:r>
          </w:p>
        </w:tc>
        <w:tc>
          <w:tcPr>
            <w:tcW w:w="8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切片车间</w:t>
            </w:r>
          </w:p>
        </w:tc>
        <w:tc>
          <w:tcPr>
            <w:tcW w:w="66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宋体" w:cs="Times New Roman"/>
                <w:color w:val="auto"/>
                <w:sz w:val="18"/>
                <w:szCs w:val="18"/>
                <w:lang w:eastAsia="zh-CN"/>
              </w:rPr>
              <w:t>切片机</w:t>
            </w:r>
          </w:p>
        </w:tc>
        <w:tc>
          <w:tcPr>
            <w:tcW w:w="38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p>
        </w:tc>
        <w:tc>
          <w:tcPr>
            <w:tcW w:w="112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75</w:t>
            </w:r>
            <w:r>
              <w:rPr>
                <w:rFonts w:hint="default" w:ascii="Times New Roman" w:hAnsi="Times New Roman" w:eastAsia="宋体" w:cs="Times New Roman"/>
                <w:color w:val="auto"/>
                <w:sz w:val="18"/>
                <w:szCs w:val="18"/>
                <w:lang w:val="en-US" w:eastAsia="zh-CN"/>
              </w:rPr>
              <w:t>/1</w:t>
            </w:r>
          </w:p>
        </w:tc>
        <w:tc>
          <w:tcPr>
            <w:tcW w:w="76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基础减震</w:t>
            </w:r>
          </w:p>
        </w:tc>
        <w:tc>
          <w:tcPr>
            <w:tcW w:w="58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-38.9</w:t>
            </w:r>
          </w:p>
        </w:tc>
        <w:tc>
          <w:tcPr>
            <w:tcW w:w="5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29.7</w:t>
            </w:r>
          </w:p>
        </w:tc>
        <w:tc>
          <w:tcPr>
            <w:tcW w:w="49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c>
          <w:tcPr>
            <w:tcW w:w="53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56.6</w:t>
            </w:r>
          </w:p>
        </w:tc>
        <w:tc>
          <w:tcPr>
            <w:tcW w:w="52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92.2</w:t>
            </w:r>
          </w:p>
        </w:tc>
        <w:tc>
          <w:tcPr>
            <w:tcW w:w="49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110.5</w:t>
            </w:r>
          </w:p>
        </w:tc>
        <w:tc>
          <w:tcPr>
            <w:tcW w:w="54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171.4</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48.8</w:t>
            </w:r>
          </w:p>
        </w:tc>
        <w:tc>
          <w:tcPr>
            <w:tcW w:w="45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48.8</w:t>
            </w:r>
          </w:p>
        </w:tc>
        <w:tc>
          <w:tcPr>
            <w:tcW w:w="41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48.7</w:t>
            </w:r>
          </w:p>
        </w:tc>
        <w:tc>
          <w:tcPr>
            <w:tcW w:w="52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48.7</w:t>
            </w:r>
          </w:p>
        </w:tc>
        <w:tc>
          <w:tcPr>
            <w:tcW w:w="55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全天</w:t>
            </w:r>
          </w:p>
        </w:tc>
        <w:tc>
          <w:tcPr>
            <w:tcW w:w="54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16.0</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c>
          <w:tcPr>
            <w:tcW w:w="56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16.0</w:t>
            </w:r>
          </w:p>
        </w:tc>
        <w:tc>
          <w:tcPr>
            <w:tcW w:w="49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42.8</w:t>
            </w:r>
          </w:p>
        </w:tc>
        <w:tc>
          <w:tcPr>
            <w:tcW w:w="45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32.8</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42.7</w:t>
            </w:r>
          </w:p>
        </w:tc>
        <w:tc>
          <w:tcPr>
            <w:tcW w:w="49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32.7</w:t>
            </w:r>
          </w:p>
        </w:tc>
        <w:tc>
          <w:tcPr>
            <w:tcW w:w="45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42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39</w:t>
            </w:r>
          </w:p>
        </w:tc>
        <w:tc>
          <w:tcPr>
            <w:tcW w:w="8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切片车间</w:t>
            </w:r>
          </w:p>
        </w:tc>
        <w:tc>
          <w:tcPr>
            <w:tcW w:w="66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宋体" w:cs="Times New Roman"/>
                <w:color w:val="auto"/>
                <w:sz w:val="18"/>
                <w:szCs w:val="18"/>
                <w:lang w:eastAsia="zh-CN"/>
              </w:rPr>
              <w:t>切片机</w:t>
            </w:r>
          </w:p>
        </w:tc>
        <w:tc>
          <w:tcPr>
            <w:tcW w:w="38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p>
        </w:tc>
        <w:tc>
          <w:tcPr>
            <w:tcW w:w="112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75</w:t>
            </w:r>
            <w:r>
              <w:rPr>
                <w:rFonts w:hint="default" w:ascii="Times New Roman" w:hAnsi="Times New Roman" w:eastAsia="宋体" w:cs="Times New Roman"/>
                <w:color w:val="auto"/>
                <w:sz w:val="18"/>
                <w:szCs w:val="18"/>
                <w:lang w:val="en-US" w:eastAsia="zh-CN"/>
              </w:rPr>
              <w:t>/1</w:t>
            </w:r>
          </w:p>
        </w:tc>
        <w:tc>
          <w:tcPr>
            <w:tcW w:w="76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基础减震</w:t>
            </w:r>
          </w:p>
        </w:tc>
        <w:tc>
          <w:tcPr>
            <w:tcW w:w="58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-35.1</w:t>
            </w:r>
          </w:p>
        </w:tc>
        <w:tc>
          <w:tcPr>
            <w:tcW w:w="5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31.2</w:t>
            </w:r>
          </w:p>
        </w:tc>
        <w:tc>
          <w:tcPr>
            <w:tcW w:w="49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c>
          <w:tcPr>
            <w:tcW w:w="53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54.9</w:t>
            </w:r>
          </w:p>
        </w:tc>
        <w:tc>
          <w:tcPr>
            <w:tcW w:w="52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93.4</w:t>
            </w:r>
          </w:p>
        </w:tc>
        <w:tc>
          <w:tcPr>
            <w:tcW w:w="49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114.1</w:t>
            </w:r>
          </w:p>
        </w:tc>
        <w:tc>
          <w:tcPr>
            <w:tcW w:w="54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172.6</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48.8</w:t>
            </w:r>
          </w:p>
        </w:tc>
        <w:tc>
          <w:tcPr>
            <w:tcW w:w="45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48.7</w:t>
            </w:r>
          </w:p>
        </w:tc>
        <w:tc>
          <w:tcPr>
            <w:tcW w:w="41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48.7</w:t>
            </w:r>
          </w:p>
        </w:tc>
        <w:tc>
          <w:tcPr>
            <w:tcW w:w="52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48.7</w:t>
            </w:r>
          </w:p>
        </w:tc>
        <w:tc>
          <w:tcPr>
            <w:tcW w:w="55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全天</w:t>
            </w:r>
          </w:p>
        </w:tc>
        <w:tc>
          <w:tcPr>
            <w:tcW w:w="54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16.0</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c>
          <w:tcPr>
            <w:tcW w:w="56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16.0</w:t>
            </w:r>
          </w:p>
        </w:tc>
        <w:tc>
          <w:tcPr>
            <w:tcW w:w="49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42.8</w:t>
            </w:r>
          </w:p>
        </w:tc>
        <w:tc>
          <w:tcPr>
            <w:tcW w:w="45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32.7</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42.7</w:t>
            </w:r>
          </w:p>
        </w:tc>
        <w:tc>
          <w:tcPr>
            <w:tcW w:w="49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32.7</w:t>
            </w:r>
          </w:p>
        </w:tc>
        <w:tc>
          <w:tcPr>
            <w:tcW w:w="45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42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40</w:t>
            </w:r>
          </w:p>
        </w:tc>
        <w:tc>
          <w:tcPr>
            <w:tcW w:w="8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切片车间</w:t>
            </w:r>
          </w:p>
        </w:tc>
        <w:tc>
          <w:tcPr>
            <w:tcW w:w="66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宋体" w:cs="Times New Roman"/>
                <w:color w:val="auto"/>
                <w:sz w:val="18"/>
                <w:szCs w:val="18"/>
                <w:lang w:eastAsia="zh-CN"/>
              </w:rPr>
              <w:t>切片机</w:t>
            </w:r>
          </w:p>
        </w:tc>
        <w:tc>
          <w:tcPr>
            <w:tcW w:w="38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p>
        </w:tc>
        <w:tc>
          <w:tcPr>
            <w:tcW w:w="1124"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Arial" w:cs="Times New Roman"/>
                <w:color w:val="auto"/>
                <w:sz w:val="18"/>
                <w:szCs w:val="18"/>
              </w:rPr>
              <w:t>75</w:t>
            </w:r>
            <w:r>
              <w:rPr>
                <w:rFonts w:hint="default" w:ascii="Times New Roman" w:hAnsi="Times New Roman" w:eastAsia="宋体" w:cs="Times New Roman"/>
                <w:color w:val="auto"/>
                <w:sz w:val="18"/>
                <w:szCs w:val="18"/>
                <w:lang w:val="en-US" w:eastAsia="zh-CN"/>
              </w:rPr>
              <w:t>/1</w:t>
            </w:r>
          </w:p>
        </w:tc>
        <w:tc>
          <w:tcPr>
            <w:tcW w:w="76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基础减震</w:t>
            </w:r>
          </w:p>
        </w:tc>
        <w:tc>
          <w:tcPr>
            <w:tcW w:w="58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-31.1</w:t>
            </w:r>
          </w:p>
        </w:tc>
        <w:tc>
          <w:tcPr>
            <w:tcW w:w="5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32.8</w:t>
            </w:r>
          </w:p>
        </w:tc>
        <w:tc>
          <w:tcPr>
            <w:tcW w:w="49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c>
          <w:tcPr>
            <w:tcW w:w="53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53.4</w:t>
            </w:r>
          </w:p>
        </w:tc>
        <w:tc>
          <w:tcPr>
            <w:tcW w:w="52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94.9</w:t>
            </w:r>
          </w:p>
        </w:tc>
        <w:tc>
          <w:tcPr>
            <w:tcW w:w="49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118.0</w:t>
            </w:r>
          </w:p>
        </w:tc>
        <w:tc>
          <w:tcPr>
            <w:tcW w:w="54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174.0</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48.8</w:t>
            </w:r>
          </w:p>
        </w:tc>
        <w:tc>
          <w:tcPr>
            <w:tcW w:w="45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48.7</w:t>
            </w:r>
          </w:p>
        </w:tc>
        <w:tc>
          <w:tcPr>
            <w:tcW w:w="41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48.7</w:t>
            </w:r>
          </w:p>
        </w:tc>
        <w:tc>
          <w:tcPr>
            <w:tcW w:w="52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48.7</w:t>
            </w:r>
          </w:p>
        </w:tc>
        <w:tc>
          <w:tcPr>
            <w:tcW w:w="55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全天</w:t>
            </w:r>
          </w:p>
        </w:tc>
        <w:tc>
          <w:tcPr>
            <w:tcW w:w="54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16.0</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c>
          <w:tcPr>
            <w:tcW w:w="56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16.0</w:t>
            </w:r>
          </w:p>
        </w:tc>
        <w:tc>
          <w:tcPr>
            <w:tcW w:w="49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42.8</w:t>
            </w:r>
          </w:p>
        </w:tc>
        <w:tc>
          <w:tcPr>
            <w:tcW w:w="45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32.7</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42.7</w:t>
            </w:r>
          </w:p>
        </w:tc>
        <w:tc>
          <w:tcPr>
            <w:tcW w:w="49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32.7</w:t>
            </w:r>
          </w:p>
        </w:tc>
        <w:tc>
          <w:tcPr>
            <w:tcW w:w="45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42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41</w:t>
            </w:r>
          </w:p>
        </w:tc>
        <w:tc>
          <w:tcPr>
            <w:tcW w:w="8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切片车间</w:t>
            </w:r>
          </w:p>
        </w:tc>
        <w:tc>
          <w:tcPr>
            <w:tcW w:w="66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宋体" w:cs="Times New Roman"/>
                <w:color w:val="auto"/>
                <w:sz w:val="18"/>
                <w:szCs w:val="18"/>
                <w:lang w:eastAsia="zh-CN"/>
              </w:rPr>
              <w:t>切片机</w:t>
            </w:r>
          </w:p>
        </w:tc>
        <w:tc>
          <w:tcPr>
            <w:tcW w:w="38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p>
        </w:tc>
        <w:tc>
          <w:tcPr>
            <w:tcW w:w="1124"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Arial" w:cs="Times New Roman"/>
                <w:color w:val="auto"/>
                <w:sz w:val="18"/>
                <w:szCs w:val="18"/>
              </w:rPr>
              <w:t>75</w:t>
            </w:r>
            <w:r>
              <w:rPr>
                <w:rFonts w:hint="default" w:ascii="Times New Roman" w:hAnsi="Times New Roman" w:eastAsia="宋体" w:cs="Times New Roman"/>
                <w:color w:val="auto"/>
                <w:sz w:val="18"/>
                <w:szCs w:val="18"/>
                <w:lang w:val="en-US" w:eastAsia="zh-CN"/>
              </w:rPr>
              <w:t>/1</w:t>
            </w:r>
          </w:p>
        </w:tc>
        <w:tc>
          <w:tcPr>
            <w:tcW w:w="76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基础减震</w:t>
            </w:r>
          </w:p>
        </w:tc>
        <w:tc>
          <w:tcPr>
            <w:tcW w:w="58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-27.6</w:t>
            </w:r>
          </w:p>
        </w:tc>
        <w:tc>
          <w:tcPr>
            <w:tcW w:w="5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34.8</w:t>
            </w:r>
          </w:p>
        </w:tc>
        <w:tc>
          <w:tcPr>
            <w:tcW w:w="49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c>
          <w:tcPr>
            <w:tcW w:w="53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51.8</w:t>
            </w:r>
          </w:p>
        </w:tc>
        <w:tc>
          <w:tcPr>
            <w:tcW w:w="52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96.9</w:t>
            </w:r>
          </w:p>
        </w:tc>
        <w:tc>
          <w:tcPr>
            <w:tcW w:w="49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121.3</w:t>
            </w:r>
          </w:p>
        </w:tc>
        <w:tc>
          <w:tcPr>
            <w:tcW w:w="54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174.9</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48.8</w:t>
            </w:r>
          </w:p>
        </w:tc>
        <w:tc>
          <w:tcPr>
            <w:tcW w:w="45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48.7</w:t>
            </w:r>
          </w:p>
        </w:tc>
        <w:tc>
          <w:tcPr>
            <w:tcW w:w="41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48.7</w:t>
            </w:r>
          </w:p>
        </w:tc>
        <w:tc>
          <w:tcPr>
            <w:tcW w:w="52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48.7</w:t>
            </w:r>
          </w:p>
        </w:tc>
        <w:tc>
          <w:tcPr>
            <w:tcW w:w="55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全天</w:t>
            </w:r>
          </w:p>
        </w:tc>
        <w:tc>
          <w:tcPr>
            <w:tcW w:w="54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16.0</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c>
          <w:tcPr>
            <w:tcW w:w="56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16.0</w:t>
            </w:r>
          </w:p>
        </w:tc>
        <w:tc>
          <w:tcPr>
            <w:tcW w:w="49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42.8</w:t>
            </w:r>
          </w:p>
        </w:tc>
        <w:tc>
          <w:tcPr>
            <w:tcW w:w="45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32.7</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42.7</w:t>
            </w:r>
          </w:p>
        </w:tc>
        <w:tc>
          <w:tcPr>
            <w:tcW w:w="49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32.7</w:t>
            </w:r>
          </w:p>
        </w:tc>
        <w:tc>
          <w:tcPr>
            <w:tcW w:w="45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42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42</w:t>
            </w:r>
          </w:p>
        </w:tc>
        <w:tc>
          <w:tcPr>
            <w:tcW w:w="8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切片车间</w:t>
            </w:r>
          </w:p>
        </w:tc>
        <w:tc>
          <w:tcPr>
            <w:tcW w:w="66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宋体" w:cs="Times New Roman"/>
                <w:color w:val="auto"/>
                <w:sz w:val="18"/>
                <w:szCs w:val="18"/>
                <w:lang w:eastAsia="zh-CN"/>
              </w:rPr>
              <w:t>切片机</w:t>
            </w:r>
          </w:p>
        </w:tc>
        <w:tc>
          <w:tcPr>
            <w:tcW w:w="38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p>
        </w:tc>
        <w:tc>
          <w:tcPr>
            <w:tcW w:w="112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75</w:t>
            </w:r>
            <w:r>
              <w:rPr>
                <w:rFonts w:hint="default" w:ascii="Times New Roman" w:hAnsi="Times New Roman" w:eastAsia="宋体" w:cs="Times New Roman"/>
                <w:color w:val="auto"/>
                <w:sz w:val="18"/>
                <w:szCs w:val="18"/>
                <w:lang w:val="en-US" w:eastAsia="zh-CN"/>
              </w:rPr>
              <w:t>/1</w:t>
            </w:r>
          </w:p>
        </w:tc>
        <w:tc>
          <w:tcPr>
            <w:tcW w:w="76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基础减震</w:t>
            </w:r>
          </w:p>
        </w:tc>
        <w:tc>
          <w:tcPr>
            <w:tcW w:w="58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-24</w:t>
            </w:r>
          </w:p>
        </w:tc>
        <w:tc>
          <w:tcPr>
            <w:tcW w:w="5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37.3</w:t>
            </w:r>
          </w:p>
        </w:tc>
        <w:tc>
          <w:tcPr>
            <w:tcW w:w="49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c>
          <w:tcPr>
            <w:tcW w:w="53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49.9</w:t>
            </w:r>
          </w:p>
        </w:tc>
        <w:tc>
          <w:tcPr>
            <w:tcW w:w="52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99.6</w:t>
            </w:r>
          </w:p>
        </w:tc>
        <w:tc>
          <w:tcPr>
            <w:tcW w:w="49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124.8</w:t>
            </w:r>
          </w:p>
        </w:tc>
        <w:tc>
          <w:tcPr>
            <w:tcW w:w="54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175.5</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48.8</w:t>
            </w:r>
          </w:p>
        </w:tc>
        <w:tc>
          <w:tcPr>
            <w:tcW w:w="45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48.7</w:t>
            </w:r>
          </w:p>
        </w:tc>
        <w:tc>
          <w:tcPr>
            <w:tcW w:w="41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48.7</w:t>
            </w:r>
          </w:p>
        </w:tc>
        <w:tc>
          <w:tcPr>
            <w:tcW w:w="52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48.7</w:t>
            </w:r>
          </w:p>
        </w:tc>
        <w:tc>
          <w:tcPr>
            <w:tcW w:w="55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全天</w:t>
            </w:r>
          </w:p>
        </w:tc>
        <w:tc>
          <w:tcPr>
            <w:tcW w:w="54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16.0</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c>
          <w:tcPr>
            <w:tcW w:w="56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16.0</w:t>
            </w:r>
          </w:p>
        </w:tc>
        <w:tc>
          <w:tcPr>
            <w:tcW w:w="49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42.8</w:t>
            </w:r>
          </w:p>
        </w:tc>
        <w:tc>
          <w:tcPr>
            <w:tcW w:w="45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32.7</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42.7</w:t>
            </w:r>
          </w:p>
        </w:tc>
        <w:tc>
          <w:tcPr>
            <w:tcW w:w="49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32.7</w:t>
            </w:r>
          </w:p>
        </w:tc>
        <w:tc>
          <w:tcPr>
            <w:tcW w:w="45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42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43</w:t>
            </w:r>
          </w:p>
        </w:tc>
        <w:tc>
          <w:tcPr>
            <w:tcW w:w="8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切片车间</w:t>
            </w:r>
          </w:p>
        </w:tc>
        <w:tc>
          <w:tcPr>
            <w:tcW w:w="66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宋体" w:cs="Times New Roman"/>
                <w:color w:val="auto"/>
                <w:sz w:val="18"/>
                <w:szCs w:val="18"/>
                <w:lang w:eastAsia="zh-CN"/>
              </w:rPr>
              <w:t>切片机</w:t>
            </w:r>
          </w:p>
        </w:tc>
        <w:tc>
          <w:tcPr>
            <w:tcW w:w="38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p>
        </w:tc>
        <w:tc>
          <w:tcPr>
            <w:tcW w:w="112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75</w:t>
            </w:r>
            <w:r>
              <w:rPr>
                <w:rFonts w:hint="default" w:ascii="Times New Roman" w:hAnsi="Times New Roman" w:eastAsia="宋体" w:cs="Times New Roman"/>
                <w:color w:val="auto"/>
                <w:sz w:val="18"/>
                <w:szCs w:val="18"/>
                <w:lang w:val="en-US" w:eastAsia="zh-CN"/>
              </w:rPr>
              <w:t>/1</w:t>
            </w:r>
          </w:p>
        </w:tc>
        <w:tc>
          <w:tcPr>
            <w:tcW w:w="76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基础减震</w:t>
            </w:r>
          </w:p>
        </w:tc>
        <w:tc>
          <w:tcPr>
            <w:tcW w:w="58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-19.8</w:t>
            </w:r>
          </w:p>
        </w:tc>
        <w:tc>
          <w:tcPr>
            <w:tcW w:w="5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39.2</w:t>
            </w:r>
          </w:p>
        </w:tc>
        <w:tc>
          <w:tcPr>
            <w:tcW w:w="49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c>
          <w:tcPr>
            <w:tcW w:w="53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49.1</w:t>
            </w:r>
          </w:p>
        </w:tc>
        <w:tc>
          <w:tcPr>
            <w:tcW w:w="52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101.9</w:t>
            </w:r>
          </w:p>
        </w:tc>
        <w:tc>
          <w:tcPr>
            <w:tcW w:w="49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129.0</w:t>
            </w:r>
          </w:p>
        </w:tc>
        <w:tc>
          <w:tcPr>
            <w:tcW w:w="54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177.1</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48.8</w:t>
            </w:r>
          </w:p>
        </w:tc>
        <w:tc>
          <w:tcPr>
            <w:tcW w:w="45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48.7</w:t>
            </w:r>
          </w:p>
        </w:tc>
        <w:tc>
          <w:tcPr>
            <w:tcW w:w="41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48.7</w:t>
            </w:r>
          </w:p>
        </w:tc>
        <w:tc>
          <w:tcPr>
            <w:tcW w:w="52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48.7</w:t>
            </w:r>
          </w:p>
        </w:tc>
        <w:tc>
          <w:tcPr>
            <w:tcW w:w="55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全天</w:t>
            </w:r>
          </w:p>
        </w:tc>
        <w:tc>
          <w:tcPr>
            <w:tcW w:w="54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16.0</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c>
          <w:tcPr>
            <w:tcW w:w="56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16.0</w:t>
            </w:r>
          </w:p>
        </w:tc>
        <w:tc>
          <w:tcPr>
            <w:tcW w:w="49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42.8</w:t>
            </w:r>
          </w:p>
        </w:tc>
        <w:tc>
          <w:tcPr>
            <w:tcW w:w="45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32.7</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42.7</w:t>
            </w:r>
          </w:p>
        </w:tc>
        <w:tc>
          <w:tcPr>
            <w:tcW w:w="49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32.7</w:t>
            </w:r>
          </w:p>
        </w:tc>
        <w:tc>
          <w:tcPr>
            <w:tcW w:w="45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42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44</w:t>
            </w:r>
          </w:p>
        </w:tc>
        <w:tc>
          <w:tcPr>
            <w:tcW w:w="8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切片车间</w:t>
            </w:r>
          </w:p>
        </w:tc>
        <w:tc>
          <w:tcPr>
            <w:tcW w:w="66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宋体" w:cs="Times New Roman"/>
                <w:color w:val="auto"/>
                <w:sz w:val="18"/>
                <w:szCs w:val="18"/>
                <w:lang w:eastAsia="zh-CN"/>
              </w:rPr>
              <w:t>切片机</w:t>
            </w:r>
          </w:p>
        </w:tc>
        <w:tc>
          <w:tcPr>
            <w:tcW w:w="38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p>
        </w:tc>
        <w:tc>
          <w:tcPr>
            <w:tcW w:w="112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75</w:t>
            </w:r>
            <w:r>
              <w:rPr>
                <w:rFonts w:hint="default" w:ascii="Times New Roman" w:hAnsi="Times New Roman" w:eastAsia="宋体" w:cs="Times New Roman"/>
                <w:color w:val="auto"/>
                <w:sz w:val="18"/>
                <w:szCs w:val="18"/>
                <w:lang w:val="en-US" w:eastAsia="zh-CN"/>
              </w:rPr>
              <w:t>/1</w:t>
            </w:r>
          </w:p>
        </w:tc>
        <w:tc>
          <w:tcPr>
            <w:tcW w:w="76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基础减震</w:t>
            </w:r>
          </w:p>
        </w:tc>
        <w:tc>
          <w:tcPr>
            <w:tcW w:w="58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-89.8</w:t>
            </w:r>
          </w:p>
        </w:tc>
        <w:tc>
          <w:tcPr>
            <w:tcW w:w="5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14.6</w:t>
            </w:r>
          </w:p>
        </w:tc>
        <w:tc>
          <w:tcPr>
            <w:tcW w:w="49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c>
          <w:tcPr>
            <w:tcW w:w="53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90.4</w:t>
            </w:r>
          </w:p>
        </w:tc>
        <w:tc>
          <w:tcPr>
            <w:tcW w:w="52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97.0</w:t>
            </w:r>
          </w:p>
        </w:tc>
        <w:tc>
          <w:tcPr>
            <w:tcW w:w="49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64.6</w:t>
            </w:r>
          </w:p>
        </w:tc>
        <w:tc>
          <w:tcPr>
            <w:tcW w:w="54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159.2</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48.8</w:t>
            </w:r>
          </w:p>
        </w:tc>
        <w:tc>
          <w:tcPr>
            <w:tcW w:w="45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48.7</w:t>
            </w:r>
          </w:p>
        </w:tc>
        <w:tc>
          <w:tcPr>
            <w:tcW w:w="41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48.8</w:t>
            </w:r>
          </w:p>
        </w:tc>
        <w:tc>
          <w:tcPr>
            <w:tcW w:w="52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48.7</w:t>
            </w:r>
          </w:p>
        </w:tc>
        <w:tc>
          <w:tcPr>
            <w:tcW w:w="55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全天</w:t>
            </w:r>
          </w:p>
        </w:tc>
        <w:tc>
          <w:tcPr>
            <w:tcW w:w="54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16.0</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c>
          <w:tcPr>
            <w:tcW w:w="56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16.0</w:t>
            </w:r>
          </w:p>
        </w:tc>
        <w:tc>
          <w:tcPr>
            <w:tcW w:w="49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42.8</w:t>
            </w:r>
          </w:p>
        </w:tc>
        <w:tc>
          <w:tcPr>
            <w:tcW w:w="45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32.7</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42.8</w:t>
            </w:r>
          </w:p>
        </w:tc>
        <w:tc>
          <w:tcPr>
            <w:tcW w:w="49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32.7</w:t>
            </w:r>
          </w:p>
        </w:tc>
        <w:tc>
          <w:tcPr>
            <w:tcW w:w="45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42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45</w:t>
            </w:r>
          </w:p>
        </w:tc>
        <w:tc>
          <w:tcPr>
            <w:tcW w:w="8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切片车间</w:t>
            </w:r>
          </w:p>
        </w:tc>
        <w:tc>
          <w:tcPr>
            <w:tcW w:w="66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脱胶机</w:t>
            </w:r>
          </w:p>
        </w:tc>
        <w:tc>
          <w:tcPr>
            <w:tcW w:w="38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p>
        </w:tc>
        <w:tc>
          <w:tcPr>
            <w:tcW w:w="112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kern w:val="2"/>
                <w:sz w:val="18"/>
                <w:szCs w:val="18"/>
                <w:lang w:val="en-US" w:eastAsia="zh-CN" w:bidi="ar-SA"/>
              </w:rPr>
              <w:t>70/1</w:t>
            </w:r>
          </w:p>
        </w:tc>
        <w:tc>
          <w:tcPr>
            <w:tcW w:w="76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基础减震</w:t>
            </w:r>
          </w:p>
        </w:tc>
        <w:tc>
          <w:tcPr>
            <w:tcW w:w="58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-145.8</w:t>
            </w:r>
          </w:p>
        </w:tc>
        <w:tc>
          <w:tcPr>
            <w:tcW w:w="5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58.8</w:t>
            </w:r>
          </w:p>
        </w:tc>
        <w:tc>
          <w:tcPr>
            <w:tcW w:w="49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c>
          <w:tcPr>
            <w:tcW w:w="53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114.6</w:t>
            </w:r>
          </w:p>
        </w:tc>
        <w:tc>
          <w:tcPr>
            <w:tcW w:w="52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167.1</w:t>
            </w:r>
          </w:p>
        </w:tc>
        <w:tc>
          <w:tcPr>
            <w:tcW w:w="49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18.2</w:t>
            </w:r>
          </w:p>
        </w:tc>
        <w:tc>
          <w:tcPr>
            <w:tcW w:w="54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104.8</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43.7</w:t>
            </w:r>
          </w:p>
        </w:tc>
        <w:tc>
          <w:tcPr>
            <w:tcW w:w="45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43.7</w:t>
            </w:r>
          </w:p>
        </w:tc>
        <w:tc>
          <w:tcPr>
            <w:tcW w:w="41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44.2</w:t>
            </w:r>
          </w:p>
        </w:tc>
        <w:tc>
          <w:tcPr>
            <w:tcW w:w="52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43.7</w:t>
            </w:r>
          </w:p>
        </w:tc>
        <w:tc>
          <w:tcPr>
            <w:tcW w:w="55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全天</w:t>
            </w:r>
          </w:p>
        </w:tc>
        <w:tc>
          <w:tcPr>
            <w:tcW w:w="54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16.0</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c>
          <w:tcPr>
            <w:tcW w:w="56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16.0</w:t>
            </w:r>
          </w:p>
        </w:tc>
        <w:tc>
          <w:tcPr>
            <w:tcW w:w="49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37.7</w:t>
            </w:r>
          </w:p>
        </w:tc>
        <w:tc>
          <w:tcPr>
            <w:tcW w:w="45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27.7</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38.2</w:t>
            </w:r>
          </w:p>
        </w:tc>
        <w:tc>
          <w:tcPr>
            <w:tcW w:w="49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27.7</w:t>
            </w:r>
          </w:p>
        </w:tc>
        <w:tc>
          <w:tcPr>
            <w:tcW w:w="45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42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46</w:t>
            </w:r>
          </w:p>
        </w:tc>
        <w:tc>
          <w:tcPr>
            <w:tcW w:w="8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切片车间</w:t>
            </w:r>
          </w:p>
        </w:tc>
        <w:tc>
          <w:tcPr>
            <w:tcW w:w="667"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eastAsia="zh-CN"/>
              </w:rPr>
              <w:t>脱胶机</w:t>
            </w:r>
          </w:p>
        </w:tc>
        <w:tc>
          <w:tcPr>
            <w:tcW w:w="38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p>
        </w:tc>
        <w:tc>
          <w:tcPr>
            <w:tcW w:w="112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kern w:val="2"/>
                <w:sz w:val="18"/>
                <w:szCs w:val="18"/>
                <w:lang w:val="en-US" w:eastAsia="zh-CN" w:bidi="ar-SA"/>
              </w:rPr>
              <w:t>70/1</w:t>
            </w:r>
          </w:p>
        </w:tc>
        <w:tc>
          <w:tcPr>
            <w:tcW w:w="76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基础减震</w:t>
            </w:r>
          </w:p>
        </w:tc>
        <w:tc>
          <w:tcPr>
            <w:tcW w:w="58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-149.1</w:t>
            </w:r>
          </w:p>
        </w:tc>
        <w:tc>
          <w:tcPr>
            <w:tcW w:w="5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65.9</w:t>
            </w:r>
          </w:p>
        </w:tc>
        <w:tc>
          <w:tcPr>
            <w:tcW w:w="49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c>
          <w:tcPr>
            <w:tcW w:w="53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116.4</w:t>
            </w:r>
          </w:p>
        </w:tc>
        <w:tc>
          <w:tcPr>
            <w:tcW w:w="52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174.6</w:t>
            </w:r>
          </w:p>
        </w:tc>
        <w:tc>
          <w:tcPr>
            <w:tcW w:w="49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25.1</w:t>
            </w:r>
          </w:p>
        </w:tc>
        <w:tc>
          <w:tcPr>
            <w:tcW w:w="54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97.8</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43.7</w:t>
            </w:r>
          </w:p>
        </w:tc>
        <w:tc>
          <w:tcPr>
            <w:tcW w:w="45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43.7</w:t>
            </w:r>
          </w:p>
        </w:tc>
        <w:tc>
          <w:tcPr>
            <w:tcW w:w="41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44.0</w:t>
            </w:r>
          </w:p>
        </w:tc>
        <w:tc>
          <w:tcPr>
            <w:tcW w:w="52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43.7</w:t>
            </w:r>
          </w:p>
        </w:tc>
        <w:tc>
          <w:tcPr>
            <w:tcW w:w="55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全天</w:t>
            </w:r>
          </w:p>
        </w:tc>
        <w:tc>
          <w:tcPr>
            <w:tcW w:w="54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16.0</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c>
          <w:tcPr>
            <w:tcW w:w="56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16.0</w:t>
            </w:r>
          </w:p>
        </w:tc>
        <w:tc>
          <w:tcPr>
            <w:tcW w:w="49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37.7</w:t>
            </w:r>
          </w:p>
        </w:tc>
        <w:tc>
          <w:tcPr>
            <w:tcW w:w="45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27.7</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38.0</w:t>
            </w:r>
          </w:p>
        </w:tc>
        <w:tc>
          <w:tcPr>
            <w:tcW w:w="49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27.7</w:t>
            </w:r>
          </w:p>
        </w:tc>
        <w:tc>
          <w:tcPr>
            <w:tcW w:w="45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42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47</w:t>
            </w:r>
          </w:p>
        </w:tc>
        <w:tc>
          <w:tcPr>
            <w:tcW w:w="8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切片车间</w:t>
            </w:r>
          </w:p>
        </w:tc>
        <w:tc>
          <w:tcPr>
            <w:tcW w:w="66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宋体" w:cs="Times New Roman"/>
                <w:color w:val="auto"/>
                <w:sz w:val="18"/>
                <w:szCs w:val="18"/>
                <w:lang w:eastAsia="zh-CN"/>
              </w:rPr>
              <w:t>清洗机</w:t>
            </w:r>
          </w:p>
        </w:tc>
        <w:tc>
          <w:tcPr>
            <w:tcW w:w="38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p>
        </w:tc>
        <w:tc>
          <w:tcPr>
            <w:tcW w:w="112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kern w:val="2"/>
                <w:sz w:val="18"/>
                <w:szCs w:val="18"/>
                <w:lang w:val="en-US" w:eastAsia="zh-CN" w:bidi="ar-SA"/>
              </w:rPr>
              <w:t>80/1</w:t>
            </w:r>
          </w:p>
        </w:tc>
        <w:tc>
          <w:tcPr>
            <w:tcW w:w="76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基础减震</w:t>
            </w:r>
          </w:p>
        </w:tc>
        <w:tc>
          <w:tcPr>
            <w:tcW w:w="58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-128.5</w:t>
            </w:r>
          </w:p>
        </w:tc>
        <w:tc>
          <w:tcPr>
            <w:tcW w:w="5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65.3</w:t>
            </w:r>
          </w:p>
        </w:tc>
        <w:tc>
          <w:tcPr>
            <w:tcW w:w="49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c>
          <w:tcPr>
            <w:tcW w:w="53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96.3</w:t>
            </w:r>
          </w:p>
        </w:tc>
        <w:tc>
          <w:tcPr>
            <w:tcW w:w="52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160.8</w:t>
            </w:r>
          </w:p>
        </w:tc>
        <w:tc>
          <w:tcPr>
            <w:tcW w:w="49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31.8</w:t>
            </w:r>
          </w:p>
        </w:tc>
        <w:tc>
          <w:tcPr>
            <w:tcW w:w="54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99.8</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53.7</w:t>
            </w:r>
          </w:p>
        </w:tc>
        <w:tc>
          <w:tcPr>
            <w:tcW w:w="45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53.7</w:t>
            </w:r>
          </w:p>
        </w:tc>
        <w:tc>
          <w:tcPr>
            <w:tcW w:w="41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53.9</w:t>
            </w:r>
          </w:p>
        </w:tc>
        <w:tc>
          <w:tcPr>
            <w:tcW w:w="52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53.7</w:t>
            </w:r>
          </w:p>
        </w:tc>
        <w:tc>
          <w:tcPr>
            <w:tcW w:w="55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全天</w:t>
            </w:r>
          </w:p>
        </w:tc>
        <w:tc>
          <w:tcPr>
            <w:tcW w:w="54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16.0</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c>
          <w:tcPr>
            <w:tcW w:w="56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16.0</w:t>
            </w:r>
          </w:p>
        </w:tc>
        <w:tc>
          <w:tcPr>
            <w:tcW w:w="49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47.7</w:t>
            </w:r>
          </w:p>
        </w:tc>
        <w:tc>
          <w:tcPr>
            <w:tcW w:w="45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37.7</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47.9</w:t>
            </w:r>
          </w:p>
        </w:tc>
        <w:tc>
          <w:tcPr>
            <w:tcW w:w="49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37.7</w:t>
            </w:r>
          </w:p>
        </w:tc>
        <w:tc>
          <w:tcPr>
            <w:tcW w:w="45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42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48</w:t>
            </w:r>
          </w:p>
        </w:tc>
        <w:tc>
          <w:tcPr>
            <w:tcW w:w="8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切片车间</w:t>
            </w:r>
          </w:p>
        </w:tc>
        <w:tc>
          <w:tcPr>
            <w:tcW w:w="66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宋体" w:cs="Times New Roman"/>
                <w:color w:val="auto"/>
                <w:sz w:val="18"/>
                <w:szCs w:val="18"/>
                <w:lang w:eastAsia="zh-CN"/>
              </w:rPr>
              <w:t>清洗机</w:t>
            </w:r>
          </w:p>
        </w:tc>
        <w:tc>
          <w:tcPr>
            <w:tcW w:w="38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p>
        </w:tc>
        <w:tc>
          <w:tcPr>
            <w:tcW w:w="112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kern w:val="2"/>
                <w:sz w:val="18"/>
                <w:szCs w:val="18"/>
                <w:lang w:val="en-US" w:eastAsia="zh-CN" w:bidi="ar-SA"/>
              </w:rPr>
              <w:t>80/1</w:t>
            </w:r>
          </w:p>
        </w:tc>
        <w:tc>
          <w:tcPr>
            <w:tcW w:w="76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基础减震</w:t>
            </w:r>
          </w:p>
        </w:tc>
        <w:tc>
          <w:tcPr>
            <w:tcW w:w="58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-116.9</w:t>
            </w:r>
          </w:p>
        </w:tc>
        <w:tc>
          <w:tcPr>
            <w:tcW w:w="5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69.9</w:t>
            </w:r>
          </w:p>
        </w:tc>
        <w:tc>
          <w:tcPr>
            <w:tcW w:w="49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c>
          <w:tcPr>
            <w:tcW w:w="53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84.0</w:t>
            </w:r>
          </w:p>
        </w:tc>
        <w:tc>
          <w:tcPr>
            <w:tcW w:w="52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157.8</w:t>
            </w:r>
          </w:p>
        </w:tc>
        <w:tc>
          <w:tcPr>
            <w:tcW w:w="49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43.2</w:t>
            </w:r>
          </w:p>
        </w:tc>
        <w:tc>
          <w:tcPr>
            <w:tcW w:w="54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98.1</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53.8</w:t>
            </w:r>
          </w:p>
        </w:tc>
        <w:tc>
          <w:tcPr>
            <w:tcW w:w="45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53.7</w:t>
            </w:r>
          </w:p>
        </w:tc>
        <w:tc>
          <w:tcPr>
            <w:tcW w:w="41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53.8</w:t>
            </w:r>
          </w:p>
        </w:tc>
        <w:tc>
          <w:tcPr>
            <w:tcW w:w="52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53.7</w:t>
            </w:r>
          </w:p>
        </w:tc>
        <w:tc>
          <w:tcPr>
            <w:tcW w:w="55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全天</w:t>
            </w:r>
          </w:p>
        </w:tc>
        <w:tc>
          <w:tcPr>
            <w:tcW w:w="54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16.0</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c>
          <w:tcPr>
            <w:tcW w:w="56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16.0</w:t>
            </w:r>
          </w:p>
        </w:tc>
        <w:tc>
          <w:tcPr>
            <w:tcW w:w="49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47.8</w:t>
            </w:r>
          </w:p>
        </w:tc>
        <w:tc>
          <w:tcPr>
            <w:tcW w:w="45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37.7</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47.8</w:t>
            </w:r>
          </w:p>
        </w:tc>
        <w:tc>
          <w:tcPr>
            <w:tcW w:w="49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37.7</w:t>
            </w:r>
          </w:p>
        </w:tc>
        <w:tc>
          <w:tcPr>
            <w:tcW w:w="45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42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49</w:t>
            </w:r>
          </w:p>
        </w:tc>
        <w:tc>
          <w:tcPr>
            <w:tcW w:w="8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切片车间</w:t>
            </w:r>
          </w:p>
        </w:tc>
        <w:tc>
          <w:tcPr>
            <w:tcW w:w="66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宋体" w:cs="Times New Roman"/>
                <w:color w:val="auto"/>
                <w:sz w:val="18"/>
                <w:szCs w:val="18"/>
                <w:lang w:eastAsia="zh-CN"/>
              </w:rPr>
              <w:t>清洗机</w:t>
            </w:r>
          </w:p>
        </w:tc>
        <w:tc>
          <w:tcPr>
            <w:tcW w:w="38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p>
        </w:tc>
        <w:tc>
          <w:tcPr>
            <w:tcW w:w="112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kern w:val="2"/>
                <w:sz w:val="18"/>
                <w:szCs w:val="18"/>
                <w:lang w:val="en-US" w:eastAsia="zh-CN" w:bidi="ar-SA"/>
              </w:rPr>
              <w:t>80/1</w:t>
            </w:r>
          </w:p>
        </w:tc>
        <w:tc>
          <w:tcPr>
            <w:tcW w:w="76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基础减震</w:t>
            </w:r>
          </w:p>
        </w:tc>
        <w:tc>
          <w:tcPr>
            <w:tcW w:w="58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-106.3</w:t>
            </w:r>
          </w:p>
        </w:tc>
        <w:tc>
          <w:tcPr>
            <w:tcW w:w="5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74.5</w:t>
            </w:r>
          </w:p>
        </w:tc>
        <w:tc>
          <w:tcPr>
            <w:tcW w:w="49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c>
          <w:tcPr>
            <w:tcW w:w="53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72.7</w:t>
            </w:r>
          </w:p>
        </w:tc>
        <w:tc>
          <w:tcPr>
            <w:tcW w:w="52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156.3</w:t>
            </w:r>
          </w:p>
        </w:tc>
        <w:tc>
          <w:tcPr>
            <w:tcW w:w="49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54.2</w:t>
            </w:r>
          </w:p>
        </w:tc>
        <w:tc>
          <w:tcPr>
            <w:tcW w:w="54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97.5</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53.8</w:t>
            </w:r>
          </w:p>
        </w:tc>
        <w:tc>
          <w:tcPr>
            <w:tcW w:w="45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53.7</w:t>
            </w:r>
          </w:p>
        </w:tc>
        <w:tc>
          <w:tcPr>
            <w:tcW w:w="41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53.8</w:t>
            </w:r>
          </w:p>
        </w:tc>
        <w:tc>
          <w:tcPr>
            <w:tcW w:w="52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53.7</w:t>
            </w:r>
          </w:p>
        </w:tc>
        <w:tc>
          <w:tcPr>
            <w:tcW w:w="55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全天</w:t>
            </w:r>
          </w:p>
        </w:tc>
        <w:tc>
          <w:tcPr>
            <w:tcW w:w="54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16.0</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c>
          <w:tcPr>
            <w:tcW w:w="56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16.0</w:t>
            </w:r>
          </w:p>
        </w:tc>
        <w:tc>
          <w:tcPr>
            <w:tcW w:w="49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47.8</w:t>
            </w:r>
          </w:p>
        </w:tc>
        <w:tc>
          <w:tcPr>
            <w:tcW w:w="45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37.7</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47.8</w:t>
            </w:r>
          </w:p>
        </w:tc>
        <w:tc>
          <w:tcPr>
            <w:tcW w:w="49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37.7</w:t>
            </w:r>
          </w:p>
        </w:tc>
        <w:tc>
          <w:tcPr>
            <w:tcW w:w="45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42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50</w:t>
            </w:r>
          </w:p>
        </w:tc>
        <w:tc>
          <w:tcPr>
            <w:tcW w:w="8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切片车间</w:t>
            </w:r>
          </w:p>
        </w:tc>
        <w:tc>
          <w:tcPr>
            <w:tcW w:w="66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宋体" w:cs="Times New Roman"/>
                <w:color w:val="auto"/>
                <w:sz w:val="18"/>
                <w:szCs w:val="18"/>
                <w:lang w:eastAsia="zh-CN"/>
              </w:rPr>
              <w:t>清洗机</w:t>
            </w:r>
          </w:p>
        </w:tc>
        <w:tc>
          <w:tcPr>
            <w:tcW w:w="38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p>
        </w:tc>
        <w:tc>
          <w:tcPr>
            <w:tcW w:w="1124"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kern w:val="2"/>
                <w:sz w:val="18"/>
                <w:szCs w:val="18"/>
                <w:lang w:val="en-US" w:eastAsia="zh-CN" w:bidi="ar-SA"/>
              </w:rPr>
              <w:t>80/1</w:t>
            </w:r>
          </w:p>
        </w:tc>
        <w:tc>
          <w:tcPr>
            <w:tcW w:w="76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基础减震</w:t>
            </w:r>
          </w:p>
        </w:tc>
        <w:tc>
          <w:tcPr>
            <w:tcW w:w="58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-96.9</w:t>
            </w:r>
          </w:p>
        </w:tc>
        <w:tc>
          <w:tcPr>
            <w:tcW w:w="5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78.9</w:t>
            </w:r>
          </w:p>
        </w:tc>
        <w:tc>
          <w:tcPr>
            <w:tcW w:w="49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c>
          <w:tcPr>
            <w:tcW w:w="53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62.8</w:t>
            </w:r>
          </w:p>
        </w:tc>
        <w:tc>
          <w:tcPr>
            <w:tcW w:w="52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155.9</w:t>
            </w:r>
          </w:p>
        </w:tc>
        <w:tc>
          <w:tcPr>
            <w:tcW w:w="49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64.4</w:t>
            </w:r>
          </w:p>
        </w:tc>
        <w:tc>
          <w:tcPr>
            <w:tcW w:w="54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97.9</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53.8</w:t>
            </w:r>
          </w:p>
        </w:tc>
        <w:tc>
          <w:tcPr>
            <w:tcW w:w="45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53.7</w:t>
            </w:r>
          </w:p>
        </w:tc>
        <w:tc>
          <w:tcPr>
            <w:tcW w:w="41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53.8</w:t>
            </w:r>
          </w:p>
        </w:tc>
        <w:tc>
          <w:tcPr>
            <w:tcW w:w="52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53.7</w:t>
            </w:r>
          </w:p>
        </w:tc>
        <w:tc>
          <w:tcPr>
            <w:tcW w:w="55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全天</w:t>
            </w:r>
          </w:p>
        </w:tc>
        <w:tc>
          <w:tcPr>
            <w:tcW w:w="54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16.0</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c>
          <w:tcPr>
            <w:tcW w:w="56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16.0</w:t>
            </w:r>
          </w:p>
        </w:tc>
        <w:tc>
          <w:tcPr>
            <w:tcW w:w="49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47.8</w:t>
            </w:r>
          </w:p>
        </w:tc>
        <w:tc>
          <w:tcPr>
            <w:tcW w:w="45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37.7</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47.8</w:t>
            </w:r>
          </w:p>
        </w:tc>
        <w:tc>
          <w:tcPr>
            <w:tcW w:w="49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37.7</w:t>
            </w:r>
          </w:p>
        </w:tc>
        <w:tc>
          <w:tcPr>
            <w:tcW w:w="45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42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51</w:t>
            </w:r>
          </w:p>
        </w:tc>
        <w:tc>
          <w:tcPr>
            <w:tcW w:w="8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切片车间</w:t>
            </w:r>
          </w:p>
        </w:tc>
        <w:tc>
          <w:tcPr>
            <w:tcW w:w="66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宋体" w:cs="Times New Roman"/>
                <w:color w:val="auto"/>
                <w:sz w:val="18"/>
                <w:szCs w:val="18"/>
                <w:lang w:eastAsia="zh-CN"/>
              </w:rPr>
              <w:t>清洗机</w:t>
            </w:r>
          </w:p>
        </w:tc>
        <w:tc>
          <w:tcPr>
            <w:tcW w:w="38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p>
        </w:tc>
        <w:tc>
          <w:tcPr>
            <w:tcW w:w="1124"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kern w:val="2"/>
                <w:sz w:val="18"/>
                <w:szCs w:val="18"/>
                <w:lang w:val="en-US" w:eastAsia="zh-CN" w:bidi="ar-SA"/>
              </w:rPr>
              <w:t>80/1</w:t>
            </w:r>
          </w:p>
        </w:tc>
        <w:tc>
          <w:tcPr>
            <w:tcW w:w="76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基础减震</w:t>
            </w:r>
          </w:p>
        </w:tc>
        <w:tc>
          <w:tcPr>
            <w:tcW w:w="58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-86.8</w:t>
            </w:r>
          </w:p>
        </w:tc>
        <w:tc>
          <w:tcPr>
            <w:tcW w:w="5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83.7</w:t>
            </w:r>
          </w:p>
        </w:tc>
        <w:tc>
          <w:tcPr>
            <w:tcW w:w="49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c>
          <w:tcPr>
            <w:tcW w:w="53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52.4</w:t>
            </w:r>
          </w:p>
        </w:tc>
        <w:tc>
          <w:tcPr>
            <w:tcW w:w="52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156.3</w:t>
            </w:r>
          </w:p>
        </w:tc>
        <w:tc>
          <w:tcPr>
            <w:tcW w:w="49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75.4</w:t>
            </w:r>
          </w:p>
        </w:tc>
        <w:tc>
          <w:tcPr>
            <w:tcW w:w="54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99.4</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53.8</w:t>
            </w:r>
          </w:p>
        </w:tc>
        <w:tc>
          <w:tcPr>
            <w:tcW w:w="45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53.7</w:t>
            </w:r>
          </w:p>
        </w:tc>
        <w:tc>
          <w:tcPr>
            <w:tcW w:w="41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53.8</w:t>
            </w:r>
          </w:p>
        </w:tc>
        <w:tc>
          <w:tcPr>
            <w:tcW w:w="52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53.7</w:t>
            </w:r>
          </w:p>
        </w:tc>
        <w:tc>
          <w:tcPr>
            <w:tcW w:w="55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全天</w:t>
            </w:r>
          </w:p>
        </w:tc>
        <w:tc>
          <w:tcPr>
            <w:tcW w:w="54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16.0</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c>
          <w:tcPr>
            <w:tcW w:w="56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16.0</w:t>
            </w:r>
          </w:p>
        </w:tc>
        <w:tc>
          <w:tcPr>
            <w:tcW w:w="49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47.8</w:t>
            </w:r>
          </w:p>
        </w:tc>
        <w:tc>
          <w:tcPr>
            <w:tcW w:w="45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37.7</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47.8</w:t>
            </w:r>
          </w:p>
        </w:tc>
        <w:tc>
          <w:tcPr>
            <w:tcW w:w="49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37.7</w:t>
            </w:r>
          </w:p>
        </w:tc>
        <w:tc>
          <w:tcPr>
            <w:tcW w:w="45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42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52</w:t>
            </w:r>
          </w:p>
        </w:tc>
        <w:tc>
          <w:tcPr>
            <w:tcW w:w="8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切片车间</w:t>
            </w:r>
          </w:p>
        </w:tc>
        <w:tc>
          <w:tcPr>
            <w:tcW w:w="66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宋体" w:cs="Times New Roman"/>
                <w:color w:val="auto"/>
                <w:sz w:val="18"/>
                <w:szCs w:val="18"/>
                <w:lang w:eastAsia="zh-CN"/>
              </w:rPr>
              <w:t>清洗机</w:t>
            </w:r>
          </w:p>
        </w:tc>
        <w:tc>
          <w:tcPr>
            <w:tcW w:w="38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p>
        </w:tc>
        <w:tc>
          <w:tcPr>
            <w:tcW w:w="112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kern w:val="2"/>
                <w:sz w:val="18"/>
                <w:szCs w:val="18"/>
                <w:lang w:val="en-US" w:eastAsia="zh-CN" w:bidi="ar-SA"/>
              </w:rPr>
              <w:t>80/1</w:t>
            </w:r>
          </w:p>
        </w:tc>
        <w:tc>
          <w:tcPr>
            <w:tcW w:w="76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基础减震</w:t>
            </w:r>
          </w:p>
        </w:tc>
        <w:tc>
          <w:tcPr>
            <w:tcW w:w="58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-76.6</w:t>
            </w:r>
          </w:p>
        </w:tc>
        <w:tc>
          <w:tcPr>
            <w:tcW w:w="5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88.3</w:t>
            </w:r>
          </w:p>
        </w:tc>
        <w:tc>
          <w:tcPr>
            <w:tcW w:w="49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c>
          <w:tcPr>
            <w:tcW w:w="53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42.2</w:t>
            </w:r>
          </w:p>
        </w:tc>
        <w:tc>
          <w:tcPr>
            <w:tcW w:w="52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157.3</w:t>
            </w:r>
          </w:p>
        </w:tc>
        <w:tc>
          <w:tcPr>
            <w:tcW w:w="49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86.4</w:t>
            </w:r>
          </w:p>
        </w:tc>
        <w:tc>
          <w:tcPr>
            <w:tcW w:w="54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102.3</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53.8</w:t>
            </w:r>
          </w:p>
        </w:tc>
        <w:tc>
          <w:tcPr>
            <w:tcW w:w="45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53.7</w:t>
            </w:r>
          </w:p>
        </w:tc>
        <w:tc>
          <w:tcPr>
            <w:tcW w:w="41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53.8</w:t>
            </w:r>
          </w:p>
        </w:tc>
        <w:tc>
          <w:tcPr>
            <w:tcW w:w="52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53.7</w:t>
            </w:r>
          </w:p>
        </w:tc>
        <w:tc>
          <w:tcPr>
            <w:tcW w:w="55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全天</w:t>
            </w:r>
          </w:p>
        </w:tc>
        <w:tc>
          <w:tcPr>
            <w:tcW w:w="54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16.0</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c>
          <w:tcPr>
            <w:tcW w:w="56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16.0</w:t>
            </w:r>
          </w:p>
        </w:tc>
        <w:tc>
          <w:tcPr>
            <w:tcW w:w="49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47.8</w:t>
            </w:r>
          </w:p>
        </w:tc>
        <w:tc>
          <w:tcPr>
            <w:tcW w:w="45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37.7</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47.8</w:t>
            </w:r>
          </w:p>
        </w:tc>
        <w:tc>
          <w:tcPr>
            <w:tcW w:w="49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37.7</w:t>
            </w:r>
          </w:p>
        </w:tc>
        <w:tc>
          <w:tcPr>
            <w:tcW w:w="45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42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53</w:t>
            </w:r>
          </w:p>
        </w:tc>
        <w:tc>
          <w:tcPr>
            <w:tcW w:w="8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切片车间</w:t>
            </w:r>
          </w:p>
        </w:tc>
        <w:tc>
          <w:tcPr>
            <w:tcW w:w="66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宋体" w:cs="Times New Roman"/>
                <w:color w:val="auto"/>
                <w:sz w:val="18"/>
                <w:szCs w:val="18"/>
                <w:lang w:eastAsia="zh-CN"/>
              </w:rPr>
              <w:t>清洗机</w:t>
            </w:r>
          </w:p>
        </w:tc>
        <w:tc>
          <w:tcPr>
            <w:tcW w:w="38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p>
        </w:tc>
        <w:tc>
          <w:tcPr>
            <w:tcW w:w="112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kern w:val="2"/>
                <w:sz w:val="18"/>
                <w:szCs w:val="18"/>
                <w:lang w:val="en-US" w:eastAsia="zh-CN" w:bidi="ar-SA"/>
              </w:rPr>
              <w:t>80/1</w:t>
            </w:r>
          </w:p>
        </w:tc>
        <w:tc>
          <w:tcPr>
            <w:tcW w:w="76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基础减震</w:t>
            </w:r>
          </w:p>
        </w:tc>
        <w:tc>
          <w:tcPr>
            <w:tcW w:w="58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-66.6</w:t>
            </w:r>
          </w:p>
        </w:tc>
        <w:tc>
          <w:tcPr>
            <w:tcW w:w="5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93.7</w:t>
            </w:r>
          </w:p>
        </w:tc>
        <w:tc>
          <w:tcPr>
            <w:tcW w:w="49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c>
          <w:tcPr>
            <w:tcW w:w="53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33.0</w:t>
            </w:r>
          </w:p>
        </w:tc>
        <w:tc>
          <w:tcPr>
            <w:tcW w:w="52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160.0</w:t>
            </w:r>
          </w:p>
        </w:tc>
        <w:tc>
          <w:tcPr>
            <w:tcW w:w="49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97.8</w:t>
            </w:r>
          </w:p>
        </w:tc>
        <w:tc>
          <w:tcPr>
            <w:tcW w:w="54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105.7</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53.9</w:t>
            </w:r>
          </w:p>
        </w:tc>
        <w:tc>
          <w:tcPr>
            <w:tcW w:w="45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53.7</w:t>
            </w:r>
          </w:p>
        </w:tc>
        <w:tc>
          <w:tcPr>
            <w:tcW w:w="41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53.7</w:t>
            </w:r>
          </w:p>
        </w:tc>
        <w:tc>
          <w:tcPr>
            <w:tcW w:w="52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53.7</w:t>
            </w:r>
          </w:p>
        </w:tc>
        <w:tc>
          <w:tcPr>
            <w:tcW w:w="55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全天</w:t>
            </w:r>
          </w:p>
        </w:tc>
        <w:tc>
          <w:tcPr>
            <w:tcW w:w="54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16.0</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c>
          <w:tcPr>
            <w:tcW w:w="56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16.0</w:t>
            </w:r>
          </w:p>
        </w:tc>
        <w:tc>
          <w:tcPr>
            <w:tcW w:w="49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47.9</w:t>
            </w:r>
          </w:p>
        </w:tc>
        <w:tc>
          <w:tcPr>
            <w:tcW w:w="45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37.7</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47.7</w:t>
            </w:r>
          </w:p>
        </w:tc>
        <w:tc>
          <w:tcPr>
            <w:tcW w:w="49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37.7</w:t>
            </w:r>
          </w:p>
        </w:tc>
        <w:tc>
          <w:tcPr>
            <w:tcW w:w="45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42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54</w:t>
            </w:r>
          </w:p>
        </w:tc>
        <w:tc>
          <w:tcPr>
            <w:tcW w:w="8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切片车间</w:t>
            </w:r>
          </w:p>
        </w:tc>
        <w:tc>
          <w:tcPr>
            <w:tcW w:w="66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宋体" w:cs="Times New Roman"/>
                <w:color w:val="auto"/>
                <w:sz w:val="18"/>
                <w:szCs w:val="18"/>
                <w:lang w:eastAsia="zh-CN"/>
              </w:rPr>
              <w:t>清洗机</w:t>
            </w:r>
          </w:p>
        </w:tc>
        <w:tc>
          <w:tcPr>
            <w:tcW w:w="38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p>
        </w:tc>
        <w:tc>
          <w:tcPr>
            <w:tcW w:w="112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kern w:val="2"/>
                <w:sz w:val="18"/>
                <w:szCs w:val="18"/>
                <w:lang w:val="en-US" w:eastAsia="zh-CN" w:bidi="ar-SA"/>
              </w:rPr>
              <w:t>80/1</w:t>
            </w:r>
          </w:p>
        </w:tc>
        <w:tc>
          <w:tcPr>
            <w:tcW w:w="76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基础减震</w:t>
            </w:r>
          </w:p>
        </w:tc>
        <w:tc>
          <w:tcPr>
            <w:tcW w:w="58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-56.3</w:t>
            </w:r>
          </w:p>
        </w:tc>
        <w:tc>
          <w:tcPr>
            <w:tcW w:w="5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98.1</w:t>
            </w:r>
          </w:p>
        </w:tc>
        <w:tc>
          <w:tcPr>
            <w:tcW w:w="49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c>
          <w:tcPr>
            <w:tcW w:w="53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24.9</w:t>
            </w:r>
          </w:p>
        </w:tc>
        <w:tc>
          <w:tcPr>
            <w:tcW w:w="52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162.3</w:t>
            </w:r>
          </w:p>
        </w:tc>
        <w:tc>
          <w:tcPr>
            <w:tcW w:w="49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108.8</w:t>
            </w:r>
          </w:p>
        </w:tc>
        <w:tc>
          <w:tcPr>
            <w:tcW w:w="54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111.0</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54.0</w:t>
            </w:r>
          </w:p>
        </w:tc>
        <w:tc>
          <w:tcPr>
            <w:tcW w:w="45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53.7</w:t>
            </w:r>
          </w:p>
        </w:tc>
        <w:tc>
          <w:tcPr>
            <w:tcW w:w="41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53.7</w:t>
            </w:r>
          </w:p>
        </w:tc>
        <w:tc>
          <w:tcPr>
            <w:tcW w:w="52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53.7</w:t>
            </w:r>
          </w:p>
        </w:tc>
        <w:tc>
          <w:tcPr>
            <w:tcW w:w="55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全天</w:t>
            </w:r>
          </w:p>
        </w:tc>
        <w:tc>
          <w:tcPr>
            <w:tcW w:w="54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16.0</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c>
          <w:tcPr>
            <w:tcW w:w="56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16.0</w:t>
            </w:r>
          </w:p>
        </w:tc>
        <w:tc>
          <w:tcPr>
            <w:tcW w:w="49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48.0</w:t>
            </w:r>
          </w:p>
        </w:tc>
        <w:tc>
          <w:tcPr>
            <w:tcW w:w="45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37.7</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47.7</w:t>
            </w:r>
          </w:p>
        </w:tc>
        <w:tc>
          <w:tcPr>
            <w:tcW w:w="49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37.7</w:t>
            </w:r>
          </w:p>
        </w:tc>
        <w:tc>
          <w:tcPr>
            <w:tcW w:w="45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eastAsia="Arial" w:cs="Times New Roman"/>
                <w:color w:val="auto"/>
                <w:sz w:val="18"/>
                <w:szCs w:val="18"/>
              </w:rPr>
              <w:t>1</w:t>
            </w:r>
          </w:p>
        </w:tc>
      </w:tr>
    </w:tbl>
    <w:p>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注：</w:t>
      </w:r>
      <w:r>
        <w:rPr>
          <w:rFonts w:hint="default" w:ascii="Times New Roman" w:hAnsi="Times New Roman" w:cs="Times New Roman" w:eastAsiaTheme="minorEastAsia"/>
          <w:b w:val="0"/>
          <w:bCs/>
          <w:color w:val="auto"/>
          <w:sz w:val="21"/>
          <w:szCs w:val="21"/>
          <w:lang w:val="en-US" w:eastAsia="zh-CN"/>
        </w:rPr>
        <w:t>表中坐标以厂界中心（</w:t>
      </w:r>
      <w:bookmarkStart w:id="905" w:name="PO_7"/>
      <w:r>
        <w:rPr>
          <w:rFonts w:hint="default" w:ascii="Times New Roman" w:hAnsi="Times New Roman" w:cs="Times New Roman" w:eastAsiaTheme="minorEastAsia"/>
          <w:b w:val="0"/>
          <w:bCs/>
          <w:color w:val="auto"/>
          <w:sz w:val="21"/>
          <w:szCs w:val="21"/>
          <w:lang w:val="en-US" w:eastAsia="zh-CN"/>
        </w:rPr>
        <w:t>101.604385,25.026519</w:t>
      </w:r>
      <w:bookmarkEnd w:id="905"/>
      <w:r>
        <w:rPr>
          <w:rFonts w:hint="default" w:ascii="Times New Roman" w:hAnsi="Times New Roman" w:cs="Times New Roman" w:eastAsiaTheme="minorEastAsia"/>
          <w:b w:val="0"/>
          <w:bCs/>
          <w:color w:val="auto"/>
          <w:sz w:val="21"/>
          <w:szCs w:val="21"/>
          <w:lang w:val="en-US" w:eastAsia="zh-CN"/>
        </w:rPr>
        <w:t>）为坐标原点，正东向为X轴正方向，正北向为Y轴正方向。</w:t>
      </w:r>
    </w:p>
    <w:p>
      <w:pPr>
        <w:rPr>
          <w:rFonts w:hint="default" w:ascii="Times New Roman" w:hAnsi="Times New Roman" w:cs="Times New Roman"/>
          <w:color w:val="auto"/>
        </w:rPr>
      </w:pPr>
    </w:p>
    <w:p>
      <w:pPr>
        <w:pStyle w:val="2"/>
        <w:rPr>
          <w:rFonts w:hint="default" w:ascii="Times New Roman" w:hAnsi="Times New Roman" w:cs="Times New Roman"/>
          <w:color w:val="auto"/>
        </w:rPr>
      </w:pPr>
    </w:p>
    <w:p>
      <w:pPr>
        <w:rPr>
          <w:rFonts w:hint="default" w:ascii="Times New Roman" w:hAnsi="Times New Roman" w:cs="Times New Roman"/>
          <w:color w:val="auto"/>
        </w:rPr>
        <w:sectPr>
          <w:pgSz w:w="16838" w:h="11906" w:orient="landscape"/>
          <w:pgMar w:top="1797" w:right="1440" w:bottom="1797" w:left="1440" w:header="851" w:footer="992" w:gutter="0"/>
          <w:pgBorders>
            <w:top w:val="none" w:sz="0" w:space="0"/>
            <w:left w:val="none" w:sz="0" w:space="0"/>
            <w:bottom w:val="none" w:sz="0" w:space="0"/>
            <w:right w:val="none" w:sz="0" w:space="0"/>
          </w:pgBorders>
          <w:cols w:space="0" w:num="1"/>
          <w:rtlGutter w:val="0"/>
          <w:docGrid w:linePitch="312" w:charSpace="0"/>
        </w:sectPr>
      </w:pP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0" w:firstLineChars="0"/>
        <w:textAlignment w:val="auto"/>
        <w:rPr>
          <w:rFonts w:hint="default" w:ascii="Times New Roman" w:hAnsi="Times New Roman" w:cs="Times New Roman"/>
          <w:b/>
          <w:bCs/>
          <w:color w:val="auto"/>
          <w:szCs w:val="32"/>
          <w:lang w:eastAsia="zh-CN"/>
        </w:rPr>
      </w:pPr>
      <w:r>
        <w:rPr>
          <w:rFonts w:hint="default" w:ascii="Times New Roman" w:hAnsi="Times New Roman" w:cs="Times New Roman"/>
          <w:color w:val="auto"/>
        </w:rPr>
        <w:drawing>
          <wp:inline distT="0" distB="0" distL="114300" distR="114300">
            <wp:extent cx="5274310" cy="4266565"/>
            <wp:effectExtent l="0" t="0" r="2540" b="635"/>
            <wp:docPr id="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3"/>
                    <pic:cNvPicPr>
                      <a:picLocks noChangeAspect="1"/>
                    </pic:cNvPicPr>
                  </pic:nvPicPr>
                  <pic:blipFill>
                    <a:blip r:embed="rId30"/>
                    <a:stretch>
                      <a:fillRect/>
                    </a:stretch>
                  </pic:blipFill>
                  <pic:spPr>
                    <a:xfrm>
                      <a:off x="0" y="0"/>
                      <a:ext cx="5274310" cy="426656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b/>
          <w:bCs/>
          <w:color w:val="auto"/>
          <w:szCs w:val="32"/>
          <w:lang w:eastAsia="zh-CN"/>
        </w:rPr>
      </w:pPr>
      <w:r>
        <w:rPr>
          <w:rFonts w:hint="default" w:ascii="Times New Roman" w:hAnsi="Times New Roman" w:cs="Times New Roman"/>
          <w:b/>
          <w:bCs/>
          <w:color w:val="auto"/>
          <w:szCs w:val="32"/>
          <w:lang w:eastAsia="zh-CN"/>
        </w:rPr>
        <w:t>图</w:t>
      </w:r>
      <w:r>
        <w:rPr>
          <w:rFonts w:hint="default" w:ascii="Times New Roman" w:hAnsi="Times New Roman" w:cs="Times New Roman"/>
          <w:b/>
          <w:bCs/>
          <w:color w:val="auto"/>
          <w:szCs w:val="32"/>
          <w:lang w:val="en-US" w:eastAsia="zh-CN"/>
        </w:rPr>
        <w:t xml:space="preserve">5-2  </w:t>
      </w:r>
      <w:r>
        <w:rPr>
          <w:rFonts w:hint="default" w:ascii="Times New Roman" w:hAnsi="Times New Roman" w:cs="Times New Roman"/>
          <w:b/>
          <w:bCs/>
          <w:color w:val="auto"/>
          <w:szCs w:val="32"/>
          <w:lang w:eastAsia="zh-CN"/>
        </w:rPr>
        <w:t>切片车间噪声源分布图</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textAlignment w:val="auto"/>
        <w:rPr>
          <w:rFonts w:hint="default" w:ascii="Times New Roman" w:hAnsi="Times New Roman" w:cs="Times New Roman"/>
          <w:b/>
          <w:bCs/>
          <w:color w:val="auto"/>
          <w:szCs w:val="32"/>
          <w:lang w:eastAsia="zh-CN"/>
        </w:rPr>
      </w:pPr>
      <w:r>
        <w:rPr>
          <w:rFonts w:hint="default" w:ascii="Times New Roman" w:hAnsi="Times New Roman" w:cs="Times New Roman"/>
          <w:b/>
          <w:bCs/>
          <w:color w:val="auto"/>
          <w:szCs w:val="32"/>
          <w:lang w:eastAsia="zh-CN"/>
        </w:rPr>
        <w:t>二、声波传播途径分析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val="0"/>
          <w:color w:val="auto"/>
          <w:szCs w:val="32"/>
          <w:lang w:eastAsia="zh-CN"/>
        </w:rPr>
      </w:pPr>
      <w:r>
        <w:rPr>
          <w:rFonts w:hint="default" w:ascii="Times New Roman" w:hAnsi="Times New Roman" w:cs="Times New Roman"/>
          <w:b w:val="0"/>
          <w:bCs w:val="0"/>
          <w:color w:val="auto"/>
          <w:szCs w:val="32"/>
          <w:lang w:eastAsia="zh-CN"/>
        </w:rPr>
        <w:t>本项目</w:t>
      </w:r>
      <w:r>
        <w:rPr>
          <w:rFonts w:hint="default" w:ascii="Times New Roman" w:hAnsi="Times New Roman" w:cs="Times New Roman"/>
          <w:b w:val="0"/>
          <w:bCs w:val="0"/>
          <w:color w:val="auto"/>
          <w:szCs w:val="32"/>
          <w:lang w:val="en-US" w:eastAsia="zh-CN"/>
        </w:rPr>
        <w:t>200m</w:t>
      </w:r>
      <w:r>
        <w:rPr>
          <w:rFonts w:hint="default" w:ascii="Times New Roman" w:hAnsi="Times New Roman" w:cs="Times New Roman"/>
          <w:b w:val="0"/>
          <w:bCs w:val="0"/>
          <w:color w:val="auto"/>
          <w:szCs w:val="32"/>
          <w:lang w:eastAsia="zh-CN"/>
        </w:rPr>
        <w:t>声环境评价范围内无声环境保护目标，因此本次环评不对主要声源和声环境保护目标之间声波的传播途径进行分析。影响项目主要声源传播的主要因素为厂房隔声、距离衰减，厂界处设置护栏、绿化带，但无法形成有效声屏障。</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bCs/>
          <w:color w:val="auto"/>
          <w:szCs w:val="32"/>
          <w:lang w:eastAsia="zh-CN"/>
        </w:rPr>
      </w:pPr>
      <w:r>
        <w:rPr>
          <w:rFonts w:hint="default" w:ascii="Times New Roman" w:hAnsi="Times New Roman" w:cs="Times New Roman"/>
          <w:b/>
          <w:bCs/>
          <w:color w:val="auto"/>
          <w:szCs w:val="32"/>
          <w:lang w:eastAsia="zh-CN"/>
        </w:rPr>
        <w:t>三、预测模型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1、模型选取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eastAsiaTheme="minorEastAsia"/>
          <w:color w:val="auto"/>
          <w:sz w:val="24"/>
          <w:szCs w:val="24"/>
          <w:lang w:eastAsia="zh-CN"/>
        </w:rPr>
        <w:t>根据项目特点结合《环境影响评价技术导则—声环境》（HJ2.4-2021）的要求，本项目采用的预测模型为《环境影响评价技术导则 声环境》(HJ2.4</w:t>
      </w:r>
      <w:r>
        <w:rPr>
          <w:rFonts w:hint="default" w:ascii="Times New Roman" w:hAnsi="Times New Roman"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lang w:eastAsia="zh-CN"/>
        </w:rPr>
        <w:t>2021)附录A（规范性附录）户外声传播的衰减和附录B（规范性附录）中“B.1工业噪声预测计算模型”，预测软件选取“环保小智”噪声预测软件。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val="0"/>
          <w:color w:val="auto"/>
          <w:szCs w:val="32"/>
          <w:lang w:val="en-US" w:eastAsia="zh-CN"/>
        </w:rPr>
      </w:pPr>
      <w:r>
        <w:rPr>
          <w:rFonts w:hint="default" w:ascii="Times New Roman" w:hAnsi="Times New Roman" w:cs="Times New Roman"/>
          <w:b w:val="0"/>
          <w:bCs w:val="0"/>
          <w:color w:val="auto"/>
          <w:szCs w:val="32"/>
          <w:lang w:val="en-US" w:eastAsia="zh-CN"/>
        </w:rPr>
        <w:t>2、预测参数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val="0"/>
          <w:color w:val="auto"/>
          <w:szCs w:val="32"/>
          <w:lang w:eastAsia="zh-CN"/>
        </w:rPr>
      </w:pPr>
      <w:r>
        <w:rPr>
          <w:rFonts w:hint="default" w:ascii="Times New Roman" w:hAnsi="Times New Roman" w:cs="Times New Roman"/>
          <w:b w:val="0"/>
          <w:bCs w:val="0"/>
          <w:color w:val="auto"/>
          <w:szCs w:val="32"/>
          <w:lang w:eastAsia="zh-CN"/>
        </w:rPr>
        <w:t>（</w:t>
      </w:r>
      <w:r>
        <w:rPr>
          <w:rFonts w:hint="default" w:ascii="Times New Roman" w:hAnsi="Times New Roman" w:cs="Times New Roman"/>
          <w:b w:val="0"/>
          <w:bCs w:val="0"/>
          <w:color w:val="auto"/>
          <w:szCs w:val="32"/>
          <w:lang w:val="en-US" w:eastAsia="zh-CN"/>
        </w:rPr>
        <w:t>1</w:t>
      </w:r>
      <w:r>
        <w:rPr>
          <w:rFonts w:hint="default" w:ascii="Times New Roman" w:hAnsi="Times New Roman" w:cs="Times New Roman"/>
          <w:b w:val="0"/>
          <w:bCs w:val="0"/>
          <w:color w:val="auto"/>
          <w:szCs w:val="32"/>
          <w:lang w:eastAsia="zh-CN"/>
        </w:rPr>
        <w:t>）厂房的平均吸声系数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val="0"/>
          <w:color w:val="auto"/>
          <w:szCs w:val="32"/>
          <w:lang w:val="en-US" w:eastAsia="zh-CN"/>
        </w:rPr>
      </w:pPr>
      <w:r>
        <w:rPr>
          <w:rFonts w:hint="default" w:ascii="Times New Roman" w:hAnsi="Times New Roman" w:cs="Times New Roman"/>
          <w:b w:val="0"/>
          <w:bCs w:val="0"/>
          <w:color w:val="auto"/>
          <w:szCs w:val="32"/>
          <w:lang w:val="en-US" w:eastAsia="zh-CN"/>
        </w:rPr>
        <w:t>项目切片车间的建筑结构为钢架结构，墙体和屋顶采用彩钢瓦泡沫板，泡沫板厚度约为10cm，泡沫材质为聚苯乙烯。参考《环境工程手册 环境噪声控制卷》中“多孔吸声材料类”典型频率500Hz下的吸声系数，本项目平均吸声系数按“泡沫塑料类—粗孔聚酯 4cm”取0.2。</w:t>
      </w:r>
    </w:p>
    <w:p>
      <w:pPr>
        <w:pStyle w:val="178"/>
        <w:keepNext w:val="0"/>
        <w:keepLines w:val="0"/>
        <w:pageBreakBefore w:val="0"/>
        <w:widowControl/>
        <w:numPr>
          <w:ilvl w:val="0"/>
          <w:numId w:val="7"/>
        </w:numPr>
        <w:kinsoku/>
        <w:wordWrap/>
        <w:overflowPunct/>
        <w:topLinePunct w:val="0"/>
        <w:autoSpaceDE/>
        <w:autoSpaceDN/>
        <w:bidi w:val="0"/>
        <w:adjustRightInd/>
        <w:snapToGrid/>
        <w:spacing w:beforeLines="0" w:afterLines="0" w:line="360" w:lineRule="auto"/>
        <w:ind w:left="0" w:leftChars="0" w:firstLine="0" w:firstLineChars="0"/>
        <w:textAlignment w:val="auto"/>
        <w:rPr>
          <w:rFonts w:hint="default" w:ascii="Times New Roman" w:hAnsi="Times New Roman" w:cs="Times New Roman"/>
          <w:color w:val="auto"/>
          <w:lang w:val="en-US" w:eastAsia="zh-CN"/>
        </w:rPr>
      </w:pPr>
      <w:r>
        <w:rPr>
          <w:rFonts w:hint="default" w:ascii="Times New Roman" w:hAnsi="Times New Roman" w:cs="Times New Roman"/>
          <w:b/>
          <w:color w:val="auto"/>
          <w:lang w:eastAsia="zh-CN"/>
        </w:rPr>
        <w:t>平均吸声系数取值</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val="0"/>
          <w:color w:val="auto"/>
          <w:szCs w:val="32"/>
          <w:lang w:val="en-US" w:eastAsia="zh-CN"/>
        </w:rPr>
      </w:pPr>
      <w:r>
        <w:rPr>
          <w:rFonts w:hint="default" w:ascii="Times New Roman" w:hAnsi="Times New Roman" w:cs="Times New Roman"/>
          <w:color w:val="auto"/>
        </w:rPr>
        <w:drawing>
          <wp:inline distT="0" distB="0" distL="114300" distR="114300">
            <wp:extent cx="4552315" cy="3167380"/>
            <wp:effectExtent l="0" t="0" r="635" b="13970"/>
            <wp:docPr id="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7"/>
                    <pic:cNvPicPr>
                      <a:picLocks noChangeAspect="1"/>
                    </pic:cNvPicPr>
                  </pic:nvPicPr>
                  <pic:blipFill>
                    <a:blip r:embed="rId31"/>
                    <a:stretch>
                      <a:fillRect/>
                    </a:stretch>
                  </pic:blipFill>
                  <pic:spPr>
                    <a:xfrm>
                      <a:off x="0" y="0"/>
                      <a:ext cx="4552315" cy="316738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val="0"/>
          <w:color w:val="auto"/>
          <w:szCs w:val="32"/>
          <w:lang w:val="en-US" w:eastAsia="zh-CN"/>
        </w:rPr>
      </w:pPr>
      <w:r>
        <w:rPr>
          <w:rFonts w:hint="default" w:ascii="Times New Roman" w:hAnsi="Times New Roman" w:cs="Times New Roman"/>
          <w:b w:val="0"/>
          <w:bCs w:val="0"/>
          <w:color w:val="auto"/>
          <w:szCs w:val="32"/>
          <w:lang w:val="en-US" w:eastAsia="zh-CN"/>
        </w:rPr>
        <w:t>（2）车间隔声损失</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val="0"/>
          <w:color w:val="auto"/>
          <w:szCs w:val="32"/>
          <w:vertAlign w:val="baseline"/>
          <w:lang w:val="en-US" w:eastAsia="zh-CN"/>
        </w:rPr>
      </w:pPr>
      <w:r>
        <w:rPr>
          <w:rFonts w:hint="default" w:ascii="Times New Roman" w:hAnsi="Times New Roman" w:cs="Times New Roman"/>
          <w:b w:val="0"/>
          <w:bCs w:val="0"/>
          <w:color w:val="auto"/>
          <w:szCs w:val="32"/>
          <w:lang w:val="en-US" w:eastAsia="zh-CN"/>
        </w:rPr>
        <w:t>项目切片车间为单层结构，构成车间墙体的材料为彩钢瓦泡沫板，构件的面密度约为10kg/m</w:t>
      </w:r>
      <w:r>
        <w:rPr>
          <w:rFonts w:hint="default" w:ascii="Times New Roman" w:hAnsi="Times New Roman" w:cs="Times New Roman"/>
          <w:b w:val="0"/>
          <w:bCs w:val="0"/>
          <w:color w:val="auto"/>
          <w:szCs w:val="32"/>
          <w:vertAlign w:val="superscript"/>
          <w:lang w:val="en-US" w:eastAsia="zh-CN"/>
        </w:rPr>
        <w:t>2</w:t>
      </w:r>
      <w:r>
        <w:rPr>
          <w:rFonts w:hint="default" w:ascii="Times New Roman" w:hAnsi="Times New Roman" w:cs="Times New Roman"/>
          <w:b w:val="0"/>
          <w:bCs w:val="0"/>
          <w:color w:val="auto"/>
          <w:szCs w:val="32"/>
          <w:vertAlign w:val="baseline"/>
          <w:lang w:val="en-US" w:eastAsia="zh-CN"/>
        </w:rPr>
        <w:t>，根据单一构件隔声损失经验估算公式计算得到车间墙体平均隔声损失为24.5dB。</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val="0"/>
          <w:color w:val="auto"/>
          <w:szCs w:val="32"/>
          <w:lang w:val="en-US" w:eastAsia="zh-CN"/>
        </w:rPr>
      </w:pPr>
      <w:r>
        <w:rPr>
          <w:rFonts w:hint="default" w:ascii="Times New Roman" w:hAnsi="Times New Roman" w:cs="Times New Roman"/>
          <w:b w:val="0"/>
          <w:bCs w:val="0"/>
          <w:color w:val="auto"/>
          <w:szCs w:val="32"/>
          <w:lang w:val="en-US" w:eastAsia="zh-CN"/>
        </w:rPr>
        <w:t>（3）厂房门窗参数设置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val="0"/>
          <w:color w:val="auto"/>
          <w:szCs w:val="32"/>
          <w:lang w:eastAsia="zh-CN"/>
        </w:rPr>
      </w:pPr>
      <w:r>
        <w:rPr>
          <w:rFonts w:hint="default" w:ascii="Times New Roman" w:hAnsi="Times New Roman" w:cs="Times New Roman"/>
          <w:b w:val="0"/>
          <w:bCs w:val="0"/>
          <w:color w:val="auto"/>
          <w:szCs w:val="32"/>
          <w:lang w:eastAsia="zh-CN"/>
        </w:rPr>
        <w:t>项目切片车间门窗根据现状已建成实际情况进行设置。窗户设置高度为离地</w:t>
      </w:r>
      <w:r>
        <w:rPr>
          <w:rFonts w:hint="default" w:ascii="Times New Roman" w:hAnsi="Times New Roman" w:cs="Times New Roman"/>
          <w:b w:val="0"/>
          <w:bCs w:val="0"/>
          <w:color w:val="auto"/>
          <w:szCs w:val="32"/>
          <w:lang w:val="en-US" w:eastAsia="zh-CN"/>
        </w:rPr>
        <w:t>1.5m、高2m、宽3.3m，为可移动式玻璃窗，基本为封闭状态，窗户设置间隔不等，参考相关文件窗户隔声损失平均按10dB计；</w:t>
      </w:r>
      <w:r>
        <w:rPr>
          <w:rFonts w:hint="default" w:ascii="Times New Roman" w:hAnsi="Times New Roman" w:cs="Times New Roman"/>
          <w:b w:val="0"/>
          <w:bCs w:val="0"/>
          <w:color w:val="auto"/>
          <w:szCs w:val="32"/>
          <w:lang w:eastAsia="zh-CN"/>
        </w:rPr>
        <w:t>门设置高度为离地</w:t>
      </w:r>
      <w:r>
        <w:rPr>
          <w:rFonts w:hint="default" w:ascii="Times New Roman" w:hAnsi="Times New Roman" w:cs="Times New Roman"/>
          <w:b w:val="0"/>
          <w:bCs w:val="0"/>
          <w:color w:val="auto"/>
          <w:szCs w:val="32"/>
          <w:lang w:val="en-US" w:eastAsia="zh-CN"/>
        </w:rPr>
        <w:t>0m、高4m、宽4m，卷帘门，常处于开放状态，参考相关文件门不计隔声损失。本项目切片车间南侧设置7道窗户、1道门；北侧设置4道窗户、2道门；西侧设置9道窗户6道门；东侧设置10道窗户、5道门。</w:t>
      </w:r>
      <w:r>
        <w:rPr>
          <w:rFonts w:hint="default" w:ascii="Times New Roman" w:hAnsi="Times New Roman" w:cs="Times New Roman"/>
          <w:b w:val="0"/>
          <w:bCs w:val="0"/>
          <w:color w:val="auto"/>
          <w:szCs w:val="32"/>
          <w:lang w:eastAsia="zh-CN"/>
        </w:rPr>
        <w:t>门窗设置位置详见图</w:t>
      </w:r>
      <w:r>
        <w:rPr>
          <w:rFonts w:hint="default" w:ascii="Times New Roman" w:hAnsi="Times New Roman" w:cs="Times New Roman"/>
          <w:b w:val="0"/>
          <w:bCs w:val="0"/>
          <w:color w:val="auto"/>
          <w:szCs w:val="32"/>
          <w:lang w:val="en-US" w:eastAsia="zh-CN"/>
        </w:rPr>
        <w:t xml:space="preserve">4-2 </w:t>
      </w:r>
      <w:r>
        <w:rPr>
          <w:rFonts w:hint="default" w:ascii="Times New Roman" w:hAnsi="Times New Roman" w:cs="Times New Roman"/>
          <w:b w:val="0"/>
          <w:bCs w:val="0"/>
          <w:color w:val="auto"/>
          <w:szCs w:val="32"/>
          <w:lang w:eastAsia="zh-CN"/>
        </w:rPr>
        <w:t>噪声源分布图。</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val="0"/>
          <w:bCs w:val="0"/>
          <w:color w:val="auto"/>
          <w:szCs w:val="32"/>
        </w:rPr>
      </w:pPr>
      <w:r>
        <w:rPr>
          <w:rFonts w:hint="default" w:ascii="Times New Roman" w:hAnsi="Times New Roman" w:cs="Times New Roman"/>
          <w:b/>
          <w:bCs/>
          <w:color w:val="auto"/>
          <w:szCs w:val="32"/>
          <w:lang w:eastAsia="zh-CN"/>
        </w:rPr>
        <w:t>四、预测结果</w:t>
      </w:r>
    </w:p>
    <w:p>
      <w:pPr>
        <w:snapToGrid w:val="0"/>
        <w:spacing w:line="360" w:lineRule="auto"/>
        <w:ind w:firstLine="480" w:firstLineChars="200"/>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eastAsiaTheme="minorEastAsia"/>
          <w:color w:val="auto"/>
          <w:sz w:val="24"/>
          <w:szCs w:val="24"/>
          <w:lang w:eastAsia="zh-CN"/>
        </w:rPr>
        <w:t>通过预测模型计算，项目厂界噪声预测贡献值如下表所示。</w:t>
      </w:r>
    </w:p>
    <w:p>
      <w:pPr>
        <w:pStyle w:val="2"/>
        <w:rPr>
          <w:rFonts w:hint="default" w:ascii="Times New Roman" w:hAnsi="Times New Roman" w:cs="Times New Roman"/>
          <w:lang w:eastAsia="zh-CN"/>
        </w:rPr>
      </w:pPr>
    </w:p>
    <w:p>
      <w:pPr>
        <w:rPr>
          <w:rFonts w:hint="default" w:ascii="Times New Roman" w:hAnsi="Times New Roman" w:cs="Times New Roman"/>
          <w:lang w:eastAsia="zh-CN"/>
        </w:rPr>
      </w:pPr>
    </w:p>
    <w:p>
      <w:pPr>
        <w:pStyle w:val="2"/>
        <w:rPr>
          <w:rFonts w:hint="default" w:ascii="Times New Roman" w:hAnsi="Times New Roman" w:cs="Times New Roman"/>
          <w:lang w:eastAsia="zh-CN"/>
        </w:rPr>
      </w:pPr>
    </w:p>
    <w:p>
      <w:pPr>
        <w:pStyle w:val="178"/>
        <w:keepNext w:val="0"/>
        <w:keepLines w:val="0"/>
        <w:pageBreakBefore w:val="0"/>
        <w:widowControl/>
        <w:numPr>
          <w:ilvl w:val="0"/>
          <w:numId w:val="7"/>
        </w:numPr>
        <w:kinsoku/>
        <w:wordWrap/>
        <w:overflowPunct/>
        <w:topLinePunct w:val="0"/>
        <w:autoSpaceDE/>
        <w:autoSpaceDN/>
        <w:bidi w:val="0"/>
        <w:adjustRightInd/>
        <w:snapToGrid/>
        <w:spacing w:beforeLines="0" w:afterLines="0" w:line="360" w:lineRule="auto"/>
        <w:ind w:left="0" w:leftChars="0" w:firstLine="0" w:firstLineChars="0"/>
        <w:textAlignment w:val="auto"/>
        <w:rPr>
          <w:rFonts w:hint="default" w:ascii="Times New Roman" w:hAnsi="Times New Roman" w:cs="Times New Roman" w:eastAsiaTheme="minorEastAsia"/>
          <w:b/>
          <w:color w:val="auto"/>
          <w:sz w:val="24"/>
          <w:szCs w:val="24"/>
          <w:lang w:eastAsia="zh-CN"/>
        </w:rPr>
      </w:pPr>
      <w:r>
        <w:rPr>
          <w:rFonts w:hint="default" w:ascii="Times New Roman" w:hAnsi="Times New Roman" w:cs="Times New Roman" w:eastAsiaTheme="minorEastAsia"/>
          <w:b/>
          <w:color w:val="auto"/>
          <w:sz w:val="24"/>
          <w:szCs w:val="24"/>
          <w:lang w:val="en-US" w:eastAsia="zh-CN"/>
        </w:rPr>
        <w:t xml:space="preserve">  项目</w:t>
      </w:r>
      <w:r>
        <w:rPr>
          <w:rFonts w:hint="default" w:ascii="Times New Roman" w:hAnsi="Times New Roman" w:cs="Times New Roman" w:eastAsiaTheme="minorEastAsia"/>
          <w:b/>
          <w:color w:val="auto"/>
          <w:sz w:val="24"/>
          <w:szCs w:val="24"/>
          <w:lang w:eastAsia="zh-CN"/>
        </w:rPr>
        <w:t>厂界噪声</w:t>
      </w:r>
      <w:r>
        <w:rPr>
          <w:rFonts w:hint="default" w:ascii="Times New Roman" w:hAnsi="Times New Roman" w:cs="Times New Roman"/>
          <w:b/>
          <w:color w:val="auto"/>
          <w:lang w:eastAsia="zh-CN"/>
        </w:rPr>
        <w:t>预测</w:t>
      </w:r>
      <w:r>
        <w:rPr>
          <w:rFonts w:hint="default" w:ascii="Times New Roman" w:hAnsi="Times New Roman" w:cs="Times New Roman" w:eastAsiaTheme="minorEastAsia"/>
          <w:b/>
          <w:color w:val="auto"/>
          <w:sz w:val="24"/>
          <w:szCs w:val="24"/>
          <w:lang w:eastAsia="zh-CN"/>
        </w:rPr>
        <w:t>结果表</w:t>
      </w:r>
      <w:bookmarkStart w:id="906" w:name="PT_7"/>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803"/>
        <w:gridCol w:w="803"/>
        <w:gridCol w:w="986"/>
        <w:gridCol w:w="1007"/>
        <w:gridCol w:w="17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1101" w:type="dxa"/>
            <w:vMerge w:val="restart"/>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
                <w:color w:val="auto"/>
                <w:sz w:val="21"/>
                <w:szCs w:val="21"/>
              </w:rPr>
              <w:t>预测方位</w:t>
            </w:r>
          </w:p>
        </w:tc>
        <w:tc>
          <w:tcPr>
            <w:tcW w:w="2592" w:type="dxa"/>
            <w:gridSpan w:val="3"/>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
                <w:color w:val="auto"/>
                <w:sz w:val="21"/>
                <w:szCs w:val="21"/>
                <w:lang w:val="en-US" w:eastAsia="zh-CN"/>
              </w:rPr>
              <w:t>最大值点</w:t>
            </w:r>
            <w:r>
              <w:rPr>
                <w:rFonts w:hint="default" w:ascii="Times New Roman" w:hAnsi="Times New Roman" w:cs="Times New Roman" w:eastAsiaTheme="minorEastAsia"/>
                <w:b/>
                <w:color w:val="auto"/>
                <w:sz w:val="21"/>
                <w:szCs w:val="21"/>
              </w:rPr>
              <w:t>空间相对位置/m</w:t>
            </w:r>
          </w:p>
        </w:tc>
        <w:tc>
          <w:tcPr>
            <w:tcW w:w="1007" w:type="dxa"/>
            <w:vMerge w:val="restart"/>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
                <w:color w:val="auto"/>
                <w:sz w:val="21"/>
                <w:szCs w:val="21"/>
              </w:rPr>
              <w:t>时段</w:t>
            </w:r>
          </w:p>
        </w:tc>
        <w:tc>
          <w:tcPr>
            <w:tcW w:w="1736" w:type="dxa"/>
            <w:vMerge w:val="restart"/>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
                <w:color w:val="auto"/>
                <w:sz w:val="21"/>
                <w:szCs w:val="21"/>
              </w:rPr>
              <w:t>贡献值（dB(A)）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101" w:type="dxa"/>
            <w:vMerge w:val="continue"/>
            <w:shd w:val="clear" w:color="auto" w:fill="FFFFFF"/>
            <w:vAlign w:val="center"/>
          </w:tcPr>
          <w:p>
            <w:pPr>
              <w:jc w:val="center"/>
              <w:rPr>
                <w:rFonts w:hint="default" w:ascii="Times New Roman" w:hAnsi="Times New Roman" w:cs="Times New Roman" w:eastAsiaTheme="minorEastAsia"/>
                <w:color w:val="auto"/>
                <w:sz w:val="21"/>
                <w:szCs w:val="21"/>
              </w:rPr>
            </w:pPr>
          </w:p>
        </w:tc>
        <w:tc>
          <w:tcPr>
            <w:tcW w:w="803" w:type="dxa"/>
            <w:shd w:val="clear" w:color="auto" w:fill="FFFFFF"/>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X</w:t>
            </w:r>
          </w:p>
        </w:tc>
        <w:tc>
          <w:tcPr>
            <w:tcW w:w="803" w:type="dxa"/>
            <w:shd w:val="clear" w:color="auto" w:fill="FFFFFF"/>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Y</w:t>
            </w:r>
          </w:p>
        </w:tc>
        <w:tc>
          <w:tcPr>
            <w:tcW w:w="986" w:type="dxa"/>
            <w:shd w:val="clear" w:color="auto" w:fill="FFFFFF"/>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Z</w:t>
            </w:r>
          </w:p>
        </w:tc>
        <w:tc>
          <w:tcPr>
            <w:tcW w:w="1007" w:type="dxa"/>
            <w:vMerge w:val="continue"/>
            <w:shd w:val="clear" w:color="auto" w:fill="FFFFFF"/>
            <w:vAlign w:val="center"/>
          </w:tcPr>
          <w:p>
            <w:pPr>
              <w:jc w:val="center"/>
              <w:rPr>
                <w:rFonts w:hint="default" w:ascii="Times New Roman" w:hAnsi="Times New Roman" w:cs="Times New Roman" w:eastAsiaTheme="minorEastAsia"/>
                <w:color w:val="auto"/>
                <w:sz w:val="21"/>
                <w:szCs w:val="21"/>
              </w:rPr>
            </w:pPr>
          </w:p>
        </w:tc>
        <w:tc>
          <w:tcPr>
            <w:tcW w:w="1736" w:type="dxa"/>
            <w:vMerge w:val="continue"/>
            <w:shd w:val="clear" w:color="auto" w:fill="FFFFFF"/>
            <w:vAlign w:val="center"/>
          </w:tcPr>
          <w:p>
            <w:pPr>
              <w:jc w:val="center"/>
              <w:rPr>
                <w:rFonts w:hint="default" w:ascii="Times New Roman" w:hAnsi="Times New Roman" w:cs="Times New Roman" w:eastAsiaTheme="minorEastAsia"/>
                <w:color w:val="auto"/>
                <w:sz w:val="21"/>
                <w:szCs w:val="21"/>
              </w:rPr>
            </w:pPr>
          </w:p>
          <w:bookmarkEnd w:id="906"/>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1101" w:type="dxa"/>
            <w:vMerge w:val="restart"/>
            <w:shd w:val="clear" w:color="auto" w:fill="FFFFFF"/>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东侧</w:t>
            </w:r>
          </w:p>
        </w:tc>
        <w:tc>
          <w:tcPr>
            <w:tcW w:w="803" w:type="dxa"/>
            <w:shd w:val="clear" w:color="auto" w:fill="FFFFFF"/>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234.3</w:t>
            </w:r>
          </w:p>
        </w:tc>
        <w:tc>
          <w:tcPr>
            <w:tcW w:w="803" w:type="dxa"/>
            <w:shd w:val="clear" w:color="auto" w:fill="FFFFFF"/>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163.5</w:t>
            </w:r>
          </w:p>
        </w:tc>
        <w:tc>
          <w:tcPr>
            <w:tcW w:w="986" w:type="dxa"/>
            <w:shd w:val="clear" w:color="auto" w:fill="FFFFFF"/>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1007" w:type="dxa"/>
            <w:shd w:val="clear" w:color="auto" w:fill="FFFFFF"/>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w:t>
            </w:r>
          </w:p>
        </w:tc>
        <w:tc>
          <w:tcPr>
            <w:tcW w:w="1736" w:type="dxa"/>
            <w:shd w:val="clear" w:color="auto" w:fill="FFFFFF"/>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1101" w:type="dxa"/>
            <w:vMerge w:val="continue"/>
            <w:shd w:val="clear" w:color="auto" w:fill="FFFFFF"/>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东侧</w:t>
            </w:r>
          </w:p>
        </w:tc>
        <w:tc>
          <w:tcPr>
            <w:tcW w:w="803" w:type="dxa"/>
            <w:shd w:val="clear" w:color="auto" w:fill="FFFFFF"/>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234.3</w:t>
            </w:r>
          </w:p>
        </w:tc>
        <w:tc>
          <w:tcPr>
            <w:tcW w:w="803" w:type="dxa"/>
            <w:shd w:val="clear" w:color="auto" w:fill="FFFFFF"/>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163.5</w:t>
            </w:r>
          </w:p>
        </w:tc>
        <w:tc>
          <w:tcPr>
            <w:tcW w:w="986" w:type="dxa"/>
            <w:shd w:val="clear" w:color="auto" w:fill="FFFFFF"/>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1007" w:type="dxa"/>
            <w:shd w:val="clear" w:color="auto" w:fill="FFFFFF"/>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夜间</w:t>
            </w:r>
          </w:p>
        </w:tc>
        <w:tc>
          <w:tcPr>
            <w:tcW w:w="1736" w:type="dxa"/>
            <w:shd w:val="clear" w:color="auto" w:fill="FFFFFF"/>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1101" w:type="dxa"/>
            <w:vMerge w:val="restart"/>
            <w:shd w:val="clear" w:color="auto" w:fill="FFFFFF"/>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南侧</w:t>
            </w:r>
          </w:p>
        </w:tc>
        <w:tc>
          <w:tcPr>
            <w:tcW w:w="803" w:type="dxa"/>
            <w:shd w:val="clear" w:color="auto" w:fill="FFFFFF"/>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-126.3</w:t>
            </w:r>
          </w:p>
        </w:tc>
        <w:tc>
          <w:tcPr>
            <w:tcW w:w="803" w:type="dxa"/>
            <w:shd w:val="clear" w:color="auto" w:fill="FFFFFF"/>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-130.4</w:t>
            </w:r>
          </w:p>
        </w:tc>
        <w:tc>
          <w:tcPr>
            <w:tcW w:w="986" w:type="dxa"/>
            <w:shd w:val="clear" w:color="auto" w:fill="FFFFFF"/>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1007" w:type="dxa"/>
            <w:shd w:val="clear" w:color="auto" w:fill="FFFFFF"/>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w:t>
            </w:r>
          </w:p>
        </w:tc>
        <w:tc>
          <w:tcPr>
            <w:tcW w:w="1736" w:type="dxa"/>
            <w:shd w:val="clear" w:color="auto" w:fill="FFFFFF"/>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1101" w:type="dxa"/>
            <w:vMerge w:val="continue"/>
            <w:shd w:val="clear" w:color="auto" w:fill="FFFFFF"/>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南侧</w:t>
            </w:r>
          </w:p>
        </w:tc>
        <w:tc>
          <w:tcPr>
            <w:tcW w:w="803" w:type="dxa"/>
            <w:shd w:val="clear" w:color="auto" w:fill="FFFFFF"/>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-126.3</w:t>
            </w:r>
          </w:p>
        </w:tc>
        <w:tc>
          <w:tcPr>
            <w:tcW w:w="803" w:type="dxa"/>
            <w:shd w:val="clear" w:color="auto" w:fill="FFFFFF"/>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-130.4</w:t>
            </w:r>
          </w:p>
        </w:tc>
        <w:tc>
          <w:tcPr>
            <w:tcW w:w="986" w:type="dxa"/>
            <w:shd w:val="clear" w:color="auto" w:fill="FFFFFF"/>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1007" w:type="dxa"/>
            <w:shd w:val="clear" w:color="auto" w:fill="FFFFFF"/>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夜间</w:t>
            </w:r>
          </w:p>
        </w:tc>
        <w:tc>
          <w:tcPr>
            <w:tcW w:w="1736" w:type="dxa"/>
            <w:shd w:val="clear" w:color="auto" w:fill="FFFFFF"/>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1101" w:type="dxa"/>
            <w:vMerge w:val="restart"/>
            <w:shd w:val="clear" w:color="auto" w:fill="FFFFFF"/>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西侧</w:t>
            </w:r>
          </w:p>
        </w:tc>
        <w:tc>
          <w:tcPr>
            <w:tcW w:w="803" w:type="dxa"/>
            <w:shd w:val="clear" w:color="auto" w:fill="FFFFFF"/>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-115.2</w:t>
            </w:r>
          </w:p>
        </w:tc>
        <w:tc>
          <w:tcPr>
            <w:tcW w:w="803" w:type="dxa"/>
            <w:shd w:val="clear" w:color="auto" w:fill="FFFFFF"/>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75.9</w:t>
            </w:r>
          </w:p>
        </w:tc>
        <w:tc>
          <w:tcPr>
            <w:tcW w:w="986" w:type="dxa"/>
            <w:shd w:val="clear" w:color="auto" w:fill="FFFFFF"/>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1007" w:type="dxa"/>
            <w:shd w:val="clear" w:color="auto" w:fill="FFFFFF"/>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w:t>
            </w:r>
          </w:p>
        </w:tc>
        <w:tc>
          <w:tcPr>
            <w:tcW w:w="1736" w:type="dxa"/>
            <w:shd w:val="clear" w:color="auto" w:fill="FFFFFF"/>
            <w:vAlign w:val="center"/>
          </w:tcPr>
          <w:p>
            <w:pPr>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48.4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1101" w:type="dxa"/>
            <w:vMerge w:val="continue"/>
            <w:shd w:val="clear" w:color="auto" w:fill="FFFFFF"/>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西侧</w:t>
            </w:r>
          </w:p>
        </w:tc>
        <w:tc>
          <w:tcPr>
            <w:tcW w:w="803" w:type="dxa"/>
            <w:shd w:val="clear" w:color="auto" w:fill="FFFFFF"/>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-115.2</w:t>
            </w:r>
          </w:p>
        </w:tc>
        <w:tc>
          <w:tcPr>
            <w:tcW w:w="803" w:type="dxa"/>
            <w:shd w:val="clear" w:color="auto" w:fill="FFFFFF"/>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75.9</w:t>
            </w:r>
          </w:p>
        </w:tc>
        <w:tc>
          <w:tcPr>
            <w:tcW w:w="986" w:type="dxa"/>
            <w:shd w:val="clear" w:color="auto" w:fill="FFFFFF"/>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1007" w:type="dxa"/>
            <w:shd w:val="clear" w:color="auto" w:fill="FFFFFF"/>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夜间</w:t>
            </w:r>
          </w:p>
        </w:tc>
        <w:tc>
          <w:tcPr>
            <w:tcW w:w="1736" w:type="dxa"/>
            <w:shd w:val="clear" w:color="auto" w:fill="FFFFFF"/>
            <w:vAlign w:val="center"/>
          </w:tcPr>
          <w:p>
            <w:pPr>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48.4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1101" w:type="dxa"/>
            <w:vMerge w:val="restart"/>
            <w:shd w:val="clear" w:color="auto" w:fill="FFFFFF"/>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北侧</w:t>
            </w:r>
          </w:p>
        </w:tc>
        <w:tc>
          <w:tcPr>
            <w:tcW w:w="803" w:type="dxa"/>
            <w:shd w:val="clear" w:color="auto" w:fill="FFFFFF"/>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9.9</w:t>
            </w:r>
          </w:p>
        </w:tc>
        <w:tc>
          <w:tcPr>
            <w:tcW w:w="803" w:type="dxa"/>
            <w:shd w:val="clear" w:color="auto" w:fill="FFFFFF"/>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35.5</w:t>
            </w:r>
          </w:p>
        </w:tc>
        <w:tc>
          <w:tcPr>
            <w:tcW w:w="986" w:type="dxa"/>
            <w:shd w:val="clear" w:color="auto" w:fill="FFFFFF"/>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1007" w:type="dxa"/>
            <w:shd w:val="clear" w:color="auto" w:fill="FFFFFF"/>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w:t>
            </w:r>
          </w:p>
        </w:tc>
        <w:tc>
          <w:tcPr>
            <w:tcW w:w="1736" w:type="dxa"/>
            <w:shd w:val="clear" w:color="auto" w:fill="FFFFFF"/>
            <w:vAlign w:val="center"/>
          </w:tcPr>
          <w:p>
            <w:pPr>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47.6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1101" w:type="dxa"/>
            <w:vMerge w:val="continue"/>
            <w:shd w:val="clear" w:color="auto" w:fill="FFFFFF"/>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北侧</w:t>
            </w:r>
          </w:p>
        </w:tc>
        <w:tc>
          <w:tcPr>
            <w:tcW w:w="803" w:type="dxa"/>
            <w:shd w:val="clear" w:color="auto" w:fill="FFFFFF"/>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9.9</w:t>
            </w:r>
          </w:p>
        </w:tc>
        <w:tc>
          <w:tcPr>
            <w:tcW w:w="803" w:type="dxa"/>
            <w:shd w:val="clear" w:color="auto" w:fill="FFFFFF"/>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35.5</w:t>
            </w:r>
          </w:p>
        </w:tc>
        <w:tc>
          <w:tcPr>
            <w:tcW w:w="986" w:type="dxa"/>
            <w:shd w:val="clear" w:color="auto" w:fill="FFFFFF"/>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1007" w:type="dxa"/>
            <w:shd w:val="clear" w:color="auto" w:fill="FFFFFF"/>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夜间</w:t>
            </w:r>
          </w:p>
        </w:tc>
        <w:tc>
          <w:tcPr>
            <w:tcW w:w="1736" w:type="dxa"/>
            <w:shd w:val="clear" w:color="auto" w:fill="FFFFFF"/>
            <w:vAlign w:val="center"/>
          </w:tcPr>
          <w:p>
            <w:pPr>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47.6</w:t>
            </w:r>
          </w:p>
        </w:tc>
      </w:tr>
    </w:tbl>
    <w:p>
      <w:pPr>
        <w:rPr>
          <w:rFonts w:hint="default" w:ascii="Times New Roman" w:hAnsi="Times New Roman" w:cs="Times New Roman"/>
          <w:color w:val="auto"/>
        </w:rPr>
      </w:pPr>
      <w:r>
        <w:rPr>
          <w:rFonts w:hint="default" w:ascii="Times New Roman" w:hAnsi="Times New Roman" w:cs="Times New Roman" w:eastAsiaTheme="minorEastAsia"/>
          <w:b w:val="0"/>
          <w:bCs/>
          <w:color w:val="auto"/>
          <w:sz w:val="21"/>
          <w:szCs w:val="21"/>
          <w:lang w:val="en-US" w:eastAsia="zh-CN"/>
        </w:rPr>
        <w:t>注：表中坐标以厂界中心（</w:t>
      </w:r>
      <w:bookmarkStart w:id="907" w:name="PO_8"/>
      <w:r>
        <w:rPr>
          <w:rFonts w:hint="default" w:ascii="Times New Roman" w:hAnsi="Times New Roman" w:cs="Times New Roman" w:eastAsiaTheme="minorEastAsia"/>
          <w:b w:val="0"/>
          <w:bCs/>
          <w:color w:val="auto"/>
          <w:sz w:val="21"/>
          <w:szCs w:val="21"/>
          <w:lang w:val="en-US" w:eastAsia="zh-CN"/>
        </w:rPr>
        <w:t>101.604385,25.026519</w:t>
      </w:r>
      <w:bookmarkEnd w:id="907"/>
      <w:r>
        <w:rPr>
          <w:rFonts w:hint="default" w:ascii="Times New Roman" w:hAnsi="Times New Roman" w:cs="Times New Roman" w:eastAsiaTheme="minorEastAsia"/>
          <w:b w:val="0"/>
          <w:bCs/>
          <w:color w:val="auto"/>
          <w:sz w:val="21"/>
          <w:szCs w:val="21"/>
          <w:lang w:val="en-US" w:eastAsia="zh-CN"/>
        </w:rPr>
        <w:t>）为坐标原点，正东向为X轴正方向，正北向为Y轴正方向。</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kern w:val="21"/>
        </w:rPr>
        <w:t>根据《环境影响评价技术导则</w:t>
      </w:r>
      <w:r>
        <w:rPr>
          <w:rFonts w:hint="default" w:ascii="Times New Roman" w:hAnsi="Times New Roman" w:cs="Times New Roman"/>
          <w:color w:val="auto"/>
          <w:kern w:val="21"/>
          <w:lang w:val="en-US" w:eastAsia="zh-CN"/>
        </w:rPr>
        <w:t xml:space="preserve"> </w:t>
      </w:r>
      <w:r>
        <w:rPr>
          <w:rFonts w:hint="default" w:ascii="Times New Roman" w:hAnsi="Times New Roman" w:cs="Times New Roman"/>
          <w:color w:val="auto"/>
          <w:kern w:val="21"/>
        </w:rPr>
        <w:t>声环境》（HJ2.4-2021），</w:t>
      </w:r>
      <w:r>
        <w:rPr>
          <w:rFonts w:hint="default" w:ascii="Times New Roman" w:hAnsi="Times New Roman" w:cs="Times New Roman"/>
          <w:color w:val="auto"/>
          <w:kern w:val="21"/>
          <w:lang w:eastAsia="zh-CN"/>
        </w:rPr>
        <w:t>本项目预测和评价的内容主要为：</w:t>
      </w:r>
      <w:r>
        <w:rPr>
          <w:rFonts w:hint="default" w:ascii="Times New Roman" w:hAnsi="Times New Roman" w:cs="Times New Roman"/>
          <w:color w:val="auto"/>
          <w:kern w:val="21"/>
          <w:lang w:val="en-US" w:eastAsia="zh-CN"/>
        </w:rPr>
        <w:t>1、预测建设项目在施工期和运营期所有声环境保护目标处的噪声贡献值和预测值，评价其超标和达标情况</w:t>
      </w:r>
      <w:r>
        <w:rPr>
          <w:rFonts w:hint="default" w:ascii="Times New Roman" w:hAnsi="Times New Roman" w:cs="Times New Roman"/>
          <w:color w:val="auto"/>
          <w:kern w:val="21"/>
          <w:lang w:eastAsia="zh-CN"/>
        </w:rPr>
        <w:t>；</w:t>
      </w:r>
      <w:r>
        <w:rPr>
          <w:rFonts w:hint="default" w:ascii="Times New Roman" w:hAnsi="Times New Roman" w:cs="Times New Roman"/>
          <w:color w:val="auto"/>
          <w:kern w:val="21"/>
          <w:lang w:val="en-US" w:eastAsia="zh-CN"/>
        </w:rPr>
        <w:t>2、预测和评价建设项目在施工期和运营期厂界（场界、边界）噪声贡献值，评价其超标和达标情况。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kern w:val="21"/>
        </w:rPr>
      </w:pPr>
      <w:r>
        <w:rPr>
          <w:rFonts w:hint="default" w:ascii="Times New Roman" w:hAnsi="Times New Roman" w:cs="Times New Roman"/>
          <w:color w:val="auto"/>
          <w:kern w:val="21"/>
        </w:rPr>
        <w:t>项目</w:t>
      </w:r>
      <w:r>
        <w:rPr>
          <w:rFonts w:hint="default" w:ascii="Times New Roman" w:hAnsi="Times New Roman" w:cs="Times New Roman"/>
          <w:color w:val="auto"/>
          <w:kern w:val="21"/>
          <w:lang w:val="en-US" w:eastAsia="zh-CN"/>
        </w:rPr>
        <w:t>200m</w:t>
      </w:r>
      <w:r>
        <w:rPr>
          <w:rFonts w:hint="default" w:ascii="Times New Roman" w:hAnsi="Times New Roman" w:cs="Times New Roman"/>
          <w:color w:val="auto"/>
          <w:kern w:val="21"/>
          <w:lang w:eastAsia="zh-CN"/>
        </w:rPr>
        <w:t>评价范围内无声环境保护目标</w:t>
      </w:r>
      <w:r>
        <w:rPr>
          <w:rFonts w:hint="default" w:ascii="Times New Roman" w:hAnsi="Times New Roman" w:cs="Times New Roman"/>
          <w:color w:val="auto"/>
          <w:kern w:val="21"/>
        </w:rPr>
        <w:t>，</w:t>
      </w:r>
      <w:r>
        <w:rPr>
          <w:rFonts w:hint="default" w:ascii="Times New Roman" w:hAnsi="Times New Roman" w:cs="Times New Roman"/>
          <w:color w:val="auto"/>
          <w:kern w:val="21"/>
          <w:lang w:eastAsia="zh-CN"/>
        </w:rPr>
        <w:t>因此本项目无需预测和评价声环境保护目标处噪声的贡献值和预测值，仅需对项目厂界噪声贡献值进行评价</w:t>
      </w:r>
      <w:r>
        <w:rPr>
          <w:rFonts w:hint="default" w:ascii="Times New Roman" w:hAnsi="Times New Roman" w:cs="Times New Roman"/>
          <w:color w:val="auto"/>
          <w:kern w:val="21"/>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1"/>
          <w:lang w:eastAsia="zh-CN"/>
        </w:rPr>
      </w:pPr>
      <w:r>
        <w:rPr>
          <w:rFonts w:hint="default" w:ascii="Times New Roman" w:hAnsi="Times New Roman" w:cs="Times New Roman"/>
          <w:color w:val="auto"/>
          <w:kern w:val="21"/>
          <w:lang w:eastAsia="zh-CN"/>
        </w:rPr>
        <w:t>由于本项目属于扩建工程，厂界噪声贡献值需叠加现有工程声源的噪声贡献值，本项目采用</w:t>
      </w:r>
      <w:r>
        <w:rPr>
          <w:rFonts w:hint="default" w:ascii="Times New Roman" w:hAnsi="Times New Roman" w:eastAsia="宋体" w:cs="Times New Roman"/>
          <w:color w:val="auto"/>
          <w:kern w:val="21"/>
          <w:lang w:val="en-US" w:eastAsia="zh-CN"/>
        </w:rPr>
        <w:t>《宇泽半导体（云南）有限公司年产5GW单晶硅拉棒及3GW切片生产线项目（二期2GW拉棒生产线）竣工环境保护验收监测报告》</w:t>
      </w:r>
      <w:r>
        <w:rPr>
          <w:rFonts w:hint="default" w:ascii="Times New Roman" w:hAnsi="Times New Roman" w:cs="Times New Roman"/>
          <w:color w:val="auto"/>
          <w:kern w:val="21"/>
          <w:lang w:val="en-US" w:eastAsia="zh-CN"/>
        </w:rPr>
        <w:t>中对厂区厂界的检测结果作为厂界噪声背景值进行叠加。由于现有项目厂界噪声贡献值是低于厂界噪声背景值的，因此只要叠加后噪声值满足标准要求，即可判断本项目厂界噪声贡献值叠加现有项目厂界噪声贡献值能满足排放标准要求。</w:t>
      </w:r>
    </w:p>
    <w:p>
      <w:pPr>
        <w:pStyle w:val="178"/>
        <w:keepNext w:val="0"/>
        <w:keepLines w:val="0"/>
        <w:pageBreakBefore w:val="0"/>
        <w:widowControl/>
        <w:numPr>
          <w:ilvl w:val="0"/>
          <w:numId w:val="7"/>
        </w:numPr>
        <w:kinsoku/>
        <w:wordWrap/>
        <w:overflowPunct/>
        <w:topLinePunct w:val="0"/>
        <w:autoSpaceDE/>
        <w:autoSpaceDN/>
        <w:bidi w:val="0"/>
        <w:adjustRightInd/>
        <w:snapToGrid/>
        <w:spacing w:beforeLines="0" w:afterLines="0" w:line="360" w:lineRule="auto"/>
        <w:ind w:left="0" w:leftChars="0" w:firstLine="0" w:firstLineChars="0"/>
        <w:textAlignment w:val="auto"/>
        <w:rPr>
          <w:rFonts w:hint="default" w:ascii="Times New Roman" w:hAnsi="Times New Roman" w:cs="Times New Roman" w:eastAsiaTheme="minorEastAsia"/>
          <w:b/>
          <w:color w:val="auto"/>
          <w:sz w:val="24"/>
          <w:szCs w:val="24"/>
          <w:lang w:eastAsia="zh-CN"/>
        </w:rPr>
      </w:pPr>
      <w:r>
        <w:rPr>
          <w:rFonts w:hint="default" w:ascii="Times New Roman" w:hAnsi="Times New Roman" w:cs="Times New Roman" w:eastAsiaTheme="minorEastAsia"/>
          <w:b/>
          <w:color w:val="auto"/>
          <w:sz w:val="24"/>
          <w:szCs w:val="24"/>
          <w:lang w:val="en-US" w:eastAsia="zh-CN"/>
        </w:rPr>
        <w:t xml:space="preserve">  </w:t>
      </w:r>
      <w:r>
        <w:rPr>
          <w:rFonts w:hint="default" w:ascii="Times New Roman" w:hAnsi="Times New Roman" w:cs="Times New Roman" w:eastAsiaTheme="minorEastAsia"/>
          <w:b/>
          <w:color w:val="auto"/>
          <w:sz w:val="24"/>
          <w:szCs w:val="24"/>
          <w:lang w:eastAsia="zh-CN"/>
        </w:rPr>
        <w:t>厂界噪声</w:t>
      </w:r>
      <w:r>
        <w:rPr>
          <w:rFonts w:hint="default" w:ascii="Times New Roman" w:hAnsi="Times New Roman" w:cs="Times New Roman"/>
          <w:b/>
          <w:color w:val="auto"/>
          <w:lang w:eastAsia="zh-CN"/>
        </w:rPr>
        <w:t>预测</w:t>
      </w:r>
      <w:r>
        <w:rPr>
          <w:rFonts w:hint="default" w:ascii="Times New Roman" w:hAnsi="Times New Roman" w:cs="Times New Roman" w:eastAsiaTheme="minorEastAsia"/>
          <w:b/>
          <w:color w:val="auto"/>
          <w:sz w:val="24"/>
          <w:szCs w:val="24"/>
          <w:lang w:eastAsia="zh-CN"/>
        </w:rPr>
        <w:t>结果与达标分析表</w:t>
      </w:r>
    </w:p>
    <w:tbl>
      <w:tblPr>
        <w:tblStyle w:val="44"/>
        <w:tblW w:w="80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2"/>
        <w:gridCol w:w="993"/>
        <w:gridCol w:w="1417"/>
        <w:gridCol w:w="1417"/>
        <w:gridCol w:w="1142"/>
        <w:gridCol w:w="1096"/>
        <w:gridCol w:w="11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8" w:hRule="exact"/>
          <w:jc w:val="center"/>
        </w:trPr>
        <w:tc>
          <w:tcPr>
            <w:tcW w:w="862" w:type="dxa"/>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
                <w:color w:val="auto"/>
                <w:sz w:val="21"/>
                <w:szCs w:val="21"/>
              </w:rPr>
              <w:t>预测方位</w:t>
            </w:r>
          </w:p>
        </w:tc>
        <w:tc>
          <w:tcPr>
            <w:tcW w:w="993" w:type="dxa"/>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
                <w:color w:val="auto"/>
                <w:sz w:val="21"/>
                <w:szCs w:val="21"/>
              </w:rPr>
              <w:t>时段</w:t>
            </w:r>
          </w:p>
        </w:tc>
        <w:tc>
          <w:tcPr>
            <w:tcW w:w="1417" w:type="dxa"/>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
                <w:color w:val="auto"/>
                <w:sz w:val="21"/>
                <w:szCs w:val="21"/>
                <w:lang w:eastAsia="zh-CN"/>
              </w:rPr>
              <w:t>本项目厂界噪声</w:t>
            </w:r>
            <w:r>
              <w:rPr>
                <w:rFonts w:hint="default" w:ascii="Times New Roman" w:hAnsi="Times New Roman" w:cs="Times New Roman" w:eastAsiaTheme="minorEastAsia"/>
                <w:b/>
                <w:color w:val="auto"/>
                <w:sz w:val="21"/>
                <w:szCs w:val="21"/>
              </w:rPr>
              <w:t>贡献值（dB(A)）</w:t>
            </w:r>
          </w:p>
        </w:tc>
        <w:tc>
          <w:tcPr>
            <w:tcW w:w="1417" w:type="dxa"/>
            <w:vAlign w:val="center"/>
          </w:tcPr>
          <w:p>
            <w:pPr>
              <w:jc w:val="center"/>
              <w:rPr>
                <w:rFonts w:hint="default" w:ascii="Times New Roman" w:hAnsi="Times New Roman" w:cs="Times New Roman" w:eastAsiaTheme="minorEastAsia"/>
                <w:b/>
                <w:color w:val="auto"/>
                <w:sz w:val="21"/>
                <w:szCs w:val="21"/>
                <w:lang w:eastAsia="zh-CN"/>
              </w:rPr>
            </w:pPr>
            <w:r>
              <w:rPr>
                <w:rFonts w:hint="default" w:ascii="Times New Roman" w:hAnsi="Times New Roman" w:cs="Times New Roman" w:eastAsiaTheme="minorEastAsia"/>
                <w:b/>
                <w:color w:val="auto"/>
                <w:sz w:val="21"/>
                <w:szCs w:val="21"/>
                <w:lang w:eastAsia="zh-CN"/>
              </w:rPr>
              <w:t>现有项目厂界噪声背景值</w:t>
            </w:r>
            <w:r>
              <w:rPr>
                <w:rFonts w:hint="default" w:ascii="Times New Roman" w:hAnsi="Times New Roman" w:cs="Times New Roman" w:eastAsiaTheme="minorEastAsia"/>
                <w:b/>
                <w:color w:val="auto"/>
                <w:sz w:val="21"/>
                <w:szCs w:val="21"/>
              </w:rPr>
              <w:t>（dB(A)）</w:t>
            </w:r>
          </w:p>
        </w:tc>
        <w:tc>
          <w:tcPr>
            <w:tcW w:w="1142" w:type="dxa"/>
            <w:vAlign w:val="center"/>
          </w:tcPr>
          <w:p>
            <w:pPr>
              <w:jc w:val="center"/>
              <w:rPr>
                <w:rFonts w:hint="default" w:ascii="Times New Roman" w:hAnsi="Times New Roman" w:cs="Times New Roman" w:eastAsiaTheme="minorEastAsia"/>
                <w:b/>
                <w:color w:val="auto"/>
                <w:sz w:val="21"/>
                <w:szCs w:val="21"/>
                <w:lang w:eastAsia="zh-CN"/>
              </w:rPr>
            </w:pPr>
            <w:r>
              <w:rPr>
                <w:rFonts w:hint="default" w:ascii="Times New Roman" w:hAnsi="Times New Roman" w:cs="Times New Roman" w:eastAsiaTheme="minorEastAsia"/>
                <w:b/>
                <w:color w:val="auto"/>
                <w:sz w:val="21"/>
                <w:szCs w:val="21"/>
                <w:lang w:eastAsia="zh-CN"/>
              </w:rPr>
              <w:t>叠加后噪声值</w:t>
            </w:r>
            <w:r>
              <w:rPr>
                <w:rFonts w:hint="default" w:ascii="Times New Roman" w:hAnsi="Times New Roman" w:cs="Times New Roman" w:eastAsiaTheme="minorEastAsia"/>
                <w:b/>
                <w:color w:val="auto"/>
                <w:sz w:val="21"/>
                <w:szCs w:val="21"/>
              </w:rPr>
              <w:t>（dB(A)）</w:t>
            </w:r>
          </w:p>
        </w:tc>
        <w:tc>
          <w:tcPr>
            <w:tcW w:w="1096" w:type="dxa"/>
            <w:vAlign w:val="center"/>
          </w:tcPr>
          <w:p>
            <w:pPr>
              <w:jc w:val="center"/>
              <w:rPr>
                <w:rFonts w:hint="default" w:ascii="Times New Roman" w:hAnsi="Times New Roman" w:cs="Times New Roman" w:eastAsiaTheme="minorEastAsia"/>
                <w:b/>
                <w:color w:val="auto"/>
                <w:sz w:val="21"/>
                <w:szCs w:val="21"/>
                <w:lang w:eastAsia="zh-CN"/>
              </w:rPr>
            </w:pPr>
            <w:r>
              <w:rPr>
                <w:rFonts w:hint="default" w:ascii="Times New Roman" w:hAnsi="Times New Roman" w:cs="Times New Roman" w:eastAsiaTheme="minorEastAsia"/>
                <w:b/>
                <w:color w:val="auto"/>
                <w:sz w:val="21"/>
                <w:szCs w:val="21"/>
                <w:lang w:eastAsia="zh-CN"/>
              </w:rPr>
              <w:t>标准限值</w:t>
            </w:r>
            <w:r>
              <w:rPr>
                <w:rFonts w:hint="default" w:ascii="Times New Roman" w:hAnsi="Times New Roman" w:cs="Times New Roman" w:eastAsiaTheme="minorEastAsia"/>
                <w:b/>
                <w:color w:val="auto"/>
                <w:sz w:val="21"/>
                <w:szCs w:val="21"/>
              </w:rPr>
              <w:t>（dB(A)）</w:t>
            </w:r>
          </w:p>
        </w:tc>
        <w:tc>
          <w:tcPr>
            <w:tcW w:w="1128" w:type="dxa"/>
            <w:vAlign w:val="center"/>
          </w:tcPr>
          <w:p>
            <w:pPr>
              <w:jc w:val="center"/>
              <w:rPr>
                <w:rFonts w:hint="default" w:ascii="Times New Roman" w:hAnsi="Times New Roman" w:cs="Times New Roman" w:eastAsiaTheme="minorEastAsia"/>
                <w:b/>
                <w:color w:val="auto"/>
                <w:sz w:val="21"/>
                <w:szCs w:val="21"/>
                <w:lang w:eastAsia="zh-CN"/>
              </w:rPr>
            </w:pPr>
            <w:r>
              <w:rPr>
                <w:rFonts w:hint="default" w:ascii="Times New Roman" w:hAnsi="Times New Roman" w:cs="Times New Roman" w:eastAsiaTheme="minorEastAsia"/>
                <w:b/>
                <w:color w:val="auto"/>
                <w:sz w:val="21"/>
                <w:szCs w:val="21"/>
                <w:lang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862" w:type="dxa"/>
            <w:vMerge w:val="restart"/>
            <w:shd w:val="clear" w:color="auto" w:fill="FFFFFF"/>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东侧</w:t>
            </w:r>
          </w:p>
        </w:tc>
        <w:tc>
          <w:tcPr>
            <w:tcW w:w="993" w:type="dxa"/>
            <w:shd w:val="clear" w:color="auto" w:fill="FFFFFF"/>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w:t>
            </w:r>
          </w:p>
        </w:tc>
        <w:tc>
          <w:tcPr>
            <w:tcW w:w="1417" w:type="dxa"/>
            <w:shd w:val="clear" w:color="auto" w:fill="FFFFFF"/>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24.7</w:t>
            </w:r>
          </w:p>
        </w:tc>
        <w:tc>
          <w:tcPr>
            <w:tcW w:w="1417" w:type="dxa"/>
            <w:shd w:val="clear" w:color="auto" w:fill="FFFFFF"/>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55.1</w:t>
            </w:r>
          </w:p>
        </w:tc>
        <w:tc>
          <w:tcPr>
            <w:tcW w:w="1142" w:type="dxa"/>
            <w:shd w:val="clear" w:color="auto" w:fill="FFFFFF"/>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 xml:space="preserve">55.1 </w:t>
            </w:r>
          </w:p>
        </w:tc>
        <w:tc>
          <w:tcPr>
            <w:tcW w:w="1096" w:type="dxa"/>
            <w:shd w:val="clear" w:color="auto" w:fill="FFFFFF"/>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65</w:t>
            </w:r>
          </w:p>
        </w:tc>
        <w:tc>
          <w:tcPr>
            <w:tcW w:w="1128" w:type="dxa"/>
            <w:shd w:val="clear" w:color="auto" w:fill="FFFFFF"/>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862" w:type="dxa"/>
            <w:vMerge w:val="continue"/>
            <w:shd w:val="clear" w:color="auto" w:fill="FFFFFF"/>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东侧</w:t>
            </w:r>
          </w:p>
        </w:tc>
        <w:tc>
          <w:tcPr>
            <w:tcW w:w="993" w:type="dxa"/>
            <w:shd w:val="clear" w:color="auto" w:fill="FFFFFF"/>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夜间</w:t>
            </w:r>
          </w:p>
        </w:tc>
        <w:tc>
          <w:tcPr>
            <w:tcW w:w="1417" w:type="dxa"/>
            <w:shd w:val="clear" w:color="auto" w:fill="FFFFFF"/>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24.7</w:t>
            </w:r>
          </w:p>
        </w:tc>
        <w:tc>
          <w:tcPr>
            <w:tcW w:w="1417" w:type="dxa"/>
            <w:shd w:val="clear" w:color="auto" w:fill="FFFFFF"/>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50.9</w:t>
            </w:r>
          </w:p>
        </w:tc>
        <w:tc>
          <w:tcPr>
            <w:tcW w:w="1142" w:type="dxa"/>
            <w:shd w:val="clear" w:color="auto" w:fill="FFFFFF"/>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 xml:space="preserve">50.9 </w:t>
            </w:r>
          </w:p>
        </w:tc>
        <w:tc>
          <w:tcPr>
            <w:tcW w:w="1096" w:type="dxa"/>
            <w:shd w:val="clear" w:color="auto" w:fill="FFFFFF"/>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55</w:t>
            </w:r>
          </w:p>
        </w:tc>
        <w:tc>
          <w:tcPr>
            <w:tcW w:w="1128" w:type="dxa"/>
            <w:shd w:val="clear" w:color="auto" w:fill="FFFFFF"/>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862" w:type="dxa"/>
            <w:vMerge w:val="restart"/>
            <w:shd w:val="clear" w:color="auto" w:fill="FFFFFF"/>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南侧</w:t>
            </w:r>
          </w:p>
        </w:tc>
        <w:tc>
          <w:tcPr>
            <w:tcW w:w="993" w:type="dxa"/>
            <w:shd w:val="clear" w:color="auto" w:fill="FFFFFF"/>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w:t>
            </w:r>
          </w:p>
        </w:tc>
        <w:tc>
          <w:tcPr>
            <w:tcW w:w="1417" w:type="dxa"/>
            <w:shd w:val="clear" w:color="auto" w:fill="FFFFFF"/>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32.2</w:t>
            </w:r>
          </w:p>
        </w:tc>
        <w:tc>
          <w:tcPr>
            <w:tcW w:w="1417" w:type="dxa"/>
            <w:shd w:val="clear" w:color="auto" w:fill="FFFFFF"/>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50.9</w:t>
            </w:r>
          </w:p>
        </w:tc>
        <w:tc>
          <w:tcPr>
            <w:tcW w:w="1142" w:type="dxa"/>
            <w:shd w:val="clear" w:color="auto" w:fill="FFFFFF"/>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 xml:space="preserve">51.0 </w:t>
            </w:r>
          </w:p>
        </w:tc>
        <w:tc>
          <w:tcPr>
            <w:tcW w:w="1096" w:type="dxa"/>
            <w:shd w:val="clear" w:color="auto" w:fill="FFFFFF"/>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65</w:t>
            </w:r>
          </w:p>
        </w:tc>
        <w:tc>
          <w:tcPr>
            <w:tcW w:w="1128" w:type="dxa"/>
            <w:shd w:val="clear" w:color="auto" w:fill="FFFFFF"/>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862" w:type="dxa"/>
            <w:vMerge w:val="continue"/>
            <w:shd w:val="clear" w:color="auto" w:fill="FFFFFF"/>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南侧</w:t>
            </w:r>
          </w:p>
        </w:tc>
        <w:tc>
          <w:tcPr>
            <w:tcW w:w="993" w:type="dxa"/>
            <w:shd w:val="clear" w:color="auto" w:fill="FFFFFF"/>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夜间</w:t>
            </w:r>
          </w:p>
        </w:tc>
        <w:tc>
          <w:tcPr>
            <w:tcW w:w="1417" w:type="dxa"/>
            <w:shd w:val="clear" w:color="auto" w:fill="FFFFFF"/>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32.2</w:t>
            </w:r>
          </w:p>
        </w:tc>
        <w:tc>
          <w:tcPr>
            <w:tcW w:w="1417" w:type="dxa"/>
            <w:shd w:val="clear" w:color="auto" w:fill="FFFFFF"/>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49.4</w:t>
            </w:r>
          </w:p>
        </w:tc>
        <w:tc>
          <w:tcPr>
            <w:tcW w:w="1142" w:type="dxa"/>
            <w:shd w:val="clear" w:color="auto" w:fill="FFFFFF"/>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 xml:space="preserve">49.5 </w:t>
            </w:r>
          </w:p>
        </w:tc>
        <w:tc>
          <w:tcPr>
            <w:tcW w:w="1096" w:type="dxa"/>
            <w:shd w:val="clear" w:color="auto" w:fill="FFFFFF"/>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55</w:t>
            </w:r>
          </w:p>
        </w:tc>
        <w:tc>
          <w:tcPr>
            <w:tcW w:w="1128" w:type="dxa"/>
            <w:shd w:val="clear" w:color="auto" w:fill="FFFFFF"/>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862" w:type="dxa"/>
            <w:vMerge w:val="restart"/>
            <w:shd w:val="clear" w:color="auto" w:fill="FFFFFF"/>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西侧</w:t>
            </w:r>
          </w:p>
        </w:tc>
        <w:tc>
          <w:tcPr>
            <w:tcW w:w="993" w:type="dxa"/>
            <w:shd w:val="clear" w:color="auto" w:fill="FFFFFF"/>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w:t>
            </w:r>
          </w:p>
        </w:tc>
        <w:tc>
          <w:tcPr>
            <w:tcW w:w="1417" w:type="dxa"/>
            <w:shd w:val="clear" w:color="auto" w:fill="FFFFFF"/>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48.4</w:t>
            </w:r>
          </w:p>
        </w:tc>
        <w:tc>
          <w:tcPr>
            <w:tcW w:w="1417" w:type="dxa"/>
            <w:shd w:val="clear" w:color="auto" w:fill="FFFFFF"/>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57.0</w:t>
            </w:r>
          </w:p>
        </w:tc>
        <w:tc>
          <w:tcPr>
            <w:tcW w:w="1142" w:type="dxa"/>
            <w:shd w:val="clear" w:color="auto" w:fill="FFFFFF"/>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 xml:space="preserve">57.6 </w:t>
            </w:r>
          </w:p>
        </w:tc>
        <w:tc>
          <w:tcPr>
            <w:tcW w:w="1096" w:type="dxa"/>
            <w:shd w:val="clear" w:color="auto" w:fill="FFFFFF"/>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65</w:t>
            </w:r>
          </w:p>
        </w:tc>
        <w:tc>
          <w:tcPr>
            <w:tcW w:w="1128" w:type="dxa"/>
            <w:shd w:val="clear" w:color="auto" w:fill="FFFFFF"/>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862" w:type="dxa"/>
            <w:vMerge w:val="continue"/>
            <w:shd w:val="clear" w:color="auto" w:fill="FFFFFF"/>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西侧</w:t>
            </w:r>
          </w:p>
        </w:tc>
        <w:tc>
          <w:tcPr>
            <w:tcW w:w="993" w:type="dxa"/>
            <w:shd w:val="clear" w:color="auto" w:fill="FFFFFF"/>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夜间</w:t>
            </w:r>
          </w:p>
        </w:tc>
        <w:tc>
          <w:tcPr>
            <w:tcW w:w="1417" w:type="dxa"/>
            <w:shd w:val="clear" w:color="auto" w:fill="FFFFFF"/>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48.4</w:t>
            </w:r>
          </w:p>
        </w:tc>
        <w:tc>
          <w:tcPr>
            <w:tcW w:w="1417" w:type="dxa"/>
            <w:shd w:val="clear" w:color="auto" w:fill="FFFFFF"/>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53.9</w:t>
            </w:r>
          </w:p>
        </w:tc>
        <w:tc>
          <w:tcPr>
            <w:tcW w:w="1142" w:type="dxa"/>
            <w:shd w:val="clear" w:color="auto" w:fill="FFFFFF"/>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 xml:space="preserve">55.0 </w:t>
            </w:r>
          </w:p>
        </w:tc>
        <w:tc>
          <w:tcPr>
            <w:tcW w:w="1096" w:type="dxa"/>
            <w:shd w:val="clear" w:color="auto" w:fill="FFFFFF"/>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55</w:t>
            </w:r>
          </w:p>
        </w:tc>
        <w:tc>
          <w:tcPr>
            <w:tcW w:w="1128" w:type="dxa"/>
            <w:shd w:val="clear" w:color="auto" w:fill="FFFFFF"/>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862" w:type="dxa"/>
            <w:vMerge w:val="restart"/>
            <w:shd w:val="clear" w:color="auto" w:fill="FFFFFF"/>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北侧</w:t>
            </w:r>
          </w:p>
        </w:tc>
        <w:tc>
          <w:tcPr>
            <w:tcW w:w="993" w:type="dxa"/>
            <w:shd w:val="clear" w:color="auto" w:fill="FFFFFF"/>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w:t>
            </w:r>
          </w:p>
        </w:tc>
        <w:tc>
          <w:tcPr>
            <w:tcW w:w="1417" w:type="dxa"/>
            <w:shd w:val="clear" w:color="auto" w:fill="FFFFFF"/>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47.6</w:t>
            </w:r>
          </w:p>
        </w:tc>
        <w:tc>
          <w:tcPr>
            <w:tcW w:w="1417" w:type="dxa"/>
            <w:shd w:val="clear" w:color="auto" w:fill="FFFFFF"/>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59.2</w:t>
            </w:r>
          </w:p>
        </w:tc>
        <w:tc>
          <w:tcPr>
            <w:tcW w:w="1142" w:type="dxa"/>
            <w:shd w:val="clear" w:color="auto" w:fill="FFFFFF"/>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 xml:space="preserve">59.5 </w:t>
            </w:r>
          </w:p>
        </w:tc>
        <w:tc>
          <w:tcPr>
            <w:tcW w:w="1096" w:type="dxa"/>
            <w:shd w:val="clear" w:color="auto" w:fill="FFFFFF"/>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65</w:t>
            </w:r>
          </w:p>
        </w:tc>
        <w:tc>
          <w:tcPr>
            <w:tcW w:w="1128" w:type="dxa"/>
            <w:shd w:val="clear" w:color="auto" w:fill="FFFFFF"/>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862" w:type="dxa"/>
            <w:vMerge w:val="continue"/>
            <w:shd w:val="clear" w:color="auto" w:fill="FFFFFF"/>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北侧</w:t>
            </w:r>
          </w:p>
        </w:tc>
        <w:tc>
          <w:tcPr>
            <w:tcW w:w="993" w:type="dxa"/>
            <w:shd w:val="clear" w:color="auto" w:fill="FFFFFF"/>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夜间</w:t>
            </w:r>
          </w:p>
        </w:tc>
        <w:tc>
          <w:tcPr>
            <w:tcW w:w="1417" w:type="dxa"/>
            <w:shd w:val="clear" w:color="auto" w:fill="FFFFFF"/>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47.6</w:t>
            </w:r>
          </w:p>
        </w:tc>
        <w:tc>
          <w:tcPr>
            <w:tcW w:w="1417" w:type="dxa"/>
            <w:shd w:val="clear" w:color="auto" w:fill="FFFFFF"/>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52.1</w:t>
            </w:r>
          </w:p>
        </w:tc>
        <w:tc>
          <w:tcPr>
            <w:tcW w:w="1142" w:type="dxa"/>
            <w:shd w:val="clear" w:color="auto" w:fill="FFFFFF"/>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 xml:space="preserve">53.4 </w:t>
            </w:r>
          </w:p>
        </w:tc>
        <w:tc>
          <w:tcPr>
            <w:tcW w:w="1096" w:type="dxa"/>
            <w:shd w:val="clear" w:color="auto" w:fill="FFFFFF"/>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55</w:t>
            </w:r>
          </w:p>
        </w:tc>
        <w:tc>
          <w:tcPr>
            <w:tcW w:w="1128" w:type="dxa"/>
            <w:shd w:val="clear" w:color="auto" w:fill="FFFFFF"/>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达标</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default" w:ascii="Times New Roman" w:hAnsi="Times New Roman" w:cs="Times New Roman"/>
          <w:b w:val="0"/>
          <w:bCs w:val="0"/>
          <w:color w:val="auto"/>
          <w:szCs w:val="32"/>
        </w:rPr>
      </w:pPr>
      <w:r>
        <w:rPr>
          <w:rFonts w:hint="default" w:ascii="Times New Roman" w:hAnsi="Times New Roman" w:cs="Times New Roman"/>
          <w:color w:val="auto"/>
          <w:kern w:val="21"/>
        </w:rPr>
        <w:t>从</w:t>
      </w:r>
      <w:r>
        <w:rPr>
          <w:rFonts w:hint="default" w:ascii="Times New Roman" w:hAnsi="Times New Roman" w:cs="Times New Roman"/>
          <w:color w:val="auto"/>
          <w:kern w:val="21"/>
          <w:lang w:eastAsia="zh-CN"/>
        </w:rPr>
        <w:t>上表</w:t>
      </w:r>
      <w:r>
        <w:rPr>
          <w:rFonts w:hint="default" w:ascii="Times New Roman" w:hAnsi="Times New Roman" w:cs="Times New Roman"/>
          <w:color w:val="auto"/>
          <w:kern w:val="21"/>
        </w:rPr>
        <w:t>可以看出，项目建成后设备噪声厂界</w:t>
      </w:r>
      <w:r>
        <w:rPr>
          <w:rFonts w:hint="default" w:ascii="Times New Roman" w:hAnsi="Times New Roman" w:cs="Times New Roman"/>
          <w:color w:val="auto"/>
          <w:kern w:val="21"/>
          <w:lang w:eastAsia="zh-CN"/>
        </w:rPr>
        <w:t>最大</w:t>
      </w:r>
      <w:r>
        <w:rPr>
          <w:rFonts w:hint="default" w:ascii="Times New Roman" w:hAnsi="Times New Roman" w:cs="Times New Roman"/>
          <w:color w:val="auto"/>
          <w:kern w:val="21"/>
        </w:rPr>
        <w:t>贡献值</w:t>
      </w:r>
      <w:r>
        <w:rPr>
          <w:rFonts w:hint="default" w:ascii="Times New Roman" w:hAnsi="Times New Roman" w:cs="Times New Roman"/>
          <w:color w:val="auto"/>
          <w:kern w:val="21"/>
          <w:lang w:eastAsia="zh-CN"/>
        </w:rPr>
        <w:t>昼间为</w:t>
      </w:r>
      <w:r>
        <w:rPr>
          <w:rFonts w:hint="default" w:ascii="Times New Roman" w:hAnsi="Times New Roman" w:cs="Times New Roman"/>
          <w:color w:val="auto"/>
          <w:kern w:val="21"/>
          <w:lang w:val="en-US" w:eastAsia="zh-CN"/>
        </w:rPr>
        <w:t>57.6</w:t>
      </w:r>
      <w:r>
        <w:rPr>
          <w:rFonts w:hint="default" w:ascii="Times New Roman" w:hAnsi="Times New Roman" w:cs="Times New Roman"/>
          <w:color w:val="auto"/>
          <w:kern w:val="21"/>
        </w:rPr>
        <w:t>dB（A）</w:t>
      </w:r>
      <w:r>
        <w:rPr>
          <w:rFonts w:hint="default" w:ascii="Times New Roman" w:hAnsi="Times New Roman" w:cs="Times New Roman"/>
          <w:color w:val="auto"/>
          <w:kern w:val="21"/>
          <w:lang w:eastAsia="zh-CN"/>
        </w:rPr>
        <w:t>、夜间为</w:t>
      </w:r>
      <w:r>
        <w:rPr>
          <w:rFonts w:hint="default" w:ascii="Times New Roman" w:hAnsi="Times New Roman" w:cs="Times New Roman"/>
          <w:color w:val="auto"/>
          <w:kern w:val="21"/>
          <w:lang w:val="en-US" w:eastAsia="zh-CN"/>
        </w:rPr>
        <w:t>55.0</w:t>
      </w:r>
      <w:r>
        <w:rPr>
          <w:rFonts w:hint="default" w:ascii="Times New Roman" w:hAnsi="Times New Roman" w:cs="Times New Roman"/>
          <w:color w:val="auto"/>
          <w:kern w:val="21"/>
        </w:rPr>
        <w:t>dB（A），噪声</w:t>
      </w:r>
      <w:r>
        <w:rPr>
          <w:rFonts w:hint="default" w:ascii="Times New Roman" w:hAnsi="Times New Roman" w:cs="Times New Roman"/>
          <w:color w:val="auto"/>
          <w:kern w:val="21"/>
          <w:lang w:eastAsia="zh-CN"/>
        </w:rPr>
        <w:t>贡献值能</w:t>
      </w:r>
      <w:r>
        <w:rPr>
          <w:rFonts w:hint="default" w:ascii="Times New Roman" w:hAnsi="Times New Roman" w:cs="Times New Roman"/>
          <w:color w:val="auto"/>
          <w:kern w:val="21"/>
        </w:rPr>
        <w:t>达到《工业企业厂界环境噪声排放标准》（GB</w:t>
      </w:r>
      <w:r>
        <w:rPr>
          <w:rFonts w:hint="default" w:ascii="Times New Roman" w:hAnsi="Times New Roman" w:cs="Times New Roman"/>
          <w:color w:val="auto"/>
          <w:kern w:val="21"/>
          <w:lang w:val="en-US" w:eastAsia="zh-CN"/>
        </w:rPr>
        <w:t>12348</w:t>
      </w:r>
      <w:r>
        <w:rPr>
          <w:rFonts w:hint="default" w:ascii="Times New Roman" w:hAnsi="Times New Roman" w:cs="Times New Roman"/>
          <w:color w:val="auto"/>
          <w:kern w:val="21"/>
        </w:rPr>
        <w:t>-2008）</w:t>
      </w:r>
      <w:r>
        <w:rPr>
          <w:rFonts w:hint="default" w:ascii="Times New Roman" w:hAnsi="Times New Roman" w:cs="Times New Roman"/>
          <w:color w:val="auto"/>
          <w:kern w:val="21"/>
          <w:lang w:val="en-US" w:eastAsia="zh-CN"/>
        </w:rPr>
        <w:t>3</w:t>
      </w:r>
      <w:r>
        <w:rPr>
          <w:rFonts w:hint="default" w:ascii="Times New Roman" w:hAnsi="Times New Roman" w:cs="Times New Roman"/>
          <w:color w:val="auto"/>
          <w:kern w:val="21"/>
        </w:rPr>
        <w:t>类标准昼间</w:t>
      </w:r>
      <w:r>
        <w:rPr>
          <w:rFonts w:hint="default" w:ascii="Times New Roman" w:hAnsi="Times New Roman" w:cs="Times New Roman"/>
          <w:color w:val="auto"/>
          <w:kern w:val="21"/>
          <w:lang w:eastAsia="zh-CN"/>
        </w:rPr>
        <w:t>（≤</w:t>
      </w:r>
      <w:r>
        <w:rPr>
          <w:rFonts w:hint="default" w:ascii="Times New Roman" w:hAnsi="Times New Roman" w:cs="Times New Roman"/>
          <w:color w:val="auto"/>
          <w:kern w:val="21"/>
          <w:lang w:val="en-US" w:eastAsia="zh-CN"/>
        </w:rPr>
        <w:t>65</w:t>
      </w:r>
      <w:r>
        <w:rPr>
          <w:rFonts w:hint="default" w:ascii="Times New Roman" w:hAnsi="Times New Roman" w:cs="Times New Roman"/>
          <w:color w:val="auto"/>
          <w:kern w:val="21"/>
        </w:rPr>
        <w:t>dB（A）</w:t>
      </w:r>
      <w:r>
        <w:rPr>
          <w:rFonts w:hint="default" w:ascii="Times New Roman" w:hAnsi="Times New Roman" w:cs="Times New Roman"/>
          <w:color w:val="auto"/>
          <w:kern w:val="21"/>
          <w:lang w:eastAsia="zh-CN"/>
        </w:rPr>
        <w:t>）</w:t>
      </w:r>
      <w:r>
        <w:rPr>
          <w:rFonts w:hint="default" w:ascii="Times New Roman" w:hAnsi="Times New Roman" w:cs="Times New Roman"/>
          <w:color w:val="auto"/>
          <w:kern w:val="21"/>
        </w:rPr>
        <w:t>、夜间</w:t>
      </w:r>
      <w:r>
        <w:rPr>
          <w:rFonts w:hint="default" w:ascii="Times New Roman" w:hAnsi="Times New Roman" w:cs="Times New Roman"/>
          <w:color w:val="auto"/>
          <w:kern w:val="21"/>
          <w:lang w:eastAsia="zh-CN"/>
        </w:rPr>
        <w:t>（≤</w:t>
      </w:r>
      <w:r>
        <w:rPr>
          <w:rFonts w:hint="default" w:ascii="Times New Roman" w:hAnsi="Times New Roman" w:cs="Times New Roman"/>
          <w:color w:val="auto"/>
          <w:kern w:val="21"/>
          <w:lang w:val="en-US" w:eastAsia="zh-CN"/>
        </w:rPr>
        <w:t>55</w:t>
      </w:r>
      <w:r>
        <w:rPr>
          <w:rFonts w:hint="default" w:ascii="Times New Roman" w:hAnsi="Times New Roman" w:cs="Times New Roman"/>
          <w:color w:val="auto"/>
          <w:kern w:val="21"/>
        </w:rPr>
        <w:t>dB（A）</w:t>
      </w:r>
      <w:r>
        <w:rPr>
          <w:rFonts w:hint="default" w:ascii="Times New Roman" w:hAnsi="Times New Roman" w:cs="Times New Roman"/>
          <w:color w:val="auto"/>
          <w:kern w:val="21"/>
          <w:lang w:eastAsia="zh-CN"/>
        </w:rPr>
        <w:t>）</w:t>
      </w:r>
      <w:r>
        <w:rPr>
          <w:rFonts w:hint="default" w:ascii="Times New Roman" w:hAnsi="Times New Roman" w:cs="Times New Roman"/>
          <w:color w:val="auto"/>
          <w:kern w:val="21"/>
        </w:rPr>
        <w:t>的要求</w:t>
      </w:r>
      <w:r>
        <w:rPr>
          <w:rFonts w:hint="default" w:ascii="Times New Roman" w:hAnsi="Times New Roman" w:cs="Times New Roman"/>
          <w:color w:val="auto"/>
          <w:kern w:val="21"/>
          <w:lang w:eastAsia="zh-CN"/>
        </w:rPr>
        <w:t>，项目对声环境的影响较小</w:t>
      </w:r>
      <w:r>
        <w:rPr>
          <w:rFonts w:hint="default" w:ascii="Times New Roman" w:hAnsi="Times New Roman" w:cs="Times New Roman"/>
          <w:color w:val="auto"/>
          <w:kern w:val="21"/>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val="0"/>
          <w:bCs w:val="0"/>
          <w:color w:val="auto"/>
          <w:szCs w:val="32"/>
        </w:rPr>
      </w:pPr>
      <w:r>
        <w:rPr>
          <w:rFonts w:hint="default" w:ascii="Times New Roman" w:hAnsi="Times New Roman" w:cs="Times New Roman"/>
          <w:b/>
          <w:bCs/>
          <w:color w:val="auto"/>
          <w:szCs w:val="32"/>
          <w:lang w:eastAsia="zh-CN"/>
        </w:rPr>
        <w:t>五、噪声防治措施</w:t>
      </w:r>
    </w:p>
    <w:p>
      <w:pPr>
        <w:pStyle w:val="38"/>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本项目噪声主要为生产设备运行产生的噪声</w:t>
      </w:r>
      <w:r>
        <w:rPr>
          <w:rFonts w:hint="default" w:ascii="Times New Roman" w:hAnsi="Times New Roman" w:cs="Times New Roman"/>
          <w:color w:val="auto"/>
          <w:lang w:eastAsia="zh-CN"/>
        </w:rPr>
        <w:t>，</w:t>
      </w:r>
      <w:r>
        <w:rPr>
          <w:rFonts w:hint="default" w:ascii="Times New Roman" w:hAnsi="Times New Roman" w:cs="Times New Roman"/>
          <w:color w:val="auto"/>
        </w:rPr>
        <w:t>为了</w:t>
      </w:r>
      <w:r>
        <w:rPr>
          <w:rFonts w:hint="default" w:ascii="Times New Roman" w:hAnsi="Times New Roman" w:cs="Times New Roman"/>
          <w:color w:val="auto"/>
          <w:lang w:eastAsia="zh-CN"/>
        </w:rPr>
        <w:t>进一步</w:t>
      </w:r>
      <w:r>
        <w:rPr>
          <w:rFonts w:hint="default" w:ascii="Times New Roman" w:hAnsi="Times New Roman" w:cs="Times New Roman"/>
          <w:color w:val="auto"/>
        </w:rPr>
        <w:t>减少项目运营期噪声对周围环境的影响，环评提出以下措施：</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cs="Times New Roman"/>
          <w:color w:val="auto"/>
          <w:lang w:val="en-US" w:eastAsia="zh-CN"/>
        </w:rPr>
        <w:t>1</w:t>
      </w:r>
      <w:r>
        <w:rPr>
          <w:rFonts w:hint="default" w:ascii="Times New Roman" w:hAnsi="Times New Roman" w:cs="Times New Roman"/>
          <w:color w:val="auto"/>
        </w:rPr>
        <w:t>）选用低噪声设备；</w:t>
      </w:r>
    </w:p>
    <w:p>
      <w:pPr>
        <w:spacing w:line="360" w:lineRule="auto"/>
        <w:ind w:firstLine="480" w:firstLineChars="200"/>
        <w:rPr>
          <w:rFonts w:hint="default" w:ascii="Times New Roman" w:hAnsi="Times New Roman" w:eastAsia="宋体" w:cs="Times New Roman"/>
          <w:color w:val="auto"/>
          <w:lang w:eastAsia="zh-CN"/>
        </w:rPr>
      </w:pPr>
      <w:r>
        <w:rPr>
          <w:rFonts w:hint="default" w:ascii="Times New Roman" w:hAnsi="Times New Roman" w:cs="Times New Roman"/>
          <w:color w:val="auto"/>
        </w:rPr>
        <w:t>（</w:t>
      </w:r>
      <w:r>
        <w:rPr>
          <w:rFonts w:hint="default" w:ascii="Times New Roman" w:hAnsi="Times New Roman" w:cs="Times New Roman"/>
          <w:color w:val="auto"/>
          <w:lang w:val="en-US" w:eastAsia="zh-CN"/>
        </w:rPr>
        <w:t>2</w:t>
      </w:r>
      <w:r>
        <w:rPr>
          <w:rFonts w:hint="default" w:ascii="Times New Roman" w:hAnsi="Times New Roman" w:cs="Times New Roman"/>
          <w:color w:val="auto"/>
        </w:rPr>
        <w:t>）厂房门窗、墙体</w:t>
      </w:r>
      <w:r>
        <w:rPr>
          <w:rFonts w:hint="default" w:ascii="Times New Roman" w:hAnsi="Times New Roman" w:cs="Times New Roman"/>
          <w:color w:val="auto"/>
          <w:lang w:eastAsia="zh-CN"/>
        </w:rPr>
        <w:t>尽量</w:t>
      </w:r>
      <w:r>
        <w:rPr>
          <w:rFonts w:hint="default" w:ascii="Times New Roman" w:hAnsi="Times New Roman" w:cs="Times New Roman"/>
          <w:color w:val="auto"/>
        </w:rPr>
        <w:t>采取</w:t>
      </w:r>
      <w:r>
        <w:rPr>
          <w:rFonts w:hint="default" w:ascii="Times New Roman" w:hAnsi="Times New Roman" w:cs="Times New Roman"/>
          <w:color w:val="auto"/>
          <w:lang w:eastAsia="zh-CN"/>
        </w:rPr>
        <w:t>更</w:t>
      </w:r>
      <w:r>
        <w:rPr>
          <w:rFonts w:hint="default" w:ascii="Times New Roman" w:hAnsi="Times New Roman" w:cs="Times New Roman"/>
          <w:color w:val="auto"/>
        </w:rPr>
        <w:t>有效的隔声及吸声</w:t>
      </w:r>
      <w:r>
        <w:rPr>
          <w:rFonts w:hint="default" w:ascii="Times New Roman" w:hAnsi="Times New Roman" w:cs="Times New Roman"/>
          <w:color w:val="auto"/>
          <w:lang w:eastAsia="zh-CN"/>
        </w:rPr>
        <w:t>材料；</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cs="Times New Roman"/>
          <w:color w:val="auto"/>
          <w:lang w:val="en-US" w:eastAsia="zh-CN"/>
        </w:rPr>
        <w:t>3</w:t>
      </w:r>
      <w:r>
        <w:rPr>
          <w:rFonts w:hint="default" w:ascii="Times New Roman" w:hAnsi="Times New Roman" w:cs="Times New Roman"/>
          <w:color w:val="auto"/>
        </w:rPr>
        <w:t>）</w:t>
      </w:r>
      <w:r>
        <w:rPr>
          <w:rFonts w:hint="default" w:ascii="Times New Roman" w:hAnsi="Times New Roman" w:cs="Times New Roman"/>
          <w:color w:val="auto"/>
          <w:lang w:eastAsia="zh-CN"/>
        </w:rPr>
        <w:t>生产</w:t>
      </w:r>
      <w:r>
        <w:rPr>
          <w:rFonts w:hint="default" w:ascii="Times New Roman" w:hAnsi="Times New Roman" w:cs="Times New Roman"/>
          <w:color w:val="auto"/>
        </w:rPr>
        <w:t>设备室内安装使用；</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cs="Times New Roman"/>
          <w:color w:val="auto"/>
          <w:lang w:val="en-US" w:eastAsia="zh-CN"/>
        </w:rPr>
        <w:t>4</w:t>
      </w:r>
      <w:r>
        <w:rPr>
          <w:rFonts w:hint="default" w:ascii="Times New Roman" w:hAnsi="Times New Roman" w:cs="Times New Roman"/>
          <w:color w:val="auto"/>
        </w:rPr>
        <w:t>）</w:t>
      </w:r>
      <w:r>
        <w:rPr>
          <w:rFonts w:hint="default" w:ascii="Times New Roman" w:hAnsi="Times New Roman" w:cs="Times New Roman"/>
          <w:color w:val="auto"/>
          <w:lang w:eastAsia="zh-CN"/>
        </w:rPr>
        <w:t>生产</w:t>
      </w:r>
      <w:r>
        <w:rPr>
          <w:rFonts w:hint="default" w:ascii="Times New Roman" w:hAnsi="Times New Roman" w:cs="Times New Roman"/>
          <w:color w:val="auto"/>
        </w:rPr>
        <w:t>设备进行基础减震；</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cs="Times New Roman"/>
          <w:color w:val="auto"/>
          <w:lang w:val="en-US" w:eastAsia="zh-CN"/>
        </w:rPr>
        <w:t>5</w:t>
      </w:r>
      <w:r>
        <w:rPr>
          <w:rFonts w:hint="default" w:ascii="Times New Roman" w:hAnsi="Times New Roman" w:cs="Times New Roman"/>
          <w:color w:val="auto"/>
        </w:rPr>
        <w:t>）在厂界和厂区空旷地加强绿化，降低噪声对周围的影响；</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cs="Times New Roman"/>
          <w:color w:val="auto"/>
          <w:lang w:val="en-US" w:eastAsia="zh-CN"/>
        </w:rPr>
        <w:t>6</w:t>
      </w:r>
      <w:r>
        <w:rPr>
          <w:rFonts w:hint="default" w:ascii="Times New Roman" w:hAnsi="Times New Roman" w:cs="Times New Roman"/>
          <w:color w:val="auto"/>
        </w:rPr>
        <w:t>）加强对项目区的设备进行检修。</w:t>
      </w:r>
    </w:p>
    <w:p>
      <w:pPr>
        <w:pStyle w:val="178"/>
        <w:keepNext w:val="0"/>
        <w:keepLines w:val="0"/>
        <w:pageBreakBefore w:val="0"/>
        <w:widowControl/>
        <w:numPr>
          <w:ilvl w:val="0"/>
          <w:numId w:val="7"/>
        </w:numPr>
        <w:kinsoku/>
        <w:wordWrap/>
        <w:overflowPunct/>
        <w:topLinePunct w:val="0"/>
        <w:autoSpaceDE/>
        <w:autoSpaceDN/>
        <w:bidi w:val="0"/>
        <w:adjustRightInd/>
        <w:snapToGrid/>
        <w:spacing w:beforeLines="0" w:afterLines="0" w:line="360" w:lineRule="auto"/>
        <w:ind w:left="0" w:leftChars="0" w:firstLine="0" w:firstLineChars="0"/>
        <w:textAlignment w:val="auto"/>
        <w:rPr>
          <w:rFonts w:hint="default" w:ascii="Times New Roman" w:hAnsi="Times New Roman" w:cs="Times New Roman"/>
          <w:b/>
          <w:bCs/>
          <w:color w:val="auto"/>
          <w:kern w:val="21"/>
        </w:rPr>
      </w:pPr>
      <w:r>
        <w:rPr>
          <w:rFonts w:hint="default" w:ascii="Times New Roman" w:hAnsi="Times New Roman" w:cs="Times New Roman"/>
          <w:b/>
          <w:bCs/>
          <w:color w:val="auto"/>
          <w:kern w:val="21"/>
        </w:rPr>
        <w:t>建设项目</w:t>
      </w:r>
      <w:r>
        <w:rPr>
          <w:rFonts w:hint="default" w:ascii="Times New Roman" w:hAnsi="Times New Roman" w:cs="Times New Roman"/>
          <w:b/>
          <w:bCs/>
          <w:color w:val="auto"/>
          <w:kern w:val="21"/>
          <w:lang w:eastAsia="zh-CN"/>
        </w:rPr>
        <w:t>声</w:t>
      </w:r>
      <w:r>
        <w:rPr>
          <w:rFonts w:hint="default" w:ascii="Times New Roman" w:hAnsi="Times New Roman" w:cs="Times New Roman"/>
          <w:b/>
          <w:bCs/>
          <w:color w:val="auto"/>
          <w:kern w:val="21"/>
        </w:rPr>
        <w:t>环境影响评价自查表</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01"/>
        <w:gridCol w:w="1410"/>
        <w:gridCol w:w="1090"/>
        <w:gridCol w:w="548"/>
        <w:gridCol w:w="315"/>
        <w:gridCol w:w="234"/>
        <w:gridCol w:w="1069"/>
        <w:gridCol w:w="678"/>
        <w:gridCol w:w="445"/>
        <w:gridCol w:w="549"/>
        <w:gridCol w:w="508"/>
        <w:gridCol w:w="1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6" w:hRule="atLeast"/>
          <w:jc w:val="center"/>
        </w:trPr>
        <w:tc>
          <w:tcPr>
            <w:tcW w:w="2411" w:type="dxa"/>
            <w:gridSpan w:val="2"/>
          </w:tcPr>
          <w:p>
            <w:pPr>
              <w:pStyle w:val="7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工作内容</w:t>
            </w:r>
          </w:p>
        </w:tc>
        <w:tc>
          <w:tcPr>
            <w:tcW w:w="6563" w:type="dxa"/>
            <w:gridSpan w:val="10"/>
            <w:vAlign w:val="center"/>
          </w:tcPr>
          <w:p>
            <w:pPr>
              <w:pStyle w:val="7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自查项目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jc w:val="center"/>
        </w:trPr>
        <w:tc>
          <w:tcPr>
            <w:tcW w:w="1001" w:type="dxa"/>
            <w:vMerge w:val="restart"/>
            <w:vAlign w:val="center"/>
          </w:tcPr>
          <w:p>
            <w:pPr>
              <w:pStyle w:val="7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评价等级与范围</w:t>
            </w:r>
          </w:p>
        </w:tc>
        <w:tc>
          <w:tcPr>
            <w:tcW w:w="1410" w:type="dxa"/>
            <w:vAlign w:val="center"/>
          </w:tcPr>
          <w:p>
            <w:pPr>
              <w:pStyle w:val="7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评价等级</w:t>
            </w:r>
          </w:p>
        </w:tc>
        <w:tc>
          <w:tcPr>
            <w:tcW w:w="6563" w:type="dxa"/>
            <w:gridSpan w:val="10"/>
            <w:vAlign w:val="center"/>
          </w:tcPr>
          <w:p>
            <w:pPr>
              <w:pStyle w:val="79"/>
              <w:keepNext w:val="0"/>
              <w:keepLines w:val="0"/>
              <w:pageBreakBefore w:val="0"/>
              <w:widowControl w:val="0"/>
              <w:tabs>
                <w:tab w:val="left" w:pos="2103"/>
                <w:tab w:val="left" w:pos="3635"/>
              </w:tabs>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一级</w:t>
            </w:r>
            <w:r>
              <w:rPr>
                <w:rFonts w:hint="default" w:ascii="Times New Roman" w:hAnsi="Times New Roman" w:cs="Times New Roman"/>
                <w:color w:val="auto"/>
                <w:spacing w:val="0"/>
                <w:sz w:val="21"/>
                <w:szCs w:val="21"/>
              </w:rPr>
              <w:sym w:font="Wingdings 2" w:char="00A3"/>
            </w:r>
            <w:r>
              <w:rPr>
                <w:rFonts w:hint="default" w:ascii="Times New Roman" w:hAnsi="Times New Roman" w:cs="Times New Roman"/>
                <w:color w:val="auto"/>
                <w:spacing w:val="0"/>
                <w:sz w:val="21"/>
                <w:szCs w:val="21"/>
                <w:lang w:val="en-US" w:eastAsia="zh-CN"/>
              </w:rPr>
              <w:t xml:space="preserve">          </w:t>
            </w:r>
            <w:r>
              <w:rPr>
                <w:rFonts w:hint="default" w:ascii="Times New Roman" w:hAnsi="Times New Roman" w:cs="Times New Roman"/>
                <w:color w:val="auto"/>
                <w:spacing w:val="0"/>
                <w:sz w:val="21"/>
                <w:szCs w:val="21"/>
              </w:rPr>
              <w:t>二级</w:t>
            </w:r>
            <w:r>
              <w:rPr>
                <w:rFonts w:hint="default" w:ascii="Times New Roman" w:hAnsi="Times New Roman" w:cs="Times New Roman"/>
                <w:color w:val="auto"/>
                <w:spacing w:val="0"/>
                <w:sz w:val="21"/>
                <w:szCs w:val="21"/>
              </w:rPr>
              <w:sym w:font="Wingdings 2" w:char="00A3"/>
            </w:r>
            <w:r>
              <w:rPr>
                <w:rFonts w:hint="default" w:ascii="Times New Roman" w:hAnsi="Times New Roman" w:cs="Times New Roman"/>
                <w:color w:val="auto"/>
                <w:spacing w:val="0"/>
                <w:sz w:val="21"/>
                <w:szCs w:val="21"/>
                <w:lang w:val="en-US" w:eastAsia="zh-CN"/>
              </w:rPr>
              <w:t xml:space="preserve">          </w:t>
            </w:r>
            <w:r>
              <w:rPr>
                <w:rFonts w:hint="default" w:ascii="Times New Roman" w:hAnsi="Times New Roman" w:cs="Times New Roman"/>
                <w:color w:val="auto"/>
                <w:spacing w:val="0"/>
                <w:sz w:val="21"/>
                <w:szCs w:val="21"/>
              </w:rPr>
              <w:t>三级</w:t>
            </w:r>
            <w:r>
              <w:rPr>
                <w:rFonts w:hint="default" w:ascii="Times New Roman" w:hAnsi="Times New Roman" w:cs="Times New Roman"/>
                <w:color w:val="auto"/>
                <w:spacing w:val="0"/>
                <w:sz w:val="21"/>
                <w:szCs w:val="21"/>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4" w:hRule="atLeast"/>
          <w:jc w:val="center"/>
        </w:trPr>
        <w:tc>
          <w:tcPr>
            <w:tcW w:w="100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pacing w:val="0"/>
                <w:sz w:val="21"/>
                <w:szCs w:val="21"/>
              </w:rPr>
            </w:pPr>
          </w:p>
        </w:tc>
        <w:tc>
          <w:tcPr>
            <w:tcW w:w="1410" w:type="dxa"/>
            <w:vAlign w:val="center"/>
          </w:tcPr>
          <w:p>
            <w:pPr>
              <w:pStyle w:val="7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评价范围</w:t>
            </w:r>
          </w:p>
        </w:tc>
        <w:tc>
          <w:tcPr>
            <w:tcW w:w="6563" w:type="dxa"/>
            <w:gridSpan w:val="10"/>
            <w:vAlign w:val="center"/>
          </w:tcPr>
          <w:p>
            <w:pPr>
              <w:pStyle w:val="79"/>
              <w:keepNext w:val="0"/>
              <w:keepLines w:val="0"/>
              <w:pageBreakBefore w:val="0"/>
              <w:widowControl w:val="0"/>
              <w:tabs>
                <w:tab w:val="left" w:pos="2384"/>
                <w:tab w:val="left" w:pos="5315"/>
              </w:tabs>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pacing w:val="0"/>
                <w:sz w:val="21"/>
                <w:szCs w:val="21"/>
              </w:rPr>
            </w:pPr>
            <w:r>
              <w:rPr>
                <w:rFonts w:hint="default" w:ascii="Times New Roman" w:hAnsi="Times New Roman" w:eastAsia="Times New Roman" w:cs="Times New Roman"/>
                <w:color w:val="auto"/>
                <w:spacing w:val="0"/>
                <w:sz w:val="21"/>
                <w:szCs w:val="21"/>
              </w:rPr>
              <w:t>200 m</w:t>
            </w:r>
            <w:r>
              <w:rPr>
                <w:rFonts w:hint="default" w:ascii="Times New Roman" w:hAnsi="Times New Roman" w:cs="Times New Roman"/>
                <w:color w:val="auto"/>
                <w:spacing w:val="0"/>
                <w:sz w:val="21"/>
                <w:szCs w:val="21"/>
              </w:rPr>
              <w:sym w:font="Wingdings 2" w:char="0052"/>
            </w:r>
            <w:r>
              <w:rPr>
                <w:rFonts w:hint="default" w:ascii="Times New Roman" w:hAnsi="Times New Roman" w:cs="Times New Roman"/>
                <w:color w:val="auto"/>
                <w:spacing w:val="0"/>
                <w:sz w:val="21"/>
                <w:szCs w:val="21"/>
                <w:lang w:val="en-US" w:eastAsia="zh-CN"/>
              </w:rPr>
              <w:t xml:space="preserve">     </w:t>
            </w:r>
            <w:r>
              <w:rPr>
                <w:rFonts w:hint="default" w:ascii="Times New Roman" w:hAnsi="Times New Roman" w:cs="Times New Roman"/>
                <w:color w:val="auto"/>
                <w:spacing w:val="0"/>
                <w:sz w:val="21"/>
                <w:szCs w:val="21"/>
              </w:rPr>
              <w:t xml:space="preserve">大于 </w:t>
            </w:r>
            <w:r>
              <w:rPr>
                <w:rFonts w:hint="default" w:ascii="Times New Roman" w:hAnsi="Times New Roman" w:eastAsia="Times New Roman" w:cs="Times New Roman"/>
                <w:color w:val="auto"/>
                <w:spacing w:val="0"/>
                <w:sz w:val="21"/>
                <w:szCs w:val="21"/>
              </w:rPr>
              <w:t>200 m</w:t>
            </w:r>
            <w:r>
              <w:rPr>
                <w:rFonts w:hint="default" w:ascii="Times New Roman" w:hAnsi="Times New Roman" w:cs="Times New Roman"/>
                <w:color w:val="auto"/>
                <w:spacing w:val="0"/>
                <w:sz w:val="21"/>
                <w:szCs w:val="21"/>
              </w:rPr>
              <w:sym w:font="Wingdings 2" w:char="00A3"/>
            </w:r>
            <w:r>
              <w:rPr>
                <w:rFonts w:hint="default" w:ascii="Times New Roman" w:hAnsi="Times New Roman" w:cs="Times New Roman"/>
                <w:color w:val="auto"/>
                <w:spacing w:val="0"/>
                <w:sz w:val="21"/>
                <w:szCs w:val="21"/>
                <w:lang w:val="en-US" w:eastAsia="zh-CN"/>
              </w:rPr>
              <w:t xml:space="preserve">     </w:t>
            </w:r>
            <w:r>
              <w:rPr>
                <w:rFonts w:hint="default" w:ascii="Times New Roman" w:hAnsi="Times New Roman" w:cs="Times New Roman"/>
                <w:color w:val="auto"/>
                <w:spacing w:val="0"/>
                <w:sz w:val="21"/>
                <w:szCs w:val="21"/>
              </w:rPr>
              <w:t xml:space="preserve">小于 </w:t>
            </w:r>
            <w:r>
              <w:rPr>
                <w:rFonts w:hint="default" w:ascii="Times New Roman" w:hAnsi="Times New Roman" w:eastAsia="Times New Roman" w:cs="Times New Roman"/>
                <w:color w:val="auto"/>
                <w:spacing w:val="0"/>
                <w:sz w:val="21"/>
                <w:szCs w:val="21"/>
              </w:rPr>
              <w:t>200 m</w:t>
            </w:r>
            <w:r>
              <w:rPr>
                <w:rFonts w:hint="default" w:ascii="Times New Roman" w:hAnsi="Times New Roman" w:cs="Times New Roman"/>
                <w:color w:val="auto"/>
                <w:spacing w:val="0"/>
                <w:sz w:val="21"/>
                <w:szCs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2" w:hRule="atLeast"/>
          <w:jc w:val="center"/>
        </w:trPr>
        <w:tc>
          <w:tcPr>
            <w:tcW w:w="1001" w:type="dxa"/>
            <w:vAlign w:val="center"/>
          </w:tcPr>
          <w:p>
            <w:pPr>
              <w:pStyle w:val="7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评价因子</w:t>
            </w:r>
          </w:p>
        </w:tc>
        <w:tc>
          <w:tcPr>
            <w:tcW w:w="1410" w:type="dxa"/>
            <w:vAlign w:val="center"/>
          </w:tcPr>
          <w:p>
            <w:pPr>
              <w:pStyle w:val="7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评价因子</w:t>
            </w:r>
          </w:p>
        </w:tc>
        <w:tc>
          <w:tcPr>
            <w:tcW w:w="1953" w:type="dxa"/>
            <w:gridSpan w:val="3"/>
            <w:vAlign w:val="center"/>
          </w:tcPr>
          <w:p>
            <w:pPr>
              <w:pStyle w:val="7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 xml:space="preserve">等效连续 </w:t>
            </w:r>
            <w:r>
              <w:rPr>
                <w:rFonts w:hint="default" w:ascii="Times New Roman" w:hAnsi="Times New Roman" w:eastAsia="Times New Roman" w:cs="Times New Roman"/>
                <w:color w:val="auto"/>
                <w:spacing w:val="0"/>
                <w:sz w:val="21"/>
                <w:szCs w:val="21"/>
              </w:rPr>
              <w:t xml:space="preserve">A </w:t>
            </w:r>
            <w:r>
              <w:rPr>
                <w:rFonts w:hint="default" w:ascii="Times New Roman" w:hAnsi="Times New Roman" w:cs="Times New Roman"/>
                <w:color w:val="auto"/>
                <w:spacing w:val="0"/>
                <w:sz w:val="21"/>
                <w:szCs w:val="21"/>
              </w:rPr>
              <w:t>声级</w:t>
            </w:r>
            <w:r>
              <w:rPr>
                <w:rFonts w:hint="default" w:ascii="Times New Roman" w:hAnsi="Times New Roman" w:cs="Times New Roman"/>
                <w:color w:val="auto"/>
                <w:spacing w:val="0"/>
                <w:sz w:val="21"/>
                <w:szCs w:val="21"/>
              </w:rPr>
              <w:sym w:font="Wingdings 2" w:char="00A3"/>
            </w:r>
          </w:p>
        </w:tc>
        <w:tc>
          <w:tcPr>
            <w:tcW w:w="1981" w:type="dxa"/>
            <w:gridSpan w:val="3"/>
            <w:vAlign w:val="center"/>
          </w:tcPr>
          <w:p>
            <w:pPr>
              <w:pStyle w:val="7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 xml:space="preserve">最大 </w:t>
            </w:r>
            <w:r>
              <w:rPr>
                <w:rFonts w:hint="default" w:ascii="Times New Roman" w:hAnsi="Times New Roman" w:eastAsia="Times New Roman" w:cs="Times New Roman"/>
                <w:color w:val="auto"/>
                <w:spacing w:val="0"/>
                <w:sz w:val="21"/>
                <w:szCs w:val="21"/>
              </w:rPr>
              <w:t xml:space="preserve">A </w:t>
            </w:r>
            <w:r>
              <w:rPr>
                <w:rFonts w:hint="default" w:ascii="Times New Roman" w:hAnsi="Times New Roman" w:cs="Times New Roman"/>
                <w:color w:val="auto"/>
                <w:spacing w:val="0"/>
                <w:sz w:val="21"/>
                <w:szCs w:val="21"/>
              </w:rPr>
              <w:t>声级</w:t>
            </w:r>
            <w:r>
              <w:rPr>
                <w:rFonts w:hint="default" w:ascii="Times New Roman" w:hAnsi="Times New Roman" w:cs="Times New Roman"/>
                <w:color w:val="auto"/>
                <w:spacing w:val="0"/>
                <w:sz w:val="21"/>
                <w:szCs w:val="21"/>
              </w:rPr>
              <w:sym w:font="Wingdings 2" w:char="0052"/>
            </w:r>
          </w:p>
        </w:tc>
        <w:tc>
          <w:tcPr>
            <w:tcW w:w="2629" w:type="dxa"/>
            <w:gridSpan w:val="4"/>
            <w:vAlign w:val="center"/>
          </w:tcPr>
          <w:p>
            <w:pPr>
              <w:pStyle w:val="7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计权等效连续感觉噪声级</w:t>
            </w:r>
            <w:r>
              <w:rPr>
                <w:rFonts w:hint="default" w:ascii="Times New Roman" w:hAnsi="Times New Roman" w:cs="Times New Roman"/>
                <w:color w:val="auto"/>
                <w:spacing w:val="0"/>
                <w:sz w:val="21"/>
                <w:szCs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0" w:hRule="atLeast"/>
          <w:jc w:val="center"/>
        </w:trPr>
        <w:tc>
          <w:tcPr>
            <w:tcW w:w="1001" w:type="dxa"/>
            <w:vAlign w:val="center"/>
          </w:tcPr>
          <w:p>
            <w:pPr>
              <w:pStyle w:val="7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评价标准</w:t>
            </w:r>
          </w:p>
        </w:tc>
        <w:tc>
          <w:tcPr>
            <w:tcW w:w="1410" w:type="dxa"/>
            <w:vAlign w:val="center"/>
          </w:tcPr>
          <w:p>
            <w:pPr>
              <w:pStyle w:val="7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评价标准</w:t>
            </w:r>
          </w:p>
        </w:tc>
        <w:tc>
          <w:tcPr>
            <w:tcW w:w="1953" w:type="dxa"/>
            <w:gridSpan w:val="3"/>
            <w:vAlign w:val="center"/>
          </w:tcPr>
          <w:p>
            <w:pPr>
              <w:pStyle w:val="7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国家标准</w:t>
            </w:r>
            <w:r>
              <w:rPr>
                <w:rFonts w:hint="default" w:ascii="Times New Roman" w:hAnsi="Times New Roman" w:cs="Times New Roman"/>
                <w:color w:val="auto"/>
                <w:spacing w:val="0"/>
                <w:sz w:val="21"/>
                <w:szCs w:val="21"/>
              </w:rPr>
              <w:sym w:font="Wingdings 2" w:char="0052"/>
            </w:r>
          </w:p>
        </w:tc>
        <w:tc>
          <w:tcPr>
            <w:tcW w:w="1981" w:type="dxa"/>
            <w:gridSpan w:val="3"/>
            <w:vAlign w:val="center"/>
          </w:tcPr>
          <w:p>
            <w:pPr>
              <w:pStyle w:val="7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地方标准</w:t>
            </w:r>
            <w:r>
              <w:rPr>
                <w:rFonts w:hint="default" w:ascii="Times New Roman" w:hAnsi="Times New Roman" w:cs="Times New Roman"/>
                <w:color w:val="auto"/>
                <w:spacing w:val="0"/>
                <w:sz w:val="21"/>
                <w:szCs w:val="21"/>
              </w:rPr>
              <w:sym w:font="Wingdings 2" w:char="00A3"/>
            </w:r>
          </w:p>
        </w:tc>
        <w:tc>
          <w:tcPr>
            <w:tcW w:w="2629" w:type="dxa"/>
            <w:gridSpan w:val="4"/>
            <w:vAlign w:val="center"/>
          </w:tcPr>
          <w:p>
            <w:pPr>
              <w:pStyle w:val="7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国外标准</w:t>
            </w:r>
            <w:r>
              <w:rPr>
                <w:rFonts w:hint="default" w:ascii="Times New Roman" w:hAnsi="Times New Roman" w:cs="Times New Roman"/>
                <w:color w:val="auto"/>
                <w:spacing w:val="0"/>
                <w:sz w:val="21"/>
                <w:szCs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7" w:hRule="atLeast"/>
          <w:jc w:val="center"/>
        </w:trPr>
        <w:tc>
          <w:tcPr>
            <w:tcW w:w="1001" w:type="dxa"/>
            <w:vMerge w:val="restart"/>
            <w:vAlign w:val="center"/>
          </w:tcPr>
          <w:p>
            <w:pPr>
              <w:pStyle w:val="7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pacing w:val="0"/>
                <w:sz w:val="21"/>
                <w:szCs w:val="21"/>
              </w:rPr>
            </w:pPr>
          </w:p>
          <w:p>
            <w:pPr>
              <w:pStyle w:val="7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pacing w:val="0"/>
                <w:sz w:val="21"/>
                <w:szCs w:val="21"/>
              </w:rPr>
            </w:pPr>
          </w:p>
          <w:p>
            <w:pPr>
              <w:pStyle w:val="7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现状评价</w:t>
            </w:r>
          </w:p>
        </w:tc>
        <w:tc>
          <w:tcPr>
            <w:tcW w:w="1410" w:type="dxa"/>
            <w:vAlign w:val="center"/>
          </w:tcPr>
          <w:p>
            <w:pPr>
              <w:pStyle w:val="7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环境功能区</w:t>
            </w:r>
          </w:p>
        </w:tc>
        <w:tc>
          <w:tcPr>
            <w:tcW w:w="1090" w:type="dxa"/>
            <w:vAlign w:val="center"/>
          </w:tcPr>
          <w:p>
            <w:pPr>
              <w:pStyle w:val="7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pacing w:val="0"/>
                <w:sz w:val="21"/>
                <w:szCs w:val="21"/>
              </w:rPr>
            </w:pPr>
            <w:r>
              <w:rPr>
                <w:rFonts w:hint="default" w:ascii="Times New Roman" w:hAnsi="Times New Roman" w:eastAsia="Times New Roman" w:cs="Times New Roman"/>
                <w:color w:val="auto"/>
                <w:spacing w:val="0"/>
                <w:sz w:val="21"/>
                <w:szCs w:val="21"/>
              </w:rPr>
              <w:t xml:space="preserve">0 </w:t>
            </w:r>
            <w:r>
              <w:rPr>
                <w:rFonts w:hint="default" w:ascii="Times New Roman" w:hAnsi="Times New Roman" w:cs="Times New Roman"/>
                <w:color w:val="auto"/>
                <w:spacing w:val="0"/>
                <w:sz w:val="21"/>
                <w:szCs w:val="21"/>
              </w:rPr>
              <w:t>类区</w:t>
            </w:r>
            <w:r>
              <w:rPr>
                <w:rFonts w:hint="default" w:ascii="Times New Roman" w:hAnsi="Times New Roman" w:cs="Times New Roman"/>
                <w:color w:val="auto"/>
                <w:spacing w:val="0"/>
                <w:sz w:val="21"/>
                <w:szCs w:val="21"/>
              </w:rPr>
              <w:sym w:font="Wingdings 2" w:char="00A3"/>
            </w:r>
          </w:p>
        </w:tc>
        <w:tc>
          <w:tcPr>
            <w:tcW w:w="1097" w:type="dxa"/>
            <w:gridSpan w:val="3"/>
            <w:vAlign w:val="center"/>
          </w:tcPr>
          <w:p>
            <w:pPr>
              <w:pStyle w:val="7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pacing w:val="0"/>
                <w:sz w:val="21"/>
                <w:szCs w:val="21"/>
              </w:rPr>
            </w:pPr>
            <w:r>
              <w:rPr>
                <w:rFonts w:hint="default" w:ascii="Times New Roman" w:hAnsi="Times New Roman" w:eastAsia="Times New Roman" w:cs="Times New Roman"/>
                <w:color w:val="auto"/>
                <w:spacing w:val="0"/>
                <w:sz w:val="21"/>
                <w:szCs w:val="21"/>
              </w:rPr>
              <w:t xml:space="preserve">1 </w:t>
            </w:r>
            <w:r>
              <w:rPr>
                <w:rFonts w:hint="default" w:ascii="Times New Roman" w:hAnsi="Times New Roman" w:cs="Times New Roman"/>
                <w:color w:val="auto"/>
                <w:spacing w:val="0"/>
                <w:sz w:val="21"/>
                <w:szCs w:val="21"/>
              </w:rPr>
              <w:t>类区</w:t>
            </w:r>
            <w:r>
              <w:rPr>
                <w:rFonts w:hint="default" w:ascii="Times New Roman" w:hAnsi="Times New Roman" w:cs="Times New Roman"/>
                <w:color w:val="auto"/>
                <w:spacing w:val="0"/>
                <w:sz w:val="21"/>
                <w:szCs w:val="21"/>
              </w:rPr>
              <w:sym w:font="Wingdings 2" w:char="00A3"/>
            </w:r>
          </w:p>
        </w:tc>
        <w:tc>
          <w:tcPr>
            <w:tcW w:w="1069" w:type="dxa"/>
            <w:vAlign w:val="center"/>
          </w:tcPr>
          <w:p>
            <w:pPr>
              <w:pStyle w:val="7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pacing w:val="0"/>
                <w:sz w:val="21"/>
                <w:szCs w:val="21"/>
              </w:rPr>
            </w:pPr>
            <w:r>
              <w:rPr>
                <w:rFonts w:hint="default" w:ascii="Times New Roman" w:hAnsi="Times New Roman" w:eastAsia="Times New Roman" w:cs="Times New Roman"/>
                <w:color w:val="auto"/>
                <w:spacing w:val="0"/>
                <w:sz w:val="21"/>
                <w:szCs w:val="21"/>
              </w:rPr>
              <w:t xml:space="preserve">2 </w:t>
            </w:r>
            <w:r>
              <w:rPr>
                <w:rFonts w:hint="default" w:ascii="Times New Roman" w:hAnsi="Times New Roman" w:cs="Times New Roman"/>
                <w:color w:val="auto"/>
                <w:spacing w:val="0"/>
                <w:sz w:val="21"/>
                <w:szCs w:val="21"/>
              </w:rPr>
              <w:t>类区</w:t>
            </w:r>
            <w:r>
              <w:rPr>
                <w:rFonts w:hint="default" w:ascii="Times New Roman" w:hAnsi="Times New Roman" w:cs="Times New Roman"/>
                <w:color w:val="auto"/>
                <w:spacing w:val="0"/>
                <w:sz w:val="21"/>
                <w:szCs w:val="21"/>
              </w:rPr>
              <w:sym w:font="Wingdings 2" w:char="00A3"/>
            </w:r>
          </w:p>
        </w:tc>
        <w:tc>
          <w:tcPr>
            <w:tcW w:w="1123" w:type="dxa"/>
            <w:gridSpan w:val="2"/>
            <w:vAlign w:val="center"/>
          </w:tcPr>
          <w:p>
            <w:pPr>
              <w:pStyle w:val="7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pacing w:val="0"/>
                <w:sz w:val="21"/>
                <w:szCs w:val="21"/>
              </w:rPr>
            </w:pPr>
            <w:r>
              <w:rPr>
                <w:rFonts w:hint="default" w:ascii="Times New Roman" w:hAnsi="Times New Roman" w:eastAsia="Times New Roman" w:cs="Times New Roman"/>
                <w:color w:val="auto"/>
                <w:spacing w:val="0"/>
                <w:sz w:val="21"/>
                <w:szCs w:val="21"/>
              </w:rPr>
              <w:t xml:space="preserve">3 </w:t>
            </w:r>
            <w:r>
              <w:rPr>
                <w:rFonts w:hint="default" w:ascii="Times New Roman" w:hAnsi="Times New Roman" w:cs="Times New Roman"/>
                <w:color w:val="auto"/>
                <w:spacing w:val="0"/>
                <w:sz w:val="21"/>
                <w:szCs w:val="21"/>
              </w:rPr>
              <w:t>类区</w:t>
            </w:r>
            <w:r>
              <w:rPr>
                <w:rFonts w:hint="default" w:ascii="Times New Roman" w:hAnsi="Times New Roman" w:cs="Times New Roman"/>
                <w:color w:val="auto"/>
                <w:spacing w:val="0"/>
                <w:sz w:val="21"/>
                <w:szCs w:val="21"/>
              </w:rPr>
              <w:sym w:font="Wingdings 2" w:char="0052"/>
            </w:r>
          </w:p>
        </w:tc>
        <w:tc>
          <w:tcPr>
            <w:tcW w:w="1057" w:type="dxa"/>
            <w:gridSpan w:val="2"/>
            <w:vAlign w:val="center"/>
          </w:tcPr>
          <w:p>
            <w:pPr>
              <w:pStyle w:val="7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pacing w:val="0"/>
                <w:sz w:val="21"/>
                <w:szCs w:val="21"/>
              </w:rPr>
            </w:pPr>
            <w:r>
              <w:rPr>
                <w:rFonts w:hint="default" w:ascii="Times New Roman" w:hAnsi="Times New Roman" w:eastAsia="Times New Roman" w:cs="Times New Roman"/>
                <w:color w:val="auto"/>
                <w:spacing w:val="0"/>
                <w:sz w:val="21"/>
                <w:szCs w:val="21"/>
              </w:rPr>
              <w:t xml:space="preserve">4a </w:t>
            </w:r>
            <w:r>
              <w:rPr>
                <w:rFonts w:hint="default" w:ascii="Times New Roman" w:hAnsi="Times New Roman" w:cs="Times New Roman"/>
                <w:color w:val="auto"/>
                <w:spacing w:val="0"/>
                <w:sz w:val="21"/>
                <w:szCs w:val="21"/>
              </w:rPr>
              <w:t>类区</w:t>
            </w:r>
            <w:r>
              <w:rPr>
                <w:rFonts w:hint="default" w:ascii="Times New Roman" w:hAnsi="Times New Roman" w:cs="Times New Roman"/>
                <w:color w:val="auto"/>
                <w:spacing w:val="0"/>
                <w:sz w:val="21"/>
                <w:szCs w:val="21"/>
              </w:rPr>
              <w:sym w:font="Wingdings 2" w:char="00A3"/>
            </w:r>
          </w:p>
        </w:tc>
        <w:tc>
          <w:tcPr>
            <w:tcW w:w="1127" w:type="dxa"/>
            <w:vAlign w:val="center"/>
          </w:tcPr>
          <w:p>
            <w:pPr>
              <w:pStyle w:val="7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pacing w:val="0"/>
                <w:sz w:val="21"/>
                <w:szCs w:val="21"/>
              </w:rPr>
            </w:pPr>
            <w:r>
              <w:rPr>
                <w:rFonts w:hint="default" w:ascii="Times New Roman" w:hAnsi="Times New Roman" w:eastAsia="Times New Roman" w:cs="Times New Roman"/>
                <w:color w:val="auto"/>
                <w:spacing w:val="0"/>
                <w:sz w:val="21"/>
                <w:szCs w:val="21"/>
              </w:rPr>
              <w:t xml:space="preserve">4b </w:t>
            </w:r>
            <w:r>
              <w:rPr>
                <w:rFonts w:hint="default" w:ascii="Times New Roman" w:hAnsi="Times New Roman" w:cs="Times New Roman"/>
                <w:color w:val="auto"/>
                <w:spacing w:val="0"/>
                <w:sz w:val="21"/>
                <w:szCs w:val="21"/>
              </w:rPr>
              <w:t>类区</w:t>
            </w:r>
            <w:r>
              <w:rPr>
                <w:rFonts w:hint="default" w:ascii="Times New Roman" w:hAnsi="Times New Roman" w:cs="Times New Roman"/>
                <w:color w:val="auto"/>
                <w:spacing w:val="0"/>
                <w:sz w:val="21"/>
                <w:szCs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4" w:hRule="atLeast"/>
          <w:jc w:val="center"/>
        </w:trPr>
        <w:tc>
          <w:tcPr>
            <w:tcW w:w="100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pacing w:val="0"/>
                <w:sz w:val="21"/>
                <w:szCs w:val="21"/>
              </w:rPr>
            </w:pPr>
          </w:p>
        </w:tc>
        <w:tc>
          <w:tcPr>
            <w:tcW w:w="1410" w:type="dxa"/>
            <w:vAlign w:val="center"/>
          </w:tcPr>
          <w:p>
            <w:pPr>
              <w:pStyle w:val="7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评价年度</w:t>
            </w:r>
          </w:p>
        </w:tc>
        <w:tc>
          <w:tcPr>
            <w:tcW w:w="1638" w:type="dxa"/>
            <w:gridSpan w:val="2"/>
            <w:vAlign w:val="center"/>
          </w:tcPr>
          <w:p>
            <w:pPr>
              <w:pStyle w:val="7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初期</w:t>
            </w:r>
            <w:r>
              <w:rPr>
                <w:rFonts w:hint="default" w:ascii="Times New Roman" w:hAnsi="Times New Roman" w:cs="Times New Roman"/>
                <w:color w:val="auto"/>
                <w:spacing w:val="0"/>
                <w:sz w:val="21"/>
                <w:szCs w:val="21"/>
              </w:rPr>
              <w:sym w:font="Wingdings 2" w:char="0052"/>
            </w:r>
          </w:p>
        </w:tc>
        <w:tc>
          <w:tcPr>
            <w:tcW w:w="1618" w:type="dxa"/>
            <w:gridSpan w:val="3"/>
            <w:vAlign w:val="center"/>
          </w:tcPr>
          <w:p>
            <w:pPr>
              <w:pStyle w:val="7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近期</w:t>
            </w:r>
            <w:r>
              <w:rPr>
                <w:rFonts w:hint="default" w:ascii="Times New Roman" w:hAnsi="Times New Roman" w:cs="Times New Roman"/>
                <w:color w:val="auto"/>
                <w:spacing w:val="0"/>
                <w:sz w:val="21"/>
                <w:szCs w:val="21"/>
              </w:rPr>
              <w:sym w:font="Wingdings 2" w:char="00A3"/>
            </w:r>
          </w:p>
        </w:tc>
        <w:tc>
          <w:tcPr>
            <w:tcW w:w="1672" w:type="dxa"/>
            <w:gridSpan w:val="3"/>
            <w:vAlign w:val="center"/>
          </w:tcPr>
          <w:p>
            <w:pPr>
              <w:pStyle w:val="7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中期</w:t>
            </w:r>
            <w:r>
              <w:rPr>
                <w:rFonts w:hint="default" w:ascii="Times New Roman" w:hAnsi="Times New Roman" w:cs="Times New Roman"/>
                <w:color w:val="auto"/>
                <w:spacing w:val="0"/>
                <w:sz w:val="21"/>
                <w:szCs w:val="21"/>
              </w:rPr>
              <w:sym w:font="Wingdings 2" w:char="00A3"/>
            </w:r>
          </w:p>
        </w:tc>
        <w:tc>
          <w:tcPr>
            <w:tcW w:w="1635" w:type="dxa"/>
            <w:gridSpan w:val="2"/>
            <w:vAlign w:val="center"/>
          </w:tcPr>
          <w:p>
            <w:pPr>
              <w:pStyle w:val="7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远期</w:t>
            </w:r>
            <w:r>
              <w:rPr>
                <w:rFonts w:hint="default" w:ascii="Times New Roman" w:hAnsi="Times New Roman" w:cs="Times New Roman"/>
                <w:color w:val="auto"/>
                <w:spacing w:val="0"/>
                <w:sz w:val="21"/>
                <w:szCs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2" w:hRule="atLeast"/>
          <w:jc w:val="center"/>
        </w:trPr>
        <w:tc>
          <w:tcPr>
            <w:tcW w:w="100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pacing w:val="0"/>
                <w:sz w:val="21"/>
                <w:szCs w:val="21"/>
              </w:rPr>
            </w:pPr>
          </w:p>
        </w:tc>
        <w:tc>
          <w:tcPr>
            <w:tcW w:w="1410" w:type="dxa"/>
            <w:vAlign w:val="center"/>
          </w:tcPr>
          <w:p>
            <w:pPr>
              <w:pStyle w:val="7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现状调查方法</w:t>
            </w:r>
          </w:p>
        </w:tc>
        <w:tc>
          <w:tcPr>
            <w:tcW w:w="1953" w:type="dxa"/>
            <w:gridSpan w:val="3"/>
            <w:vAlign w:val="center"/>
          </w:tcPr>
          <w:p>
            <w:pPr>
              <w:pStyle w:val="7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现场实测法</w:t>
            </w:r>
            <w:r>
              <w:rPr>
                <w:rFonts w:hint="default" w:ascii="Times New Roman" w:hAnsi="Times New Roman" w:cs="Times New Roman"/>
                <w:color w:val="auto"/>
                <w:spacing w:val="0"/>
                <w:sz w:val="21"/>
                <w:szCs w:val="21"/>
              </w:rPr>
              <w:sym w:font="Wingdings 2" w:char="0052"/>
            </w:r>
          </w:p>
        </w:tc>
        <w:tc>
          <w:tcPr>
            <w:tcW w:w="2975" w:type="dxa"/>
            <w:gridSpan w:val="5"/>
            <w:vAlign w:val="center"/>
          </w:tcPr>
          <w:p>
            <w:pPr>
              <w:pStyle w:val="7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现场实测加模型计算法□</w:t>
            </w:r>
          </w:p>
        </w:tc>
        <w:tc>
          <w:tcPr>
            <w:tcW w:w="1635" w:type="dxa"/>
            <w:gridSpan w:val="2"/>
            <w:vAlign w:val="center"/>
          </w:tcPr>
          <w:p>
            <w:pPr>
              <w:pStyle w:val="7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收集资料□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4" w:hRule="atLeast"/>
          <w:jc w:val="center"/>
        </w:trPr>
        <w:tc>
          <w:tcPr>
            <w:tcW w:w="100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pacing w:val="0"/>
                <w:sz w:val="21"/>
                <w:szCs w:val="21"/>
              </w:rPr>
            </w:pPr>
          </w:p>
        </w:tc>
        <w:tc>
          <w:tcPr>
            <w:tcW w:w="1410" w:type="dxa"/>
            <w:vAlign w:val="center"/>
          </w:tcPr>
          <w:p>
            <w:pPr>
              <w:pStyle w:val="7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现状评价</w:t>
            </w:r>
          </w:p>
        </w:tc>
        <w:tc>
          <w:tcPr>
            <w:tcW w:w="1953" w:type="dxa"/>
            <w:gridSpan w:val="3"/>
            <w:vAlign w:val="center"/>
          </w:tcPr>
          <w:p>
            <w:pPr>
              <w:pStyle w:val="7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达标百分比</w:t>
            </w:r>
          </w:p>
        </w:tc>
        <w:tc>
          <w:tcPr>
            <w:tcW w:w="4610" w:type="dxa"/>
            <w:gridSpan w:val="7"/>
            <w:vAlign w:val="center"/>
          </w:tcPr>
          <w:p>
            <w:pPr>
              <w:pStyle w:val="7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pacing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4" w:hRule="atLeast"/>
          <w:jc w:val="center"/>
        </w:trPr>
        <w:tc>
          <w:tcPr>
            <w:tcW w:w="1001" w:type="dxa"/>
            <w:vAlign w:val="center"/>
          </w:tcPr>
          <w:p>
            <w:pPr>
              <w:pStyle w:val="7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噪声源调查</w:t>
            </w:r>
          </w:p>
        </w:tc>
        <w:tc>
          <w:tcPr>
            <w:tcW w:w="1410" w:type="dxa"/>
            <w:vAlign w:val="center"/>
          </w:tcPr>
          <w:p>
            <w:pPr>
              <w:pStyle w:val="7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噪声源调查方法</w:t>
            </w:r>
          </w:p>
        </w:tc>
        <w:tc>
          <w:tcPr>
            <w:tcW w:w="1953" w:type="dxa"/>
            <w:gridSpan w:val="3"/>
            <w:vAlign w:val="center"/>
          </w:tcPr>
          <w:p>
            <w:pPr>
              <w:pStyle w:val="7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现场实测</w:t>
            </w:r>
            <w:r>
              <w:rPr>
                <w:rFonts w:hint="default" w:ascii="Times New Roman" w:hAnsi="Times New Roman" w:cs="Times New Roman"/>
                <w:color w:val="auto"/>
                <w:spacing w:val="0"/>
                <w:sz w:val="21"/>
                <w:szCs w:val="21"/>
              </w:rPr>
              <w:sym w:font="Wingdings 2" w:char="0052"/>
            </w:r>
          </w:p>
        </w:tc>
        <w:tc>
          <w:tcPr>
            <w:tcW w:w="1981" w:type="dxa"/>
            <w:gridSpan w:val="3"/>
            <w:vAlign w:val="center"/>
          </w:tcPr>
          <w:p>
            <w:pPr>
              <w:pStyle w:val="7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已有资料</w:t>
            </w:r>
            <w:r>
              <w:rPr>
                <w:rFonts w:hint="default" w:ascii="Times New Roman" w:hAnsi="Times New Roman" w:cs="Times New Roman"/>
                <w:color w:val="auto"/>
                <w:spacing w:val="0"/>
                <w:sz w:val="21"/>
                <w:szCs w:val="21"/>
              </w:rPr>
              <w:sym w:font="Wingdings 2" w:char="00A3"/>
            </w:r>
          </w:p>
        </w:tc>
        <w:tc>
          <w:tcPr>
            <w:tcW w:w="2629" w:type="dxa"/>
            <w:gridSpan w:val="4"/>
            <w:vAlign w:val="center"/>
          </w:tcPr>
          <w:p>
            <w:pPr>
              <w:pStyle w:val="7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研究成果</w:t>
            </w:r>
            <w:r>
              <w:rPr>
                <w:rFonts w:hint="default" w:ascii="Times New Roman" w:hAnsi="Times New Roman" w:cs="Times New Roman"/>
                <w:color w:val="auto"/>
                <w:spacing w:val="0"/>
                <w:sz w:val="21"/>
                <w:szCs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8" w:hRule="atLeast"/>
          <w:jc w:val="center"/>
        </w:trPr>
        <w:tc>
          <w:tcPr>
            <w:tcW w:w="1001" w:type="dxa"/>
            <w:vMerge w:val="restart"/>
            <w:vAlign w:val="center"/>
          </w:tcPr>
          <w:p>
            <w:pPr>
              <w:pStyle w:val="7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pacing w:val="0"/>
                <w:sz w:val="21"/>
                <w:szCs w:val="21"/>
              </w:rPr>
            </w:pPr>
          </w:p>
          <w:p>
            <w:pPr>
              <w:pStyle w:val="7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pacing w:val="0"/>
                <w:sz w:val="21"/>
                <w:szCs w:val="21"/>
              </w:rPr>
            </w:pPr>
          </w:p>
          <w:p>
            <w:pPr>
              <w:pStyle w:val="7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pacing w:val="0"/>
                <w:sz w:val="21"/>
                <w:szCs w:val="21"/>
              </w:rPr>
            </w:pPr>
          </w:p>
          <w:p>
            <w:pPr>
              <w:pStyle w:val="7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声环境影响预测与评价</w:t>
            </w:r>
          </w:p>
        </w:tc>
        <w:tc>
          <w:tcPr>
            <w:tcW w:w="1410" w:type="dxa"/>
            <w:vAlign w:val="center"/>
          </w:tcPr>
          <w:p>
            <w:pPr>
              <w:pStyle w:val="7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预测模型</w:t>
            </w:r>
          </w:p>
        </w:tc>
        <w:tc>
          <w:tcPr>
            <w:tcW w:w="1953" w:type="dxa"/>
            <w:gridSpan w:val="3"/>
            <w:vAlign w:val="center"/>
          </w:tcPr>
          <w:p>
            <w:pPr>
              <w:pStyle w:val="7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导则推荐模型</w:t>
            </w:r>
            <w:r>
              <w:rPr>
                <w:rFonts w:hint="default" w:ascii="Times New Roman" w:hAnsi="Times New Roman" w:cs="Times New Roman"/>
                <w:color w:val="auto"/>
                <w:spacing w:val="0"/>
                <w:sz w:val="21"/>
                <w:szCs w:val="21"/>
              </w:rPr>
              <w:sym w:font="Wingdings 2" w:char="0052"/>
            </w:r>
          </w:p>
        </w:tc>
        <w:tc>
          <w:tcPr>
            <w:tcW w:w="4610" w:type="dxa"/>
            <w:gridSpan w:val="7"/>
            <w:vAlign w:val="center"/>
          </w:tcPr>
          <w:p>
            <w:pPr>
              <w:pStyle w:val="79"/>
              <w:keepNext w:val="0"/>
              <w:keepLines w:val="0"/>
              <w:pageBreakBefore w:val="0"/>
              <w:widowControl w:val="0"/>
              <w:tabs>
                <w:tab w:val="left" w:pos="1633"/>
              </w:tabs>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color w:val="auto"/>
                <w:spacing w:val="0"/>
                <w:sz w:val="21"/>
                <w:szCs w:val="21"/>
              </w:rPr>
            </w:pPr>
            <w:r>
              <w:rPr>
                <w:rFonts w:hint="default" w:ascii="Times New Roman" w:hAnsi="Times New Roman" w:cs="Times New Roman"/>
                <w:color w:val="auto"/>
                <w:spacing w:val="0"/>
                <w:sz w:val="21"/>
                <w:szCs w:val="21"/>
              </w:rPr>
              <w:t>其他</w:t>
            </w:r>
            <w:r>
              <w:rPr>
                <w:rFonts w:hint="default" w:ascii="Times New Roman" w:hAnsi="Times New Roman" w:cs="Times New Roman"/>
                <w:color w:val="auto"/>
                <w:spacing w:val="0"/>
                <w:sz w:val="21"/>
                <w:szCs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4" w:hRule="atLeast"/>
          <w:jc w:val="center"/>
        </w:trPr>
        <w:tc>
          <w:tcPr>
            <w:tcW w:w="100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pacing w:val="0"/>
                <w:sz w:val="21"/>
                <w:szCs w:val="21"/>
              </w:rPr>
            </w:pPr>
          </w:p>
        </w:tc>
        <w:tc>
          <w:tcPr>
            <w:tcW w:w="1410" w:type="dxa"/>
            <w:vAlign w:val="center"/>
          </w:tcPr>
          <w:p>
            <w:pPr>
              <w:pStyle w:val="7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预测范围</w:t>
            </w:r>
          </w:p>
        </w:tc>
        <w:tc>
          <w:tcPr>
            <w:tcW w:w="1953" w:type="dxa"/>
            <w:gridSpan w:val="3"/>
            <w:vAlign w:val="center"/>
          </w:tcPr>
          <w:p>
            <w:pPr>
              <w:pStyle w:val="7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200 m</w:t>
            </w:r>
            <w:r>
              <w:rPr>
                <w:rFonts w:hint="default" w:ascii="Times New Roman" w:hAnsi="Times New Roman" w:cs="Times New Roman"/>
                <w:color w:val="auto"/>
                <w:spacing w:val="0"/>
                <w:sz w:val="21"/>
                <w:szCs w:val="21"/>
              </w:rPr>
              <w:sym w:font="Wingdings 2" w:char="0052"/>
            </w:r>
          </w:p>
        </w:tc>
        <w:tc>
          <w:tcPr>
            <w:tcW w:w="1981" w:type="dxa"/>
            <w:gridSpan w:val="3"/>
            <w:vAlign w:val="center"/>
          </w:tcPr>
          <w:p>
            <w:pPr>
              <w:pStyle w:val="7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 xml:space="preserve">大于 </w:t>
            </w:r>
            <w:r>
              <w:rPr>
                <w:rFonts w:hint="default" w:ascii="Times New Roman" w:hAnsi="Times New Roman" w:eastAsia="Times New Roman" w:cs="Times New Roman"/>
                <w:color w:val="auto"/>
                <w:spacing w:val="0"/>
                <w:sz w:val="21"/>
                <w:szCs w:val="21"/>
              </w:rPr>
              <w:t>200 m</w:t>
            </w:r>
            <w:r>
              <w:rPr>
                <w:rFonts w:hint="default" w:ascii="Times New Roman" w:hAnsi="Times New Roman" w:cs="Times New Roman"/>
                <w:color w:val="auto"/>
                <w:spacing w:val="0"/>
                <w:sz w:val="21"/>
                <w:szCs w:val="21"/>
              </w:rPr>
              <w:t>□</w:t>
            </w:r>
          </w:p>
        </w:tc>
        <w:tc>
          <w:tcPr>
            <w:tcW w:w="2629" w:type="dxa"/>
            <w:gridSpan w:val="4"/>
            <w:vAlign w:val="center"/>
          </w:tcPr>
          <w:p>
            <w:pPr>
              <w:pStyle w:val="7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 xml:space="preserve">小于 </w:t>
            </w:r>
            <w:r>
              <w:rPr>
                <w:rFonts w:hint="default" w:ascii="Times New Roman" w:hAnsi="Times New Roman" w:eastAsia="Times New Roman" w:cs="Times New Roman"/>
                <w:color w:val="auto"/>
                <w:spacing w:val="0"/>
                <w:sz w:val="21"/>
                <w:szCs w:val="21"/>
              </w:rPr>
              <w:t>200 m</w:t>
            </w:r>
            <w:r>
              <w:rPr>
                <w:rFonts w:hint="default" w:ascii="Times New Roman" w:hAnsi="Times New Roman" w:cs="Times New Roman"/>
                <w:color w:val="auto"/>
                <w:spacing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4" w:hRule="atLeast"/>
          <w:jc w:val="center"/>
        </w:trPr>
        <w:tc>
          <w:tcPr>
            <w:tcW w:w="100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pacing w:val="0"/>
                <w:sz w:val="21"/>
                <w:szCs w:val="21"/>
              </w:rPr>
            </w:pPr>
          </w:p>
        </w:tc>
        <w:tc>
          <w:tcPr>
            <w:tcW w:w="1410" w:type="dxa"/>
            <w:vAlign w:val="center"/>
          </w:tcPr>
          <w:p>
            <w:pPr>
              <w:pStyle w:val="7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预测因子</w:t>
            </w:r>
          </w:p>
        </w:tc>
        <w:tc>
          <w:tcPr>
            <w:tcW w:w="1953" w:type="dxa"/>
            <w:gridSpan w:val="3"/>
            <w:vAlign w:val="center"/>
          </w:tcPr>
          <w:p>
            <w:pPr>
              <w:pStyle w:val="7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 xml:space="preserve">等效连续 </w:t>
            </w:r>
            <w:r>
              <w:rPr>
                <w:rFonts w:hint="default" w:ascii="Times New Roman" w:hAnsi="Times New Roman" w:eastAsia="Times New Roman" w:cs="Times New Roman"/>
                <w:color w:val="auto"/>
                <w:spacing w:val="0"/>
                <w:sz w:val="21"/>
                <w:szCs w:val="21"/>
              </w:rPr>
              <w:t xml:space="preserve">A </w:t>
            </w:r>
            <w:r>
              <w:rPr>
                <w:rFonts w:hint="default" w:ascii="Times New Roman" w:hAnsi="Times New Roman" w:cs="Times New Roman"/>
                <w:color w:val="auto"/>
                <w:spacing w:val="0"/>
                <w:sz w:val="21"/>
                <w:szCs w:val="21"/>
              </w:rPr>
              <w:t>声级</w:t>
            </w:r>
            <w:r>
              <w:rPr>
                <w:rFonts w:hint="default" w:ascii="Times New Roman" w:hAnsi="Times New Roman" w:cs="Times New Roman"/>
                <w:color w:val="auto"/>
                <w:spacing w:val="0"/>
                <w:sz w:val="21"/>
                <w:szCs w:val="21"/>
              </w:rPr>
              <w:sym w:font="Wingdings 2" w:char="0052"/>
            </w:r>
          </w:p>
        </w:tc>
        <w:tc>
          <w:tcPr>
            <w:tcW w:w="1981" w:type="dxa"/>
            <w:gridSpan w:val="3"/>
            <w:vAlign w:val="center"/>
          </w:tcPr>
          <w:p>
            <w:pPr>
              <w:pStyle w:val="7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 xml:space="preserve">最大 </w:t>
            </w:r>
            <w:r>
              <w:rPr>
                <w:rFonts w:hint="default" w:ascii="Times New Roman" w:hAnsi="Times New Roman" w:eastAsia="Times New Roman" w:cs="Times New Roman"/>
                <w:color w:val="auto"/>
                <w:spacing w:val="0"/>
                <w:sz w:val="21"/>
                <w:szCs w:val="21"/>
              </w:rPr>
              <w:t xml:space="preserve">A </w:t>
            </w:r>
            <w:r>
              <w:rPr>
                <w:rFonts w:hint="default" w:ascii="Times New Roman" w:hAnsi="Times New Roman" w:cs="Times New Roman"/>
                <w:color w:val="auto"/>
                <w:spacing w:val="0"/>
                <w:sz w:val="21"/>
                <w:szCs w:val="21"/>
              </w:rPr>
              <w:t>声级</w:t>
            </w:r>
            <w:r>
              <w:rPr>
                <w:rFonts w:hint="default" w:ascii="Times New Roman" w:hAnsi="Times New Roman" w:cs="Times New Roman"/>
                <w:color w:val="auto"/>
                <w:spacing w:val="0"/>
                <w:sz w:val="21"/>
                <w:szCs w:val="21"/>
              </w:rPr>
              <w:sym w:font="Wingdings 2" w:char="00A3"/>
            </w:r>
          </w:p>
        </w:tc>
        <w:tc>
          <w:tcPr>
            <w:tcW w:w="2629" w:type="dxa"/>
            <w:gridSpan w:val="4"/>
            <w:vAlign w:val="center"/>
          </w:tcPr>
          <w:p>
            <w:pPr>
              <w:pStyle w:val="7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计权等效连续感觉噪声级□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0" w:hRule="atLeast"/>
          <w:jc w:val="center"/>
        </w:trPr>
        <w:tc>
          <w:tcPr>
            <w:tcW w:w="100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pacing w:val="0"/>
                <w:sz w:val="21"/>
                <w:szCs w:val="21"/>
              </w:rPr>
            </w:pPr>
          </w:p>
        </w:tc>
        <w:tc>
          <w:tcPr>
            <w:tcW w:w="1410" w:type="dxa"/>
            <w:vAlign w:val="center"/>
          </w:tcPr>
          <w:p>
            <w:pPr>
              <w:pStyle w:val="7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厂界噪声贡献值</w:t>
            </w:r>
          </w:p>
        </w:tc>
        <w:tc>
          <w:tcPr>
            <w:tcW w:w="1953" w:type="dxa"/>
            <w:gridSpan w:val="3"/>
            <w:vAlign w:val="center"/>
          </w:tcPr>
          <w:p>
            <w:pPr>
              <w:pStyle w:val="7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 xml:space="preserve">达标 </w:t>
            </w:r>
            <w:r>
              <w:rPr>
                <w:rFonts w:hint="default" w:ascii="Times New Roman" w:hAnsi="Times New Roman" w:cs="Times New Roman"/>
                <w:color w:val="auto"/>
                <w:spacing w:val="0"/>
                <w:sz w:val="21"/>
                <w:szCs w:val="21"/>
              </w:rPr>
              <w:sym w:font="Wingdings 2" w:char="0052"/>
            </w:r>
          </w:p>
        </w:tc>
        <w:tc>
          <w:tcPr>
            <w:tcW w:w="4610" w:type="dxa"/>
            <w:gridSpan w:val="7"/>
            <w:vAlign w:val="center"/>
          </w:tcPr>
          <w:p>
            <w:pPr>
              <w:pStyle w:val="7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不达标</w:t>
            </w:r>
            <w:r>
              <w:rPr>
                <w:rFonts w:hint="default" w:ascii="Times New Roman" w:hAnsi="Times New Roman" w:cs="Times New Roman"/>
                <w:color w:val="auto"/>
                <w:spacing w:val="0"/>
                <w:sz w:val="21"/>
                <w:szCs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7" w:hRule="atLeast"/>
          <w:jc w:val="center"/>
        </w:trPr>
        <w:tc>
          <w:tcPr>
            <w:tcW w:w="100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pacing w:val="0"/>
                <w:sz w:val="21"/>
                <w:szCs w:val="21"/>
              </w:rPr>
            </w:pPr>
          </w:p>
        </w:tc>
        <w:tc>
          <w:tcPr>
            <w:tcW w:w="1410" w:type="dxa"/>
            <w:vAlign w:val="center"/>
          </w:tcPr>
          <w:p>
            <w:pPr>
              <w:pStyle w:val="7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声环境保护目标处噪声值</w:t>
            </w:r>
          </w:p>
        </w:tc>
        <w:tc>
          <w:tcPr>
            <w:tcW w:w="1953" w:type="dxa"/>
            <w:gridSpan w:val="3"/>
            <w:vAlign w:val="center"/>
          </w:tcPr>
          <w:p>
            <w:pPr>
              <w:pStyle w:val="7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达标</w:t>
            </w:r>
            <w:r>
              <w:rPr>
                <w:rFonts w:hint="default" w:ascii="Times New Roman" w:hAnsi="Times New Roman" w:cs="Times New Roman"/>
                <w:color w:val="auto"/>
                <w:spacing w:val="0"/>
                <w:sz w:val="21"/>
                <w:szCs w:val="21"/>
              </w:rPr>
              <w:sym w:font="Wingdings 2" w:char="00A3"/>
            </w:r>
          </w:p>
        </w:tc>
        <w:tc>
          <w:tcPr>
            <w:tcW w:w="4610" w:type="dxa"/>
            <w:gridSpan w:val="7"/>
            <w:vAlign w:val="center"/>
          </w:tcPr>
          <w:p>
            <w:pPr>
              <w:pStyle w:val="7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不达标</w:t>
            </w:r>
            <w:r>
              <w:rPr>
                <w:rFonts w:hint="default" w:ascii="Times New Roman" w:hAnsi="Times New Roman" w:cs="Times New Roman"/>
                <w:color w:val="auto"/>
                <w:spacing w:val="0"/>
                <w:sz w:val="21"/>
                <w:szCs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7" w:hRule="atLeast"/>
          <w:jc w:val="center"/>
        </w:trPr>
        <w:tc>
          <w:tcPr>
            <w:tcW w:w="1001" w:type="dxa"/>
            <w:vMerge w:val="restart"/>
            <w:vAlign w:val="center"/>
          </w:tcPr>
          <w:p>
            <w:pPr>
              <w:pStyle w:val="7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pacing w:val="0"/>
                <w:sz w:val="21"/>
                <w:szCs w:val="21"/>
              </w:rPr>
            </w:pPr>
          </w:p>
          <w:p>
            <w:pPr>
              <w:pStyle w:val="7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环境监测计划</w:t>
            </w:r>
          </w:p>
        </w:tc>
        <w:tc>
          <w:tcPr>
            <w:tcW w:w="1410" w:type="dxa"/>
            <w:vAlign w:val="center"/>
          </w:tcPr>
          <w:p>
            <w:pPr>
              <w:pStyle w:val="7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排放监测</w:t>
            </w:r>
          </w:p>
        </w:tc>
        <w:tc>
          <w:tcPr>
            <w:tcW w:w="3256" w:type="dxa"/>
            <w:gridSpan w:val="5"/>
            <w:vAlign w:val="center"/>
          </w:tcPr>
          <w:p>
            <w:pPr>
              <w:pStyle w:val="79"/>
              <w:keepNext w:val="0"/>
              <w:keepLines w:val="0"/>
              <w:pageBreakBefore w:val="0"/>
              <w:widowControl w:val="0"/>
              <w:tabs>
                <w:tab w:val="left" w:pos="1621"/>
              </w:tabs>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厂界监测</w:t>
            </w:r>
            <w:r>
              <w:rPr>
                <w:rFonts w:hint="default" w:ascii="Times New Roman" w:hAnsi="Times New Roman" w:cs="Times New Roman"/>
                <w:color w:val="auto"/>
                <w:spacing w:val="0"/>
                <w:sz w:val="21"/>
                <w:szCs w:val="21"/>
              </w:rPr>
              <w:sym w:font="Wingdings 2" w:char="0052"/>
            </w:r>
            <w:r>
              <w:rPr>
                <w:rFonts w:hint="default" w:ascii="Times New Roman" w:hAnsi="Times New Roman" w:cs="Times New Roman"/>
                <w:color w:val="auto"/>
                <w:spacing w:val="0"/>
                <w:sz w:val="21"/>
                <w:szCs w:val="21"/>
              </w:rPr>
              <w:tab/>
            </w:r>
            <w:r>
              <w:rPr>
                <w:rFonts w:hint="default" w:ascii="Times New Roman" w:hAnsi="Times New Roman" w:cs="Times New Roman"/>
                <w:color w:val="auto"/>
                <w:spacing w:val="0"/>
                <w:sz w:val="21"/>
                <w:szCs w:val="21"/>
              </w:rPr>
              <w:t>固定位置监测□</w:t>
            </w:r>
          </w:p>
        </w:tc>
        <w:tc>
          <w:tcPr>
            <w:tcW w:w="2180" w:type="dxa"/>
            <w:gridSpan w:val="4"/>
            <w:vAlign w:val="center"/>
          </w:tcPr>
          <w:p>
            <w:pPr>
              <w:pStyle w:val="7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自动监测□ 手动监测</w:t>
            </w:r>
            <w:r>
              <w:rPr>
                <w:rFonts w:hint="default" w:ascii="Times New Roman" w:hAnsi="Times New Roman" w:cs="Times New Roman"/>
                <w:color w:val="auto"/>
                <w:spacing w:val="0"/>
                <w:sz w:val="21"/>
                <w:szCs w:val="21"/>
              </w:rPr>
              <w:sym w:font="Wingdings 2" w:char="0052"/>
            </w:r>
          </w:p>
        </w:tc>
        <w:tc>
          <w:tcPr>
            <w:tcW w:w="1127" w:type="dxa"/>
            <w:vAlign w:val="center"/>
          </w:tcPr>
          <w:p>
            <w:pPr>
              <w:pStyle w:val="7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无监测□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8" w:hRule="atLeast"/>
          <w:jc w:val="center"/>
        </w:trPr>
        <w:tc>
          <w:tcPr>
            <w:tcW w:w="1001" w:type="dxa"/>
            <w:vMerge w:val="continue"/>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rFonts w:hint="default" w:ascii="Times New Roman" w:hAnsi="Times New Roman" w:cs="Times New Roman"/>
                <w:color w:val="auto"/>
                <w:spacing w:val="0"/>
                <w:sz w:val="21"/>
                <w:szCs w:val="21"/>
              </w:rPr>
            </w:pPr>
          </w:p>
        </w:tc>
        <w:tc>
          <w:tcPr>
            <w:tcW w:w="1410" w:type="dxa"/>
            <w:vAlign w:val="center"/>
          </w:tcPr>
          <w:p>
            <w:pPr>
              <w:pStyle w:val="7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声环境保护目标处噪声监测</w:t>
            </w:r>
          </w:p>
        </w:tc>
        <w:tc>
          <w:tcPr>
            <w:tcW w:w="3256" w:type="dxa"/>
            <w:gridSpan w:val="5"/>
            <w:vAlign w:val="center"/>
          </w:tcPr>
          <w:p>
            <w:pPr>
              <w:pStyle w:val="79"/>
              <w:keepNext w:val="0"/>
              <w:keepLines w:val="0"/>
              <w:pageBreakBefore w:val="0"/>
              <w:widowControl w:val="0"/>
              <w:tabs>
                <w:tab w:val="left" w:pos="2252"/>
              </w:tabs>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监测因子：（）</w:t>
            </w:r>
          </w:p>
        </w:tc>
        <w:tc>
          <w:tcPr>
            <w:tcW w:w="2180" w:type="dxa"/>
            <w:gridSpan w:val="4"/>
            <w:vAlign w:val="center"/>
          </w:tcPr>
          <w:p>
            <w:pPr>
              <w:pStyle w:val="79"/>
              <w:keepNext w:val="0"/>
              <w:keepLines w:val="0"/>
              <w:pageBreakBefore w:val="0"/>
              <w:widowControl w:val="0"/>
              <w:tabs>
                <w:tab w:val="left" w:pos="1735"/>
              </w:tabs>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监测点位数（）</w:t>
            </w:r>
          </w:p>
        </w:tc>
        <w:tc>
          <w:tcPr>
            <w:tcW w:w="1127" w:type="dxa"/>
            <w:vAlign w:val="center"/>
          </w:tcPr>
          <w:p>
            <w:pPr>
              <w:pStyle w:val="7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无监测</w:t>
            </w:r>
            <w:r>
              <w:rPr>
                <w:rFonts w:hint="default" w:ascii="Times New Roman" w:hAnsi="Times New Roman" w:cs="Times New Roman"/>
                <w:color w:val="auto"/>
                <w:spacing w:val="0"/>
                <w:sz w:val="21"/>
                <w:szCs w:val="21"/>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4" w:hRule="atLeast"/>
          <w:jc w:val="center"/>
        </w:trPr>
        <w:tc>
          <w:tcPr>
            <w:tcW w:w="1001" w:type="dxa"/>
          </w:tcPr>
          <w:p>
            <w:pPr>
              <w:pStyle w:val="7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评价结论</w:t>
            </w:r>
          </w:p>
        </w:tc>
        <w:tc>
          <w:tcPr>
            <w:tcW w:w="1410" w:type="dxa"/>
            <w:vAlign w:val="center"/>
          </w:tcPr>
          <w:p>
            <w:pPr>
              <w:pStyle w:val="7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环境影响</w:t>
            </w:r>
          </w:p>
        </w:tc>
        <w:tc>
          <w:tcPr>
            <w:tcW w:w="6563" w:type="dxa"/>
            <w:gridSpan w:val="10"/>
            <w:vAlign w:val="center"/>
          </w:tcPr>
          <w:p>
            <w:pPr>
              <w:pStyle w:val="79"/>
              <w:keepNext w:val="0"/>
              <w:keepLines w:val="0"/>
              <w:pageBreakBefore w:val="0"/>
              <w:widowControl w:val="0"/>
              <w:tabs>
                <w:tab w:val="left" w:pos="1202"/>
              </w:tabs>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可行</w:t>
            </w:r>
            <w:r>
              <w:rPr>
                <w:rFonts w:hint="default" w:ascii="Times New Roman" w:hAnsi="Times New Roman" w:cs="Times New Roman"/>
                <w:color w:val="auto"/>
                <w:spacing w:val="0"/>
                <w:sz w:val="21"/>
                <w:szCs w:val="21"/>
              </w:rPr>
              <w:sym w:font="Wingdings 2" w:char="0052"/>
            </w:r>
            <w:r>
              <w:rPr>
                <w:rFonts w:hint="default" w:ascii="Times New Roman" w:hAnsi="Times New Roman" w:cs="Times New Roman"/>
                <w:color w:val="auto"/>
                <w:spacing w:val="0"/>
                <w:sz w:val="21"/>
                <w:szCs w:val="21"/>
              </w:rPr>
              <w:tab/>
            </w:r>
            <w:r>
              <w:rPr>
                <w:rFonts w:hint="default" w:ascii="Times New Roman" w:hAnsi="Times New Roman" w:cs="Times New Roman"/>
                <w:color w:val="auto"/>
                <w:spacing w:val="0"/>
                <w:sz w:val="21"/>
                <w:szCs w:val="21"/>
              </w:rPr>
              <w:t>不可行□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6" w:hRule="atLeast"/>
          <w:jc w:val="center"/>
        </w:trPr>
        <w:tc>
          <w:tcPr>
            <w:tcW w:w="8974" w:type="dxa"/>
            <w:gridSpan w:val="12"/>
          </w:tcPr>
          <w:p>
            <w:pPr>
              <w:pStyle w:val="79"/>
              <w:keepNext w:val="0"/>
              <w:keepLines w:val="0"/>
              <w:pageBreakBefore w:val="0"/>
              <w:widowControl w:val="0"/>
              <w:tabs>
                <w:tab w:val="left" w:pos="3079"/>
              </w:tabs>
              <w:kinsoku/>
              <w:wordWrap/>
              <w:overflowPunct/>
              <w:topLinePunct w:val="0"/>
              <w:autoSpaceDE/>
              <w:autoSpaceDN/>
              <w:bidi w:val="0"/>
              <w:adjustRightInd/>
              <w:snapToGrid/>
              <w:spacing w:line="240" w:lineRule="auto"/>
              <w:ind w:left="0" w:right="0" w:firstLine="0" w:firstLineChars="0"/>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注：“□” 为勾选项 ，可√ ；“（</w:t>
            </w:r>
            <w:r>
              <w:rPr>
                <w:rFonts w:hint="default" w:ascii="Times New Roman" w:hAnsi="Times New Roman" w:cs="Times New Roman"/>
                <w:color w:val="auto"/>
                <w:spacing w:val="0"/>
                <w:sz w:val="21"/>
                <w:szCs w:val="21"/>
              </w:rPr>
              <w:tab/>
            </w:r>
            <w:r>
              <w:rPr>
                <w:rFonts w:hint="default" w:ascii="Times New Roman" w:hAnsi="Times New Roman" w:cs="Times New Roman"/>
                <w:color w:val="auto"/>
                <w:spacing w:val="0"/>
                <w:sz w:val="21"/>
                <w:szCs w:val="21"/>
              </w:rPr>
              <w:t>）” 为内容填写项。</w:t>
            </w:r>
          </w:p>
        </w:tc>
      </w:tr>
    </w:tbl>
    <w:p>
      <w:pPr>
        <w:pStyle w:val="6"/>
        <w:keepNext/>
        <w:keepLines/>
        <w:pageBreakBefore w:val="0"/>
        <w:widowControl w:val="0"/>
        <w:kinsoku/>
        <w:wordWrap/>
        <w:overflowPunct/>
        <w:topLinePunct w:val="0"/>
        <w:autoSpaceDE/>
        <w:autoSpaceDN/>
        <w:bidi w:val="0"/>
        <w:adjustRightInd/>
        <w:snapToGrid/>
        <w:spacing w:before="157" w:beforeLines="50" w:after="0" w:line="360" w:lineRule="auto"/>
        <w:textAlignment w:val="auto"/>
        <w:rPr>
          <w:rFonts w:hint="default" w:ascii="Times New Roman" w:hAnsi="Times New Roman" w:cs="Times New Roman"/>
          <w:color w:val="auto"/>
          <w:szCs w:val="28"/>
        </w:rPr>
      </w:pPr>
      <w:bookmarkStart w:id="908" w:name="_Toc32743"/>
      <w:bookmarkStart w:id="909" w:name="_Toc17609"/>
      <w:bookmarkStart w:id="910" w:name="_Toc287"/>
      <w:r>
        <w:rPr>
          <w:rFonts w:hint="default" w:ascii="Times New Roman" w:hAnsi="Times New Roman" w:cs="Times New Roman"/>
          <w:color w:val="auto"/>
          <w:szCs w:val="28"/>
          <w:lang w:val="en-US" w:eastAsia="zh-CN"/>
        </w:rPr>
        <w:t>5</w:t>
      </w:r>
      <w:r>
        <w:rPr>
          <w:rFonts w:hint="default" w:ascii="Times New Roman" w:hAnsi="Times New Roman" w:cs="Times New Roman"/>
          <w:color w:val="auto"/>
          <w:szCs w:val="28"/>
        </w:rPr>
        <w:t>.2.4运营期固体废物环境影响分析</w:t>
      </w:r>
      <w:bookmarkEnd w:id="908"/>
      <w:bookmarkEnd w:id="909"/>
      <w:bookmarkEnd w:id="910"/>
    </w:p>
    <w:p>
      <w:pPr>
        <w:pStyle w:val="172"/>
        <w:spacing w:line="360" w:lineRule="auto"/>
        <w:ind w:firstLine="482"/>
        <w:rPr>
          <w:rFonts w:hint="default" w:ascii="Times New Roman" w:hAnsi="Times New Roman" w:cs="Times New Roman"/>
          <w:b/>
          <w:color w:val="auto"/>
        </w:rPr>
      </w:pPr>
      <w:r>
        <w:rPr>
          <w:rFonts w:hint="default" w:ascii="Times New Roman" w:hAnsi="Times New Roman" w:cs="Times New Roman"/>
          <w:b/>
          <w:color w:val="auto"/>
        </w:rPr>
        <w:t>1、固废产排情况</w:t>
      </w:r>
    </w:p>
    <w:p>
      <w:pPr>
        <w:pStyle w:val="5"/>
        <w:spacing w:line="360" w:lineRule="auto"/>
        <w:ind w:left="0" w:leftChars="0" w:firstLine="480" w:firstLineChars="200"/>
        <w:jc w:val="both"/>
        <w:rPr>
          <w:rFonts w:hint="default" w:ascii="Times New Roman" w:hAnsi="Times New Roman" w:cs="Times New Roman"/>
          <w:color w:val="auto"/>
          <w:lang w:eastAsia="zh-CN"/>
        </w:rPr>
      </w:pPr>
      <w:r>
        <w:rPr>
          <w:rFonts w:hint="default" w:ascii="Times New Roman" w:hAnsi="Times New Roman" w:cs="Times New Roman"/>
          <w:color w:val="auto"/>
          <w:lang w:eastAsia="zh-CN"/>
        </w:rPr>
        <w:t>项目产生的固废分为危险废物、一般工业固废和生活垃圾。</w:t>
      </w:r>
    </w:p>
    <w:p>
      <w:pPr>
        <w:pStyle w:val="5"/>
        <w:spacing w:line="360" w:lineRule="auto"/>
        <w:ind w:left="0" w:leftChars="0" w:firstLine="480" w:firstLineChars="200"/>
        <w:jc w:val="both"/>
        <w:rPr>
          <w:rFonts w:hint="default" w:ascii="Times New Roman" w:hAnsi="Times New Roman" w:cs="Times New Roman"/>
          <w:snapToGrid w:val="0"/>
          <w:color w:val="auto"/>
        </w:rPr>
      </w:pPr>
      <w:r>
        <w:rPr>
          <w:rFonts w:hint="default" w:ascii="Times New Roman" w:hAnsi="Times New Roman" w:cs="Times New Roman"/>
          <w:color w:val="auto"/>
          <w:lang w:eastAsia="zh-CN"/>
        </w:rPr>
        <w:t>危险废物包括废胶和废活性炭，收集后暂存在危废库</w:t>
      </w:r>
      <w:r>
        <w:rPr>
          <w:rFonts w:hint="default" w:ascii="Times New Roman" w:hAnsi="Times New Roman" w:cs="Times New Roman"/>
          <w:color w:val="auto"/>
          <w:lang w:val="en-US" w:eastAsia="zh-CN"/>
        </w:rPr>
        <w:t>内，由有危废处置资质的单位进行处置；一般工业固废包括废金刚线、压滤硅泥、废切片、废包装及容器、废反渗透膜和废离子交换树脂，废金刚线、废包装及容器暂存在硅泥库，委托废旧资源回收公司回收综合利用；压滤硅泥</w:t>
      </w:r>
      <w:r>
        <w:rPr>
          <w:rFonts w:hint="default" w:ascii="Times New Roman" w:hAnsi="Times New Roman" w:cs="Times New Roman"/>
          <w:color w:val="auto"/>
          <w:kern w:val="44"/>
        </w:rPr>
        <w:t>暂存在</w:t>
      </w:r>
      <w:r>
        <w:rPr>
          <w:rFonts w:hint="default" w:ascii="Times New Roman" w:hAnsi="Times New Roman" w:cs="Times New Roman"/>
          <w:color w:val="auto"/>
          <w:kern w:val="44"/>
          <w:lang w:eastAsia="zh-CN"/>
        </w:rPr>
        <w:t>硅泥库内</w:t>
      </w:r>
      <w:r>
        <w:rPr>
          <w:rFonts w:hint="default" w:ascii="Times New Roman" w:hAnsi="Times New Roman" w:cs="Times New Roman"/>
          <w:color w:val="auto"/>
          <w:kern w:val="44"/>
        </w:rPr>
        <w:t>，</w:t>
      </w:r>
      <w:r>
        <w:rPr>
          <w:rFonts w:hint="default" w:ascii="Times New Roman" w:hAnsi="Times New Roman" w:cs="Times New Roman"/>
          <w:color w:val="auto"/>
          <w:lang w:eastAsia="zh-CN"/>
        </w:rPr>
        <w:t>外售给工业硅生产企业；废切片破碎后回用于生产</w:t>
      </w:r>
      <w:r>
        <w:rPr>
          <w:rFonts w:hint="default" w:ascii="Times New Roman" w:hAnsi="Times New Roman" w:cs="Times New Roman"/>
          <w:snapToGrid w:val="0"/>
          <w:color w:val="auto"/>
          <w:szCs w:val="20"/>
          <w:lang w:eastAsia="zh-CN"/>
        </w:rPr>
        <w:t>；</w:t>
      </w:r>
      <w:r>
        <w:rPr>
          <w:rFonts w:hint="default" w:ascii="Times New Roman" w:hAnsi="Times New Roman" w:cs="Times New Roman"/>
          <w:color w:val="auto"/>
          <w:lang w:val="en-US" w:eastAsia="zh-CN"/>
        </w:rPr>
        <w:t>废反渗透膜和废离子交换树脂</w:t>
      </w:r>
      <w:r>
        <w:rPr>
          <w:rFonts w:hint="default" w:ascii="Times New Roman" w:hAnsi="Times New Roman" w:cs="Times New Roman"/>
          <w:color w:val="auto"/>
          <w:kern w:val="44"/>
          <w:lang w:val="en-US" w:eastAsia="zh-CN"/>
        </w:rPr>
        <w:t>由生产厂家上门回收再生处理；综合污水处理站污泥需进行固废属性鉴别，若</w:t>
      </w:r>
      <w:r>
        <w:rPr>
          <w:rFonts w:hint="default" w:ascii="Times New Roman" w:hAnsi="Times New Roman" w:cs="Times New Roman"/>
          <w:color w:val="auto"/>
          <w:kern w:val="21"/>
          <w:lang w:bidi="ar"/>
        </w:rPr>
        <w:t>属于危险废物，则</w:t>
      </w:r>
      <w:r>
        <w:rPr>
          <w:rFonts w:hint="default" w:ascii="Times New Roman" w:hAnsi="Times New Roman" w:cs="Times New Roman"/>
          <w:color w:val="auto"/>
          <w:kern w:val="21"/>
          <w:lang w:eastAsia="zh-CN" w:bidi="ar"/>
        </w:rPr>
        <w:t>应</w:t>
      </w:r>
      <w:r>
        <w:rPr>
          <w:rFonts w:hint="default" w:ascii="Times New Roman" w:hAnsi="Times New Roman" w:cs="Times New Roman"/>
          <w:color w:val="auto"/>
          <w:kern w:val="21"/>
          <w:lang w:bidi="ar"/>
        </w:rPr>
        <w:t>委托有</w:t>
      </w:r>
      <w:r>
        <w:rPr>
          <w:rFonts w:hint="default" w:ascii="Times New Roman" w:hAnsi="Times New Roman" w:cs="Times New Roman"/>
          <w:color w:val="auto"/>
          <w:kern w:val="21"/>
          <w:lang w:eastAsia="zh-CN" w:bidi="ar"/>
        </w:rPr>
        <w:t>危废</w:t>
      </w:r>
      <w:r>
        <w:rPr>
          <w:rFonts w:hint="default" w:ascii="Times New Roman" w:hAnsi="Times New Roman" w:cs="Times New Roman"/>
          <w:color w:val="auto"/>
          <w:kern w:val="21"/>
          <w:lang w:bidi="ar"/>
        </w:rPr>
        <w:t>资质的单位处置</w:t>
      </w:r>
      <w:r>
        <w:rPr>
          <w:rFonts w:hint="default" w:ascii="Times New Roman" w:hAnsi="Times New Roman" w:cs="Times New Roman"/>
          <w:color w:val="auto"/>
          <w:kern w:val="21"/>
          <w:lang w:eastAsia="zh-CN" w:bidi="ar"/>
        </w:rPr>
        <w:t>，不属于危废则外售给污泥综合利用公司进行处置；生活垃圾</w:t>
      </w:r>
      <w:r>
        <w:rPr>
          <w:rFonts w:hint="default" w:ascii="Times New Roman" w:hAnsi="Times New Roman" w:cs="Times New Roman"/>
          <w:color w:val="auto"/>
        </w:rPr>
        <w:t>收集后交由环卫部门定期清运处置。</w:t>
      </w:r>
    </w:p>
    <w:p>
      <w:pPr>
        <w:pStyle w:val="172"/>
        <w:spacing w:line="360" w:lineRule="auto"/>
        <w:ind w:firstLine="482"/>
        <w:rPr>
          <w:rFonts w:hint="default" w:ascii="Times New Roman" w:hAnsi="Times New Roman" w:eastAsia="宋体" w:cs="Times New Roman"/>
          <w:b/>
          <w:color w:val="auto"/>
          <w:lang w:eastAsia="zh-CN"/>
        </w:rPr>
      </w:pPr>
      <w:r>
        <w:rPr>
          <w:rFonts w:hint="default" w:ascii="Times New Roman" w:hAnsi="Times New Roman" w:cs="Times New Roman"/>
          <w:b/>
          <w:color w:val="auto"/>
        </w:rPr>
        <w:t>2、一般</w:t>
      </w:r>
      <w:r>
        <w:rPr>
          <w:rFonts w:hint="default" w:ascii="Times New Roman" w:hAnsi="Times New Roman" w:cs="Times New Roman"/>
          <w:b/>
          <w:color w:val="auto"/>
          <w:lang w:eastAsia="zh-CN"/>
        </w:rPr>
        <w:t>工业</w:t>
      </w:r>
      <w:r>
        <w:rPr>
          <w:rFonts w:hint="default" w:ascii="Times New Roman" w:hAnsi="Times New Roman" w:cs="Times New Roman"/>
          <w:b/>
          <w:color w:val="auto"/>
        </w:rPr>
        <w:t>固废暂存</w:t>
      </w:r>
      <w:r>
        <w:rPr>
          <w:rFonts w:hint="default" w:ascii="Times New Roman" w:hAnsi="Times New Roman" w:cs="Times New Roman"/>
          <w:b/>
          <w:color w:val="auto"/>
          <w:lang w:eastAsia="zh-CN"/>
        </w:rPr>
        <w:t>要求</w:t>
      </w:r>
    </w:p>
    <w:p>
      <w:pPr>
        <w:spacing w:line="360" w:lineRule="auto"/>
        <w:ind w:firstLine="482"/>
        <w:rPr>
          <w:rFonts w:hint="default" w:ascii="Times New Roman" w:hAnsi="Times New Roman" w:cs="Times New Roman"/>
          <w:color w:val="auto"/>
          <w:kern w:val="0"/>
        </w:rPr>
      </w:pPr>
      <w:r>
        <w:rPr>
          <w:rFonts w:hint="default" w:ascii="Times New Roman" w:hAnsi="Times New Roman" w:cs="Times New Roman"/>
          <w:color w:val="auto"/>
          <w:kern w:val="0"/>
          <w:lang w:eastAsia="zh-CN"/>
        </w:rPr>
        <w:t>项目依托现状已建成的</w:t>
      </w:r>
      <w:r>
        <w:rPr>
          <w:rFonts w:hint="default" w:ascii="Times New Roman" w:hAnsi="Times New Roman" w:cs="Times New Roman"/>
          <w:color w:val="auto"/>
          <w:kern w:val="0"/>
        </w:rPr>
        <w:t>1栋</w:t>
      </w:r>
      <w:r>
        <w:rPr>
          <w:rFonts w:hint="default" w:ascii="Times New Roman" w:hAnsi="Times New Roman" w:cs="Times New Roman"/>
          <w:color w:val="auto"/>
          <w:kern w:val="0"/>
          <w:lang w:val="en-US" w:eastAsia="zh-CN"/>
        </w:rPr>
        <w:t>4874.36</w:t>
      </w:r>
      <w:r>
        <w:rPr>
          <w:rFonts w:hint="default" w:ascii="Times New Roman" w:hAnsi="Times New Roman" w:cs="Times New Roman"/>
          <w:color w:val="auto"/>
          <w:kern w:val="0"/>
        </w:rPr>
        <w:t>m</w:t>
      </w:r>
      <w:r>
        <w:rPr>
          <w:rFonts w:hint="default" w:ascii="Times New Roman" w:hAnsi="Times New Roman" w:cs="Times New Roman"/>
          <w:color w:val="auto"/>
          <w:kern w:val="0"/>
          <w:vertAlign w:val="superscript"/>
        </w:rPr>
        <w:t>2</w:t>
      </w:r>
      <w:r>
        <w:rPr>
          <w:rFonts w:hint="default" w:ascii="Times New Roman" w:hAnsi="Times New Roman" w:cs="Times New Roman"/>
          <w:color w:val="auto"/>
          <w:kern w:val="0"/>
        </w:rPr>
        <w:t>的</w:t>
      </w:r>
      <w:r>
        <w:rPr>
          <w:rFonts w:hint="default" w:ascii="Times New Roman" w:hAnsi="Times New Roman" w:cs="Times New Roman"/>
          <w:color w:val="auto"/>
          <w:kern w:val="0"/>
          <w:lang w:eastAsia="zh-CN"/>
        </w:rPr>
        <w:t>硅泥库暂存一般工业固废</w:t>
      </w:r>
      <w:r>
        <w:rPr>
          <w:rFonts w:hint="default" w:ascii="Times New Roman" w:hAnsi="Times New Roman" w:cs="Times New Roman"/>
          <w:color w:val="auto"/>
          <w:kern w:val="0"/>
        </w:rPr>
        <w:t>，</w:t>
      </w:r>
      <w:r>
        <w:rPr>
          <w:rFonts w:hint="default" w:ascii="Times New Roman" w:hAnsi="Times New Roman" w:cs="Times New Roman"/>
          <w:color w:val="auto"/>
          <w:kern w:val="0"/>
          <w:lang w:eastAsia="zh-CN"/>
        </w:rPr>
        <w:t>硅泥库为</w:t>
      </w:r>
      <w:r>
        <w:rPr>
          <w:rFonts w:hint="default" w:ascii="Times New Roman" w:hAnsi="Times New Roman" w:cs="Times New Roman"/>
          <w:color w:val="auto"/>
          <w:kern w:val="0"/>
        </w:rPr>
        <w:t>钢架结构，四面封闭</w:t>
      </w:r>
      <w:r>
        <w:rPr>
          <w:rFonts w:hint="default" w:ascii="Times New Roman" w:hAnsi="Times New Roman" w:cs="Times New Roman"/>
          <w:color w:val="auto"/>
          <w:kern w:val="0"/>
          <w:lang w:eastAsia="zh-CN"/>
        </w:rPr>
        <w:t>，根据现场查勘，硅泥库地面采用</w:t>
      </w:r>
      <w:r>
        <w:rPr>
          <w:rFonts w:hint="default" w:ascii="Times New Roman" w:hAnsi="Times New Roman" w:cs="Times New Roman"/>
          <w:color w:val="auto"/>
          <w:kern w:val="0"/>
          <w:lang w:val="en-US" w:eastAsia="zh-CN"/>
        </w:rPr>
        <w:t>C30</w:t>
      </w:r>
      <w:r>
        <w:rPr>
          <w:rFonts w:hint="default" w:ascii="Times New Roman" w:hAnsi="Times New Roman" w:cs="Times New Roman"/>
          <w:color w:val="auto"/>
          <w:kern w:val="0"/>
          <w:lang w:eastAsia="zh-CN"/>
        </w:rPr>
        <w:t>混凝土铺设</w:t>
      </w:r>
      <w:r>
        <w:rPr>
          <w:rFonts w:hint="default" w:ascii="Times New Roman" w:hAnsi="Times New Roman" w:cs="Times New Roman"/>
          <w:color w:val="auto"/>
          <w:kern w:val="0"/>
          <w:lang w:val="en-US" w:eastAsia="zh-CN"/>
        </w:rPr>
        <w:t>20cm，</w:t>
      </w:r>
      <w:r>
        <w:rPr>
          <w:rFonts w:hint="default" w:ascii="Times New Roman" w:hAnsi="Times New Roman" w:cs="Times New Roman"/>
          <w:color w:val="auto"/>
          <w:kern w:val="0"/>
          <w:lang w:eastAsia="zh-CN"/>
        </w:rPr>
        <w:t>可以满足本项目依托要求。环评提出以下控制要求</w:t>
      </w:r>
      <w:r>
        <w:rPr>
          <w:rFonts w:hint="default" w:ascii="Times New Roman" w:hAnsi="Times New Roman" w:cs="Times New Roman"/>
          <w:color w:val="auto"/>
          <w:kern w:val="0"/>
        </w:rPr>
        <w:t>：</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（1）一般固体废物储存区应按照《一般工业固体废物贮存和填埋污染控制标准》（GB18599-2020）的污染控制标准规范</w:t>
      </w:r>
      <w:r>
        <w:rPr>
          <w:rFonts w:hint="default" w:ascii="Times New Roman" w:hAnsi="Times New Roman" w:cs="Times New Roman"/>
          <w:color w:val="auto"/>
          <w:lang w:eastAsia="zh-CN"/>
        </w:rPr>
        <w:t>进行</w:t>
      </w:r>
      <w:r>
        <w:rPr>
          <w:rFonts w:hint="default" w:ascii="Times New Roman" w:hAnsi="Times New Roman" w:cs="Times New Roman"/>
          <w:color w:val="auto"/>
        </w:rPr>
        <w:t>维护使用；</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（2）固废临时储存设施应按其类别分别设废物临时储存区，各储存分区并设有明显的标记；</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（3）废物储存区应根据不同性质的进行分区堆放储存，并做好防渗、消防等防范措施，并立即进行清运，该存储区固体废弃物不得超过半年。</w:t>
      </w:r>
    </w:p>
    <w:p>
      <w:pPr>
        <w:spacing w:line="360" w:lineRule="auto"/>
        <w:ind w:firstLine="480" w:firstLineChars="200"/>
        <w:rPr>
          <w:rFonts w:hint="default" w:ascii="Times New Roman" w:hAnsi="Times New Roman" w:cs="Times New Roman"/>
          <w:color w:val="auto"/>
          <w:kern w:val="0"/>
        </w:rPr>
      </w:pPr>
      <w:r>
        <w:rPr>
          <w:rFonts w:hint="default" w:ascii="Times New Roman" w:hAnsi="Times New Roman" w:cs="Times New Roman"/>
          <w:color w:val="auto"/>
        </w:rPr>
        <w:t>（4）产生固体废弃物应</w:t>
      </w:r>
      <w:r>
        <w:rPr>
          <w:rFonts w:hint="default" w:ascii="Times New Roman" w:hAnsi="Times New Roman" w:cs="Times New Roman"/>
          <w:color w:val="auto"/>
          <w:lang w:eastAsia="zh-CN"/>
        </w:rPr>
        <w:t>立即转运至硅泥库暂存</w:t>
      </w:r>
      <w:r>
        <w:rPr>
          <w:rFonts w:hint="default" w:ascii="Times New Roman" w:hAnsi="Times New Roman" w:cs="Times New Roman"/>
          <w:color w:val="auto"/>
        </w:rPr>
        <w:t>，不得随意堆存产生二次污染。</w:t>
      </w:r>
    </w:p>
    <w:p>
      <w:pPr>
        <w:spacing w:line="360" w:lineRule="auto"/>
        <w:ind w:firstLine="482"/>
        <w:rPr>
          <w:rFonts w:hint="default" w:ascii="Times New Roman" w:hAnsi="Times New Roman" w:eastAsia="宋体" w:cs="Times New Roman"/>
          <w:b/>
          <w:color w:val="auto"/>
          <w:lang w:eastAsia="zh-CN"/>
        </w:rPr>
      </w:pPr>
      <w:r>
        <w:rPr>
          <w:rFonts w:hint="default" w:ascii="Times New Roman" w:hAnsi="Times New Roman" w:cs="Times New Roman"/>
          <w:b/>
          <w:color w:val="auto"/>
        </w:rPr>
        <w:t>3、</w:t>
      </w:r>
      <w:r>
        <w:rPr>
          <w:rFonts w:hint="default" w:ascii="Times New Roman" w:hAnsi="Times New Roman" w:cs="Times New Roman"/>
          <w:b/>
          <w:color w:val="auto"/>
          <w:lang w:eastAsia="zh-CN"/>
        </w:rPr>
        <w:t>危废库暂存要求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本项目产生的危险废物主要为废活性炭、废胶，</w:t>
      </w:r>
      <w:r>
        <w:rPr>
          <w:rFonts w:hint="default" w:ascii="Times New Roman" w:hAnsi="Times New Roman" w:cs="Times New Roman"/>
          <w:color w:val="auto"/>
          <w:lang w:eastAsia="zh-CN"/>
        </w:rPr>
        <w:t>暂存在危废库内，危废库占地面积</w:t>
      </w:r>
      <w:r>
        <w:rPr>
          <w:rFonts w:hint="default" w:ascii="Times New Roman" w:hAnsi="Times New Roman" w:cs="Times New Roman"/>
          <w:color w:val="auto"/>
          <w:lang w:val="en-US" w:eastAsia="zh-CN"/>
        </w:rPr>
        <w:t>345.56m</w:t>
      </w:r>
      <w:r>
        <w:rPr>
          <w:rFonts w:hint="default" w:ascii="Times New Roman" w:hAnsi="Times New Roman" w:cs="Times New Roman"/>
          <w:color w:val="auto"/>
          <w:vertAlign w:val="superscript"/>
          <w:lang w:val="en-US" w:eastAsia="zh-CN"/>
        </w:rPr>
        <w:t>2</w:t>
      </w:r>
      <w:r>
        <w:rPr>
          <w:rFonts w:hint="default" w:ascii="Times New Roman" w:hAnsi="Times New Roman" w:cs="Times New Roman"/>
          <w:color w:val="auto"/>
          <w:vertAlign w:val="baseline"/>
          <w:lang w:val="en-US" w:eastAsia="zh-CN"/>
        </w:rPr>
        <w:t>，地面采用C30混凝土铺设20cm，上铺环氧树脂，危废库周边设置有导流沟，可以满足本项目依托的需求</w:t>
      </w:r>
      <w:r>
        <w:rPr>
          <w:rFonts w:hint="default" w:ascii="Times New Roman" w:hAnsi="Times New Roman" w:cs="Times New Roman"/>
          <w:color w:val="auto"/>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本环评要求危险废物运输过程严格按照《危险废物收集、贮存、运输技术规范》（HJ2025）的要求进行运输，严格按照规定填写《危险废物转移联单》，并向危险废物移出地和接受地的县级以上地方人民政府生态环境主管部门报告。采取上述要求及措施后可减少运输过程对环境的影响。</w:t>
      </w:r>
    </w:p>
    <w:p>
      <w:pPr>
        <w:tabs>
          <w:tab w:val="left" w:pos="1848"/>
          <w:tab w:val="left" w:pos="6061"/>
          <w:tab w:val="left" w:pos="8665"/>
        </w:tabs>
        <w:adjustRightInd w:val="0"/>
        <w:snapToGrid w:val="0"/>
        <w:spacing w:line="360" w:lineRule="auto"/>
        <w:ind w:firstLine="480" w:firstLineChars="200"/>
        <w:rPr>
          <w:rFonts w:hint="default" w:ascii="Times New Roman" w:hAnsi="Times New Roman" w:cs="Times New Roman"/>
          <w:color w:val="auto"/>
          <w:szCs w:val="20"/>
        </w:rPr>
      </w:pPr>
      <w:r>
        <w:rPr>
          <w:rFonts w:hint="default" w:ascii="Times New Roman" w:hAnsi="Times New Roman" w:cs="Times New Roman"/>
          <w:color w:val="auto"/>
          <w:szCs w:val="20"/>
        </w:rPr>
        <w:t>在危废外运至处置单位时必须严格遵守以下要求：</w:t>
      </w:r>
    </w:p>
    <w:p>
      <w:pPr>
        <w:tabs>
          <w:tab w:val="left" w:pos="1848"/>
          <w:tab w:val="left" w:pos="6061"/>
          <w:tab w:val="left" w:pos="8665"/>
        </w:tabs>
        <w:adjustRightInd w:val="0"/>
        <w:snapToGrid w:val="0"/>
        <w:spacing w:line="360" w:lineRule="auto"/>
        <w:ind w:firstLine="480" w:firstLineChars="200"/>
        <w:rPr>
          <w:rFonts w:hint="default" w:ascii="Times New Roman" w:hAnsi="Times New Roman" w:cs="Times New Roman"/>
          <w:color w:val="auto"/>
          <w:szCs w:val="20"/>
        </w:rPr>
      </w:pPr>
      <w:r>
        <w:rPr>
          <w:rFonts w:hint="default" w:ascii="Times New Roman" w:hAnsi="Times New Roman" w:cs="Times New Roman"/>
          <w:color w:val="auto"/>
          <w:szCs w:val="20"/>
        </w:rPr>
        <w:t>（1）做好每次外运处置危废的运输登记，认真填写危险废物转移联单（每种废物填写一份联单），并加盖公司公章，经运输单位核实验收签字后，将联单第一联副联自留存档，将联单第二联交移出地环境保护行政主管部门，第三联及其余各联交付运输单位，随危险废物转移运行。第四联交接受单位，第五联交接受地生态环境局。</w:t>
      </w:r>
    </w:p>
    <w:p>
      <w:pPr>
        <w:tabs>
          <w:tab w:val="left" w:pos="1848"/>
          <w:tab w:val="left" w:pos="6061"/>
          <w:tab w:val="left" w:pos="8665"/>
        </w:tabs>
        <w:adjustRightInd w:val="0"/>
        <w:snapToGrid w:val="0"/>
        <w:spacing w:line="360" w:lineRule="auto"/>
        <w:ind w:firstLine="480" w:firstLineChars="200"/>
        <w:rPr>
          <w:rFonts w:hint="default" w:ascii="Times New Roman" w:hAnsi="Times New Roman" w:cs="Times New Roman"/>
          <w:color w:val="auto"/>
          <w:szCs w:val="20"/>
        </w:rPr>
      </w:pPr>
      <w:r>
        <w:rPr>
          <w:rFonts w:hint="default" w:ascii="Times New Roman" w:hAnsi="Times New Roman" w:cs="Times New Roman"/>
          <w:color w:val="auto"/>
          <w:szCs w:val="20"/>
        </w:rPr>
        <w:t>（2）危废处置单位的运输人员必须掌握危险化学品运输的安全知识，了解所运载的危险化学品的性质、危险特性、包装容器的使用特性和发生意外时的应急措施。运输车辆必须具有车辆危险货物运输许可证。</w:t>
      </w:r>
    </w:p>
    <w:p>
      <w:pPr>
        <w:tabs>
          <w:tab w:val="left" w:pos="1848"/>
          <w:tab w:val="left" w:pos="6061"/>
          <w:tab w:val="left" w:pos="8665"/>
        </w:tabs>
        <w:adjustRightInd w:val="0"/>
        <w:snapToGrid w:val="0"/>
        <w:spacing w:line="360" w:lineRule="auto"/>
        <w:ind w:firstLine="480" w:firstLineChars="200"/>
        <w:rPr>
          <w:rFonts w:hint="default" w:ascii="Times New Roman" w:hAnsi="Times New Roman" w:cs="Times New Roman"/>
          <w:color w:val="auto"/>
          <w:szCs w:val="20"/>
        </w:rPr>
      </w:pPr>
      <w:r>
        <w:rPr>
          <w:rFonts w:hint="default" w:ascii="Times New Roman" w:hAnsi="Times New Roman" w:cs="Times New Roman"/>
          <w:color w:val="auto"/>
          <w:szCs w:val="20"/>
        </w:rPr>
        <w:t>（3）处置单位在运输危废时必须配备押运人员，并随时处于押运人员的监管之下，不得超载，严格按照所在城市规定的行车时间和行车路线行驶，不得进入危险化学品运输车辆禁止通行的区域。</w:t>
      </w:r>
    </w:p>
    <w:p>
      <w:pPr>
        <w:tabs>
          <w:tab w:val="left" w:pos="1848"/>
          <w:tab w:val="left" w:pos="6061"/>
          <w:tab w:val="left" w:pos="8665"/>
        </w:tabs>
        <w:adjustRightInd w:val="0"/>
        <w:snapToGrid w:val="0"/>
        <w:spacing w:line="360" w:lineRule="auto"/>
        <w:ind w:firstLine="480" w:firstLineChars="200"/>
        <w:rPr>
          <w:rFonts w:hint="default" w:ascii="Times New Roman" w:hAnsi="Times New Roman" w:cs="Times New Roman"/>
          <w:color w:val="auto"/>
          <w:szCs w:val="20"/>
        </w:rPr>
      </w:pPr>
      <w:r>
        <w:rPr>
          <w:rFonts w:hint="default" w:ascii="Times New Roman" w:hAnsi="Times New Roman" w:cs="Times New Roman"/>
          <w:color w:val="auto"/>
          <w:szCs w:val="20"/>
        </w:rPr>
        <w:t>（4）危废在运输途中若发生被盗、丢失、流散、泄露等情况时，公司及押运人员必须立即向当地公安部门报告，并采取一切可能的警示措施。</w:t>
      </w:r>
    </w:p>
    <w:p>
      <w:pPr>
        <w:spacing w:line="360" w:lineRule="auto"/>
        <w:ind w:firstLine="480" w:firstLineChars="200"/>
        <w:rPr>
          <w:rFonts w:hint="default" w:ascii="Times New Roman" w:hAnsi="Times New Roman" w:cs="Times New Roman"/>
          <w:b/>
          <w:color w:val="auto"/>
        </w:rPr>
      </w:pPr>
      <w:r>
        <w:rPr>
          <w:rFonts w:hint="default" w:ascii="Times New Roman" w:hAnsi="Times New Roman" w:cs="Times New Roman"/>
          <w:color w:val="auto"/>
          <w:szCs w:val="20"/>
        </w:rPr>
        <w:t>（5）一旦发生危废泄露事故，公司和危废处置单位都应积极协助有关部门采取必要的防治措施，减少事故损失，防治事故蔓延、扩大；针对事故对人体、动植物、土壤、水源、空气造成的现实危害和可能产生的危害，应迅速采取封闭、隔离、洗消等措施，并对事故造成的危害进行监测、处置，直至符合国家环境保护标准。</w:t>
      </w:r>
    </w:p>
    <w:p>
      <w:pPr>
        <w:spacing w:line="360" w:lineRule="auto"/>
        <w:ind w:firstLine="482"/>
        <w:rPr>
          <w:rFonts w:hint="default" w:ascii="Times New Roman" w:hAnsi="Times New Roman" w:cs="Times New Roman"/>
          <w:b/>
          <w:color w:val="auto"/>
        </w:rPr>
      </w:pPr>
      <w:r>
        <w:rPr>
          <w:rFonts w:hint="default" w:ascii="Times New Roman" w:hAnsi="Times New Roman" w:cs="Times New Roman"/>
          <w:b/>
          <w:color w:val="auto"/>
        </w:rPr>
        <w:t>5、小结</w:t>
      </w:r>
    </w:p>
    <w:p>
      <w:pPr>
        <w:spacing w:line="360" w:lineRule="auto"/>
        <w:ind w:firstLine="482"/>
        <w:rPr>
          <w:rFonts w:hint="default" w:ascii="Times New Roman" w:hAnsi="Times New Roman" w:cs="Times New Roman"/>
          <w:color w:val="auto"/>
        </w:rPr>
      </w:pPr>
      <w:r>
        <w:rPr>
          <w:rFonts w:hint="default" w:ascii="Times New Roman" w:hAnsi="Times New Roman" w:cs="Times New Roman"/>
          <w:color w:val="auto"/>
          <w:lang w:val="zh-CN"/>
        </w:rPr>
        <w:t>本项目产生的一般固体废物均有合理有效的外运综合利用措施，去向明确，厂内暂存设施按照《</w:t>
      </w:r>
      <w:r>
        <w:rPr>
          <w:rFonts w:hint="default" w:ascii="Times New Roman" w:hAnsi="Times New Roman" w:cs="Times New Roman"/>
          <w:color w:val="auto"/>
        </w:rPr>
        <w:t>一般工业固体废物贮存和填埋污染控制标准</w:t>
      </w:r>
      <w:r>
        <w:rPr>
          <w:rFonts w:hint="default" w:ascii="Times New Roman" w:hAnsi="Times New Roman" w:cs="Times New Roman"/>
          <w:color w:val="auto"/>
          <w:lang w:val="zh-CN"/>
        </w:rPr>
        <w:t>》（GB18599-2020）的要求建设；项目产生的危险废物均外运有资质的危废处置单位进行安全处置，去向明确，厂内危废暂存场所基本按照《危险废物贮存污染控制标准》及修改单和《危险废物收集贮存运输技术规范》的要求建设。项目产生的生产固体废弃物固废均得到了可靠有效的处置措施，处置率达100%，对环境影响较小。</w:t>
      </w:r>
    </w:p>
    <w:p>
      <w:pPr>
        <w:pStyle w:val="6"/>
        <w:spacing w:before="0" w:after="0" w:line="360" w:lineRule="auto"/>
        <w:rPr>
          <w:rFonts w:hint="default" w:ascii="Times New Roman" w:hAnsi="Times New Roman" w:cs="Times New Roman"/>
          <w:color w:val="auto"/>
          <w:szCs w:val="28"/>
        </w:rPr>
      </w:pPr>
      <w:bookmarkStart w:id="911" w:name="_Toc11354"/>
      <w:r>
        <w:rPr>
          <w:rFonts w:hint="default" w:ascii="Times New Roman" w:hAnsi="Times New Roman" w:cs="Times New Roman"/>
          <w:color w:val="auto"/>
          <w:szCs w:val="28"/>
          <w:lang w:val="en-US" w:eastAsia="zh-CN"/>
        </w:rPr>
        <w:t>5</w:t>
      </w:r>
      <w:r>
        <w:rPr>
          <w:rFonts w:hint="default" w:ascii="Times New Roman" w:hAnsi="Times New Roman" w:cs="Times New Roman"/>
          <w:color w:val="auto"/>
          <w:szCs w:val="28"/>
        </w:rPr>
        <w:t>.2.5运营期土壤环境影响分析</w:t>
      </w:r>
      <w:bookmarkEnd w:id="911"/>
    </w:p>
    <w:p>
      <w:pPr>
        <w:spacing w:line="360" w:lineRule="auto"/>
        <w:ind w:firstLine="480"/>
        <w:rPr>
          <w:rFonts w:hint="default" w:ascii="Times New Roman" w:hAnsi="Times New Roman" w:cs="Times New Roman"/>
          <w:color w:val="auto"/>
        </w:rPr>
      </w:pPr>
      <w:bookmarkStart w:id="912" w:name="_Toc11201"/>
      <w:r>
        <w:rPr>
          <w:rFonts w:hint="default" w:ascii="Times New Roman" w:hAnsi="Times New Roman" w:cs="Times New Roman"/>
          <w:color w:val="auto"/>
        </w:rPr>
        <w:t>本次评价按照《环境影响评价技术导则土壤环境》（HJ964-2018）要求，对项目厂区</w:t>
      </w:r>
      <w:r>
        <w:rPr>
          <w:rFonts w:hint="default" w:ascii="Times New Roman" w:hAnsi="Times New Roman" w:cs="Times New Roman"/>
          <w:color w:val="auto"/>
          <w:lang w:eastAsia="zh-CN"/>
        </w:rPr>
        <w:t>及</w:t>
      </w:r>
      <w:r>
        <w:rPr>
          <w:rFonts w:hint="default" w:ascii="Times New Roman" w:hAnsi="Times New Roman" w:cs="Times New Roman"/>
          <w:color w:val="auto"/>
        </w:rPr>
        <w:t>周边的土壤环境进行了现状调查与评价。在调查基础上，进行了土壤环境的预测与评价并提出了保护措施。</w:t>
      </w:r>
    </w:p>
    <w:p>
      <w:pPr>
        <w:spacing w:line="360" w:lineRule="auto"/>
        <w:ind w:firstLine="482"/>
        <w:rPr>
          <w:rFonts w:hint="default" w:ascii="Times New Roman" w:hAnsi="Times New Roman" w:cs="Times New Roman"/>
          <w:b/>
          <w:color w:val="auto"/>
        </w:rPr>
      </w:pPr>
      <w:r>
        <w:rPr>
          <w:rFonts w:hint="default" w:ascii="Times New Roman" w:hAnsi="Times New Roman" w:cs="Times New Roman"/>
          <w:b/>
          <w:color w:val="auto"/>
        </w:rPr>
        <w:t>1、土壤环境评价等级、评价范围确定及敏感目标</w:t>
      </w:r>
    </w:p>
    <w:p>
      <w:pPr>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项目属污染影响型</w:t>
      </w:r>
      <w:r>
        <w:rPr>
          <w:rFonts w:hint="default" w:ascii="Times New Roman" w:hAnsi="Times New Roman" w:cs="Times New Roman"/>
          <w:color w:val="auto"/>
          <w:kern w:val="0"/>
        </w:rPr>
        <w:t>，按照导则要求为II类项目，</w:t>
      </w:r>
      <w:r>
        <w:rPr>
          <w:rFonts w:hint="default" w:ascii="Times New Roman" w:hAnsi="Times New Roman" w:cs="Times New Roman"/>
          <w:color w:val="auto"/>
        </w:rPr>
        <w:t>本项目</w:t>
      </w:r>
      <w:r>
        <w:rPr>
          <w:rFonts w:hint="default" w:ascii="Times New Roman" w:hAnsi="Times New Roman" w:cs="Times New Roman"/>
          <w:color w:val="auto"/>
          <w:lang w:eastAsia="zh-CN"/>
        </w:rPr>
        <w:t>依托已建成厂区基础设施，没有新增额外占地</w:t>
      </w:r>
      <w:r>
        <w:rPr>
          <w:rFonts w:hint="default" w:ascii="Times New Roman" w:hAnsi="Times New Roman" w:cs="Times New Roman"/>
          <w:color w:val="auto"/>
        </w:rPr>
        <w:t>，</w:t>
      </w:r>
      <w:r>
        <w:rPr>
          <w:rFonts w:hint="default" w:ascii="Times New Roman" w:hAnsi="Times New Roman" w:cs="Times New Roman"/>
          <w:color w:val="auto"/>
          <w:lang w:eastAsia="zh-CN"/>
        </w:rPr>
        <w:t>为小型建设项目</w:t>
      </w:r>
      <w:r>
        <w:rPr>
          <w:rFonts w:hint="default" w:ascii="Times New Roman" w:hAnsi="Times New Roman" w:cs="Times New Roman"/>
          <w:color w:val="auto"/>
          <w:spacing w:val="-3"/>
        </w:rPr>
        <w:t>。</w:t>
      </w:r>
      <w:r>
        <w:rPr>
          <w:rFonts w:hint="default" w:ascii="Times New Roman" w:hAnsi="Times New Roman" w:cs="Times New Roman"/>
          <w:color w:val="auto"/>
        </w:rPr>
        <w:t>项目用地为工业用地，所在地周边</w:t>
      </w:r>
      <w:r>
        <w:rPr>
          <w:rFonts w:hint="default" w:ascii="Times New Roman" w:hAnsi="Times New Roman" w:cs="Times New Roman"/>
          <w:color w:val="auto"/>
          <w:lang w:eastAsia="zh-CN"/>
        </w:rPr>
        <w:t>为林地、建设用地</w:t>
      </w:r>
      <w:r>
        <w:rPr>
          <w:rFonts w:hint="default" w:ascii="Times New Roman" w:hAnsi="Times New Roman" w:cs="Times New Roman"/>
          <w:color w:val="auto"/>
        </w:rPr>
        <w:t>，其土壤环境敏感程度分为</w:t>
      </w:r>
      <w:r>
        <w:rPr>
          <w:rFonts w:hint="default" w:ascii="Times New Roman" w:hAnsi="Times New Roman" w:cs="Times New Roman"/>
          <w:color w:val="auto"/>
          <w:lang w:eastAsia="zh-CN"/>
        </w:rPr>
        <w:t>不</w:t>
      </w:r>
      <w:r>
        <w:rPr>
          <w:rFonts w:hint="default" w:ascii="Times New Roman" w:hAnsi="Times New Roman" w:cs="Times New Roman"/>
          <w:color w:val="auto"/>
        </w:rPr>
        <w:t>敏感。根据导则表4的评价工作等级划分表。评价等级为</w:t>
      </w:r>
      <w:r>
        <w:rPr>
          <w:rFonts w:hint="default" w:ascii="Times New Roman" w:hAnsi="Times New Roman" w:cs="Times New Roman"/>
          <w:color w:val="auto"/>
          <w:lang w:eastAsia="zh-CN"/>
        </w:rPr>
        <w:t>三</w:t>
      </w:r>
      <w:r>
        <w:rPr>
          <w:rFonts w:hint="default" w:ascii="Times New Roman" w:hAnsi="Times New Roman" w:cs="Times New Roman"/>
          <w:color w:val="auto"/>
        </w:rPr>
        <w:t>级。</w:t>
      </w:r>
    </w:p>
    <w:p>
      <w:pPr>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按导则要求项目为污染影响类</w:t>
      </w:r>
      <w:r>
        <w:rPr>
          <w:rFonts w:hint="default" w:ascii="Times New Roman" w:hAnsi="Times New Roman" w:cs="Times New Roman"/>
          <w:color w:val="auto"/>
          <w:lang w:eastAsia="zh-CN"/>
        </w:rPr>
        <w:t>三</w:t>
      </w:r>
      <w:r>
        <w:rPr>
          <w:rFonts w:hint="default" w:ascii="Times New Roman" w:hAnsi="Times New Roman" w:cs="Times New Roman"/>
          <w:color w:val="auto"/>
        </w:rPr>
        <w:t>级，评价范围为周边</w:t>
      </w:r>
      <w:r>
        <w:rPr>
          <w:rFonts w:hint="default" w:ascii="Times New Roman" w:hAnsi="Times New Roman" w:cs="Times New Roman"/>
          <w:color w:val="auto"/>
          <w:lang w:val="en-US" w:eastAsia="zh-CN"/>
        </w:rPr>
        <w:t>50</w:t>
      </w:r>
      <w:r>
        <w:rPr>
          <w:rFonts w:hint="default" w:ascii="Times New Roman" w:hAnsi="Times New Roman" w:cs="Times New Roman"/>
          <w:color w:val="auto"/>
        </w:rPr>
        <w:t>m范围，根据现状调查厂址周边</w:t>
      </w:r>
      <w:r>
        <w:rPr>
          <w:rFonts w:hint="default" w:ascii="Times New Roman" w:hAnsi="Times New Roman" w:cs="Times New Roman"/>
          <w:color w:val="auto"/>
          <w:lang w:val="en-US" w:eastAsia="zh-CN"/>
        </w:rPr>
        <w:t>50m范围内</w:t>
      </w:r>
      <w:r>
        <w:rPr>
          <w:rFonts w:hint="default" w:ascii="Times New Roman" w:hAnsi="Times New Roman" w:cs="Times New Roman"/>
          <w:color w:val="auto"/>
        </w:rPr>
        <w:t>主要为</w:t>
      </w:r>
      <w:r>
        <w:rPr>
          <w:rFonts w:hint="default" w:ascii="Times New Roman" w:hAnsi="Times New Roman" w:cs="Times New Roman"/>
          <w:color w:val="auto"/>
          <w:lang w:eastAsia="zh-CN"/>
        </w:rPr>
        <w:t>建设用地</w:t>
      </w:r>
      <w:r>
        <w:rPr>
          <w:rFonts w:hint="default" w:ascii="Times New Roman" w:hAnsi="Times New Roman" w:cs="Times New Roman"/>
          <w:color w:val="auto"/>
        </w:rPr>
        <w:t>。</w:t>
      </w:r>
    </w:p>
    <w:p>
      <w:pPr>
        <w:spacing w:line="360" w:lineRule="auto"/>
        <w:ind w:firstLine="480"/>
        <w:rPr>
          <w:rFonts w:hint="default" w:ascii="Times New Roman" w:hAnsi="Times New Roman" w:cs="Times New Roman"/>
          <w:b/>
          <w:color w:val="auto"/>
        </w:rPr>
      </w:pPr>
      <w:r>
        <w:rPr>
          <w:rFonts w:hint="default" w:ascii="Times New Roman" w:hAnsi="Times New Roman" w:cs="Times New Roman"/>
          <w:b/>
          <w:color w:val="auto"/>
          <w:lang w:val="en-US" w:eastAsia="zh-CN"/>
        </w:rPr>
        <w:t>2</w:t>
      </w:r>
      <w:r>
        <w:rPr>
          <w:rFonts w:hint="default" w:ascii="Times New Roman" w:hAnsi="Times New Roman" w:cs="Times New Roman"/>
          <w:b/>
          <w:color w:val="auto"/>
        </w:rPr>
        <w:t>、土壤环境质量现状监测与评价</w:t>
      </w:r>
    </w:p>
    <w:p>
      <w:pPr>
        <w:spacing w:line="360" w:lineRule="auto"/>
        <w:ind w:firstLine="480"/>
        <w:rPr>
          <w:rFonts w:hint="default" w:ascii="Times New Roman" w:hAnsi="Times New Roman" w:cs="Times New Roman"/>
          <w:color w:val="auto"/>
        </w:rPr>
      </w:pPr>
      <w:r>
        <w:rPr>
          <w:rFonts w:hint="default" w:ascii="Times New Roman" w:hAnsi="Times New Roman" w:cs="Times New Roman"/>
          <w:color w:val="auto"/>
          <w:lang w:eastAsia="zh-CN"/>
        </w:rPr>
        <w:t>由于项目依托已建成厂区，没有新增额外用地，现状切片车间内地表已完全硬化，不具备监测采样条件，故本次环评未开展土壤环境质量现状监测工作，根据原有项目开工建设前的监测资料，项目区土壤环境质量能满足</w:t>
      </w:r>
      <w:r>
        <w:rPr>
          <w:rFonts w:hint="default" w:ascii="Times New Roman" w:hAnsi="Times New Roman" w:cs="Times New Roman"/>
          <w:color w:val="auto"/>
        </w:rPr>
        <w:t>《土壤环境质量建设用地土壤污染风险管控标准（试行）》(GB36600—2018)中第二类用地筛选值要求。</w:t>
      </w:r>
    </w:p>
    <w:p>
      <w:pPr>
        <w:spacing w:line="360" w:lineRule="auto"/>
        <w:ind w:firstLine="482"/>
        <w:rPr>
          <w:rFonts w:hint="default" w:ascii="Times New Roman" w:hAnsi="Times New Roman" w:cs="Times New Roman"/>
          <w:b/>
          <w:color w:val="auto"/>
        </w:rPr>
      </w:pPr>
      <w:r>
        <w:rPr>
          <w:rFonts w:hint="default" w:ascii="Times New Roman" w:hAnsi="Times New Roman" w:cs="Times New Roman"/>
          <w:b/>
          <w:color w:val="auto"/>
          <w:lang w:val="en-US" w:eastAsia="zh-CN"/>
        </w:rPr>
        <w:t>3</w:t>
      </w:r>
      <w:r>
        <w:rPr>
          <w:rFonts w:hint="default" w:ascii="Times New Roman" w:hAnsi="Times New Roman" w:cs="Times New Roman"/>
          <w:b/>
          <w:color w:val="auto"/>
        </w:rPr>
        <w:t>、项目生产对周边土壤的影响分析</w:t>
      </w:r>
    </w:p>
    <w:p>
      <w:pPr>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（1）土壤环境影响类别与影响途径识别</w:t>
      </w:r>
    </w:p>
    <w:p>
      <w:pPr>
        <w:pStyle w:val="136"/>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本项目为半导体材料生产项目，对土壤的主要污染途径来自废水的泄漏、危险化学品事故泄漏等可能发生入渗对土壤环境造成的污染影响。</w:t>
      </w:r>
    </w:p>
    <w:p>
      <w:pPr>
        <w:pStyle w:val="178"/>
        <w:keepNext w:val="0"/>
        <w:keepLines w:val="0"/>
        <w:pageBreakBefore w:val="0"/>
        <w:widowControl/>
        <w:numPr>
          <w:ilvl w:val="0"/>
          <w:numId w:val="7"/>
        </w:numPr>
        <w:kinsoku/>
        <w:wordWrap/>
        <w:overflowPunct/>
        <w:topLinePunct w:val="0"/>
        <w:autoSpaceDE/>
        <w:autoSpaceDN/>
        <w:bidi w:val="0"/>
        <w:adjustRightInd/>
        <w:snapToGrid/>
        <w:spacing w:beforeLines="0" w:afterLines="0" w:line="360" w:lineRule="auto"/>
        <w:ind w:left="0" w:leftChars="0" w:firstLine="0" w:firstLineChars="0"/>
        <w:textAlignment w:val="auto"/>
        <w:rPr>
          <w:rFonts w:hint="default" w:ascii="Times New Roman" w:hAnsi="Times New Roman" w:cs="Times New Roman"/>
          <w:b/>
          <w:color w:val="auto"/>
        </w:rPr>
      </w:pPr>
      <w:r>
        <w:rPr>
          <w:rFonts w:hint="default" w:ascii="Times New Roman" w:hAnsi="Times New Roman" w:cs="Times New Roman"/>
          <w:b/>
          <w:color w:val="auto"/>
        </w:rPr>
        <w:t>建设</w:t>
      </w:r>
      <w:r>
        <w:rPr>
          <w:rFonts w:hint="default" w:ascii="Times New Roman" w:hAnsi="Times New Roman" w:cs="Times New Roman"/>
          <w:b/>
          <w:color w:val="auto"/>
          <w:lang w:eastAsia="zh-CN"/>
        </w:rPr>
        <w:t>项目</w:t>
      </w:r>
      <w:r>
        <w:rPr>
          <w:rFonts w:hint="default" w:ascii="Times New Roman" w:hAnsi="Times New Roman" w:cs="Times New Roman"/>
          <w:b/>
          <w:color w:val="auto"/>
        </w:rPr>
        <w:t>土壤环境影响类型与影响途径表</w:t>
      </w:r>
    </w:p>
    <w:tbl>
      <w:tblPr>
        <w:tblStyle w:val="44"/>
        <w:tblW w:w="8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3"/>
        <w:gridCol w:w="914"/>
        <w:gridCol w:w="911"/>
        <w:gridCol w:w="911"/>
        <w:gridCol w:w="902"/>
        <w:gridCol w:w="9"/>
        <w:gridCol w:w="911"/>
        <w:gridCol w:w="911"/>
        <w:gridCol w:w="900"/>
        <w:gridCol w:w="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63" w:type="dxa"/>
            <w:vMerge w:val="restart"/>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不同时段</w:t>
            </w:r>
          </w:p>
        </w:tc>
        <w:tc>
          <w:tcPr>
            <w:tcW w:w="3638" w:type="dxa"/>
            <w:gridSpan w:val="4"/>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污染影响型</w:t>
            </w:r>
          </w:p>
        </w:tc>
        <w:tc>
          <w:tcPr>
            <w:tcW w:w="3585" w:type="dxa"/>
            <w:gridSpan w:val="5"/>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生态影响型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63" w:type="dxa"/>
            <w:vMerge w:val="continue"/>
            <w:vAlign w:val="center"/>
          </w:tcPr>
          <w:p>
            <w:pPr>
              <w:adjustRightInd w:val="0"/>
              <w:snapToGrid w:val="0"/>
              <w:jc w:val="center"/>
              <w:rPr>
                <w:rFonts w:hint="default" w:ascii="Times New Roman" w:hAnsi="Times New Roman" w:cs="Times New Roman"/>
                <w:color w:val="auto"/>
                <w:sz w:val="21"/>
                <w:szCs w:val="21"/>
              </w:rPr>
            </w:pPr>
          </w:p>
        </w:tc>
        <w:tc>
          <w:tcPr>
            <w:tcW w:w="914" w:type="dxa"/>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大气沉降</w:t>
            </w:r>
          </w:p>
        </w:tc>
        <w:tc>
          <w:tcPr>
            <w:tcW w:w="911" w:type="dxa"/>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地面漫流</w:t>
            </w:r>
          </w:p>
        </w:tc>
        <w:tc>
          <w:tcPr>
            <w:tcW w:w="911" w:type="dxa"/>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垂直入渗</w:t>
            </w:r>
          </w:p>
        </w:tc>
        <w:tc>
          <w:tcPr>
            <w:tcW w:w="911" w:type="dxa"/>
            <w:gridSpan w:val="2"/>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其他</w:t>
            </w:r>
          </w:p>
        </w:tc>
        <w:tc>
          <w:tcPr>
            <w:tcW w:w="911" w:type="dxa"/>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盐化</w:t>
            </w:r>
          </w:p>
        </w:tc>
        <w:tc>
          <w:tcPr>
            <w:tcW w:w="911" w:type="dxa"/>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酸化</w:t>
            </w:r>
          </w:p>
        </w:tc>
        <w:tc>
          <w:tcPr>
            <w:tcW w:w="900" w:type="dxa"/>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碱化</w:t>
            </w:r>
          </w:p>
        </w:tc>
        <w:tc>
          <w:tcPr>
            <w:tcW w:w="854" w:type="dxa"/>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63" w:type="dxa"/>
            <w:vAlign w:val="center"/>
          </w:tcPr>
          <w:p>
            <w:pPr>
              <w:spacing w:line="0"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建设期</w:t>
            </w:r>
          </w:p>
        </w:tc>
        <w:tc>
          <w:tcPr>
            <w:tcW w:w="914" w:type="dxa"/>
            <w:vAlign w:val="center"/>
          </w:tcPr>
          <w:p>
            <w:pPr>
              <w:jc w:val="center"/>
              <w:rPr>
                <w:rFonts w:hint="default" w:ascii="Times New Roman" w:hAnsi="Times New Roman" w:cs="Times New Roman"/>
                <w:color w:val="auto"/>
                <w:sz w:val="21"/>
                <w:szCs w:val="21"/>
              </w:rPr>
            </w:pPr>
          </w:p>
        </w:tc>
        <w:tc>
          <w:tcPr>
            <w:tcW w:w="911" w:type="dxa"/>
            <w:vAlign w:val="center"/>
          </w:tcPr>
          <w:p>
            <w:pPr>
              <w:jc w:val="center"/>
              <w:rPr>
                <w:rFonts w:hint="default" w:ascii="Times New Roman" w:hAnsi="Times New Roman" w:cs="Times New Roman"/>
                <w:color w:val="auto"/>
                <w:sz w:val="21"/>
                <w:szCs w:val="21"/>
              </w:rPr>
            </w:pPr>
          </w:p>
        </w:tc>
        <w:tc>
          <w:tcPr>
            <w:tcW w:w="911" w:type="dxa"/>
            <w:vAlign w:val="center"/>
          </w:tcPr>
          <w:p>
            <w:pPr>
              <w:jc w:val="center"/>
              <w:rPr>
                <w:rFonts w:hint="default" w:ascii="Times New Roman" w:hAnsi="Times New Roman" w:cs="Times New Roman"/>
                <w:color w:val="auto"/>
                <w:sz w:val="21"/>
                <w:szCs w:val="21"/>
              </w:rPr>
            </w:pPr>
          </w:p>
        </w:tc>
        <w:tc>
          <w:tcPr>
            <w:tcW w:w="911" w:type="dxa"/>
            <w:gridSpan w:val="2"/>
            <w:vAlign w:val="center"/>
          </w:tcPr>
          <w:p>
            <w:pPr>
              <w:jc w:val="center"/>
              <w:rPr>
                <w:rFonts w:hint="default" w:ascii="Times New Roman" w:hAnsi="Times New Roman" w:cs="Times New Roman"/>
                <w:color w:val="auto"/>
                <w:sz w:val="21"/>
                <w:szCs w:val="21"/>
              </w:rPr>
            </w:pPr>
          </w:p>
        </w:tc>
        <w:tc>
          <w:tcPr>
            <w:tcW w:w="911" w:type="dxa"/>
            <w:vAlign w:val="center"/>
          </w:tcPr>
          <w:p>
            <w:pPr>
              <w:jc w:val="center"/>
              <w:rPr>
                <w:rFonts w:hint="default" w:ascii="Times New Roman" w:hAnsi="Times New Roman" w:cs="Times New Roman"/>
                <w:color w:val="auto"/>
                <w:sz w:val="21"/>
                <w:szCs w:val="21"/>
              </w:rPr>
            </w:pPr>
          </w:p>
        </w:tc>
        <w:tc>
          <w:tcPr>
            <w:tcW w:w="911" w:type="dxa"/>
            <w:vAlign w:val="center"/>
          </w:tcPr>
          <w:p>
            <w:pPr>
              <w:jc w:val="center"/>
              <w:rPr>
                <w:rFonts w:hint="default" w:ascii="Times New Roman" w:hAnsi="Times New Roman" w:cs="Times New Roman"/>
                <w:color w:val="auto"/>
                <w:sz w:val="21"/>
                <w:szCs w:val="21"/>
              </w:rPr>
            </w:pPr>
          </w:p>
        </w:tc>
        <w:tc>
          <w:tcPr>
            <w:tcW w:w="900" w:type="dxa"/>
            <w:vAlign w:val="center"/>
          </w:tcPr>
          <w:p>
            <w:pPr>
              <w:jc w:val="center"/>
              <w:rPr>
                <w:rFonts w:hint="default" w:ascii="Times New Roman" w:hAnsi="Times New Roman" w:cs="Times New Roman"/>
                <w:color w:val="auto"/>
                <w:sz w:val="21"/>
                <w:szCs w:val="21"/>
              </w:rPr>
            </w:pPr>
          </w:p>
        </w:tc>
        <w:tc>
          <w:tcPr>
            <w:tcW w:w="854" w:type="dxa"/>
            <w:vAlign w:val="center"/>
          </w:tcPr>
          <w:p>
            <w:pPr>
              <w:jc w:val="cente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63" w:type="dxa"/>
            <w:vAlign w:val="center"/>
          </w:tcPr>
          <w:p>
            <w:pPr>
              <w:spacing w:line="0"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运营期</w:t>
            </w:r>
          </w:p>
        </w:tc>
        <w:tc>
          <w:tcPr>
            <w:tcW w:w="914" w:type="dxa"/>
            <w:vAlign w:val="center"/>
          </w:tcPr>
          <w:p>
            <w:pPr>
              <w:jc w:val="center"/>
              <w:rPr>
                <w:rFonts w:hint="default" w:ascii="Times New Roman" w:hAnsi="Times New Roman" w:cs="Times New Roman"/>
                <w:color w:val="auto"/>
                <w:sz w:val="21"/>
                <w:szCs w:val="21"/>
              </w:rPr>
            </w:pPr>
          </w:p>
        </w:tc>
        <w:tc>
          <w:tcPr>
            <w:tcW w:w="911" w:type="dxa"/>
            <w:vAlign w:val="center"/>
          </w:tcPr>
          <w:p>
            <w:pPr>
              <w:jc w:val="center"/>
              <w:rPr>
                <w:rFonts w:hint="default" w:ascii="Times New Roman" w:hAnsi="Times New Roman" w:cs="Times New Roman"/>
                <w:color w:val="auto"/>
                <w:sz w:val="21"/>
                <w:szCs w:val="21"/>
              </w:rPr>
            </w:pPr>
          </w:p>
        </w:tc>
        <w:tc>
          <w:tcPr>
            <w:tcW w:w="911"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911" w:type="dxa"/>
            <w:gridSpan w:val="2"/>
            <w:vAlign w:val="center"/>
          </w:tcPr>
          <w:p>
            <w:pPr>
              <w:jc w:val="center"/>
              <w:rPr>
                <w:rFonts w:hint="default" w:ascii="Times New Roman" w:hAnsi="Times New Roman" w:cs="Times New Roman"/>
                <w:color w:val="auto"/>
                <w:sz w:val="21"/>
                <w:szCs w:val="21"/>
              </w:rPr>
            </w:pPr>
          </w:p>
        </w:tc>
        <w:tc>
          <w:tcPr>
            <w:tcW w:w="911" w:type="dxa"/>
            <w:vAlign w:val="center"/>
          </w:tcPr>
          <w:p>
            <w:pPr>
              <w:jc w:val="center"/>
              <w:rPr>
                <w:rFonts w:hint="default" w:ascii="Times New Roman" w:hAnsi="Times New Roman" w:cs="Times New Roman"/>
                <w:color w:val="auto"/>
                <w:sz w:val="21"/>
                <w:szCs w:val="21"/>
              </w:rPr>
            </w:pPr>
          </w:p>
        </w:tc>
        <w:tc>
          <w:tcPr>
            <w:tcW w:w="911" w:type="dxa"/>
            <w:vAlign w:val="center"/>
          </w:tcPr>
          <w:p>
            <w:pPr>
              <w:jc w:val="center"/>
              <w:rPr>
                <w:rFonts w:hint="default" w:ascii="Times New Roman" w:hAnsi="Times New Roman" w:cs="Times New Roman"/>
                <w:color w:val="auto"/>
                <w:sz w:val="21"/>
                <w:szCs w:val="21"/>
              </w:rPr>
            </w:pPr>
          </w:p>
        </w:tc>
        <w:tc>
          <w:tcPr>
            <w:tcW w:w="900" w:type="dxa"/>
            <w:vAlign w:val="center"/>
          </w:tcPr>
          <w:p>
            <w:pPr>
              <w:jc w:val="center"/>
              <w:rPr>
                <w:rFonts w:hint="default" w:ascii="Times New Roman" w:hAnsi="Times New Roman" w:cs="Times New Roman"/>
                <w:color w:val="auto"/>
                <w:sz w:val="21"/>
                <w:szCs w:val="21"/>
              </w:rPr>
            </w:pPr>
          </w:p>
        </w:tc>
        <w:tc>
          <w:tcPr>
            <w:tcW w:w="854" w:type="dxa"/>
            <w:vAlign w:val="center"/>
          </w:tcPr>
          <w:p>
            <w:pPr>
              <w:jc w:val="cente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63" w:type="dxa"/>
            <w:vAlign w:val="center"/>
          </w:tcPr>
          <w:p>
            <w:pPr>
              <w:spacing w:line="0"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服务期满后</w:t>
            </w:r>
          </w:p>
        </w:tc>
        <w:tc>
          <w:tcPr>
            <w:tcW w:w="914" w:type="dxa"/>
            <w:vAlign w:val="center"/>
          </w:tcPr>
          <w:p>
            <w:pPr>
              <w:jc w:val="center"/>
              <w:rPr>
                <w:rFonts w:hint="default" w:ascii="Times New Roman" w:hAnsi="Times New Roman" w:cs="Times New Roman"/>
                <w:color w:val="auto"/>
                <w:sz w:val="21"/>
                <w:szCs w:val="21"/>
              </w:rPr>
            </w:pPr>
          </w:p>
        </w:tc>
        <w:tc>
          <w:tcPr>
            <w:tcW w:w="911" w:type="dxa"/>
            <w:vAlign w:val="center"/>
          </w:tcPr>
          <w:p>
            <w:pPr>
              <w:jc w:val="center"/>
              <w:rPr>
                <w:rFonts w:hint="default" w:ascii="Times New Roman" w:hAnsi="Times New Roman" w:cs="Times New Roman"/>
                <w:color w:val="auto"/>
                <w:sz w:val="21"/>
                <w:szCs w:val="21"/>
              </w:rPr>
            </w:pPr>
          </w:p>
        </w:tc>
        <w:tc>
          <w:tcPr>
            <w:tcW w:w="911" w:type="dxa"/>
            <w:vAlign w:val="center"/>
          </w:tcPr>
          <w:p>
            <w:pPr>
              <w:jc w:val="center"/>
              <w:rPr>
                <w:rFonts w:hint="default" w:ascii="Times New Roman" w:hAnsi="Times New Roman" w:cs="Times New Roman"/>
                <w:color w:val="auto"/>
                <w:sz w:val="21"/>
                <w:szCs w:val="21"/>
              </w:rPr>
            </w:pPr>
          </w:p>
        </w:tc>
        <w:tc>
          <w:tcPr>
            <w:tcW w:w="911" w:type="dxa"/>
            <w:gridSpan w:val="2"/>
            <w:vAlign w:val="center"/>
          </w:tcPr>
          <w:p>
            <w:pPr>
              <w:jc w:val="center"/>
              <w:rPr>
                <w:rFonts w:hint="default" w:ascii="Times New Roman" w:hAnsi="Times New Roman" w:cs="Times New Roman"/>
                <w:color w:val="auto"/>
                <w:sz w:val="21"/>
                <w:szCs w:val="21"/>
              </w:rPr>
            </w:pPr>
          </w:p>
        </w:tc>
        <w:tc>
          <w:tcPr>
            <w:tcW w:w="911" w:type="dxa"/>
            <w:vAlign w:val="center"/>
          </w:tcPr>
          <w:p>
            <w:pPr>
              <w:jc w:val="center"/>
              <w:rPr>
                <w:rFonts w:hint="default" w:ascii="Times New Roman" w:hAnsi="Times New Roman" w:cs="Times New Roman"/>
                <w:color w:val="auto"/>
                <w:sz w:val="21"/>
                <w:szCs w:val="21"/>
              </w:rPr>
            </w:pPr>
          </w:p>
        </w:tc>
        <w:tc>
          <w:tcPr>
            <w:tcW w:w="911" w:type="dxa"/>
            <w:vAlign w:val="center"/>
          </w:tcPr>
          <w:p>
            <w:pPr>
              <w:jc w:val="center"/>
              <w:rPr>
                <w:rFonts w:hint="default" w:ascii="Times New Roman" w:hAnsi="Times New Roman" w:cs="Times New Roman"/>
                <w:color w:val="auto"/>
                <w:sz w:val="21"/>
                <w:szCs w:val="21"/>
              </w:rPr>
            </w:pPr>
          </w:p>
        </w:tc>
        <w:tc>
          <w:tcPr>
            <w:tcW w:w="900" w:type="dxa"/>
            <w:vAlign w:val="center"/>
          </w:tcPr>
          <w:p>
            <w:pPr>
              <w:jc w:val="center"/>
              <w:rPr>
                <w:rFonts w:hint="default" w:ascii="Times New Roman" w:hAnsi="Times New Roman" w:cs="Times New Roman"/>
                <w:color w:val="auto"/>
                <w:sz w:val="21"/>
                <w:szCs w:val="21"/>
              </w:rPr>
            </w:pPr>
          </w:p>
        </w:tc>
        <w:tc>
          <w:tcPr>
            <w:tcW w:w="854" w:type="dxa"/>
            <w:vAlign w:val="center"/>
          </w:tcPr>
          <w:p>
            <w:pPr>
              <w:jc w:val="center"/>
              <w:rPr>
                <w:rFonts w:hint="default" w:ascii="Times New Roman" w:hAnsi="Times New Roman" w:cs="Times New Roman"/>
                <w:color w:val="auto"/>
                <w:sz w:val="21"/>
                <w:szCs w:val="21"/>
              </w:rPr>
            </w:pPr>
          </w:p>
        </w:tc>
      </w:tr>
    </w:tbl>
    <w:p>
      <w:pPr>
        <w:pStyle w:val="136"/>
        <w:spacing w:beforeLines="50"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（2）项目土壤环境影响源及影响因子识别</w:t>
      </w:r>
    </w:p>
    <w:p>
      <w:pPr>
        <w:pStyle w:val="136"/>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本项目土壤环境影响源及影响因子识别情况见下表。</w:t>
      </w:r>
    </w:p>
    <w:p>
      <w:pPr>
        <w:pStyle w:val="178"/>
        <w:keepNext w:val="0"/>
        <w:keepLines w:val="0"/>
        <w:pageBreakBefore w:val="0"/>
        <w:widowControl/>
        <w:numPr>
          <w:ilvl w:val="0"/>
          <w:numId w:val="7"/>
        </w:numPr>
        <w:kinsoku/>
        <w:wordWrap/>
        <w:overflowPunct/>
        <w:topLinePunct w:val="0"/>
        <w:autoSpaceDE/>
        <w:autoSpaceDN/>
        <w:bidi w:val="0"/>
        <w:adjustRightInd/>
        <w:snapToGrid/>
        <w:spacing w:beforeLines="0" w:afterLines="0" w:line="360" w:lineRule="auto"/>
        <w:ind w:left="0" w:leftChars="0" w:firstLine="0" w:firstLineChars="0"/>
        <w:textAlignment w:val="auto"/>
        <w:rPr>
          <w:rFonts w:hint="default" w:ascii="Times New Roman" w:hAnsi="Times New Roman" w:cs="Times New Roman"/>
          <w:b/>
          <w:color w:val="auto"/>
        </w:rPr>
      </w:pPr>
      <w:r>
        <w:rPr>
          <w:rFonts w:hint="default" w:ascii="Times New Roman" w:hAnsi="Times New Roman" w:cs="Times New Roman"/>
          <w:b/>
          <w:color w:val="auto"/>
        </w:rPr>
        <w:t>土壤环境影响源及影响因子识别表</w:t>
      </w:r>
    </w:p>
    <w:tbl>
      <w:tblPr>
        <w:tblStyle w:val="44"/>
        <w:tblW w:w="81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7"/>
        <w:gridCol w:w="1991"/>
        <w:gridCol w:w="1104"/>
        <w:gridCol w:w="1559"/>
        <w:gridCol w:w="1408"/>
        <w:gridCol w:w="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57"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污染源</w:t>
            </w:r>
          </w:p>
        </w:tc>
        <w:tc>
          <w:tcPr>
            <w:tcW w:w="1991"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污染产生情况</w:t>
            </w:r>
          </w:p>
        </w:tc>
        <w:tc>
          <w:tcPr>
            <w:tcW w:w="1104"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污染途径</w:t>
            </w:r>
          </w:p>
        </w:tc>
        <w:tc>
          <w:tcPr>
            <w:tcW w:w="1559"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污染物指标</w:t>
            </w:r>
          </w:p>
        </w:tc>
        <w:tc>
          <w:tcPr>
            <w:tcW w:w="1408"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特征因子</w:t>
            </w:r>
          </w:p>
        </w:tc>
        <w:tc>
          <w:tcPr>
            <w:tcW w:w="962"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57" w:type="dxa"/>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综合污水处理站</w:t>
            </w:r>
          </w:p>
        </w:tc>
        <w:tc>
          <w:tcPr>
            <w:tcW w:w="1991"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综合污水处理站</w:t>
            </w:r>
            <w:r>
              <w:rPr>
                <w:rFonts w:hint="default" w:ascii="Times New Roman" w:hAnsi="Times New Roman" w:cs="Times New Roman"/>
                <w:color w:val="auto"/>
                <w:sz w:val="21"/>
                <w:szCs w:val="21"/>
              </w:rPr>
              <w:t>故障导致废水流出</w:t>
            </w:r>
          </w:p>
        </w:tc>
        <w:tc>
          <w:tcPr>
            <w:tcW w:w="1104"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垂直渗入</w:t>
            </w:r>
          </w:p>
        </w:tc>
        <w:tc>
          <w:tcPr>
            <w:tcW w:w="1559"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COD</w:t>
            </w:r>
          </w:p>
        </w:tc>
        <w:tc>
          <w:tcPr>
            <w:tcW w:w="1408"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COD</w:t>
            </w:r>
          </w:p>
        </w:tc>
        <w:tc>
          <w:tcPr>
            <w:tcW w:w="962" w:type="dxa"/>
            <w:vAlign w:val="center"/>
          </w:tcPr>
          <w:p>
            <w:pPr>
              <w:jc w:val="cente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57"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化学品库</w:t>
            </w:r>
          </w:p>
        </w:tc>
        <w:tc>
          <w:tcPr>
            <w:tcW w:w="1991" w:type="dxa"/>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氢氟酸</w:t>
            </w:r>
          </w:p>
        </w:tc>
        <w:tc>
          <w:tcPr>
            <w:tcW w:w="1104"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垂直渗入</w:t>
            </w:r>
          </w:p>
        </w:tc>
        <w:tc>
          <w:tcPr>
            <w:tcW w:w="1559" w:type="dxa"/>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pH、氟化物</w:t>
            </w:r>
          </w:p>
        </w:tc>
        <w:tc>
          <w:tcPr>
            <w:tcW w:w="1408" w:type="dxa"/>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氟化物</w:t>
            </w:r>
          </w:p>
        </w:tc>
        <w:tc>
          <w:tcPr>
            <w:tcW w:w="962" w:type="dxa"/>
            <w:vAlign w:val="center"/>
          </w:tcPr>
          <w:p>
            <w:pPr>
              <w:jc w:val="center"/>
              <w:rPr>
                <w:rFonts w:hint="default" w:ascii="Times New Roman" w:hAnsi="Times New Roman" w:cs="Times New Roman"/>
                <w:color w:val="auto"/>
                <w:sz w:val="21"/>
                <w:szCs w:val="21"/>
              </w:rPr>
            </w:pPr>
          </w:p>
        </w:tc>
      </w:tr>
    </w:tbl>
    <w:p>
      <w:pPr>
        <w:spacing w:beforeLines="50" w:line="360" w:lineRule="auto"/>
        <w:ind w:firstLine="482"/>
        <w:rPr>
          <w:rFonts w:hint="default" w:ascii="Times New Roman" w:hAnsi="Times New Roman" w:cs="Times New Roman"/>
          <w:color w:val="auto"/>
        </w:rPr>
      </w:pPr>
      <w:r>
        <w:rPr>
          <w:rFonts w:hint="default" w:ascii="Times New Roman" w:hAnsi="Times New Roman" w:cs="Times New Roman"/>
          <w:color w:val="auto"/>
        </w:rPr>
        <w:t>正常生产时</w:t>
      </w:r>
      <w:r>
        <w:rPr>
          <w:rFonts w:hint="default" w:ascii="Times New Roman" w:hAnsi="Times New Roman" w:cs="Times New Roman"/>
          <w:color w:val="auto"/>
          <w:lang w:eastAsia="zh-CN"/>
        </w:rPr>
        <w:t>，综合污水处理站</w:t>
      </w:r>
      <w:r>
        <w:rPr>
          <w:rFonts w:hint="default" w:ascii="Times New Roman" w:hAnsi="Times New Roman" w:cs="Times New Roman"/>
          <w:color w:val="auto"/>
        </w:rPr>
        <w:t>、化学品存储及仓库均采取严格的防渗措施，不会发生泄漏影响土壤环境。项目在生产过程均在厂内硬化土地内进行，不直接接触厂外土壤，生产原料均在</w:t>
      </w:r>
      <w:r>
        <w:rPr>
          <w:rFonts w:hint="default" w:ascii="Times New Roman" w:hAnsi="Times New Roman" w:cs="Times New Roman"/>
          <w:color w:val="auto"/>
          <w:lang w:eastAsia="zh-CN"/>
        </w:rPr>
        <w:t>生产车间</w:t>
      </w:r>
      <w:r>
        <w:rPr>
          <w:rFonts w:hint="default" w:ascii="Times New Roman" w:hAnsi="Times New Roman" w:cs="Times New Roman"/>
          <w:color w:val="auto"/>
        </w:rPr>
        <w:t>封闭的房间内，化学品</w:t>
      </w:r>
      <w:r>
        <w:rPr>
          <w:rFonts w:hint="default" w:ascii="Times New Roman" w:hAnsi="Times New Roman" w:cs="Times New Roman"/>
          <w:color w:val="auto"/>
          <w:lang w:eastAsia="zh-CN"/>
        </w:rPr>
        <w:t>储存在化学品库内，化学品库按规范要求设置有导流沟、防渗措施、</w:t>
      </w:r>
      <w:r>
        <w:rPr>
          <w:rFonts w:hint="default" w:ascii="Times New Roman" w:hAnsi="Times New Roman" w:cs="Times New Roman"/>
          <w:color w:val="auto"/>
        </w:rPr>
        <w:t>风险防范措施，也不会影响厂内土壤，项目生产不会造成周边土壤盐化、酸化、碱化等，对周边土壤影响不大，是可接受的。</w:t>
      </w:r>
    </w:p>
    <w:p>
      <w:pPr>
        <w:spacing w:line="360" w:lineRule="auto"/>
        <w:ind w:firstLine="482"/>
        <w:rPr>
          <w:rFonts w:hint="default" w:ascii="Times New Roman" w:hAnsi="Times New Roman" w:eastAsia="宋体" w:cs="Times New Roman"/>
          <w:b/>
          <w:color w:val="auto"/>
          <w:lang w:eastAsia="zh-CN"/>
        </w:rPr>
      </w:pPr>
      <w:r>
        <w:rPr>
          <w:rFonts w:hint="default" w:ascii="Times New Roman" w:hAnsi="Times New Roman" w:cs="Times New Roman"/>
          <w:b/>
          <w:color w:val="auto"/>
          <w:lang w:val="en-US" w:eastAsia="zh-CN"/>
        </w:rPr>
        <w:t>4</w:t>
      </w:r>
      <w:r>
        <w:rPr>
          <w:rFonts w:hint="default" w:ascii="Times New Roman" w:hAnsi="Times New Roman" w:cs="Times New Roman"/>
          <w:b/>
          <w:color w:val="auto"/>
        </w:rPr>
        <w:t>、</w:t>
      </w:r>
      <w:r>
        <w:rPr>
          <w:rFonts w:hint="default" w:ascii="Times New Roman" w:hAnsi="Times New Roman" w:cs="Times New Roman"/>
          <w:b/>
          <w:color w:val="auto"/>
          <w:lang w:eastAsia="zh-CN"/>
        </w:rPr>
        <w:t>土壤污染防治措施</w:t>
      </w:r>
    </w:p>
    <w:p>
      <w:pPr>
        <w:spacing w:line="360" w:lineRule="auto"/>
        <w:ind w:firstLine="482"/>
        <w:rPr>
          <w:rFonts w:hint="default" w:ascii="Times New Roman" w:hAnsi="Times New Roman" w:cs="Times New Roman"/>
          <w:b w:val="0"/>
          <w:bCs/>
          <w:color w:val="auto"/>
          <w:lang w:eastAsia="zh-CN"/>
        </w:rPr>
      </w:pPr>
      <w:r>
        <w:rPr>
          <w:rFonts w:hint="default" w:ascii="Times New Roman" w:hAnsi="Times New Roman" w:cs="Times New Roman"/>
          <w:b w:val="0"/>
          <w:bCs/>
          <w:color w:val="auto"/>
          <w:lang w:eastAsia="zh-CN"/>
        </w:rPr>
        <w:t>由于土壤污染具有隐蔽性、滞后性和不可逆转的特点，因此土壤污染防治措施主要为源头控制措施、过程防控措施。</w:t>
      </w:r>
    </w:p>
    <w:p>
      <w:pPr>
        <w:spacing w:line="360" w:lineRule="auto"/>
        <w:ind w:firstLine="482"/>
        <w:rPr>
          <w:rFonts w:hint="default" w:ascii="Times New Roman" w:hAnsi="Times New Roman" w:cs="Times New Roman"/>
          <w:b w:val="0"/>
          <w:bCs/>
          <w:color w:val="auto"/>
          <w:lang w:eastAsia="zh-CN"/>
        </w:rPr>
      </w:pPr>
      <w:r>
        <w:rPr>
          <w:rFonts w:hint="default" w:ascii="Times New Roman" w:hAnsi="Times New Roman" w:cs="Times New Roman"/>
          <w:b w:val="0"/>
          <w:bCs/>
          <w:color w:val="auto"/>
          <w:lang w:eastAsia="zh-CN"/>
        </w:rPr>
        <w:t>（</w:t>
      </w:r>
      <w:r>
        <w:rPr>
          <w:rFonts w:hint="default" w:ascii="Times New Roman" w:hAnsi="Times New Roman" w:cs="Times New Roman"/>
          <w:b w:val="0"/>
          <w:bCs/>
          <w:color w:val="auto"/>
          <w:lang w:val="en-US" w:eastAsia="zh-CN"/>
        </w:rPr>
        <w:t>1</w:t>
      </w:r>
      <w:r>
        <w:rPr>
          <w:rFonts w:hint="default" w:ascii="Times New Roman" w:hAnsi="Times New Roman" w:cs="Times New Roman"/>
          <w:b w:val="0"/>
          <w:bCs/>
          <w:color w:val="auto"/>
          <w:lang w:eastAsia="zh-CN"/>
        </w:rPr>
        <w:t>）源头控制措施</w:t>
      </w:r>
    </w:p>
    <w:p>
      <w:pPr>
        <w:spacing w:line="360" w:lineRule="auto"/>
        <w:ind w:firstLine="482"/>
        <w:rPr>
          <w:rFonts w:hint="default" w:ascii="Times New Roman" w:hAnsi="Times New Roman" w:eastAsia="宋体" w:cs="Times New Roman"/>
          <w:b w:val="0"/>
          <w:bCs/>
          <w:color w:val="auto"/>
          <w:lang w:eastAsia="zh-CN"/>
        </w:rPr>
      </w:pPr>
      <w:r>
        <w:rPr>
          <w:rFonts w:hint="default" w:ascii="Times New Roman" w:hAnsi="Times New Roman" w:cs="Times New Roman"/>
          <w:color w:val="auto"/>
          <w:lang w:eastAsia="zh-CN"/>
        </w:rPr>
        <w:t>从化学品的储存、装卸、运输、生产过程等全过程严格控制各种涉及污染的原辅材料输送环节，化学品密封装存</w:t>
      </w:r>
      <w:r>
        <w:rPr>
          <w:rFonts w:hint="default" w:ascii="Times New Roman" w:hAnsi="Times New Roman" w:cs="Times New Roman"/>
          <w:b w:val="0"/>
          <w:bCs/>
          <w:color w:val="auto"/>
          <w:lang w:eastAsia="zh-CN"/>
        </w:rPr>
        <w:t>，取用时确保物料不泼洒；加强废水输送管道的管理，确保不跑、冒、滴、漏</w:t>
      </w:r>
      <w:r>
        <w:rPr>
          <w:rFonts w:hint="default" w:ascii="Times New Roman" w:hAnsi="Times New Roman" w:cs="Times New Roman"/>
          <w:color w:val="auto"/>
          <w:lang w:eastAsia="zh-CN"/>
        </w:rPr>
        <w:t>。</w:t>
      </w:r>
    </w:p>
    <w:p>
      <w:pPr>
        <w:spacing w:line="360" w:lineRule="auto"/>
        <w:ind w:firstLine="482"/>
        <w:rPr>
          <w:rFonts w:hint="default" w:ascii="Times New Roman" w:hAnsi="Times New Roman" w:cs="Times New Roman"/>
          <w:b w:val="0"/>
          <w:bCs/>
          <w:color w:val="auto"/>
          <w:lang w:eastAsia="zh-CN"/>
        </w:rPr>
      </w:pPr>
      <w:r>
        <w:rPr>
          <w:rFonts w:hint="default" w:ascii="Times New Roman" w:hAnsi="Times New Roman" w:cs="Times New Roman"/>
          <w:b w:val="0"/>
          <w:bCs/>
          <w:color w:val="auto"/>
          <w:lang w:eastAsia="zh-CN"/>
        </w:rPr>
        <w:t>（</w:t>
      </w:r>
      <w:r>
        <w:rPr>
          <w:rFonts w:hint="default" w:ascii="Times New Roman" w:hAnsi="Times New Roman" w:cs="Times New Roman"/>
          <w:b w:val="0"/>
          <w:bCs/>
          <w:color w:val="auto"/>
          <w:lang w:val="en-US" w:eastAsia="zh-CN"/>
        </w:rPr>
        <w:t>2</w:t>
      </w:r>
      <w:r>
        <w:rPr>
          <w:rFonts w:hint="default" w:ascii="Times New Roman" w:hAnsi="Times New Roman" w:cs="Times New Roman"/>
          <w:b w:val="0"/>
          <w:bCs/>
          <w:color w:val="auto"/>
          <w:lang w:eastAsia="zh-CN"/>
        </w:rPr>
        <w:t>）过程控制措施</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lang w:eastAsia="zh-CN"/>
        </w:rPr>
      </w:pPr>
      <w:r>
        <w:rPr>
          <w:rFonts w:hint="default" w:ascii="Times New Roman" w:hAnsi="Times New Roman" w:cs="Times New Roman"/>
          <w:b w:val="0"/>
          <w:bCs/>
          <w:color w:val="auto"/>
          <w:sz w:val="24"/>
          <w:szCs w:val="24"/>
          <w:lang w:eastAsia="zh-CN"/>
        </w:rPr>
        <w:t>对本环评提出的重点防渗区（</w:t>
      </w:r>
      <w:r>
        <w:rPr>
          <w:rFonts w:hint="default" w:ascii="Times New Roman" w:hAnsi="Times New Roman" w:cs="Times New Roman"/>
          <w:color w:val="auto"/>
          <w:sz w:val="24"/>
          <w:szCs w:val="24"/>
          <w:lang w:eastAsia="zh-CN"/>
        </w:rPr>
        <w:t>化学品库</w:t>
      </w:r>
      <w:r>
        <w:rPr>
          <w:rFonts w:hint="default" w:ascii="Times New Roman" w:hAnsi="Times New Roman" w:cs="Times New Roman"/>
          <w:color w:val="auto"/>
          <w:sz w:val="24"/>
          <w:szCs w:val="24"/>
          <w:lang w:val="en-US" w:eastAsia="zh-CN"/>
        </w:rPr>
        <w:t>、危废库、</w:t>
      </w:r>
      <w:r>
        <w:rPr>
          <w:rFonts w:hint="default" w:ascii="Times New Roman" w:hAnsi="Times New Roman" w:cs="Times New Roman"/>
          <w:color w:val="auto"/>
          <w:sz w:val="24"/>
          <w:szCs w:val="24"/>
        </w:rPr>
        <w:t>初期雨水池、</w:t>
      </w:r>
      <w:r>
        <w:rPr>
          <w:rFonts w:hint="default" w:ascii="Times New Roman" w:hAnsi="Times New Roman" w:cs="Times New Roman"/>
          <w:color w:val="auto"/>
          <w:sz w:val="24"/>
          <w:szCs w:val="24"/>
          <w:lang w:eastAsia="zh-CN"/>
        </w:rPr>
        <w:t>综合污水处理站</w:t>
      </w:r>
      <w:r>
        <w:rPr>
          <w:rFonts w:hint="default" w:ascii="Times New Roman" w:hAnsi="Times New Roman" w:cs="Times New Roman"/>
          <w:color w:val="auto"/>
          <w:sz w:val="24"/>
          <w:szCs w:val="24"/>
        </w:rPr>
        <w:t>、事故水池</w:t>
      </w:r>
      <w:r>
        <w:rPr>
          <w:rFonts w:hint="default" w:ascii="Times New Roman" w:hAnsi="Times New Roman" w:cs="Times New Roman"/>
          <w:b w:val="0"/>
          <w:bCs/>
          <w:color w:val="auto"/>
          <w:sz w:val="24"/>
          <w:szCs w:val="24"/>
          <w:lang w:eastAsia="zh-CN"/>
        </w:rPr>
        <w:t>）采取重点防渗措施，</w:t>
      </w:r>
      <w:r>
        <w:rPr>
          <w:rFonts w:hint="default" w:ascii="Times New Roman" w:hAnsi="Times New Roman" w:cs="Times New Roman"/>
          <w:color w:val="auto"/>
          <w:sz w:val="24"/>
          <w:szCs w:val="24"/>
        </w:rPr>
        <w:t>确保防渗能力相当于6.0m厚黏土层、渗透系数≤10</w:t>
      </w:r>
      <w:r>
        <w:rPr>
          <w:rFonts w:hint="default" w:ascii="Times New Roman" w:hAnsi="Times New Roman" w:cs="Times New Roman"/>
          <w:color w:val="auto"/>
          <w:sz w:val="24"/>
          <w:szCs w:val="24"/>
          <w:vertAlign w:val="superscript"/>
        </w:rPr>
        <w:t>-7</w:t>
      </w:r>
      <w:r>
        <w:rPr>
          <w:rFonts w:hint="default" w:ascii="Times New Roman" w:hAnsi="Times New Roman" w:cs="Times New Roman"/>
          <w:color w:val="auto"/>
          <w:sz w:val="24"/>
          <w:szCs w:val="24"/>
        </w:rPr>
        <w:t>cm/s的防渗能力。</w:t>
      </w:r>
      <w:r>
        <w:rPr>
          <w:rFonts w:hint="default" w:ascii="Times New Roman" w:hAnsi="Times New Roman" w:cs="Times New Roman"/>
          <w:color w:val="auto"/>
          <w:sz w:val="24"/>
          <w:szCs w:val="24"/>
          <w:lang w:eastAsia="zh-CN"/>
        </w:rPr>
        <w:t>危废库</w:t>
      </w:r>
      <w:r>
        <w:rPr>
          <w:rFonts w:hint="default" w:ascii="Times New Roman" w:hAnsi="Times New Roman" w:cs="Times New Roman"/>
          <w:color w:val="auto"/>
          <w:sz w:val="24"/>
          <w:szCs w:val="24"/>
        </w:rPr>
        <w:t>按《危险废物贮存污染控制标准》的要求进行建设，防渗层的防渗性能应等效于厚度Mb≥6m，渗透系数≤1.0×10</w:t>
      </w:r>
      <w:r>
        <w:rPr>
          <w:rFonts w:hint="default" w:ascii="Times New Roman" w:hAnsi="Times New Roman" w:cs="Times New Roman"/>
          <w:color w:val="auto"/>
          <w:sz w:val="24"/>
          <w:szCs w:val="24"/>
          <w:vertAlign w:val="superscript"/>
        </w:rPr>
        <w:t>-10</w:t>
      </w:r>
      <w:r>
        <w:rPr>
          <w:rFonts w:hint="default" w:ascii="Times New Roman" w:hAnsi="Times New Roman" w:cs="Times New Roman"/>
          <w:color w:val="auto"/>
          <w:sz w:val="24"/>
          <w:szCs w:val="24"/>
        </w:rPr>
        <w:t>cm/s</w:t>
      </w:r>
      <w:r>
        <w:rPr>
          <w:rFonts w:hint="default" w:ascii="Times New Roman" w:hAnsi="Times New Roman" w:cs="Times New Roman"/>
          <w:color w:val="auto"/>
          <w:sz w:val="24"/>
          <w:szCs w:val="24"/>
          <w:lang w:eastAsia="zh-CN"/>
        </w:rPr>
        <w:t>。</w:t>
      </w:r>
    </w:p>
    <w:p>
      <w:pPr>
        <w:spacing w:line="360" w:lineRule="auto"/>
        <w:ind w:firstLine="482"/>
        <w:rPr>
          <w:rFonts w:hint="default" w:ascii="Times New Roman" w:hAnsi="Times New Roman" w:eastAsia="宋体" w:cs="Times New Roman"/>
          <w:b/>
          <w:color w:val="auto"/>
          <w:lang w:eastAsia="zh-CN"/>
        </w:rPr>
      </w:pPr>
      <w:r>
        <w:rPr>
          <w:rFonts w:hint="default" w:ascii="Times New Roman" w:hAnsi="Times New Roman" w:cs="Times New Roman"/>
          <w:b/>
          <w:color w:val="auto"/>
        </w:rPr>
        <w:t>5、</w:t>
      </w:r>
      <w:r>
        <w:rPr>
          <w:rFonts w:hint="default" w:ascii="Times New Roman" w:hAnsi="Times New Roman" w:cs="Times New Roman"/>
          <w:b/>
          <w:color w:val="auto"/>
          <w:lang w:eastAsia="zh-CN"/>
        </w:rPr>
        <w:t>跟踪监测</w:t>
      </w:r>
    </w:p>
    <w:p>
      <w:pPr>
        <w:spacing w:line="360" w:lineRule="auto"/>
        <w:ind w:firstLine="482"/>
        <w:rPr>
          <w:rFonts w:hint="default" w:ascii="Times New Roman" w:hAnsi="Times New Roman" w:eastAsia="宋体" w:cs="Times New Roman"/>
          <w:b w:val="0"/>
          <w:bCs/>
          <w:color w:val="auto"/>
          <w:lang w:eastAsia="zh-CN"/>
        </w:rPr>
      </w:pPr>
      <w:r>
        <w:rPr>
          <w:rFonts w:hint="default" w:ascii="Times New Roman" w:hAnsi="Times New Roman" w:cs="Times New Roman"/>
          <w:b w:val="0"/>
          <w:bCs/>
          <w:color w:val="auto"/>
          <w:lang w:eastAsia="zh-CN"/>
        </w:rPr>
        <w:t>本项目土壤环境评价等级为三级，根据项目生产特点、污染途径、防治措施情况，本环评认为项目正常运行过程中无需开展跟踪监测，但如果项目运行过程中发生土壤污染事件，应按照相关规范开展土壤污染调查、土壤恢复与治理以及后续跟踪监测。</w:t>
      </w:r>
    </w:p>
    <w:p>
      <w:pPr>
        <w:pStyle w:val="6"/>
        <w:spacing w:before="0" w:after="0" w:line="360" w:lineRule="auto"/>
        <w:rPr>
          <w:rFonts w:hint="default" w:ascii="Times New Roman" w:hAnsi="Times New Roman" w:cs="Times New Roman"/>
          <w:color w:val="auto"/>
          <w:szCs w:val="28"/>
        </w:rPr>
      </w:pPr>
      <w:bookmarkStart w:id="913" w:name="_Toc28579"/>
      <w:r>
        <w:rPr>
          <w:rFonts w:hint="default" w:ascii="Times New Roman" w:hAnsi="Times New Roman" w:cs="Times New Roman"/>
          <w:color w:val="auto"/>
          <w:szCs w:val="28"/>
          <w:lang w:val="en-US" w:eastAsia="zh-CN"/>
        </w:rPr>
        <w:t>5</w:t>
      </w:r>
      <w:r>
        <w:rPr>
          <w:rFonts w:hint="default" w:ascii="Times New Roman" w:hAnsi="Times New Roman" w:cs="Times New Roman"/>
          <w:color w:val="auto"/>
          <w:szCs w:val="28"/>
        </w:rPr>
        <w:t>.2.6生态环境影响分析</w:t>
      </w:r>
      <w:bookmarkEnd w:id="912"/>
      <w:bookmarkEnd w:id="913"/>
    </w:p>
    <w:bookmarkEnd w:id="400"/>
    <w:p>
      <w:pPr>
        <w:spacing w:line="360" w:lineRule="auto"/>
        <w:ind w:firstLine="482"/>
        <w:rPr>
          <w:rFonts w:hint="default" w:ascii="Times New Roman" w:hAnsi="Times New Roman" w:cs="Times New Roman"/>
          <w:b w:val="0"/>
          <w:bCs/>
          <w:color w:val="auto"/>
          <w:lang w:eastAsia="zh-CN"/>
        </w:rPr>
      </w:pPr>
      <w:bookmarkStart w:id="914" w:name="_Toc237751442"/>
      <w:bookmarkStart w:id="915" w:name="_Toc26884"/>
      <w:bookmarkStart w:id="916" w:name="_Toc303426547"/>
      <w:bookmarkStart w:id="917" w:name="_Toc21696"/>
      <w:bookmarkStart w:id="918" w:name="_Toc141869386"/>
      <w:bookmarkStart w:id="919" w:name="_Toc27564"/>
      <w:bookmarkStart w:id="920" w:name="_Toc98920200"/>
      <w:bookmarkStart w:id="921" w:name="_Toc25554"/>
      <w:bookmarkStart w:id="922" w:name="_Toc28023"/>
      <w:bookmarkStart w:id="923" w:name="_Toc222310599"/>
      <w:r>
        <w:rPr>
          <w:rFonts w:hint="default" w:ascii="Times New Roman" w:hAnsi="Times New Roman" w:cs="Times New Roman"/>
          <w:b w:val="0"/>
          <w:bCs/>
          <w:color w:val="auto"/>
          <w:lang w:eastAsia="zh-CN"/>
        </w:rPr>
        <w:t>本项目</w:t>
      </w:r>
      <w:r>
        <w:rPr>
          <w:rFonts w:hint="default" w:ascii="Times New Roman" w:hAnsi="Times New Roman" w:cs="Times New Roman"/>
          <w:b w:val="0"/>
          <w:bCs/>
          <w:color w:val="auto"/>
          <w:lang w:eastAsia="zh-CN"/>
        </w:rPr>
        <w:t>建设不新增额外用地，全部在现有厂区内进行，项目不涉及土建工程施工，对外环境的生态影响较小，本次环评主要对项目区域生态环境现状的变化进行分析评价</w:t>
      </w:r>
      <w:r>
        <w:rPr>
          <w:rFonts w:hint="default" w:ascii="Times New Roman" w:hAnsi="Times New Roman" w:cs="Times New Roman"/>
          <w:b w:val="0"/>
          <w:bCs/>
          <w:color w:val="auto"/>
          <w:lang w:eastAsia="zh-CN"/>
        </w:rPr>
        <w:t>。</w:t>
      </w:r>
    </w:p>
    <w:p>
      <w:pPr>
        <w:spacing w:line="360" w:lineRule="auto"/>
        <w:ind w:firstLine="482"/>
        <w:rPr>
          <w:rFonts w:hint="default" w:ascii="Times New Roman" w:hAnsi="Times New Roman" w:cs="Times New Roman"/>
          <w:b/>
          <w:color w:val="auto"/>
          <w:lang w:eastAsia="zh-CN"/>
        </w:rPr>
      </w:pPr>
      <w:r>
        <w:rPr>
          <w:rFonts w:hint="default" w:ascii="Times New Roman" w:hAnsi="Times New Roman" w:cs="Times New Roman"/>
          <w:b/>
          <w:color w:val="auto"/>
          <w:lang w:val="en-US" w:eastAsia="zh-CN"/>
        </w:rPr>
        <w:t>1、</w:t>
      </w:r>
      <w:r>
        <w:rPr>
          <w:rFonts w:hint="default" w:ascii="Times New Roman" w:hAnsi="Times New Roman" w:cs="Times New Roman"/>
          <w:b/>
          <w:color w:val="auto"/>
          <w:lang w:eastAsia="zh-CN"/>
        </w:rPr>
        <w:t>厂址区生态环境现状</w:t>
      </w:r>
    </w:p>
    <w:p>
      <w:pPr>
        <w:spacing w:line="360" w:lineRule="auto"/>
        <w:ind w:firstLine="482"/>
        <w:rPr>
          <w:rFonts w:hint="default" w:ascii="Times New Roman" w:hAnsi="Times New Roman" w:cs="Times New Roman"/>
          <w:b w:val="0"/>
          <w:bCs/>
          <w:color w:val="auto"/>
          <w:lang w:eastAsia="zh-CN"/>
        </w:rPr>
      </w:pPr>
      <w:r>
        <w:rPr>
          <w:rFonts w:hint="default" w:ascii="Times New Roman" w:hAnsi="Times New Roman" w:cs="Times New Roman"/>
          <w:b w:val="0"/>
          <w:bCs/>
          <w:color w:val="auto"/>
          <w:lang w:eastAsia="zh-CN"/>
        </w:rPr>
        <w:t>项目</w:t>
      </w:r>
      <w:r>
        <w:rPr>
          <w:rFonts w:hint="default" w:ascii="Times New Roman" w:hAnsi="Times New Roman" w:cs="Times New Roman"/>
          <w:b w:val="0"/>
          <w:bCs/>
          <w:color w:val="auto"/>
          <w:lang w:eastAsia="zh-CN"/>
        </w:rPr>
        <w:t>厂区</w:t>
      </w:r>
      <w:r>
        <w:rPr>
          <w:rFonts w:hint="default" w:ascii="Times New Roman" w:hAnsi="Times New Roman" w:cs="Times New Roman"/>
          <w:b w:val="0"/>
          <w:bCs/>
          <w:color w:val="auto"/>
          <w:lang w:eastAsia="zh-CN"/>
        </w:rPr>
        <w:t>基本已全部硬化，周边植物主要有桉树、合欢、火棘、女贞、艾蒿、鬼针草等，为当地分布较广、较常见的植物。厂址区域由于长期受人为开发活动的干扰影响，早已不存在大型野生动物栖息地，从整体上讲，评价区的野生动物种类贫乏、数量稀少、生物多样性水平低下，也未发现仅在当地分布的特有种类和珍稀物种。从植被、动物的多样性和丰富度上分析区域内生态环境质量一般。</w:t>
      </w:r>
    </w:p>
    <w:p>
      <w:pPr>
        <w:spacing w:line="360" w:lineRule="auto"/>
        <w:ind w:firstLine="482"/>
        <w:rPr>
          <w:rFonts w:hint="default" w:ascii="Times New Roman" w:hAnsi="Times New Roman" w:cs="Times New Roman"/>
          <w:b/>
          <w:color w:val="auto"/>
          <w:lang w:val="en-US" w:eastAsia="zh-CN"/>
        </w:rPr>
      </w:pPr>
      <w:bookmarkStart w:id="924" w:name="_Toc113790809"/>
      <w:bookmarkStart w:id="925" w:name="_Toc107650406"/>
      <w:bookmarkStart w:id="926" w:name="_Toc107546827"/>
      <w:bookmarkStart w:id="927" w:name="_Toc107650189"/>
      <w:bookmarkStart w:id="928" w:name="_Toc107649787"/>
      <w:bookmarkStart w:id="929" w:name="_Toc107556882"/>
      <w:bookmarkStart w:id="930" w:name="_Toc112890463"/>
      <w:bookmarkStart w:id="931" w:name="_Toc112903076"/>
      <w:bookmarkStart w:id="932" w:name="_Toc107557334"/>
      <w:bookmarkStart w:id="933" w:name="_Toc107557113"/>
      <w:r>
        <w:rPr>
          <w:rFonts w:hint="default" w:ascii="Times New Roman" w:hAnsi="Times New Roman" w:cs="Times New Roman"/>
          <w:b/>
          <w:color w:val="auto"/>
          <w:lang w:val="en-US" w:eastAsia="zh-CN"/>
        </w:rPr>
        <w:t>2、</w:t>
      </w:r>
      <w:r>
        <w:rPr>
          <w:rFonts w:hint="default" w:ascii="Times New Roman" w:hAnsi="Times New Roman" w:cs="Times New Roman"/>
          <w:b/>
          <w:color w:val="auto"/>
          <w:lang w:val="en-US" w:eastAsia="zh-CN"/>
        </w:rPr>
        <w:t>厂区建成后</w:t>
      </w:r>
      <w:r>
        <w:rPr>
          <w:rFonts w:hint="default" w:ascii="Times New Roman" w:hAnsi="Times New Roman" w:cs="Times New Roman"/>
          <w:b/>
          <w:color w:val="auto"/>
          <w:lang w:val="en-US" w:eastAsia="zh-CN"/>
        </w:rPr>
        <w:t>对生态环境的影响</w:t>
      </w:r>
      <w:bookmarkEnd w:id="924"/>
      <w:bookmarkEnd w:id="925"/>
      <w:bookmarkEnd w:id="926"/>
      <w:bookmarkEnd w:id="927"/>
      <w:bookmarkEnd w:id="928"/>
      <w:bookmarkEnd w:id="929"/>
      <w:bookmarkEnd w:id="930"/>
      <w:bookmarkEnd w:id="931"/>
      <w:bookmarkEnd w:id="932"/>
      <w:bookmarkEnd w:id="933"/>
    </w:p>
    <w:p>
      <w:pPr>
        <w:spacing w:line="360" w:lineRule="auto"/>
        <w:ind w:firstLine="482"/>
        <w:rPr>
          <w:rFonts w:hint="default" w:ascii="Times New Roman" w:hAnsi="Times New Roman" w:cs="Times New Roman"/>
          <w:b w:val="0"/>
          <w:bCs/>
          <w:color w:val="auto"/>
          <w:lang w:eastAsia="zh-CN"/>
        </w:rPr>
      </w:pPr>
      <w:r>
        <w:rPr>
          <w:rFonts w:hint="default" w:ascii="Times New Roman" w:hAnsi="Times New Roman" w:cs="Times New Roman"/>
          <w:b w:val="0"/>
          <w:bCs/>
          <w:color w:val="auto"/>
          <w:lang w:eastAsia="zh-CN"/>
        </w:rPr>
        <w:t>（</w:t>
      </w:r>
      <w:r>
        <w:rPr>
          <w:rFonts w:hint="default" w:ascii="Times New Roman" w:hAnsi="Times New Roman" w:cs="Times New Roman"/>
          <w:b w:val="0"/>
          <w:bCs/>
          <w:color w:val="auto"/>
          <w:lang w:val="en-US" w:eastAsia="zh-CN"/>
        </w:rPr>
        <w:t>1</w:t>
      </w:r>
      <w:r>
        <w:rPr>
          <w:rFonts w:hint="default" w:ascii="Times New Roman" w:hAnsi="Times New Roman" w:cs="Times New Roman"/>
          <w:b w:val="0"/>
          <w:bCs/>
          <w:color w:val="auto"/>
          <w:lang w:eastAsia="zh-CN"/>
        </w:rPr>
        <w:t>）对植被和植物资源的影响</w:t>
      </w:r>
    </w:p>
    <w:p>
      <w:pPr>
        <w:spacing w:line="360" w:lineRule="auto"/>
        <w:ind w:firstLine="482"/>
        <w:rPr>
          <w:rFonts w:hint="default" w:ascii="Times New Roman" w:hAnsi="Times New Roman" w:cs="Times New Roman"/>
          <w:b w:val="0"/>
          <w:bCs/>
          <w:color w:val="auto"/>
          <w:lang w:eastAsia="zh-CN"/>
        </w:rPr>
      </w:pPr>
      <w:r>
        <w:rPr>
          <w:rFonts w:hint="default" w:ascii="Times New Roman" w:hAnsi="Times New Roman" w:cs="Times New Roman"/>
          <w:b w:val="0"/>
          <w:bCs/>
          <w:color w:val="auto"/>
          <w:lang w:eastAsia="zh-CN"/>
        </w:rPr>
        <w:t>根据现场调查，评价区内未发现珍稀濒危及属于国家级、省级重点保护的植物种类。项目区及周边主要分布有疏林、针阔混交林，次生林、低矮常绿植物，主要树种有桉树、合欢、火棘、女贞，艾蒿，鬼针草等，植被覆盖率约为60%~70%，植被一般。</w:t>
      </w:r>
      <w:r>
        <w:rPr>
          <w:rFonts w:hint="default" w:ascii="Times New Roman" w:hAnsi="Times New Roman" w:cs="Times New Roman"/>
          <w:b w:val="0"/>
          <w:bCs/>
          <w:color w:val="auto"/>
          <w:lang w:eastAsia="zh-CN"/>
        </w:rPr>
        <w:t>厂区的建设清除了地表植被</w:t>
      </w:r>
      <w:r>
        <w:rPr>
          <w:rFonts w:hint="default" w:ascii="Times New Roman" w:hAnsi="Times New Roman" w:cs="Times New Roman"/>
          <w:b w:val="0"/>
          <w:bCs/>
          <w:color w:val="auto"/>
          <w:lang w:eastAsia="zh-CN"/>
        </w:rPr>
        <w:t>，对</w:t>
      </w:r>
      <w:r>
        <w:rPr>
          <w:rFonts w:hint="default" w:ascii="Times New Roman" w:hAnsi="Times New Roman" w:cs="Times New Roman"/>
          <w:b w:val="0"/>
          <w:bCs/>
          <w:color w:val="auto"/>
          <w:lang w:eastAsia="zh-CN"/>
        </w:rPr>
        <w:t>区域</w:t>
      </w:r>
      <w:r>
        <w:rPr>
          <w:rFonts w:hint="default" w:ascii="Times New Roman" w:hAnsi="Times New Roman" w:cs="Times New Roman"/>
          <w:b w:val="0"/>
          <w:bCs/>
          <w:color w:val="auto"/>
          <w:lang w:eastAsia="zh-CN"/>
        </w:rPr>
        <w:t>的植被群落的物种多样性及结构稳定性产生了一定影响，但</w:t>
      </w:r>
      <w:r>
        <w:rPr>
          <w:rFonts w:hint="default" w:ascii="Times New Roman" w:hAnsi="Times New Roman" w:cs="Times New Roman"/>
          <w:b w:val="0"/>
          <w:bCs/>
          <w:color w:val="auto"/>
          <w:lang w:eastAsia="zh-CN"/>
        </w:rPr>
        <w:t>厂区</w:t>
      </w:r>
      <w:r>
        <w:rPr>
          <w:rFonts w:hint="default" w:ascii="Times New Roman" w:hAnsi="Times New Roman" w:cs="Times New Roman"/>
          <w:b w:val="0"/>
          <w:bCs/>
          <w:color w:val="auto"/>
          <w:lang w:eastAsia="zh-CN"/>
        </w:rPr>
        <w:t>建成后实施的绿化，对于项目区的植被也起到一定的补偿作用。</w:t>
      </w:r>
    </w:p>
    <w:p>
      <w:pPr>
        <w:spacing w:line="360" w:lineRule="auto"/>
        <w:ind w:firstLine="482"/>
        <w:rPr>
          <w:rFonts w:hint="default" w:ascii="Times New Roman" w:hAnsi="Times New Roman" w:cs="Times New Roman"/>
          <w:b w:val="0"/>
          <w:bCs/>
          <w:color w:val="auto"/>
          <w:lang w:eastAsia="zh-CN"/>
        </w:rPr>
      </w:pPr>
      <w:bookmarkStart w:id="934" w:name="_Toc370456957"/>
      <w:r>
        <w:rPr>
          <w:rFonts w:hint="default" w:ascii="Times New Roman" w:hAnsi="Times New Roman" w:cs="Times New Roman"/>
          <w:b w:val="0"/>
          <w:bCs/>
          <w:color w:val="auto"/>
          <w:lang w:eastAsia="zh-CN"/>
        </w:rPr>
        <w:t>（</w:t>
      </w:r>
      <w:r>
        <w:rPr>
          <w:rFonts w:hint="default" w:ascii="Times New Roman" w:hAnsi="Times New Roman" w:cs="Times New Roman"/>
          <w:b w:val="0"/>
          <w:bCs/>
          <w:color w:val="auto"/>
          <w:lang w:val="en-US" w:eastAsia="zh-CN"/>
        </w:rPr>
        <w:t>2</w:t>
      </w:r>
      <w:r>
        <w:rPr>
          <w:rFonts w:hint="default" w:ascii="Times New Roman" w:hAnsi="Times New Roman" w:cs="Times New Roman"/>
          <w:b w:val="0"/>
          <w:bCs/>
          <w:color w:val="auto"/>
          <w:lang w:eastAsia="zh-CN"/>
        </w:rPr>
        <w:t>）对野生动物的影响</w:t>
      </w:r>
      <w:bookmarkEnd w:id="934"/>
    </w:p>
    <w:p>
      <w:pPr>
        <w:spacing w:line="360" w:lineRule="auto"/>
        <w:ind w:firstLine="482"/>
        <w:rPr>
          <w:rFonts w:hint="default" w:ascii="Times New Roman" w:hAnsi="Times New Roman" w:cs="Times New Roman"/>
          <w:b w:val="0"/>
          <w:bCs/>
          <w:color w:val="auto"/>
          <w:lang w:eastAsia="zh-CN"/>
        </w:rPr>
      </w:pPr>
      <w:r>
        <w:rPr>
          <w:rFonts w:hint="default" w:ascii="Times New Roman" w:hAnsi="Times New Roman" w:cs="Times New Roman"/>
          <w:b w:val="0"/>
          <w:bCs/>
          <w:color w:val="auto"/>
          <w:lang w:eastAsia="zh-CN"/>
        </w:rPr>
        <w:t>根据现场调查，项目区域</w:t>
      </w:r>
      <w:r>
        <w:rPr>
          <w:rFonts w:hint="default" w:ascii="Times New Roman" w:hAnsi="Times New Roman" w:cs="Times New Roman"/>
          <w:b w:val="0"/>
          <w:bCs/>
          <w:color w:val="auto"/>
          <w:lang w:eastAsia="zh-CN"/>
        </w:rPr>
        <w:t>处于城市边缘，近年来由于楚雄工业园区的开发，</w:t>
      </w:r>
      <w:r>
        <w:rPr>
          <w:rFonts w:hint="default" w:ascii="Times New Roman" w:hAnsi="Times New Roman" w:cs="Times New Roman"/>
          <w:b w:val="0"/>
          <w:bCs/>
          <w:color w:val="auto"/>
          <w:lang w:eastAsia="zh-CN"/>
        </w:rPr>
        <w:t>受人类活动干扰较大，项目占地和植被破坏减少了野生动物的栖息场所、食物源、活动范围</w:t>
      </w:r>
      <w:r>
        <w:rPr>
          <w:rFonts w:hint="default" w:ascii="Times New Roman" w:hAnsi="Times New Roman" w:cs="Times New Roman"/>
          <w:b w:val="0"/>
          <w:bCs/>
          <w:color w:val="auto"/>
          <w:lang w:eastAsia="zh-CN"/>
        </w:rPr>
        <w:t>。</w:t>
      </w:r>
      <w:r>
        <w:rPr>
          <w:rFonts w:hint="default" w:ascii="Times New Roman" w:hAnsi="Times New Roman" w:cs="Times New Roman"/>
          <w:b w:val="0"/>
          <w:bCs/>
          <w:color w:val="auto"/>
          <w:lang w:eastAsia="zh-CN"/>
        </w:rPr>
        <w:t>评价区内未发现国家级、省级重点保护的动物种类，常见的动物种类，如鼠类、蛇类等。项目运行噪声等将对附近的野生动物带来一定的影响，破坏了周围野生动物的栖息环境。周围野生动物受到影响后可能会趋避，原来生存在周围的部分野生动物由于生境和食物源减少而离开项目区，迁徙到周围区域，使得项目周围一定范围内的野生动物种类、数量减少。但由于项目区目前分布的野生动物种类多为常见的小型动物，该部分动物抵抗外来的干扰力较强，因此项目运行对野生动物的影响有限，仅对厂址周围较近的小范围内的野生动物种类结构和活动范围有影响，不会对区域大范围内的野生动物种类结构和活动范围造成影响。</w:t>
      </w:r>
    </w:p>
    <w:p>
      <w:pPr>
        <w:spacing w:line="360" w:lineRule="auto"/>
        <w:ind w:firstLine="482"/>
        <w:rPr>
          <w:rFonts w:hint="default" w:ascii="Times New Roman" w:hAnsi="Times New Roman" w:cs="Times New Roman"/>
          <w:b w:val="0"/>
          <w:bCs/>
          <w:color w:val="auto"/>
          <w:lang w:eastAsia="zh-CN"/>
        </w:rPr>
      </w:pPr>
      <w:r>
        <w:rPr>
          <w:rFonts w:hint="default" w:ascii="Times New Roman" w:hAnsi="Times New Roman" w:cs="Times New Roman"/>
          <w:b w:val="0"/>
          <w:bCs/>
          <w:color w:val="auto"/>
          <w:lang w:eastAsia="zh-CN"/>
        </w:rPr>
        <w:t>综上所述，项目的建设和运行对项目区域的生态环境影响较小。</w:t>
      </w:r>
    </w:p>
    <w:p>
      <w:pPr>
        <w:pStyle w:val="4"/>
        <w:spacing w:before="0" w:after="0" w:line="360" w:lineRule="auto"/>
        <w:rPr>
          <w:rFonts w:hint="default" w:ascii="Times New Roman" w:hAnsi="Times New Roman" w:eastAsia="宋体" w:cs="Times New Roman"/>
          <w:color w:val="auto"/>
          <w:sz w:val="28"/>
          <w:szCs w:val="28"/>
        </w:rPr>
      </w:pPr>
      <w:bookmarkStart w:id="935" w:name="_Toc28108"/>
      <w:r>
        <w:rPr>
          <w:rFonts w:hint="default" w:ascii="Times New Roman" w:hAnsi="Times New Roman" w:eastAsia="宋体" w:cs="Times New Roman"/>
          <w:color w:val="auto"/>
          <w:sz w:val="28"/>
          <w:szCs w:val="28"/>
          <w:lang w:val="en-US" w:eastAsia="zh-CN"/>
        </w:rPr>
        <w:t>5</w:t>
      </w:r>
      <w:r>
        <w:rPr>
          <w:rFonts w:hint="default" w:ascii="Times New Roman" w:hAnsi="Times New Roman" w:eastAsia="宋体" w:cs="Times New Roman"/>
          <w:color w:val="auto"/>
          <w:sz w:val="28"/>
          <w:szCs w:val="28"/>
        </w:rPr>
        <w:t>.</w:t>
      </w:r>
      <w:r>
        <w:rPr>
          <w:rFonts w:hint="default" w:ascii="Times New Roman" w:hAnsi="Times New Roman" w:eastAsia="宋体" w:cs="Times New Roman"/>
          <w:color w:val="auto"/>
          <w:sz w:val="28"/>
          <w:szCs w:val="28"/>
          <w:lang w:val="en-US" w:eastAsia="zh-CN"/>
        </w:rPr>
        <w:t>3</w:t>
      </w:r>
      <w:r>
        <w:rPr>
          <w:rFonts w:hint="default" w:ascii="Times New Roman" w:hAnsi="Times New Roman" w:eastAsia="宋体" w:cs="Times New Roman"/>
          <w:color w:val="auto"/>
          <w:sz w:val="28"/>
          <w:szCs w:val="28"/>
          <w:lang w:eastAsia="zh-CN"/>
        </w:rPr>
        <w:t>环境风险</w:t>
      </w:r>
      <w:r>
        <w:rPr>
          <w:rFonts w:hint="default" w:ascii="Times New Roman" w:hAnsi="Times New Roman" w:eastAsia="宋体" w:cs="Times New Roman"/>
          <w:color w:val="auto"/>
          <w:sz w:val="28"/>
          <w:szCs w:val="28"/>
        </w:rPr>
        <w:t>分析</w:t>
      </w:r>
      <w:bookmarkEnd w:id="935"/>
    </w:p>
    <w:p>
      <w:pPr>
        <w:pStyle w:val="6"/>
        <w:spacing w:before="0" w:after="0" w:line="360" w:lineRule="auto"/>
        <w:rPr>
          <w:rFonts w:hint="default" w:ascii="Times New Roman" w:hAnsi="Times New Roman" w:cs="Times New Roman"/>
          <w:color w:val="auto"/>
          <w:szCs w:val="28"/>
        </w:rPr>
      </w:pPr>
      <w:bookmarkStart w:id="936" w:name="_Toc5745"/>
      <w:r>
        <w:rPr>
          <w:rFonts w:hint="default" w:ascii="Times New Roman" w:hAnsi="Times New Roman" w:cs="Times New Roman"/>
          <w:color w:val="auto"/>
          <w:szCs w:val="28"/>
          <w:lang w:val="en-US" w:eastAsia="zh-CN"/>
        </w:rPr>
        <w:t>5.3.1</w:t>
      </w:r>
      <w:r>
        <w:rPr>
          <w:rFonts w:hint="default" w:ascii="Times New Roman" w:hAnsi="Times New Roman" w:cs="Times New Roman"/>
          <w:color w:val="auto"/>
          <w:szCs w:val="28"/>
        </w:rPr>
        <w:t xml:space="preserve"> 评价原则</w:t>
      </w:r>
      <w:bookmarkEnd w:id="936"/>
    </w:p>
    <w:p>
      <w:pPr>
        <w:pStyle w:val="64"/>
        <w:adjustRightInd w:val="0"/>
        <w:snapToGrid w:val="0"/>
        <w:spacing w:before="0" w:after="0"/>
        <w:rPr>
          <w:rFonts w:hint="default" w:ascii="Times New Roman" w:hAnsi="Times New Roman" w:cs="Times New Roman"/>
          <w:color w:val="auto"/>
        </w:rPr>
      </w:pPr>
      <w:r>
        <w:rPr>
          <w:rFonts w:hint="default" w:ascii="Times New Roman" w:hAnsi="Times New Roman" w:cs="Times New Roman"/>
          <w:color w:val="auto"/>
        </w:rPr>
        <w:t>按照《建设项目环境风险评价技术导则》（HJ 169-2018）的要求，环境风险评价应以突发性事故导致的危险物质环境急性损害防控为目标，对建设项目的环境风险进行分析、预测和评估，提出环境风险预防、控制、减缓措施，明确环境风险监控及应急要求，为建设项目环境风险提供科学依据。</w:t>
      </w:r>
    </w:p>
    <w:p>
      <w:pPr>
        <w:pStyle w:val="6"/>
        <w:spacing w:before="0" w:after="0" w:line="360" w:lineRule="auto"/>
        <w:rPr>
          <w:rFonts w:hint="default" w:ascii="Times New Roman" w:hAnsi="Times New Roman" w:cs="Times New Roman"/>
          <w:color w:val="auto"/>
          <w:szCs w:val="28"/>
          <w:lang w:val="en-US" w:eastAsia="zh-CN"/>
        </w:rPr>
      </w:pPr>
      <w:bookmarkStart w:id="937" w:name="_Toc399"/>
      <w:r>
        <w:rPr>
          <w:rFonts w:hint="default" w:ascii="Times New Roman" w:hAnsi="Times New Roman" w:cs="Times New Roman"/>
          <w:color w:val="auto"/>
          <w:szCs w:val="28"/>
          <w:lang w:val="en-US" w:eastAsia="zh-CN"/>
        </w:rPr>
        <w:t>5.3.2 评价工作程序</w:t>
      </w:r>
      <w:bookmarkEnd w:id="937"/>
    </w:p>
    <w:p>
      <w:pPr>
        <w:pStyle w:val="64"/>
        <w:adjustRightInd w:val="0"/>
        <w:snapToGrid w:val="0"/>
        <w:spacing w:before="0" w:after="0"/>
        <w:ind w:firstLine="0" w:firstLineChars="0"/>
        <w:rPr>
          <w:rFonts w:hint="default" w:ascii="Times New Roman" w:hAnsi="Times New Roman" w:cs="Times New Roman"/>
          <w:color w:val="FF0000"/>
        </w:rPr>
      </w:pPr>
      <w:r>
        <w:rPr>
          <w:rFonts w:hint="default" w:ascii="Times New Roman" w:hAnsi="Times New Roman" w:cs="Times New Roman"/>
          <w:color w:val="FF0000"/>
        </w:rPr>
        <w:drawing>
          <wp:inline distT="0" distB="0" distL="0" distR="0">
            <wp:extent cx="5274945" cy="5370195"/>
            <wp:effectExtent l="0" t="0" r="1905" b="1905"/>
            <wp:docPr id="2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0"/>
                    <pic:cNvPicPr>
                      <a:picLocks noChangeAspect="1" noChangeArrowheads="1"/>
                    </pic:cNvPicPr>
                  </pic:nvPicPr>
                  <pic:blipFill>
                    <a:blip r:embed="rId32" cstate="print"/>
                    <a:srcRect/>
                    <a:stretch>
                      <a:fillRect/>
                    </a:stretch>
                  </pic:blipFill>
                  <pic:spPr>
                    <a:xfrm>
                      <a:off x="0" y="0"/>
                      <a:ext cx="5274945" cy="5370195"/>
                    </a:xfrm>
                    <a:prstGeom prst="rect">
                      <a:avLst/>
                    </a:prstGeom>
                    <a:noFill/>
                    <a:ln w="9525">
                      <a:noFill/>
                      <a:miter lim="800000"/>
                      <a:headEnd/>
                      <a:tailEnd/>
                    </a:ln>
                  </pic:spPr>
                </pic:pic>
              </a:graphicData>
            </a:graphic>
          </wp:inline>
        </w:drawing>
      </w:r>
    </w:p>
    <w:p>
      <w:pPr>
        <w:pStyle w:val="64"/>
        <w:adjustRightInd w:val="0"/>
        <w:snapToGrid w:val="0"/>
        <w:spacing w:before="0" w:after="0"/>
        <w:ind w:firstLine="0" w:firstLineChars="0"/>
        <w:jc w:val="center"/>
        <w:rPr>
          <w:rFonts w:hint="default" w:ascii="Times New Roman" w:hAnsi="Times New Roman" w:cs="Times New Roman"/>
          <w:b/>
          <w:color w:val="auto"/>
        </w:rPr>
      </w:pPr>
      <w:r>
        <w:rPr>
          <w:rFonts w:hint="default" w:ascii="Times New Roman" w:hAnsi="Times New Roman" w:cs="Times New Roman"/>
          <w:b/>
          <w:color w:val="auto"/>
        </w:rPr>
        <w:t>图</w:t>
      </w:r>
      <w:r>
        <w:rPr>
          <w:rFonts w:hint="default" w:ascii="Times New Roman" w:hAnsi="Times New Roman" w:cs="Times New Roman"/>
          <w:b/>
          <w:color w:val="auto"/>
          <w:lang w:val="en-US" w:eastAsia="zh-CN"/>
        </w:rPr>
        <w:t>4</w:t>
      </w:r>
      <w:r>
        <w:rPr>
          <w:rFonts w:hint="default" w:ascii="Times New Roman" w:hAnsi="Times New Roman" w:cs="Times New Roman"/>
          <w:b/>
          <w:color w:val="auto"/>
        </w:rPr>
        <w:t>-</w:t>
      </w:r>
      <w:r>
        <w:rPr>
          <w:rFonts w:hint="default" w:ascii="Times New Roman" w:hAnsi="Times New Roman" w:cs="Times New Roman"/>
          <w:b/>
          <w:color w:val="auto"/>
          <w:lang w:val="en-US" w:eastAsia="zh-CN"/>
        </w:rPr>
        <w:t>3</w:t>
      </w:r>
      <w:r>
        <w:rPr>
          <w:rFonts w:hint="default" w:ascii="Times New Roman" w:hAnsi="Times New Roman" w:cs="Times New Roman"/>
          <w:b/>
          <w:color w:val="auto"/>
        </w:rPr>
        <w:t xml:space="preserve"> 项目环境风险评价工程程序</w:t>
      </w:r>
    </w:p>
    <w:p>
      <w:pPr>
        <w:pStyle w:val="6"/>
        <w:spacing w:before="0" w:after="0" w:line="360" w:lineRule="auto"/>
        <w:rPr>
          <w:rFonts w:hint="default" w:ascii="Times New Roman" w:hAnsi="Times New Roman" w:eastAsia="宋体" w:cs="Times New Roman"/>
          <w:color w:val="auto"/>
          <w:sz w:val="28"/>
          <w:szCs w:val="28"/>
        </w:rPr>
      </w:pPr>
      <w:bookmarkStart w:id="938" w:name="_Toc26045"/>
      <w:r>
        <w:rPr>
          <w:rFonts w:hint="default" w:ascii="Times New Roman" w:hAnsi="Times New Roman" w:cs="Times New Roman"/>
          <w:color w:val="auto"/>
          <w:sz w:val="28"/>
          <w:szCs w:val="28"/>
          <w:lang w:val="en-US" w:eastAsia="zh-CN"/>
        </w:rPr>
        <w:t>5.3.3</w:t>
      </w:r>
      <w:r>
        <w:rPr>
          <w:rFonts w:hint="default" w:ascii="Times New Roman" w:hAnsi="Times New Roman" w:eastAsia="宋体" w:cs="Times New Roman"/>
          <w:color w:val="auto"/>
          <w:sz w:val="28"/>
          <w:szCs w:val="28"/>
        </w:rPr>
        <w:t xml:space="preserve"> </w:t>
      </w:r>
      <w:r>
        <w:rPr>
          <w:rFonts w:hint="default" w:ascii="Times New Roman" w:hAnsi="Times New Roman" w:cs="Times New Roman"/>
          <w:color w:val="auto"/>
          <w:szCs w:val="28"/>
          <w:lang w:val="en-US" w:eastAsia="zh-CN"/>
        </w:rPr>
        <w:t>风险</w:t>
      </w:r>
      <w:r>
        <w:rPr>
          <w:rFonts w:hint="default" w:ascii="Times New Roman" w:hAnsi="Times New Roman" w:eastAsia="宋体" w:cs="Times New Roman"/>
          <w:color w:val="auto"/>
          <w:sz w:val="28"/>
          <w:szCs w:val="28"/>
        </w:rPr>
        <w:t>调查</w:t>
      </w:r>
      <w:bookmarkEnd w:id="938"/>
    </w:p>
    <w:p>
      <w:pPr>
        <w:spacing w:line="360" w:lineRule="auto"/>
        <w:ind w:firstLine="480" w:firstLineChars="20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1、危险物质调查</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lang w:val="en-US" w:eastAsia="zh-CN"/>
        </w:rPr>
        <w:t>危险物质是指具有易燃易爆、有毒有害等特性，会对环境造成危害的物质。</w:t>
      </w:r>
      <w:r>
        <w:rPr>
          <w:rFonts w:hint="default" w:ascii="Times New Roman" w:hAnsi="Times New Roman" w:cs="Times New Roman"/>
          <w:color w:val="auto"/>
        </w:rPr>
        <w:t>根据《危险化学品</w:t>
      </w:r>
      <w:r>
        <w:rPr>
          <w:rFonts w:hint="default" w:ascii="Times New Roman" w:hAnsi="Times New Roman" w:cs="Times New Roman"/>
          <w:color w:val="auto"/>
          <w:lang w:eastAsia="zh-CN"/>
        </w:rPr>
        <w:t>目录</w:t>
      </w:r>
      <w:r>
        <w:rPr>
          <w:rFonts w:hint="default" w:ascii="Times New Roman" w:hAnsi="Times New Roman" w:cs="Times New Roman"/>
          <w:color w:val="auto"/>
        </w:rPr>
        <w:t>（2015）》对本项目原辅料、主要产品及副产物、污染物进行识别，</w:t>
      </w:r>
      <w:r>
        <w:rPr>
          <w:rFonts w:hint="default" w:ascii="Times New Roman" w:hAnsi="Times New Roman" w:cs="Times New Roman"/>
          <w:color w:val="auto"/>
          <w:lang w:eastAsia="zh-CN"/>
        </w:rPr>
        <w:t>项目的</w:t>
      </w:r>
      <w:r>
        <w:rPr>
          <w:rFonts w:hint="default" w:ascii="Times New Roman" w:hAnsi="Times New Roman" w:cs="Times New Roman"/>
          <w:color w:val="auto"/>
        </w:rPr>
        <w:t>危险物质如下</w:t>
      </w:r>
      <w:r>
        <w:rPr>
          <w:rFonts w:hint="default" w:ascii="Times New Roman" w:hAnsi="Times New Roman" w:cs="Times New Roman"/>
          <w:color w:val="auto"/>
          <w:lang w:eastAsia="zh-CN"/>
        </w:rPr>
        <w:t>所示</w:t>
      </w:r>
      <w:r>
        <w:rPr>
          <w:rFonts w:hint="default" w:ascii="Times New Roman" w:hAnsi="Times New Roman" w:cs="Times New Roman"/>
          <w:color w:val="auto"/>
        </w:rPr>
        <w:t>。</w:t>
      </w:r>
    </w:p>
    <w:p>
      <w:pPr>
        <w:pStyle w:val="178"/>
        <w:keepNext w:val="0"/>
        <w:keepLines w:val="0"/>
        <w:pageBreakBefore w:val="0"/>
        <w:widowControl/>
        <w:numPr>
          <w:ilvl w:val="0"/>
          <w:numId w:val="7"/>
        </w:numPr>
        <w:kinsoku/>
        <w:wordWrap/>
        <w:overflowPunct/>
        <w:topLinePunct w:val="0"/>
        <w:autoSpaceDE/>
        <w:autoSpaceDN/>
        <w:bidi w:val="0"/>
        <w:adjustRightInd/>
        <w:snapToGrid/>
        <w:spacing w:beforeLines="0" w:afterLines="0" w:line="360" w:lineRule="auto"/>
        <w:ind w:left="0" w:leftChars="0" w:firstLine="0" w:firstLineChars="0"/>
        <w:textAlignment w:val="auto"/>
        <w:rPr>
          <w:rFonts w:hint="default" w:ascii="Times New Roman" w:hAnsi="Times New Roman" w:cs="Times New Roman"/>
          <w:b/>
          <w:color w:val="auto"/>
        </w:rPr>
      </w:pPr>
      <w:r>
        <w:rPr>
          <w:rFonts w:hint="default" w:ascii="Times New Roman" w:hAnsi="Times New Roman" w:cs="Times New Roman"/>
          <w:b/>
          <w:color w:val="auto"/>
        </w:rPr>
        <w:t>项目危险物质识别及分布情况表</w:t>
      </w:r>
    </w:p>
    <w:tbl>
      <w:tblPr>
        <w:tblStyle w:val="44"/>
        <w:tblW w:w="84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8"/>
        <w:gridCol w:w="2151"/>
        <w:gridCol w:w="1331"/>
        <w:gridCol w:w="1487"/>
        <w:gridCol w:w="1750"/>
        <w:gridCol w:w="7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9" w:type="dxa"/>
            <w:gridSpan w:val="2"/>
            <w:vAlign w:val="center"/>
          </w:tcPr>
          <w:p>
            <w:pPr>
              <w:jc w:val="center"/>
              <w:rPr>
                <w:rFonts w:hint="default" w:ascii="Times New Roman" w:hAnsi="Times New Roman" w:eastAsia="宋体" w:cs="Times New Roman"/>
                <w:b/>
                <w:color w:val="auto"/>
                <w:sz w:val="21"/>
                <w:szCs w:val="21"/>
                <w:lang w:eastAsia="zh-CN"/>
              </w:rPr>
            </w:pPr>
            <w:r>
              <w:rPr>
                <w:rFonts w:hint="default" w:ascii="Times New Roman" w:hAnsi="Times New Roman" w:cs="Times New Roman"/>
                <w:b/>
                <w:color w:val="auto"/>
                <w:sz w:val="21"/>
                <w:szCs w:val="21"/>
                <w:lang w:eastAsia="zh-CN"/>
              </w:rPr>
              <w:t>项目分类</w:t>
            </w:r>
          </w:p>
        </w:tc>
        <w:tc>
          <w:tcPr>
            <w:tcW w:w="1331" w:type="dxa"/>
            <w:vAlign w:val="center"/>
          </w:tcPr>
          <w:p>
            <w:pPr>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CAS号</w:t>
            </w:r>
          </w:p>
        </w:tc>
        <w:tc>
          <w:tcPr>
            <w:tcW w:w="1487" w:type="dxa"/>
            <w:vAlign w:val="center"/>
          </w:tcPr>
          <w:p>
            <w:pPr>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分布位置</w:t>
            </w:r>
          </w:p>
        </w:tc>
        <w:tc>
          <w:tcPr>
            <w:tcW w:w="1750" w:type="dxa"/>
            <w:vAlign w:val="center"/>
          </w:tcPr>
          <w:p>
            <w:pPr>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是否</w:t>
            </w:r>
            <w:r>
              <w:rPr>
                <w:rFonts w:hint="default" w:ascii="Times New Roman" w:hAnsi="Times New Roman" w:cs="Times New Roman"/>
                <w:b/>
                <w:color w:val="auto"/>
                <w:sz w:val="21"/>
                <w:szCs w:val="21"/>
                <w:lang w:eastAsia="zh-CN"/>
              </w:rPr>
              <w:t>是</w:t>
            </w:r>
            <w:r>
              <w:rPr>
                <w:rFonts w:hint="default" w:ascii="Times New Roman" w:hAnsi="Times New Roman" w:cs="Times New Roman"/>
                <w:b/>
                <w:color w:val="auto"/>
                <w:sz w:val="21"/>
                <w:szCs w:val="21"/>
              </w:rPr>
              <w:t>危险物质</w:t>
            </w:r>
          </w:p>
        </w:tc>
        <w:tc>
          <w:tcPr>
            <w:tcW w:w="791" w:type="dxa"/>
            <w:vAlign w:val="center"/>
          </w:tcPr>
          <w:p>
            <w:pPr>
              <w:jc w:val="center"/>
              <w:rPr>
                <w:rFonts w:hint="default" w:ascii="Times New Roman" w:hAnsi="Times New Roman" w:eastAsia="宋体" w:cs="Times New Roman"/>
                <w:b/>
                <w:color w:val="auto"/>
                <w:sz w:val="21"/>
                <w:szCs w:val="21"/>
                <w:lang w:eastAsia="zh-CN"/>
              </w:rPr>
            </w:pPr>
            <w:r>
              <w:rPr>
                <w:rFonts w:hint="default" w:ascii="Times New Roman" w:hAnsi="Times New Roman" w:cs="Times New Roman"/>
                <w:b/>
                <w:color w:val="auto"/>
                <w:sz w:val="21"/>
                <w:szCs w:val="21"/>
                <w:lang w:eastAsia="zh-CN"/>
              </w:rPr>
              <w:t>危险特性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8"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产品</w:t>
            </w:r>
          </w:p>
        </w:tc>
        <w:tc>
          <w:tcPr>
            <w:tcW w:w="2151" w:type="dxa"/>
            <w:vAlign w:val="center"/>
          </w:tcPr>
          <w:p>
            <w:pPr>
              <w:pStyle w:val="167"/>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单晶硅切片</w:t>
            </w:r>
          </w:p>
        </w:tc>
        <w:tc>
          <w:tcPr>
            <w:tcW w:w="1331" w:type="dxa"/>
            <w:vAlign w:val="center"/>
          </w:tcPr>
          <w:p>
            <w:pPr>
              <w:pStyle w:val="16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1487" w:type="dxa"/>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成品仓库</w:t>
            </w:r>
          </w:p>
        </w:tc>
        <w:tc>
          <w:tcPr>
            <w:tcW w:w="1750" w:type="dxa"/>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否</w:t>
            </w:r>
          </w:p>
        </w:tc>
        <w:tc>
          <w:tcPr>
            <w:tcW w:w="791"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8" w:type="dxa"/>
            <w:vAlign w:val="center"/>
          </w:tcPr>
          <w:p>
            <w:pPr>
              <w:keepNext w:val="0"/>
              <w:keepLines w:val="0"/>
              <w:pageBreakBefore w:val="0"/>
              <w:widowControl w:val="0"/>
              <w:tabs>
                <w:tab w:val="left" w:pos="469"/>
              </w:tabs>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副产物</w:t>
            </w:r>
          </w:p>
        </w:tc>
        <w:tc>
          <w:tcPr>
            <w:tcW w:w="2151" w:type="dxa"/>
            <w:vAlign w:val="center"/>
          </w:tcPr>
          <w:p>
            <w:pPr>
              <w:pStyle w:val="167"/>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废切片</w:t>
            </w:r>
          </w:p>
        </w:tc>
        <w:tc>
          <w:tcPr>
            <w:tcW w:w="1331" w:type="dxa"/>
            <w:vAlign w:val="center"/>
          </w:tcPr>
          <w:p>
            <w:pPr>
              <w:pStyle w:val="16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1487" w:type="dxa"/>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切片车间</w:t>
            </w:r>
          </w:p>
        </w:tc>
        <w:tc>
          <w:tcPr>
            <w:tcW w:w="1750" w:type="dxa"/>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eastAsia="zh-CN"/>
              </w:rPr>
              <w:t>否</w:t>
            </w:r>
          </w:p>
        </w:tc>
        <w:tc>
          <w:tcPr>
            <w:tcW w:w="791"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8" w:type="dxa"/>
            <w:vMerge w:val="restart"/>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原辅料</w:t>
            </w:r>
          </w:p>
        </w:tc>
        <w:tc>
          <w:tcPr>
            <w:tcW w:w="2151" w:type="dxa"/>
            <w:vAlign w:val="center"/>
          </w:tcPr>
          <w:p>
            <w:pPr>
              <w:pStyle w:val="167"/>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单晶硅棒</w:t>
            </w:r>
          </w:p>
        </w:tc>
        <w:tc>
          <w:tcPr>
            <w:tcW w:w="1331" w:type="dxa"/>
            <w:vAlign w:val="center"/>
          </w:tcPr>
          <w:p>
            <w:pPr>
              <w:pStyle w:val="16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1487" w:type="dxa"/>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切片车间</w:t>
            </w:r>
          </w:p>
        </w:tc>
        <w:tc>
          <w:tcPr>
            <w:tcW w:w="1750" w:type="dxa"/>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eastAsia="zh-CN"/>
              </w:rPr>
              <w:t>否</w:t>
            </w:r>
          </w:p>
        </w:tc>
        <w:tc>
          <w:tcPr>
            <w:tcW w:w="791"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38" w:type="dxa"/>
            <w:vMerge w:val="continue"/>
            <w:vAlign w:val="center"/>
          </w:tcPr>
          <w:p>
            <w:pPr>
              <w:jc w:val="center"/>
              <w:rPr>
                <w:rFonts w:hint="default" w:ascii="Times New Roman" w:hAnsi="Times New Roman" w:cs="Times New Roman"/>
                <w:color w:val="auto"/>
                <w:sz w:val="21"/>
                <w:szCs w:val="21"/>
              </w:rPr>
            </w:pPr>
          </w:p>
        </w:tc>
        <w:tc>
          <w:tcPr>
            <w:tcW w:w="2151" w:type="dxa"/>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金刚石线</w:t>
            </w:r>
          </w:p>
        </w:tc>
        <w:tc>
          <w:tcPr>
            <w:tcW w:w="1331" w:type="dxa"/>
            <w:vAlign w:val="center"/>
          </w:tcPr>
          <w:p>
            <w:pPr>
              <w:pStyle w:val="167"/>
              <w:rPr>
                <w:rFonts w:hint="default" w:ascii="Times New Roman" w:hAnsi="Times New Roman" w:cs="Times New Roman"/>
                <w:color w:val="auto"/>
                <w:lang w:eastAsia="zh-CN"/>
              </w:rPr>
            </w:pPr>
            <w:r>
              <w:rPr>
                <w:rFonts w:hint="default" w:ascii="Times New Roman" w:hAnsi="Times New Roman" w:cs="Times New Roman"/>
                <w:color w:val="auto"/>
                <w:lang w:eastAsia="zh-CN"/>
              </w:rPr>
              <w:t>/</w:t>
            </w:r>
          </w:p>
        </w:tc>
        <w:tc>
          <w:tcPr>
            <w:tcW w:w="1487" w:type="dxa"/>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切片车间</w:t>
            </w:r>
          </w:p>
        </w:tc>
        <w:tc>
          <w:tcPr>
            <w:tcW w:w="1750"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否</w:t>
            </w:r>
          </w:p>
        </w:tc>
        <w:tc>
          <w:tcPr>
            <w:tcW w:w="791"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8" w:type="dxa"/>
            <w:vMerge w:val="continue"/>
            <w:vAlign w:val="center"/>
          </w:tcPr>
          <w:p>
            <w:pPr>
              <w:jc w:val="center"/>
              <w:rPr>
                <w:rFonts w:hint="default" w:ascii="Times New Roman" w:hAnsi="Times New Roman" w:cs="Times New Roman"/>
                <w:color w:val="auto"/>
                <w:sz w:val="21"/>
                <w:szCs w:val="21"/>
              </w:rPr>
            </w:pPr>
          </w:p>
        </w:tc>
        <w:tc>
          <w:tcPr>
            <w:tcW w:w="2151" w:type="dxa"/>
            <w:vAlign w:val="center"/>
          </w:tcPr>
          <w:p>
            <w:pPr>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工业酒精（乙醇）</w:t>
            </w:r>
          </w:p>
        </w:tc>
        <w:tc>
          <w:tcPr>
            <w:tcW w:w="1331" w:type="dxa"/>
            <w:vAlign w:val="center"/>
          </w:tcPr>
          <w:p>
            <w:pPr>
              <w:pStyle w:val="167"/>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64-17-5</w:t>
            </w:r>
          </w:p>
        </w:tc>
        <w:tc>
          <w:tcPr>
            <w:tcW w:w="1487"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eastAsia="zh-CN"/>
              </w:rPr>
              <w:t>化学品库</w:t>
            </w:r>
          </w:p>
        </w:tc>
        <w:tc>
          <w:tcPr>
            <w:tcW w:w="1750" w:type="dxa"/>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是</w:t>
            </w:r>
          </w:p>
        </w:tc>
        <w:tc>
          <w:tcPr>
            <w:tcW w:w="791" w:type="dxa"/>
            <w:vAlign w:val="center"/>
          </w:tcPr>
          <w:p>
            <w:pPr>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易燃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8" w:type="dxa"/>
            <w:vMerge w:val="continue"/>
            <w:vAlign w:val="center"/>
          </w:tcPr>
          <w:p>
            <w:pPr>
              <w:jc w:val="center"/>
              <w:rPr>
                <w:rFonts w:hint="default" w:ascii="Times New Roman" w:hAnsi="Times New Roman" w:cs="Times New Roman"/>
                <w:color w:val="auto"/>
                <w:sz w:val="21"/>
                <w:szCs w:val="21"/>
              </w:rPr>
            </w:pPr>
          </w:p>
        </w:tc>
        <w:tc>
          <w:tcPr>
            <w:tcW w:w="2151" w:type="dxa"/>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粘棒胶（环氧树脂）</w:t>
            </w:r>
          </w:p>
        </w:tc>
        <w:tc>
          <w:tcPr>
            <w:tcW w:w="1331" w:type="dxa"/>
            <w:vAlign w:val="center"/>
          </w:tcPr>
          <w:p>
            <w:pPr>
              <w:pStyle w:val="167"/>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24969-06-0</w:t>
            </w:r>
          </w:p>
        </w:tc>
        <w:tc>
          <w:tcPr>
            <w:tcW w:w="1487" w:type="dxa"/>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切片车间</w:t>
            </w:r>
          </w:p>
        </w:tc>
        <w:tc>
          <w:tcPr>
            <w:tcW w:w="1750"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是</w:t>
            </w:r>
          </w:p>
        </w:tc>
        <w:tc>
          <w:tcPr>
            <w:tcW w:w="791" w:type="dxa"/>
            <w:vAlign w:val="center"/>
          </w:tcPr>
          <w:p>
            <w:pPr>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易燃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8" w:type="dxa"/>
            <w:vMerge w:val="continue"/>
            <w:vAlign w:val="center"/>
          </w:tcPr>
          <w:p>
            <w:pPr>
              <w:jc w:val="center"/>
              <w:rPr>
                <w:rFonts w:hint="default" w:ascii="Times New Roman" w:hAnsi="Times New Roman" w:cs="Times New Roman"/>
                <w:color w:val="auto"/>
                <w:sz w:val="21"/>
                <w:szCs w:val="21"/>
              </w:rPr>
            </w:pPr>
          </w:p>
        </w:tc>
        <w:tc>
          <w:tcPr>
            <w:tcW w:w="2151" w:type="dxa"/>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切割原液（聚乙二醇）</w:t>
            </w:r>
          </w:p>
        </w:tc>
        <w:tc>
          <w:tcPr>
            <w:tcW w:w="1331" w:type="dxa"/>
            <w:vAlign w:val="center"/>
          </w:tcPr>
          <w:p>
            <w:pPr>
              <w:pStyle w:val="16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1487" w:type="dxa"/>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化学品库</w:t>
            </w:r>
          </w:p>
        </w:tc>
        <w:tc>
          <w:tcPr>
            <w:tcW w:w="1750" w:type="dxa"/>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否</w:t>
            </w:r>
          </w:p>
        </w:tc>
        <w:tc>
          <w:tcPr>
            <w:tcW w:w="791"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8" w:type="dxa"/>
            <w:vMerge w:val="continue"/>
            <w:vAlign w:val="center"/>
          </w:tcPr>
          <w:p>
            <w:pPr>
              <w:jc w:val="center"/>
              <w:rPr>
                <w:rFonts w:hint="default" w:ascii="Times New Roman" w:hAnsi="Times New Roman" w:cs="Times New Roman"/>
                <w:color w:val="auto"/>
                <w:sz w:val="21"/>
                <w:szCs w:val="21"/>
              </w:rPr>
            </w:pPr>
          </w:p>
        </w:tc>
        <w:tc>
          <w:tcPr>
            <w:tcW w:w="2151" w:type="dxa"/>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脱胶剂（乳酸）</w:t>
            </w:r>
          </w:p>
        </w:tc>
        <w:tc>
          <w:tcPr>
            <w:tcW w:w="1331" w:type="dxa"/>
            <w:vAlign w:val="center"/>
          </w:tcPr>
          <w:p>
            <w:pPr>
              <w:pStyle w:val="16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1487"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化学品库</w:t>
            </w:r>
          </w:p>
        </w:tc>
        <w:tc>
          <w:tcPr>
            <w:tcW w:w="1750" w:type="dxa"/>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否</w:t>
            </w:r>
          </w:p>
        </w:tc>
        <w:tc>
          <w:tcPr>
            <w:tcW w:w="791"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8" w:type="dxa"/>
            <w:vMerge w:val="continue"/>
            <w:vAlign w:val="center"/>
          </w:tcPr>
          <w:p>
            <w:pPr>
              <w:jc w:val="center"/>
              <w:rPr>
                <w:rFonts w:hint="default" w:ascii="Times New Roman" w:hAnsi="Times New Roman" w:cs="Times New Roman"/>
                <w:color w:val="auto"/>
                <w:sz w:val="21"/>
                <w:szCs w:val="21"/>
              </w:rPr>
            </w:pPr>
          </w:p>
        </w:tc>
        <w:tc>
          <w:tcPr>
            <w:tcW w:w="2151" w:type="dxa"/>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双氧水</w:t>
            </w:r>
          </w:p>
        </w:tc>
        <w:tc>
          <w:tcPr>
            <w:tcW w:w="1331" w:type="dxa"/>
            <w:vAlign w:val="center"/>
          </w:tcPr>
          <w:p>
            <w:pPr>
              <w:pStyle w:val="167"/>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7722-84-1</w:t>
            </w:r>
          </w:p>
        </w:tc>
        <w:tc>
          <w:tcPr>
            <w:tcW w:w="1487"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化学品库</w:t>
            </w:r>
          </w:p>
        </w:tc>
        <w:tc>
          <w:tcPr>
            <w:tcW w:w="1750" w:type="dxa"/>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是</w:t>
            </w:r>
          </w:p>
        </w:tc>
        <w:tc>
          <w:tcPr>
            <w:tcW w:w="791"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易爆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8" w:type="dxa"/>
            <w:vMerge w:val="continue"/>
            <w:vAlign w:val="center"/>
          </w:tcPr>
          <w:p>
            <w:pPr>
              <w:jc w:val="center"/>
              <w:rPr>
                <w:rFonts w:hint="default" w:ascii="Times New Roman" w:hAnsi="Times New Roman" w:cs="Times New Roman"/>
                <w:color w:val="auto"/>
                <w:sz w:val="21"/>
                <w:szCs w:val="21"/>
              </w:rPr>
            </w:pPr>
          </w:p>
        </w:tc>
        <w:tc>
          <w:tcPr>
            <w:tcW w:w="2151" w:type="dxa"/>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清洗剂</w:t>
            </w:r>
          </w:p>
        </w:tc>
        <w:tc>
          <w:tcPr>
            <w:tcW w:w="1331" w:type="dxa"/>
            <w:vAlign w:val="center"/>
          </w:tcPr>
          <w:p>
            <w:pPr>
              <w:pStyle w:val="16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1487"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化学品库</w:t>
            </w:r>
          </w:p>
        </w:tc>
        <w:tc>
          <w:tcPr>
            <w:tcW w:w="1750"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否</w:t>
            </w:r>
          </w:p>
        </w:tc>
        <w:tc>
          <w:tcPr>
            <w:tcW w:w="791"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38" w:type="dxa"/>
            <w:vMerge w:val="continue"/>
            <w:vAlign w:val="center"/>
          </w:tcPr>
          <w:p>
            <w:pPr>
              <w:jc w:val="center"/>
              <w:rPr>
                <w:rFonts w:hint="default" w:ascii="Times New Roman" w:hAnsi="Times New Roman" w:cs="Times New Roman"/>
                <w:color w:val="auto"/>
                <w:sz w:val="21"/>
                <w:szCs w:val="21"/>
              </w:rPr>
            </w:pPr>
          </w:p>
        </w:tc>
        <w:tc>
          <w:tcPr>
            <w:tcW w:w="2151" w:type="dxa"/>
            <w:vAlign w:val="center"/>
          </w:tcPr>
          <w:p>
            <w:pPr>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氢氟酸</w:t>
            </w:r>
          </w:p>
        </w:tc>
        <w:tc>
          <w:tcPr>
            <w:tcW w:w="1331" w:type="dxa"/>
            <w:vAlign w:val="center"/>
          </w:tcPr>
          <w:p>
            <w:pPr>
              <w:pStyle w:val="167"/>
              <w:rPr>
                <w:rFonts w:hint="default" w:ascii="Times New Roman" w:hAnsi="Times New Roman" w:cs="Times New Roman"/>
                <w:color w:val="auto"/>
                <w:lang w:eastAsia="zh-CN"/>
              </w:rPr>
            </w:pPr>
            <w:r>
              <w:rPr>
                <w:rFonts w:hint="default" w:ascii="Times New Roman" w:hAnsi="Times New Roman" w:cs="Times New Roman"/>
                <w:color w:val="auto"/>
              </w:rPr>
              <w:t>7664-39-3</w:t>
            </w:r>
          </w:p>
        </w:tc>
        <w:tc>
          <w:tcPr>
            <w:tcW w:w="1487" w:type="dxa"/>
            <w:vAlign w:val="center"/>
          </w:tcPr>
          <w:p>
            <w:pPr>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化学品库</w:t>
            </w:r>
          </w:p>
        </w:tc>
        <w:tc>
          <w:tcPr>
            <w:tcW w:w="1750" w:type="dxa"/>
            <w:vAlign w:val="center"/>
          </w:tcPr>
          <w:p>
            <w:pPr>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是</w:t>
            </w:r>
          </w:p>
        </w:tc>
        <w:tc>
          <w:tcPr>
            <w:tcW w:w="791" w:type="dxa"/>
            <w:vAlign w:val="center"/>
          </w:tcPr>
          <w:p>
            <w:pPr>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腐蚀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38" w:type="dxa"/>
            <w:vMerge w:val="continue"/>
            <w:vAlign w:val="center"/>
          </w:tcPr>
          <w:p>
            <w:pPr>
              <w:jc w:val="center"/>
              <w:rPr>
                <w:rFonts w:hint="default" w:ascii="Times New Roman" w:hAnsi="Times New Roman" w:cs="Times New Roman"/>
                <w:color w:val="auto"/>
                <w:sz w:val="21"/>
                <w:szCs w:val="21"/>
              </w:rPr>
            </w:pPr>
          </w:p>
        </w:tc>
        <w:tc>
          <w:tcPr>
            <w:tcW w:w="2151" w:type="dxa"/>
            <w:vAlign w:val="center"/>
          </w:tcPr>
          <w:p>
            <w:pPr>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盐酸（</w:t>
            </w:r>
            <w:r>
              <w:rPr>
                <w:rFonts w:hint="default" w:ascii="Times New Roman" w:hAnsi="Times New Roman" w:cs="Times New Roman"/>
                <w:color w:val="auto"/>
                <w:sz w:val="21"/>
                <w:szCs w:val="21"/>
                <w:lang w:val="en-US" w:eastAsia="zh-CN"/>
              </w:rPr>
              <w:t>31%</w:t>
            </w:r>
            <w:r>
              <w:rPr>
                <w:rFonts w:hint="default" w:ascii="Times New Roman" w:hAnsi="Times New Roman" w:cs="Times New Roman"/>
                <w:color w:val="auto"/>
                <w:sz w:val="21"/>
                <w:szCs w:val="21"/>
                <w:lang w:eastAsia="zh-CN"/>
              </w:rPr>
              <w:t>）</w:t>
            </w:r>
          </w:p>
        </w:tc>
        <w:tc>
          <w:tcPr>
            <w:tcW w:w="1331" w:type="dxa"/>
            <w:vAlign w:val="center"/>
          </w:tcPr>
          <w:p>
            <w:pPr>
              <w:pStyle w:val="16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7647-01-0</w:t>
            </w:r>
          </w:p>
        </w:tc>
        <w:tc>
          <w:tcPr>
            <w:tcW w:w="1487" w:type="dxa"/>
            <w:vAlign w:val="center"/>
          </w:tcPr>
          <w:p>
            <w:pPr>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化学品库</w:t>
            </w:r>
          </w:p>
        </w:tc>
        <w:tc>
          <w:tcPr>
            <w:tcW w:w="1750" w:type="dxa"/>
            <w:vAlign w:val="center"/>
          </w:tcPr>
          <w:p>
            <w:pPr>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是</w:t>
            </w:r>
          </w:p>
        </w:tc>
        <w:tc>
          <w:tcPr>
            <w:tcW w:w="791" w:type="dxa"/>
            <w:vAlign w:val="center"/>
          </w:tcPr>
          <w:p>
            <w:pPr>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腐蚀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38" w:type="dxa"/>
            <w:vMerge w:val="continue"/>
            <w:vAlign w:val="center"/>
          </w:tcPr>
          <w:p>
            <w:pPr>
              <w:jc w:val="center"/>
              <w:rPr>
                <w:rFonts w:hint="default" w:ascii="Times New Roman" w:hAnsi="Times New Roman" w:cs="Times New Roman"/>
                <w:color w:val="auto"/>
                <w:sz w:val="21"/>
                <w:szCs w:val="21"/>
              </w:rPr>
            </w:pPr>
          </w:p>
        </w:tc>
        <w:tc>
          <w:tcPr>
            <w:tcW w:w="2151" w:type="dxa"/>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氢氧化钠</w:t>
            </w:r>
          </w:p>
        </w:tc>
        <w:tc>
          <w:tcPr>
            <w:tcW w:w="1331" w:type="dxa"/>
            <w:vAlign w:val="center"/>
          </w:tcPr>
          <w:p>
            <w:pPr>
              <w:pStyle w:val="167"/>
              <w:rPr>
                <w:rFonts w:hint="default" w:ascii="Times New Roman" w:hAnsi="Times New Roman" w:cs="Times New Roman"/>
                <w:color w:val="auto"/>
                <w:lang w:eastAsia="zh-CN"/>
              </w:rPr>
            </w:pPr>
            <w:r>
              <w:rPr>
                <w:rFonts w:hint="default" w:ascii="Times New Roman" w:hAnsi="Times New Roman" w:cs="Times New Roman"/>
                <w:color w:val="auto"/>
                <w:lang w:eastAsia="zh-CN"/>
              </w:rPr>
              <w:t>1310-73-2</w:t>
            </w:r>
          </w:p>
        </w:tc>
        <w:tc>
          <w:tcPr>
            <w:tcW w:w="1487"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化学品库</w:t>
            </w:r>
          </w:p>
        </w:tc>
        <w:tc>
          <w:tcPr>
            <w:tcW w:w="1750" w:type="dxa"/>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是</w:t>
            </w:r>
          </w:p>
        </w:tc>
        <w:tc>
          <w:tcPr>
            <w:tcW w:w="791" w:type="dxa"/>
            <w:vAlign w:val="center"/>
          </w:tcPr>
          <w:p>
            <w:pPr>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有毒有害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8"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废水</w:t>
            </w:r>
          </w:p>
        </w:tc>
        <w:tc>
          <w:tcPr>
            <w:tcW w:w="2151"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生产废水（COD浓度</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10000mg/L、氨氮浓度大</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2000mg/L）</w:t>
            </w:r>
          </w:p>
        </w:tc>
        <w:tc>
          <w:tcPr>
            <w:tcW w:w="1331" w:type="dxa"/>
            <w:vAlign w:val="center"/>
          </w:tcPr>
          <w:p>
            <w:pPr>
              <w:pStyle w:val="167"/>
              <w:rPr>
                <w:rFonts w:hint="default" w:ascii="Times New Roman" w:hAnsi="Times New Roman" w:cs="Times New Roman"/>
                <w:color w:val="auto"/>
                <w:lang w:eastAsia="zh-CN"/>
              </w:rPr>
            </w:pPr>
            <w:r>
              <w:rPr>
                <w:rFonts w:hint="default" w:ascii="Times New Roman" w:hAnsi="Times New Roman" w:cs="Times New Roman"/>
                <w:color w:val="auto"/>
                <w:lang w:eastAsia="zh-CN"/>
              </w:rPr>
              <w:t>/</w:t>
            </w:r>
          </w:p>
        </w:tc>
        <w:tc>
          <w:tcPr>
            <w:tcW w:w="1487" w:type="dxa"/>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综合污水处理站</w:t>
            </w:r>
          </w:p>
        </w:tc>
        <w:tc>
          <w:tcPr>
            <w:tcW w:w="1750"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否</w:t>
            </w:r>
          </w:p>
        </w:tc>
        <w:tc>
          <w:tcPr>
            <w:tcW w:w="791"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8" w:type="dxa"/>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固废</w:t>
            </w:r>
          </w:p>
        </w:tc>
        <w:tc>
          <w:tcPr>
            <w:tcW w:w="2151" w:type="dxa"/>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废胶（环氧树脂）</w:t>
            </w:r>
          </w:p>
        </w:tc>
        <w:tc>
          <w:tcPr>
            <w:tcW w:w="1331" w:type="dxa"/>
            <w:vAlign w:val="center"/>
          </w:tcPr>
          <w:p>
            <w:pPr>
              <w:pStyle w:val="16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24969-06-0</w:t>
            </w:r>
          </w:p>
        </w:tc>
        <w:tc>
          <w:tcPr>
            <w:tcW w:w="1487" w:type="dxa"/>
            <w:vAlign w:val="center"/>
          </w:tcPr>
          <w:p>
            <w:pPr>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危废库</w:t>
            </w:r>
          </w:p>
        </w:tc>
        <w:tc>
          <w:tcPr>
            <w:tcW w:w="1750" w:type="dxa"/>
            <w:vAlign w:val="center"/>
          </w:tcPr>
          <w:p>
            <w:pPr>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是</w:t>
            </w:r>
          </w:p>
        </w:tc>
        <w:tc>
          <w:tcPr>
            <w:tcW w:w="791" w:type="dxa"/>
            <w:vAlign w:val="center"/>
          </w:tcPr>
          <w:p>
            <w:pPr>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易燃</w:t>
            </w:r>
          </w:p>
        </w:tc>
      </w:tr>
    </w:tbl>
    <w:p>
      <w:pPr>
        <w:pStyle w:val="64"/>
        <w:adjustRightInd w:val="0"/>
        <w:snapToGrid w:val="0"/>
        <w:spacing w:beforeLines="50" w:after="0"/>
        <w:jc w:val="left"/>
        <w:rPr>
          <w:rFonts w:hint="default" w:ascii="Times New Roman" w:hAnsi="Times New Roman" w:cs="Times New Roman"/>
          <w:color w:val="auto"/>
        </w:rPr>
      </w:pPr>
    </w:p>
    <w:p>
      <w:pPr>
        <w:pStyle w:val="64"/>
        <w:adjustRightInd w:val="0"/>
        <w:snapToGrid w:val="0"/>
        <w:spacing w:beforeLines="50" w:after="0"/>
        <w:jc w:val="left"/>
        <w:rPr>
          <w:rFonts w:hint="default" w:ascii="Times New Roman" w:hAnsi="Times New Roman" w:cs="Times New Roman"/>
          <w:color w:val="auto"/>
        </w:rPr>
      </w:pPr>
    </w:p>
    <w:p>
      <w:pPr>
        <w:pStyle w:val="64"/>
        <w:keepNext w:val="0"/>
        <w:keepLines w:val="0"/>
        <w:pageBreakBefore w:val="0"/>
        <w:widowControl w:val="0"/>
        <w:kinsoku/>
        <w:wordWrap/>
        <w:overflowPunct/>
        <w:topLinePunct w:val="0"/>
        <w:autoSpaceDE/>
        <w:autoSpaceDN/>
        <w:bidi w:val="0"/>
        <w:adjustRightInd w:val="0"/>
        <w:snapToGrid w:val="0"/>
        <w:spacing w:before="0" w:after="0"/>
        <w:ind w:firstLine="0" w:firstLineChars="0"/>
        <w:jc w:val="left"/>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drawing>
          <wp:inline distT="0" distB="0" distL="114300" distR="114300">
            <wp:extent cx="5277485" cy="6874510"/>
            <wp:effectExtent l="0" t="0" r="18415" b="2540"/>
            <wp:docPr id="6" name="图片 6" descr="危险物质分布单元-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危险物质分布单元-Model"/>
                    <pic:cNvPicPr>
                      <a:picLocks noChangeAspect="1"/>
                    </pic:cNvPicPr>
                  </pic:nvPicPr>
                  <pic:blipFill>
                    <a:blip r:embed="rId33"/>
                    <a:stretch>
                      <a:fillRect/>
                    </a:stretch>
                  </pic:blipFill>
                  <pic:spPr>
                    <a:xfrm>
                      <a:off x="0" y="0"/>
                      <a:ext cx="5277485" cy="6874510"/>
                    </a:xfrm>
                    <a:prstGeom prst="rect">
                      <a:avLst/>
                    </a:prstGeom>
                  </pic:spPr>
                </pic:pic>
              </a:graphicData>
            </a:graphic>
          </wp:inline>
        </w:drawing>
      </w:r>
    </w:p>
    <w:p>
      <w:pPr>
        <w:pStyle w:val="64"/>
        <w:keepNext w:val="0"/>
        <w:keepLines w:val="0"/>
        <w:pageBreakBefore w:val="0"/>
        <w:widowControl w:val="0"/>
        <w:kinsoku/>
        <w:wordWrap/>
        <w:overflowPunct/>
        <w:topLinePunct w:val="0"/>
        <w:autoSpaceDE/>
        <w:autoSpaceDN/>
        <w:bidi w:val="0"/>
        <w:adjustRightInd w:val="0"/>
        <w:snapToGrid w:val="0"/>
        <w:spacing w:before="0" w:after="0"/>
        <w:ind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cs="Times New Roman"/>
          <w:b/>
          <w:bCs/>
          <w:color w:val="auto"/>
          <w:lang w:eastAsia="zh-CN"/>
        </w:rPr>
        <w:t>图</w:t>
      </w:r>
      <w:r>
        <w:rPr>
          <w:rFonts w:hint="default" w:ascii="Times New Roman" w:hAnsi="Times New Roman" w:cs="Times New Roman"/>
          <w:b/>
          <w:bCs/>
          <w:color w:val="auto"/>
          <w:lang w:val="en-US" w:eastAsia="zh-CN"/>
        </w:rPr>
        <w:t>5-3 危险物质单元分布图</w:t>
      </w:r>
    </w:p>
    <w:p>
      <w:pPr>
        <w:pStyle w:val="64"/>
        <w:keepNext w:val="0"/>
        <w:keepLines w:val="0"/>
        <w:pageBreakBefore w:val="0"/>
        <w:widowControl w:val="0"/>
        <w:kinsoku/>
        <w:wordWrap/>
        <w:overflowPunct/>
        <w:topLinePunct w:val="0"/>
        <w:autoSpaceDE/>
        <w:autoSpaceDN/>
        <w:bidi w:val="0"/>
        <w:adjustRightInd w:val="0"/>
        <w:snapToGrid w:val="0"/>
        <w:spacing w:before="0" w:after="0"/>
        <w:jc w:val="left"/>
        <w:textAlignment w:val="auto"/>
        <w:rPr>
          <w:rFonts w:hint="default" w:ascii="Times New Roman" w:hAnsi="Times New Roman" w:cs="Times New Roman"/>
          <w:color w:val="auto"/>
        </w:rPr>
      </w:pPr>
      <w:r>
        <w:rPr>
          <w:rFonts w:hint="default" w:ascii="Times New Roman" w:hAnsi="Times New Roman" w:cs="Times New Roman"/>
          <w:color w:val="auto"/>
        </w:rPr>
        <w:t>2、危险物质理化性质及危险特性</w:t>
      </w:r>
    </w:p>
    <w:p>
      <w:pPr>
        <w:pStyle w:val="64"/>
        <w:adjustRightInd w:val="0"/>
        <w:snapToGrid w:val="0"/>
        <w:spacing w:before="0" w:after="0"/>
        <w:jc w:val="left"/>
        <w:rPr>
          <w:rFonts w:hint="default" w:ascii="Times New Roman" w:hAnsi="Times New Roman" w:cs="Times New Roman"/>
          <w:color w:val="auto"/>
        </w:rPr>
      </w:pPr>
      <w:r>
        <w:rPr>
          <w:rFonts w:hint="default" w:ascii="Times New Roman" w:hAnsi="Times New Roman" w:cs="Times New Roman"/>
          <w:color w:val="auto"/>
        </w:rPr>
        <w:t>根据上表识别结果，将本项目危险物质的理化性质及危险特性列表如下。</w:t>
      </w:r>
    </w:p>
    <w:p>
      <w:pPr>
        <w:pStyle w:val="64"/>
        <w:adjustRightInd w:val="0"/>
        <w:snapToGrid w:val="0"/>
        <w:spacing w:before="0" w:after="0"/>
        <w:jc w:val="left"/>
        <w:rPr>
          <w:rFonts w:hint="default" w:ascii="Times New Roman" w:hAnsi="Times New Roman" w:cs="Times New Roman"/>
          <w:color w:val="auto"/>
        </w:rPr>
      </w:pPr>
    </w:p>
    <w:p>
      <w:pPr>
        <w:pStyle w:val="64"/>
        <w:adjustRightInd w:val="0"/>
        <w:snapToGrid w:val="0"/>
        <w:spacing w:before="0" w:after="0"/>
        <w:jc w:val="left"/>
        <w:rPr>
          <w:rFonts w:hint="default" w:ascii="Times New Roman" w:hAnsi="Times New Roman" w:cs="Times New Roman"/>
          <w:color w:val="auto"/>
        </w:rPr>
      </w:pPr>
    </w:p>
    <w:p>
      <w:pPr>
        <w:pStyle w:val="64"/>
        <w:adjustRightInd w:val="0"/>
        <w:snapToGrid w:val="0"/>
        <w:spacing w:before="0" w:after="0"/>
        <w:jc w:val="left"/>
        <w:rPr>
          <w:rFonts w:hint="default" w:ascii="Times New Roman" w:hAnsi="Times New Roman" w:cs="Times New Roman"/>
          <w:color w:val="auto"/>
        </w:rPr>
      </w:pPr>
    </w:p>
    <w:p>
      <w:pPr>
        <w:pStyle w:val="64"/>
        <w:adjustRightInd w:val="0"/>
        <w:snapToGrid w:val="0"/>
        <w:spacing w:before="0" w:after="0"/>
        <w:jc w:val="left"/>
        <w:rPr>
          <w:rFonts w:hint="default" w:ascii="Times New Roman" w:hAnsi="Times New Roman" w:cs="Times New Roman"/>
          <w:color w:val="auto"/>
        </w:rPr>
      </w:pPr>
    </w:p>
    <w:p>
      <w:pPr>
        <w:pStyle w:val="178"/>
        <w:keepNext w:val="0"/>
        <w:keepLines w:val="0"/>
        <w:pageBreakBefore w:val="0"/>
        <w:widowControl/>
        <w:numPr>
          <w:ilvl w:val="0"/>
          <w:numId w:val="7"/>
        </w:numPr>
        <w:kinsoku/>
        <w:wordWrap/>
        <w:overflowPunct/>
        <w:topLinePunct w:val="0"/>
        <w:autoSpaceDE/>
        <w:autoSpaceDN/>
        <w:bidi w:val="0"/>
        <w:adjustRightInd/>
        <w:snapToGrid/>
        <w:spacing w:beforeLines="0" w:afterLines="0" w:line="360" w:lineRule="auto"/>
        <w:ind w:left="0" w:leftChars="0" w:firstLine="0" w:firstLineChars="0"/>
        <w:textAlignment w:val="auto"/>
        <w:rPr>
          <w:rFonts w:hint="default" w:ascii="Times New Roman" w:hAnsi="Times New Roman" w:cs="Times New Roman"/>
          <w:b/>
          <w:color w:val="auto"/>
        </w:rPr>
      </w:pPr>
      <w:r>
        <w:rPr>
          <w:rFonts w:hint="default" w:ascii="Times New Roman" w:hAnsi="Times New Roman" w:cs="Times New Roman"/>
          <w:b/>
          <w:color w:val="auto"/>
          <w:lang w:eastAsia="zh-CN"/>
        </w:rPr>
        <w:t>乙醇的理化性质及危险特性</w:t>
      </w:r>
      <w:r>
        <w:rPr>
          <w:rFonts w:hint="default" w:ascii="Times New Roman" w:hAnsi="Times New Roman" w:cs="Times New Roman"/>
          <w:b/>
          <w:color w:val="auto"/>
        </w:rPr>
        <w:t>表</w:t>
      </w:r>
    </w:p>
    <w:tbl>
      <w:tblPr>
        <w:tblStyle w:val="44"/>
        <w:tblW w:w="89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4"/>
        <w:gridCol w:w="1279"/>
        <w:gridCol w:w="1069"/>
        <w:gridCol w:w="469"/>
        <w:gridCol w:w="1076"/>
        <w:gridCol w:w="293"/>
        <w:gridCol w:w="916"/>
        <w:gridCol w:w="1030"/>
        <w:gridCol w:w="8"/>
        <w:gridCol w:w="979"/>
        <w:gridCol w:w="1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Merge w:val="restart"/>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标识</w:t>
            </w:r>
          </w:p>
        </w:tc>
        <w:tc>
          <w:tcPr>
            <w:tcW w:w="1279"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中文名</w:t>
            </w:r>
          </w:p>
        </w:tc>
        <w:tc>
          <w:tcPr>
            <w:tcW w:w="2631" w:type="dxa"/>
            <w:gridSpan w:val="3"/>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乙醇</w:t>
            </w:r>
          </w:p>
        </w:tc>
        <w:tc>
          <w:tcPr>
            <w:tcW w:w="2252" w:type="dxa"/>
            <w:gridSpan w:val="3"/>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英文名</w:t>
            </w:r>
          </w:p>
        </w:tc>
        <w:tc>
          <w:tcPr>
            <w:tcW w:w="2006" w:type="dxa"/>
            <w:gridSpan w:val="3"/>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val="en-US" w:eastAsia="zh-CN" w:bidi="ar"/>
              </w:rPr>
              <w:t>ethyl alcohol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41" w:type="dxa"/>
            <w:vMerge w:val="continue"/>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p>
        </w:tc>
        <w:tc>
          <w:tcPr>
            <w:tcW w:w="1279"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分子式</w:t>
            </w:r>
          </w:p>
        </w:tc>
        <w:tc>
          <w:tcPr>
            <w:tcW w:w="1550" w:type="dxa"/>
            <w:gridSpan w:val="2"/>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C</w:t>
            </w:r>
            <w:r>
              <w:rPr>
                <w:rFonts w:hint="default" w:ascii="Times New Roman" w:hAnsi="Times New Roman" w:cs="Times New Roman"/>
                <w:color w:val="auto"/>
                <w:sz w:val="21"/>
                <w:szCs w:val="21"/>
                <w:vertAlign w:val="subscript"/>
                <w:lang w:val="en-US" w:eastAsia="zh-CN"/>
              </w:rPr>
              <w:t>2</w:t>
            </w:r>
            <w:r>
              <w:rPr>
                <w:rFonts w:hint="default" w:ascii="Times New Roman" w:hAnsi="Times New Roman" w:cs="Times New Roman"/>
                <w:color w:val="auto"/>
                <w:sz w:val="21"/>
                <w:szCs w:val="21"/>
                <w:lang w:val="en-US" w:eastAsia="zh-CN"/>
              </w:rPr>
              <w:t>H</w:t>
            </w:r>
            <w:r>
              <w:rPr>
                <w:rFonts w:hint="default" w:ascii="Times New Roman" w:hAnsi="Times New Roman" w:cs="Times New Roman"/>
                <w:color w:val="auto"/>
                <w:sz w:val="21"/>
                <w:szCs w:val="21"/>
                <w:vertAlign w:val="subscript"/>
                <w:lang w:val="en-US" w:eastAsia="zh-CN"/>
              </w:rPr>
              <w:t>6</w:t>
            </w:r>
            <w:r>
              <w:rPr>
                <w:rFonts w:hint="default" w:ascii="Times New Roman" w:hAnsi="Times New Roman" w:cs="Times New Roman"/>
                <w:color w:val="auto"/>
                <w:sz w:val="21"/>
                <w:szCs w:val="21"/>
                <w:lang w:val="en-US" w:eastAsia="zh-CN"/>
              </w:rPr>
              <w:t>O</w:t>
            </w:r>
          </w:p>
        </w:tc>
        <w:tc>
          <w:tcPr>
            <w:tcW w:w="1081"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分子量</w:t>
            </w:r>
          </w:p>
        </w:tc>
        <w:tc>
          <w:tcPr>
            <w:tcW w:w="1218" w:type="dxa"/>
            <w:gridSpan w:val="2"/>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46.07</w:t>
            </w:r>
          </w:p>
        </w:tc>
        <w:tc>
          <w:tcPr>
            <w:tcW w:w="1042" w:type="dxa"/>
            <w:gridSpan w:val="2"/>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CAS号</w:t>
            </w:r>
          </w:p>
        </w:tc>
        <w:tc>
          <w:tcPr>
            <w:tcW w:w="1998" w:type="dxa"/>
            <w:gridSpan w:val="2"/>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64</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17</w:t>
            </w:r>
            <w:r>
              <w:rPr>
                <w:rFonts w:hint="default" w:ascii="Times New Roman" w:hAnsi="Times New Roman" w:cs="Times New Roman"/>
                <w:color w:val="auto"/>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Merge w:val="continue"/>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p>
        </w:tc>
        <w:tc>
          <w:tcPr>
            <w:tcW w:w="8168" w:type="dxa"/>
            <w:gridSpan w:val="10"/>
            <w:vAlign w:val="center"/>
          </w:tcPr>
          <w:p>
            <w:pPr>
              <w:keepNext w:val="0"/>
              <w:keepLines w:val="0"/>
              <w:widowControl/>
              <w:suppressLineNumbers w:val="0"/>
              <w:ind w:firstLine="210" w:firstLineChars="100"/>
              <w:jc w:val="left"/>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kern w:val="0"/>
                <w:sz w:val="21"/>
                <w:szCs w:val="21"/>
                <w:lang w:val="en-US" w:eastAsia="zh-CN" w:bidi="ar"/>
              </w:rPr>
              <w:t>危规号：32061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Merge w:val="restart"/>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理化性质</w:t>
            </w:r>
          </w:p>
        </w:tc>
        <w:tc>
          <w:tcPr>
            <w:tcW w:w="1279"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外观与性状</w:t>
            </w:r>
          </w:p>
        </w:tc>
        <w:tc>
          <w:tcPr>
            <w:tcW w:w="6889" w:type="dxa"/>
            <w:gridSpan w:val="9"/>
            <w:vAlign w:val="center"/>
          </w:tcPr>
          <w:p>
            <w:pPr>
              <w:pStyle w:val="64"/>
              <w:adjustRightInd w:val="0"/>
              <w:snapToGrid w:val="0"/>
              <w:spacing w:before="0" w:after="0" w:line="240" w:lineRule="auto"/>
              <w:ind w:firstLine="0" w:firstLineChars="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无色液体，有酒香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 w:hRule="atLeast"/>
          <w:jc w:val="center"/>
        </w:trPr>
        <w:tc>
          <w:tcPr>
            <w:tcW w:w="741" w:type="dxa"/>
            <w:vMerge w:val="continue"/>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p>
        </w:tc>
        <w:tc>
          <w:tcPr>
            <w:tcW w:w="1279" w:type="dxa"/>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溶解性</w:t>
            </w:r>
          </w:p>
        </w:tc>
        <w:tc>
          <w:tcPr>
            <w:tcW w:w="6889" w:type="dxa"/>
            <w:gridSpan w:val="9"/>
            <w:vAlign w:val="center"/>
          </w:tcPr>
          <w:p>
            <w:pPr>
              <w:pStyle w:val="64"/>
              <w:adjustRightInd w:val="0"/>
              <w:snapToGrid w:val="0"/>
              <w:spacing w:before="0" w:after="0" w:line="240" w:lineRule="auto"/>
              <w:ind w:firstLine="0" w:firstLineChars="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与水混溶，可混溶于醚、氯仿、甘油等多数有机溶剂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 w:hRule="atLeast"/>
          <w:jc w:val="center"/>
        </w:trPr>
        <w:tc>
          <w:tcPr>
            <w:tcW w:w="741" w:type="dxa"/>
            <w:vMerge w:val="continue"/>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p>
        </w:tc>
        <w:tc>
          <w:tcPr>
            <w:tcW w:w="1279"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熔点（℃）</w:t>
            </w:r>
          </w:p>
        </w:tc>
        <w:tc>
          <w:tcPr>
            <w:tcW w:w="1074" w:type="dxa"/>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114.1</w:t>
            </w:r>
          </w:p>
        </w:tc>
        <w:tc>
          <w:tcPr>
            <w:tcW w:w="1854" w:type="dxa"/>
            <w:gridSpan w:val="3"/>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沸点（℃）</w:t>
            </w:r>
          </w:p>
        </w:tc>
        <w:tc>
          <w:tcPr>
            <w:tcW w:w="921" w:type="dxa"/>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78.3</w:t>
            </w:r>
          </w:p>
        </w:tc>
        <w:tc>
          <w:tcPr>
            <w:tcW w:w="2038" w:type="dxa"/>
            <w:gridSpan w:val="3"/>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相对密度（</w:t>
            </w:r>
            <w:r>
              <w:rPr>
                <w:rFonts w:hint="default" w:ascii="Times New Roman" w:hAnsi="Times New Roman" w:cs="Times New Roman"/>
                <w:color w:val="auto"/>
                <w:sz w:val="21"/>
                <w:szCs w:val="21"/>
                <w:lang w:eastAsia="zh-CN"/>
              </w:rPr>
              <w:t>水</w:t>
            </w:r>
            <w:r>
              <w:rPr>
                <w:rFonts w:hint="default"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rPr>
              <w:t>）</w:t>
            </w:r>
          </w:p>
        </w:tc>
        <w:tc>
          <w:tcPr>
            <w:tcW w:w="1002" w:type="dxa"/>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41" w:type="dxa"/>
            <w:vMerge w:val="continue"/>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p>
        </w:tc>
        <w:tc>
          <w:tcPr>
            <w:tcW w:w="1279" w:type="dxa"/>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临界温度</w:t>
            </w:r>
            <w:r>
              <w:rPr>
                <w:rFonts w:hint="default" w:ascii="Times New Roman" w:hAnsi="Times New Roman" w:cs="Times New Roman"/>
                <w:color w:val="auto"/>
                <w:sz w:val="21"/>
                <w:szCs w:val="21"/>
              </w:rPr>
              <w:t>（℃）</w:t>
            </w:r>
          </w:p>
        </w:tc>
        <w:tc>
          <w:tcPr>
            <w:tcW w:w="1074" w:type="dxa"/>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243.1</w:t>
            </w:r>
          </w:p>
        </w:tc>
        <w:tc>
          <w:tcPr>
            <w:tcW w:w="1854" w:type="dxa"/>
            <w:gridSpan w:val="3"/>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临界压力（</w:t>
            </w:r>
            <w:r>
              <w:rPr>
                <w:rFonts w:hint="default" w:ascii="Times New Roman" w:hAnsi="Times New Roman" w:cs="Times New Roman"/>
                <w:color w:val="auto"/>
                <w:sz w:val="21"/>
                <w:szCs w:val="21"/>
                <w:lang w:val="en-US" w:eastAsia="zh-CN"/>
              </w:rPr>
              <w:t>MPa</w:t>
            </w:r>
            <w:r>
              <w:rPr>
                <w:rFonts w:hint="default" w:ascii="Times New Roman" w:hAnsi="Times New Roman" w:cs="Times New Roman"/>
                <w:color w:val="auto"/>
                <w:sz w:val="21"/>
                <w:szCs w:val="21"/>
                <w:lang w:eastAsia="zh-CN"/>
              </w:rPr>
              <w:t>）</w:t>
            </w:r>
          </w:p>
        </w:tc>
        <w:tc>
          <w:tcPr>
            <w:tcW w:w="921" w:type="dxa"/>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6.38</w:t>
            </w:r>
          </w:p>
        </w:tc>
        <w:tc>
          <w:tcPr>
            <w:tcW w:w="2038" w:type="dxa"/>
            <w:gridSpan w:val="3"/>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相对密度（</w:t>
            </w:r>
            <w:r>
              <w:rPr>
                <w:rFonts w:hint="default" w:ascii="Times New Roman" w:hAnsi="Times New Roman" w:cs="Times New Roman"/>
                <w:color w:val="auto"/>
                <w:sz w:val="21"/>
                <w:szCs w:val="21"/>
                <w:lang w:eastAsia="zh-CN"/>
              </w:rPr>
              <w:t>空气</w:t>
            </w:r>
            <w:r>
              <w:rPr>
                <w:rFonts w:hint="default"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rPr>
              <w:t>）</w:t>
            </w:r>
          </w:p>
        </w:tc>
        <w:tc>
          <w:tcPr>
            <w:tcW w:w="1002" w:type="dxa"/>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Merge w:val="continue"/>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p>
        </w:tc>
        <w:tc>
          <w:tcPr>
            <w:tcW w:w="1279" w:type="dxa"/>
            <w:vAlign w:val="center"/>
          </w:tcPr>
          <w:p>
            <w:pPr>
              <w:keepNext w:val="0"/>
              <w:keepLines w:val="0"/>
              <w:widowControl/>
              <w:suppressLineNumbers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燃烧热（</w:t>
            </w:r>
            <w:r>
              <w:rPr>
                <w:rFonts w:hint="default" w:ascii="Times New Roman" w:hAnsi="Times New Roman" w:eastAsia="宋体" w:cs="Times New Roman"/>
                <w:color w:val="auto"/>
                <w:kern w:val="0"/>
                <w:sz w:val="21"/>
                <w:szCs w:val="21"/>
                <w:lang w:val="en-US" w:eastAsia="zh-CN" w:bidi="ar"/>
              </w:rPr>
              <w:t>KJ/mol）</w:t>
            </w:r>
          </w:p>
        </w:tc>
        <w:tc>
          <w:tcPr>
            <w:tcW w:w="1074"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1365.5</w:t>
            </w:r>
          </w:p>
        </w:tc>
        <w:tc>
          <w:tcPr>
            <w:tcW w:w="1854" w:type="dxa"/>
            <w:gridSpan w:val="3"/>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最小点火能（</w:t>
            </w:r>
            <w:r>
              <w:rPr>
                <w:rFonts w:hint="default" w:ascii="Times New Roman" w:hAnsi="Times New Roman" w:cs="Times New Roman"/>
                <w:color w:val="auto"/>
                <w:sz w:val="21"/>
                <w:szCs w:val="21"/>
                <w:lang w:val="en-US" w:eastAsia="zh-CN"/>
              </w:rPr>
              <w:t>mJ</w:t>
            </w:r>
            <w:r>
              <w:rPr>
                <w:rFonts w:hint="default" w:ascii="Times New Roman" w:hAnsi="Times New Roman" w:cs="Times New Roman"/>
                <w:color w:val="auto"/>
                <w:sz w:val="21"/>
                <w:szCs w:val="21"/>
                <w:lang w:eastAsia="zh-CN"/>
              </w:rPr>
              <w:t>）</w:t>
            </w:r>
          </w:p>
        </w:tc>
        <w:tc>
          <w:tcPr>
            <w:tcW w:w="921"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2038" w:type="dxa"/>
            <w:gridSpan w:val="3"/>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饱和蒸气压（</w:t>
            </w:r>
            <w:r>
              <w:rPr>
                <w:rFonts w:hint="default" w:ascii="Times New Roman" w:hAnsi="Times New Roman" w:cs="Times New Roman"/>
                <w:color w:val="auto"/>
                <w:sz w:val="21"/>
                <w:szCs w:val="21"/>
                <w:lang w:val="en-US" w:eastAsia="zh-CN"/>
              </w:rPr>
              <w:t>UPa</w:t>
            </w:r>
            <w:r>
              <w:rPr>
                <w:rFonts w:hint="default" w:ascii="Times New Roman" w:hAnsi="Times New Roman" w:cs="Times New Roman"/>
                <w:color w:val="auto"/>
                <w:sz w:val="21"/>
                <w:szCs w:val="21"/>
                <w:lang w:eastAsia="zh-CN"/>
              </w:rPr>
              <w:t>）</w:t>
            </w:r>
          </w:p>
        </w:tc>
        <w:tc>
          <w:tcPr>
            <w:tcW w:w="1002"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5.33（19℃）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Merge w:val="restart"/>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燃烧爆炸危险性</w:t>
            </w:r>
          </w:p>
        </w:tc>
        <w:tc>
          <w:tcPr>
            <w:tcW w:w="1279"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燃烧性</w:t>
            </w:r>
          </w:p>
        </w:tc>
        <w:tc>
          <w:tcPr>
            <w:tcW w:w="1074" w:type="dxa"/>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易燃</w:t>
            </w:r>
          </w:p>
        </w:tc>
        <w:tc>
          <w:tcPr>
            <w:tcW w:w="1854" w:type="dxa"/>
            <w:gridSpan w:val="3"/>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燃烧分解物</w:t>
            </w:r>
          </w:p>
        </w:tc>
        <w:tc>
          <w:tcPr>
            <w:tcW w:w="3961" w:type="dxa"/>
            <w:gridSpan w:val="5"/>
            <w:vAlign w:val="center"/>
          </w:tcPr>
          <w:p>
            <w:pPr>
              <w:pStyle w:val="64"/>
              <w:adjustRightInd w:val="0"/>
              <w:snapToGrid w:val="0"/>
              <w:spacing w:before="0" w:after="0" w:line="240" w:lineRule="auto"/>
              <w:ind w:firstLine="0" w:firstLineChars="0"/>
              <w:jc w:val="left"/>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一氧化碳、二氧化碳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Merge w:val="continue"/>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p>
        </w:tc>
        <w:tc>
          <w:tcPr>
            <w:tcW w:w="1279"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闪点（℃）</w:t>
            </w:r>
          </w:p>
        </w:tc>
        <w:tc>
          <w:tcPr>
            <w:tcW w:w="1074" w:type="dxa"/>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12</w:t>
            </w:r>
          </w:p>
        </w:tc>
        <w:tc>
          <w:tcPr>
            <w:tcW w:w="1854" w:type="dxa"/>
            <w:gridSpan w:val="3"/>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聚合危害</w:t>
            </w:r>
          </w:p>
        </w:tc>
        <w:tc>
          <w:tcPr>
            <w:tcW w:w="3961" w:type="dxa"/>
            <w:gridSpan w:val="5"/>
            <w:vAlign w:val="center"/>
          </w:tcPr>
          <w:p>
            <w:pPr>
              <w:pStyle w:val="64"/>
              <w:adjustRightInd w:val="0"/>
              <w:snapToGrid w:val="0"/>
              <w:spacing w:before="0" w:after="0" w:line="240" w:lineRule="auto"/>
              <w:ind w:firstLine="0" w:firstLineChars="0"/>
              <w:jc w:val="left"/>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不聚合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Merge w:val="continue"/>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p>
        </w:tc>
        <w:tc>
          <w:tcPr>
            <w:tcW w:w="1279"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爆炸下限（v%）</w:t>
            </w:r>
          </w:p>
        </w:tc>
        <w:tc>
          <w:tcPr>
            <w:tcW w:w="1074"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3.3</w:t>
            </w:r>
          </w:p>
        </w:tc>
        <w:tc>
          <w:tcPr>
            <w:tcW w:w="1854" w:type="dxa"/>
            <w:gridSpan w:val="3"/>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稳定性</w:t>
            </w:r>
          </w:p>
        </w:tc>
        <w:tc>
          <w:tcPr>
            <w:tcW w:w="3961" w:type="dxa"/>
            <w:gridSpan w:val="5"/>
            <w:vAlign w:val="center"/>
          </w:tcPr>
          <w:p>
            <w:pPr>
              <w:pStyle w:val="64"/>
              <w:adjustRightInd w:val="0"/>
              <w:snapToGrid w:val="0"/>
              <w:spacing w:before="0" w:after="0" w:line="240" w:lineRule="auto"/>
              <w:ind w:firstLine="0" w:firstLineChars="0"/>
              <w:jc w:val="left"/>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Merge w:val="continue"/>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p>
        </w:tc>
        <w:tc>
          <w:tcPr>
            <w:tcW w:w="1279"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爆炸</w:t>
            </w:r>
            <w:r>
              <w:rPr>
                <w:rFonts w:hint="default" w:ascii="Times New Roman" w:hAnsi="Times New Roman" w:cs="Times New Roman"/>
                <w:color w:val="auto"/>
                <w:sz w:val="21"/>
                <w:szCs w:val="21"/>
                <w:lang w:eastAsia="zh-CN"/>
              </w:rPr>
              <w:t>上</w:t>
            </w:r>
            <w:r>
              <w:rPr>
                <w:rFonts w:hint="default" w:ascii="Times New Roman" w:hAnsi="Times New Roman" w:cs="Times New Roman"/>
                <w:color w:val="auto"/>
                <w:sz w:val="21"/>
                <w:szCs w:val="21"/>
              </w:rPr>
              <w:t>限（v%）</w:t>
            </w:r>
          </w:p>
        </w:tc>
        <w:tc>
          <w:tcPr>
            <w:tcW w:w="1074" w:type="dxa"/>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19</w:t>
            </w:r>
          </w:p>
        </w:tc>
        <w:tc>
          <w:tcPr>
            <w:tcW w:w="1854" w:type="dxa"/>
            <w:gridSpan w:val="3"/>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最大爆炸压力（</w:t>
            </w:r>
            <w:r>
              <w:rPr>
                <w:rFonts w:hint="default" w:ascii="Times New Roman" w:hAnsi="Times New Roman" w:cs="Times New Roman"/>
                <w:color w:val="auto"/>
                <w:sz w:val="21"/>
                <w:szCs w:val="21"/>
                <w:lang w:val="en-US" w:eastAsia="zh-CN"/>
              </w:rPr>
              <w:t>MPa</w:t>
            </w:r>
            <w:r>
              <w:rPr>
                <w:rFonts w:hint="default" w:ascii="Times New Roman" w:hAnsi="Times New Roman" w:cs="Times New Roman"/>
                <w:color w:val="auto"/>
                <w:sz w:val="21"/>
                <w:szCs w:val="21"/>
                <w:lang w:eastAsia="zh-CN"/>
              </w:rPr>
              <w:t>）</w:t>
            </w:r>
          </w:p>
        </w:tc>
        <w:tc>
          <w:tcPr>
            <w:tcW w:w="3961" w:type="dxa"/>
            <w:gridSpan w:val="5"/>
            <w:vAlign w:val="center"/>
          </w:tcPr>
          <w:p>
            <w:pPr>
              <w:pStyle w:val="64"/>
              <w:adjustRightInd w:val="0"/>
              <w:snapToGrid w:val="0"/>
              <w:spacing w:before="0" w:after="0" w:line="240" w:lineRule="auto"/>
              <w:ind w:firstLine="0" w:firstLineChars="0"/>
              <w:jc w:val="left"/>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Merge w:val="continue"/>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p>
        </w:tc>
        <w:tc>
          <w:tcPr>
            <w:tcW w:w="1279" w:type="dxa"/>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引燃温度</w:t>
            </w:r>
            <w:r>
              <w:rPr>
                <w:rFonts w:hint="default" w:ascii="Times New Roman" w:hAnsi="Times New Roman" w:cs="Times New Roman"/>
                <w:color w:val="auto"/>
                <w:sz w:val="21"/>
                <w:szCs w:val="21"/>
              </w:rPr>
              <w:t>（℃）</w:t>
            </w:r>
          </w:p>
        </w:tc>
        <w:tc>
          <w:tcPr>
            <w:tcW w:w="1074" w:type="dxa"/>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363</w:t>
            </w:r>
          </w:p>
        </w:tc>
        <w:tc>
          <w:tcPr>
            <w:tcW w:w="1854" w:type="dxa"/>
            <w:gridSpan w:val="3"/>
            <w:vAlign w:val="center"/>
          </w:tcPr>
          <w:p>
            <w:pPr>
              <w:keepNext w:val="0"/>
              <w:keepLines w:val="0"/>
              <w:widowControl/>
              <w:suppressLineNumbers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kern w:val="0"/>
                <w:sz w:val="21"/>
                <w:szCs w:val="21"/>
                <w:lang w:val="en-US" w:eastAsia="zh-CN" w:bidi="ar"/>
              </w:rPr>
              <w:t>禁忌物</w:t>
            </w:r>
          </w:p>
        </w:tc>
        <w:tc>
          <w:tcPr>
            <w:tcW w:w="3961" w:type="dxa"/>
            <w:gridSpan w:val="5"/>
            <w:vAlign w:val="center"/>
          </w:tcPr>
          <w:p>
            <w:pPr>
              <w:keepNext w:val="0"/>
              <w:keepLines w:val="0"/>
              <w:widowControl/>
              <w:suppressLineNumbers w:val="0"/>
              <w:jc w:val="left"/>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kern w:val="0"/>
                <w:sz w:val="21"/>
                <w:szCs w:val="21"/>
                <w:lang w:val="en-US" w:eastAsia="zh-CN" w:bidi="ar"/>
              </w:rPr>
              <w:t>强氧化剂、酸类、酸酐、碱金属、胺类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Merge w:val="continue"/>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p>
        </w:tc>
        <w:tc>
          <w:tcPr>
            <w:tcW w:w="1279"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危险特性</w:t>
            </w:r>
          </w:p>
        </w:tc>
        <w:tc>
          <w:tcPr>
            <w:tcW w:w="6889" w:type="dxa"/>
            <w:gridSpan w:val="9"/>
            <w:vAlign w:val="center"/>
          </w:tcPr>
          <w:p>
            <w:pPr>
              <w:pStyle w:val="64"/>
              <w:adjustRightInd w:val="0"/>
              <w:snapToGrid w:val="0"/>
              <w:spacing w:before="0" w:after="0" w:line="240" w:lineRule="auto"/>
              <w:ind w:firstLine="0" w:firstLineChars="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易燃，其蒸气与空气可形成爆炸性混合物。遇明火、高热能引起燃烧爆炸。与氧化剂接触发生化学反应或引起燃烧。在火场中，受热的容器有爆炸危险。其蒸气比空气重，能在较低处扩散到相当远的地方，遇明火会引着回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Merge w:val="continue"/>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p>
        </w:tc>
        <w:tc>
          <w:tcPr>
            <w:tcW w:w="1279"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灭火方法</w:t>
            </w:r>
          </w:p>
        </w:tc>
        <w:tc>
          <w:tcPr>
            <w:tcW w:w="6889" w:type="dxa"/>
            <w:gridSpan w:val="9"/>
            <w:vAlign w:val="center"/>
          </w:tcPr>
          <w:p>
            <w:pPr>
              <w:pStyle w:val="64"/>
              <w:adjustRightInd w:val="0"/>
              <w:snapToGrid w:val="0"/>
              <w:spacing w:before="0" w:after="0" w:line="240" w:lineRule="auto"/>
              <w:ind w:firstLine="0" w:firstLineChars="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尽可能将容器从火场移至空旷处。喷水保持火场容器冷却，直至灭火结束。灭火剂：抗溶性泡沫、干粉、二氧化碳、砂土。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毒性</w:t>
            </w:r>
          </w:p>
        </w:tc>
        <w:tc>
          <w:tcPr>
            <w:tcW w:w="1279"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急性毒性</w:t>
            </w:r>
          </w:p>
        </w:tc>
        <w:tc>
          <w:tcPr>
            <w:tcW w:w="6889" w:type="dxa"/>
            <w:gridSpan w:val="9"/>
            <w:vAlign w:val="center"/>
          </w:tcPr>
          <w:p>
            <w:pPr>
              <w:keepNext w:val="0"/>
              <w:keepLines w:val="0"/>
              <w:widowControl/>
              <w:suppressLineNumbers w:val="0"/>
              <w:jc w:val="left"/>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val="en-US" w:eastAsia="zh-CN" w:bidi="ar"/>
              </w:rPr>
              <w:t>LD</w:t>
            </w:r>
            <w:r>
              <w:rPr>
                <w:rFonts w:hint="default" w:ascii="Times New Roman" w:hAnsi="Times New Roman" w:eastAsia="宋体" w:cs="Times New Roman"/>
                <w:color w:val="auto"/>
                <w:kern w:val="0"/>
                <w:sz w:val="21"/>
                <w:szCs w:val="21"/>
                <w:vertAlign w:val="subscript"/>
                <w:lang w:val="en-US" w:eastAsia="zh-CN" w:bidi="ar"/>
              </w:rPr>
              <w:t>50</w:t>
            </w:r>
            <w:r>
              <w:rPr>
                <w:rFonts w:hint="default" w:ascii="Times New Roman" w:hAnsi="Times New Roman" w:eastAsia="宋体" w:cs="Times New Roman"/>
                <w:color w:val="auto"/>
                <w:kern w:val="0"/>
                <w:sz w:val="21"/>
                <w:szCs w:val="21"/>
                <w:lang w:val="en-US" w:eastAsia="zh-CN" w:bidi="ar"/>
              </w:rPr>
              <w:t xml:space="preserve">：7060mg/kg（兔经口）；7430mg/kg（兔经皮）； </w:t>
            </w:r>
          </w:p>
          <w:p>
            <w:pPr>
              <w:keepNext w:val="0"/>
              <w:keepLines w:val="0"/>
              <w:widowControl/>
              <w:suppressLineNumbers w:val="0"/>
              <w:jc w:val="left"/>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val="en-US" w:eastAsia="zh-CN" w:bidi="ar"/>
              </w:rPr>
              <w:t>LC</w:t>
            </w:r>
            <w:r>
              <w:rPr>
                <w:rFonts w:hint="default" w:ascii="Times New Roman" w:hAnsi="Times New Roman" w:eastAsia="宋体" w:cs="Times New Roman"/>
                <w:color w:val="auto"/>
                <w:kern w:val="0"/>
                <w:sz w:val="21"/>
                <w:szCs w:val="21"/>
                <w:vertAlign w:val="subscript"/>
                <w:lang w:val="en-US" w:eastAsia="zh-CN" w:bidi="ar"/>
              </w:rPr>
              <w:t>50</w:t>
            </w:r>
            <w:r>
              <w:rPr>
                <w:rFonts w:hint="default" w:ascii="Times New Roman" w:hAnsi="Times New Roman" w:eastAsia="宋体" w:cs="Times New Roman"/>
                <w:color w:val="auto"/>
                <w:kern w:val="0"/>
                <w:sz w:val="21"/>
                <w:szCs w:val="21"/>
                <w:lang w:val="en-US" w:eastAsia="zh-CN" w:bidi="ar"/>
              </w:rPr>
              <w:t>：37620mg/m3，10小时（大鼠吸入）。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741" w:type="dxa"/>
            <w:vMerge w:val="restart"/>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危害</w:t>
            </w:r>
          </w:p>
        </w:tc>
        <w:tc>
          <w:tcPr>
            <w:tcW w:w="1279"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val="en-US" w:eastAsia="zh-CN" w:bidi="ar"/>
              </w:rPr>
              <w:t>侵入途径</w:t>
            </w:r>
          </w:p>
        </w:tc>
        <w:tc>
          <w:tcPr>
            <w:tcW w:w="6889" w:type="dxa"/>
            <w:gridSpan w:val="9"/>
            <w:vAlign w:val="center"/>
          </w:tcPr>
          <w:p>
            <w:pPr>
              <w:keepNext w:val="0"/>
              <w:keepLines w:val="0"/>
              <w:widowControl/>
              <w:suppressLineNumbers w:val="0"/>
              <w:jc w:val="left"/>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val="en-US" w:eastAsia="zh-CN" w:bidi="ar"/>
              </w:rPr>
              <w:t xml:space="preserve">吸入、食入、经皮肤吸收。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1" w:hRule="atLeast"/>
          <w:jc w:val="center"/>
        </w:trPr>
        <w:tc>
          <w:tcPr>
            <w:tcW w:w="741" w:type="dxa"/>
            <w:vMerge w:val="continue"/>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p>
        </w:tc>
        <w:tc>
          <w:tcPr>
            <w:tcW w:w="1279"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健康危害</w:t>
            </w:r>
          </w:p>
        </w:tc>
        <w:tc>
          <w:tcPr>
            <w:tcW w:w="6889" w:type="dxa"/>
            <w:gridSpan w:val="9"/>
            <w:vAlign w:val="center"/>
          </w:tcPr>
          <w:p>
            <w:pPr>
              <w:keepNext w:val="0"/>
              <w:keepLines w:val="0"/>
              <w:widowControl/>
              <w:suppressLineNumbers w:val="0"/>
              <w:jc w:val="left"/>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val="en-US" w:eastAsia="zh-CN" w:bidi="ar"/>
              </w:rPr>
              <w:t>本品为中枢神经抑制剂。首先引起兴奋，随后抑制。急性中毒：急性中毒多发生于口服。一般可分为兴奋、催眠、麻醉、窒息四阶段。患者进入第三或第四阶段，出现意识丧失、瞳孔扩大、呼吸不规律、休克、心力循环衰竭及呼吸停止。慢性影响：在生产中长期接触高浓度本品可引起鼻、眼、粘模刺激症状，以及头痛、头晕、疲乏、易激动、震颤、恶心等。长期酗酒可引起多发性神经病、慢性胃炎、脂肪肝、肝硬化、心肌损害及器质性神经病等。皮肤长期接触可引起干燥、脱屑、皲裂和皮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741" w:type="dxa"/>
            <w:vMerge w:val="restart"/>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急救措施</w:t>
            </w:r>
          </w:p>
        </w:tc>
        <w:tc>
          <w:tcPr>
            <w:tcW w:w="1279"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皮肤接触</w:t>
            </w:r>
          </w:p>
        </w:tc>
        <w:tc>
          <w:tcPr>
            <w:tcW w:w="6889" w:type="dxa"/>
            <w:gridSpan w:val="9"/>
            <w:vAlign w:val="center"/>
          </w:tcPr>
          <w:p>
            <w:pPr>
              <w:keepNext w:val="0"/>
              <w:keepLines w:val="0"/>
              <w:widowControl/>
              <w:suppressLineNumbers w:val="0"/>
              <w:jc w:val="left"/>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val="en-US" w:eastAsia="zh-CN" w:bidi="ar"/>
              </w:rPr>
              <w:t>脱去被污染的衣着，用流动清水冲洗。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741" w:type="dxa"/>
            <w:vMerge w:val="continue"/>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p>
        </w:tc>
        <w:tc>
          <w:tcPr>
            <w:tcW w:w="1279"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眼睛接触</w:t>
            </w:r>
          </w:p>
        </w:tc>
        <w:tc>
          <w:tcPr>
            <w:tcW w:w="6889" w:type="dxa"/>
            <w:gridSpan w:val="9"/>
            <w:vAlign w:val="center"/>
          </w:tcPr>
          <w:p>
            <w:pPr>
              <w:keepNext w:val="0"/>
              <w:keepLines w:val="0"/>
              <w:widowControl/>
              <w:suppressLineNumbers w:val="0"/>
              <w:jc w:val="left"/>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val="en-US" w:eastAsia="zh-CN" w:bidi="ar"/>
              </w:rPr>
              <w:t>提起眼睑，用流动清水或生理盐水冲洗。就医。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741" w:type="dxa"/>
            <w:vMerge w:val="continue"/>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p>
        </w:tc>
        <w:tc>
          <w:tcPr>
            <w:tcW w:w="1279"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吸入</w:t>
            </w:r>
          </w:p>
        </w:tc>
        <w:tc>
          <w:tcPr>
            <w:tcW w:w="6889" w:type="dxa"/>
            <w:gridSpan w:val="9"/>
            <w:vAlign w:val="center"/>
          </w:tcPr>
          <w:p>
            <w:pPr>
              <w:keepNext w:val="0"/>
              <w:keepLines w:val="0"/>
              <w:widowControl/>
              <w:suppressLineNumbers w:val="0"/>
              <w:jc w:val="left"/>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val="en-US" w:eastAsia="zh-CN" w:bidi="ar"/>
              </w:rPr>
              <w:t>迅速脱离现场至空气新鲜处。就医。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741" w:type="dxa"/>
            <w:vMerge w:val="continue"/>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p>
        </w:tc>
        <w:tc>
          <w:tcPr>
            <w:tcW w:w="1279"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食入</w:t>
            </w:r>
          </w:p>
        </w:tc>
        <w:tc>
          <w:tcPr>
            <w:tcW w:w="6889" w:type="dxa"/>
            <w:gridSpan w:val="9"/>
            <w:vAlign w:val="center"/>
          </w:tcPr>
          <w:p>
            <w:pPr>
              <w:keepNext w:val="0"/>
              <w:keepLines w:val="0"/>
              <w:widowControl/>
              <w:suppressLineNumbers w:val="0"/>
              <w:jc w:val="left"/>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val="en-US" w:eastAsia="zh-CN" w:bidi="ar"/>
              </w:rPr>
              <w:t>饮足量温水，催吐。就医。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41" w:type="dxa"/>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防护</w:t>
            </w:r>
          </w:p>
        </w:tc>
        <w:tc>
          <w:tcPr>
            <w:tcW w:w="8168" w:type="dxa"/>
            <w:gridSpan w:val="10"/>
            <w:vAlign w:val="center"/>
          </w:tcPr>
          <w:p>
            <w:pPr>
              <w:keepNext w:val="0"/>
              <w:keepLines w:val="0"/>
              <w:widowControl/>
              <w:suppressLineNumbers w:val="0"/>
              <w:jc w:val="left"/>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val="en-US" w:eastAsia="zh-CN" w:bidi="ar"/>
              </w:rPr>
              <w:t xml:space="preserve">工程控制：生产过程密闭，全面通风。提供安全淋浴和洗眼设备。 </w:t>
            </w:r>
          </w:p>
          <w:p>
            <w:pPr>
              <w:keepNext w:val="0"/>
              <w:keepLines w:val="0"/>
              <w:widowControl/>
              <w:suppressLineNumbers w:val="0"/>
              <w:jc w:val="left"/>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val="en-US" w:eastAsia="zh-CN" w:bidi="ar"/>
              </w:rPr>
              <w:t xml:space="preserve">呼吸系统防护：一般不需要特殊防护，高浓度接触时佩戴过滤式防毒面具（半面罩）。 </w:t>
            </w:r>
          </w:p>
          <w:p>
            <w:pPr>
              <w:keepNext w:val="0"/>
              <w:keepLines w:val="0"/>
              <w:widowControl/>
              <w:suppressLineNumbers w:val="0"/>
              <w:jc w:val="left"/>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val="en-US" w:eastAsia="zh-CN" w:bidi="ar"/>
              </w:rPr>
              <w:t xml:space="preserve">身体防护：穿防静电工作服。 </w:t>
            </w:r>
          </w:p>
          <w:p>
            <w:pPr>
              <w:keepNext w:val="0"/>
              <w:keepLines w:val="0"/>
              <w:widowControl/>
              <w:suppressLineNumbers w:val="0"/>
              <w:jc w:val="left"/>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val="en-US" w:eastAsia="zh-CN" w:bidi="ar"/>
              </w:rPr>
              <w:t xml:space="preserve">手防护：戴一般作业手套。 </w:t>
            </w:r>
          </w:p>
          <w:p>
            <w:pPr>
              <w:keepNext w:val="0"/>
              <w:keepLines w:val="0"/>
              <w:widowControl/>
              <w:suppressLineNumbers w:val="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其他防护：工作场所禁止吸烟。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泄漏处置</w:t>
            </w:r>
          </w:p>
        </w:tc>
        <w:tc>
          <w:tcPr>
            <w:tcW w:w="8168" w:type="dxa"/>
            <w:gridSpan w:val="10"/>
            <w:vAlign w:val="center"/>
          </w:tcPr>
          <w:p>
            <w:pPr>
              <w:keepNext w:val="0"/>
              <w:keepLines w:val="0"/>
              <w:widowControl/>
              <w:suppressLineNumbers w:val="0"/>
              <w:jc w:val="left"/>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0"/>
                <w:sz w:val="21"/>
                <w:szCs w:val="21"/>
                <w:lang w:val="en-US" w:eastAsia="zh-CN" w:bidi="ar"/>
              </w:rPr>
              <w:t>迅速撤离泄漏污染区人员至安全区，并进行隔离，严格限制出入。切断火源。建议应急处理人员戴自给式呼吸器，穿消防防护服。尽可能切断泄漏源，防止进入下水道排洪沟等限制性空间。小量泄漏：用砂土或其它不燃材料吸附或吸收。也可以用大量水冲洗，洗水稀释后放入废水系统。大量泄漏：构筑围堤或挖坑收容；用泡沫覆盖，降低蒸气灾害。用防爆泵转移至槽车或专用收集器内，回收或运至废物处理场所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储运</w:t>
            </w:r>
          </w:p>
        </w:tc>
        <w:tc>
          <w:tcPr>
            <w:tcW w:w="8168" w:type="dxa"/>
            <w:gridSpan w:val="10"/>
            <w:vAlign w:val="center"/>
          </w:tcPr>
          <w:p>
            <w:pPr>
              <w:keepNext w:val="0"/>
              <w:keepLines w:val="0"/>
              <w:widowControl/>
              <w:suppressLineNumbers w:val="0"/>
              <w:jc w:val="left"/>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val="en-US" w:eastAsia="zh-CN" w:bidi="ar"/>
              </w:rPr>
              <w:t xml:space="preserve">包装标志：7               UN 编号：1170                 包装分类：Ⅱ </w:t>
            </w:r>
          </w:p>
          <w:p>
            <w:pPr>
              <w:keepNext w:val="0"/>
              <w:keepLines w:val="0"/>
              <w:widowControl/>
              <w:suppressLineNumbers w:val="0"/>
              <w:jc w:val="left"/>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val="en-US" w:eastAsia="zh-CN" w:bidi="ar"/>
              </w:rPr>
              <w:t>包装方法：小开口钢桶；小开口铝桶；螺纹口玻璃瓶、铁盖压口玻璃瓶、塑料瓶或金属桶外木板箱。</w:t>
            </w:r>
          </w:p>
          <w:p>
            <w:pPr>
              <w:keepNext w:val="0"/>
              <w:keepLines w:val="0"/>
              <w:widowControl/>
              <w:suppressLineNumbers w:val="0"/>
              <w:jc w:val="left"/>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0"/>
                <w:sz w:val="21"/>
                <w:szCs w:val="21"/>
                <w:lang w:val="en-US" w:eastAsia="zh-CN" w:bidi="ar"/>
              </w:rPr>
              <w:t>储运条件：储存在阴凉、通风的仓间内。远离火种、热源，防止阳光直射。包装要求密封，不可与空气接触。应与氧化剂、酸类分开存放。储存间内的照明、通风等设施应采用防爆型，开关设在仓外。配备相应品种和数量的消防器材。禁止使用易产生火花的机械设备和工具。灌装时应注意流速（不超过3m/s），且有接地装置，防止静电积聚。分装和搬运作业要注意个人防护，搬运时要轻装轻卸，防止包装及容器损坏。运输按规定线路行驶。</w:t>
            </w:r>
          </w:p>
        </w:tc>
      </w:tr>
    </w:tbl>
    <w:p>
      <w:pPr>
        <w:pStyle w:val="178"/>
        <w:keepNext w:val="0"/>
        <w:keepLines w:val="0"/>
        <w:pageBreakBefore w:val="0"/>
        <w:widowControl/>
        <w:numPr>
          <w:ilvl w:val="0"/>
          <w:numId w:val="7"/>
        </w:numPr>
        <w:kinsoku/>
        <w:wordWrap/>
        <w:overflowPunct/>
        <w:topLinePunct w:val="0"/>
        <w:autoSpaceDE/>
        <w:autoSpaceDN/>
        <w:bidi w:val="0"/>
        <w:adjustRightInd/>
        <w:snapToGrid/>
        <w:spacing w:before="157" w:beforeLines="50" w:afterLines="0" w:line="360" w:lineRule="auto"/>
        <w:ind w:left="0" w:leftChars="0" w:firstLine="0" w:firstLineChars="0"/>
        <w:textAlignment w:val="auto"/>
        <w:rPr>
          <w:rFonts w:hint="default" w:ascii="Times New Roman" w:hAnsi="Times New Roman" w:cs="Times New Roman"/>
          <w:b/>
          <w:color w:val="auto"/>
        </w:rPr>
      </w:pPr>
      <w:r>
        <w:rPr>
          <w:rFonts w:hint="default" w:ascii="Times New Roman" w:hAnsi="Times New Roman" w:cs="Times New Roman"/>
          <w:b/>
          <w:color w:val="auto"/>
          <w:lang w:eastAsia="zh-CN"/>
        </w:rPr>
        <w:t>环氧树脂的理化性质及危险特性</w:t>
      </w:r>
      <w:r>
        <w:rPr>
          <w:rFonts w:hint="default" w:ascii="Times New Roman" w:hAnsi="Times New Roman" w:cs="Times New Roman"/>
          <w:b/>
          <w:color w:val="auto"/>
        </w:rPr>
        <w:t>表</w:t>
      </w:r>
    </w:p>
    <w:tbl>
      <w:tblPr>
        <w:tblStyle w:val="44"/>
        <w:tblW w:w="89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1"/>
        <w:gridCol w:w="1279"/>
        <w:gridCol w:w="1074"/>
        <w:gridCol w:w="476"/>
        <w:gridCol w:w="1081"/>
        <w:gridCol w:w="297"/>
        <w:gridCol w:w="921"/>
        <w:gridCol w:w="1034"/>
        <w:gridCol w:w="8"/>
        <w:gridCol w:w="996"/>
        <w:gridCol w:w="10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Merge w:val="restart"/>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标识</w:t>
            </w:r>
          </w:p>
        </w:tc>
        <w:tc>
          <w:tcPr>
            <w:tcW w:w="1279"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中文名</w:t>
            </w:r>
          </w:p>
        </w:tc>
        <w:tc>
          <w:tcPr>
            <w:tcW w:w="2631" w:type="dxa"/>
            <w:gridSpan w:val="3"/>
            <w:vAlign w:val="center"/>
          </w:tcPr>
          <w:p>
            <w:pPr>
              <w:keepNext w:val="0"/>
              <w:keepLines w:val="0"/>
              <w:widowControl/>
              <w:suppressLineNumbers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kern w:val="0"/>
                <w:sz w:val="21"/>
                <w:szCs w:val="21"/>
                <w:lang w:val="en-US" w:eastAsia="zh-CN" w:bidi="ar"/>
              </w:rPr>
              <w:t>环氧树脂</w:t>
            </w:r>
          </w:p>
        </w:tc>
        <w:tc>
          <w:tcPr>
            <w:tcW w:w="2252" w:type="dxa"/>
            <w:gridSpan w:val="3"/>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英文名</w:t>
            </w:r>
          </w:p>
        </w:tc>
        <w:tc>
          <w:tcPr>
            <w:tcW w:w="2006" w:type="dxa"/>
            <w:gridSpan w:val="3"/>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epoxy resin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41" w:type="dxa"/>
            <w:vMerge w:val="continue"/>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p>
        </w:tc>
        <w:tc>
          <w:tcPr>
            <w:tcW w:w="1279"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分子式</w:t>
            </w:r>
          </w:p>
        </w:tc>
        <w:tc>
          <w:tcPr>
            <w:tcW w:w="1550" w:type="dxa"/>
            <w:gridSpan w:val="2"/>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1081"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分子量</w:t>
            </w:r>
          </w:p>
        </w:tc>
        <w:tc>
          <w:tcPr>
            <w:tcW w:w="1218" w:type="dxa"/>
            <w:gridSpan w:val="2"/>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350~8000</w:t>
            </w:r>
          </w:p>
        </w:tc>
        <w:tc>
          <w:tcPr>
            <w:tcW w:w="1042" w:type="dxa"/>
            <w:gridSpan w:val="2"/>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CAS号</w:t>
            </w:r>
          </w:p>
        </w:tc>
        <w:tc>
          <w:tcPr>
            <w:tcW w:w="1998" w:type="dxa"/>
            <w:gridSpan w:val="2"/>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24969-06-0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Merge w:val="continue"/>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p>
        </w:tc>
        <w:tc>
          <w:tcPr>
            <w:tcW w:w="8168" w:type="dxa"/>
            <w:gridSpan w:val="10"/>
            <w:vAlign w:val="center"/>
          </w:tcPr>
          <w:p>
            <w:pPr>
              <w:keepNext w:val="0"/>
              <w:keepLines w:val="0"/>
              <w:widowControl/>
              <w:suppressLineNumbers w:val="0"/>
              <w:ind w:firstLine="210" w:firstLineChars="100"/>
              <w:jc w:val="left"/>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kern w:val="0"/>
                <w:sz w:val="21"/>
                <w:szCs w:val="21"/>
                <w:lang w:val="en-US" w:eastAsia="zh-CN" w:bidi="ar"/>
              </w:rPr>
              <w:t>危规号：32</w:t>
            </w:r>
            <w:r>
              <w:rPr>
                <w:rFonts w:hint="default" w:ascii="Times New Roman" w:hAnsi="Times New Roman" w:cs="Times New Roman"/>
                <w:color w:val="auto"/>
                <w:kern w:val="0"/>
                <w:sz w:val="21"/>
                <w:szCs w:val="21"/>
                <w:lang w:val="en-US" w:eastAsia="zh-CN" w:bidi="ar"/>
              </w:rPr>
              <w:t>197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Merge w:val="restart"/>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理化性质</w:t>
            </w:r>
          </w:p>
        </w:tc>
        <w:tc>
          <w:tcPr>
            <w:tcW w:w="1279"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外观与性状</w:t>
            </w:r>
          </w:p>
        </w:tc>
        <w:tc>
          <w:tcPr>
            <w:tcW w:w="6889" w:type="dxa"/>
            <w:gridSpan w:val="9"/>
            <w:vAlign w:val="center"/>
          </w:tcPr>
          <w:p>
            <w:pPr>
              <w:keepNext w:val="0"/>
              <w:keepLines w:val="0"/>
              <w:widowControl/>
              <w:suppressLineNumbers w:val="0"/>
              <w:jc w:val="left"/>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val="en-US" w:eastAsia="zh-CN" w:bidi="ar"/>
              </w:rPr>
              <w:t>根据分子结构和分子量大小的不同，其物态可从无臭、无味、黄色透明液体至固态。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 w:hRule="atLeast"/>
          <w:jc w:val="center"/>
        </w:trPr>
        <w:tc>
          <w:tcPr>
            <w:tcW w:w="741" w:type="dxa"/>
            <w:vMerge w:val="continue"/>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p>
        </w:tc>
        <w:tc>
          <w:tcPr>
            <w:tcW w:w="1279" w:type="dxa"/>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溶解性</w:t>
            </w:r>
          </w:p>
        </w:tc>
        <w:tc>
          <w:tcPr>
            <w:tcW w:w="6889" w:type="dxa"/>
            <w:gridSpan w:val="9"/>
            <w:vAlign w:val="center"/>
          </w:tcPr>
          <w:p>
            <w:pPr>
              <w:keepNext w:val="0"/>
              <w:keepLines w:val="0"/>
              <w:widowControl/>
              <w:suppressLineNumbers w:val="0"/>
              <w:jc w:val="left"/>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val="en-US" w:eastAsia="zh-CN" w:bidi="ar"/>
              </w:rPr>
              <w:t>溶于丙酮，乙二醇、甲苯。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 w:hRule="atLeast"/>
          <w:jc w:val="center"/>
        </w:trPr>
        <w:tc>
          <w:tcPr>
            <w:tcW w:w="741" w:type="dxa"/>
            <w:vMerge w:val="continue"/>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p>
        </w:tc>
        <w:tc>
          <w:tcPr>
            <w:tcW w:w="1279"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熔点（℃）</w:t>
            </w:r>
          </w:p>
        </w:tc>
        <w:tc>
          <w:tcPr>
            <w:tcW w:w="1074" w:type="dxa"/>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145~155</w:t>
            </w:r>
          </w:p>
        </w:tc>
        <w:tc>
          <w:tcPr>
            <w:tcW w:w="1854" w:type="dxa"/>
            <w:gridSpan w:val="3"/>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沸点（℃）</w:t>
            </w:r>
          </w:p>
        </w:tc>
        <w:tc>
          <w:tcPr>
            <w:tcW w:w="921" w:type="dxa"/>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2038" w:type="dxa"/>
            <w:gridSpan w:val="3"/>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相对密度（</w:t>
            </w:r>
            <w:r>
              <w:rPr>
                <w:rFonts w:hint="default" w:ascii="Times New Roman" w:hAnsi="Times New Roman" w:cs="Times New Roman"/>
                <w:color w:val="auto"/>
                <w:sz w:val="21"/>
                <w:szCs w:val="21"/>
                <w:lang w:eastAsia="zh-CN"/>
              </w:rPr>
              <w:t>水</w:t>
            </w:r>
            <w:r>
              <w:rPr>
                <w:rFonts w:hint="default"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rPr>
              <w:t>）</w:t>
            </w:r>
          </w:p>
        </w:tc>
        <w:tc>
          <w:tcPr>
            <w:tcW w:w="1002" w:type="dxa"/>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41" w:type="dxa"/>
            <w:vMerge w:val="continue"/>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p>
        </w:tc>
        <w:tc>
          <w:tcPr>
            <w:tcW w:w="1279" w:type="dxa"/>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临界温度</w:t>
            </w:r>
            <w:r>
              <w:rPr>
                <w:rFonts w:hint="default" w:ascii="Times New Roman" w:hAnsi="Times New Roman" w:cs="Times New Roman"/>
                <w:color w:val="auto"/>
                <w:sz w:val="21"/>
                <w:szCs w:val="21"/>
              </w:rPr>
              <w:t>（℃）</w:t>
            </w:r>
          </w:p>
        </w:tc>
        <w:tc>
          <w:tcPr>
            <w:tcW w:w="1074" w:type="dxa"/>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1854" w:type="dxa"/>
            <w:gridSpan w:val="3"/>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临界压力（</w:t>
            </w:r>
            <w:r>
              <w:rPr>
                <w:rFonts w:hint="default" w:ascii="Times New Roman" w:hAnsi="Times New Roman" w:cs="Times New Roman"/>
                <w:color w:val="auto"/>
                <w:sz w:val="21"/>
                <w:szCs w:val="21"/>
                <w:lang w:val="en-US" w:eastAsia="zh-CN"/>
              </w:rPr>
              <w:t>MPa</w:t>
            </w:r>
            <w:r>
              <w:rPr>
                <w:rFonts w:hint="default" w:ascii="Times New Roman" w:hAnsi="Times New Roman" w:cs="Times New Roman"/>
                <w:color w:val="auto"/>
                <w:sz w:val="21"/>
                <w:szCs w:val="21"/>
                <w:lang w:eastAsia="zh-CN"/>
              </w:rPr>
              <w:t>）</w:t>
            </w:r>
          </w:p>
        </w:tc>
        <w:tc>
          <w:tcPr>
            <w:tcW w:w="921" w:type="dxa"/>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2038" w:type="dxa"/>
            <w:gridSpan w:val="3"/>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相对密度（</w:t>
            </w:r>
            <w:r>
              <w:rPr>
                <w:rFonts w:hint="default" w:ascii="Times New Roman" w:hAnsi="Times New Roman" w:cs="Times New Roman"/>
                <w:color w:val="auto"/>
                <w:sz w:val="21"/>
                <w:szCs w:val="21"/>
                <w:lang w:eastAsia="zh-CN"/>
              </w:rPr>
              <w:t>空气</w:t>
            </w:r>
            <w:r>
              <w:rPr>
                <w:rFonts w:hint="default"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rPr>
              <w:t>）</w:t>
            </w:r>
          </w:p>
        </w:tc>
        <w:tc>
          <w:tcPr>
            <w:tcW w:w="1002" w:type="dxa"/>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Merge w:val="continue"/>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p>
        </w:tc>
        <w:tc>
          <w:tcPr>
            <w:tcW w:w="1279" w:type="dxa"/>
            <w:vAlign w:val="center"/>
          </w:tcPr>
          <w:p>
            <w:pPr>
              <w:keepNext w:val="0"/>
              <w:keepLines w:val="0"/>
              <w:widowControl/>
              <w:suppressLineNumbers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燃烧热（</w:t>
            </w:r>
            <w:r>
              <w:rPr>
                <w:rFonts w:hint="default" w:ascii="Times New Roman" w:hAnsi="Times New Roman" w:eastAsia="宋体" w:cs="Times New Roman"/>
                <w:color w:val="auto"/>
                <w:kern w:val="0"/>
                <w:sz w:val="21"/>
                <w:szCs w:val="21"/>
                <w:lang w:val="en-US" w:eastAsia="zh-CN" w:bidi="ar"/>
              </w:rPr>
              <w:t>KJ/mol）</w:t>
            </w:r>
          </w:p>
        </w:tc>
        <w:tc>
          <w:tcPr>
            <w:tcW w:w="1074"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1854" w:type="dxa"/>
            <w:gridSpan w:val="3"/>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最小点火能（</w:t>
            </w:r>
            <w:r>
              <w:rPr>
                <w:rFonts w:hint="default" w:ascii="Times New Roman" w:hAnsi="Times New Roman" w:cs="Times New Roman"/>
                <w:color w:val="auto"/>
                <w:sz w:val="21"/>
                <w:szCs w:val="21"/>
                <w:lang w:val="en-US" w:eastAsia="zh-CN"/>
              </w:rPr>
              <w:t>mJ</w:t>
            </w:r>
            <w:r>
              <w:rPr>
                <w:rFonts w:hint="default" w:ascii="Times New Roman" w:hAnsi="Times New Roman" w:cs="Times New Roman"/>
                <w:color w:val="auto"/>
                <w:sz w:val="21"/>
                <w:szCs w:val="21"/>
                <w:lang w:eastAsia="zh-CN"/>
              </w:rPr>
              <w:t>）</w:t>
            </w:r>
          </w:p>
        </w:tc>
        <w:tc>
          <w:tcPr>
            <w:tcW w:w="921"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2038" w:type="dxa"/>
            <w:gridSpan w:val="3"/>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饱和蒸气压（</w:t>
            </w:r>
            <w:r>
              <w:rPr>
                <w:rFonts w:hint="default" w:ascii="Times New Roman" w:hAnsi="Times New Roman" w:cs="Times New Roman"/>
                <w:color w:val="auto"/>
                <w:sz w:val="21"/>
                <w:szCs w:val="21"/>
                <w:lang w:val="en-US" w:eastAsia="zh-CN"/>
              </w:rPr>
              <w:t>UPa</w:t>
            </w:r>
            <w:r>
              <w:rPr>
                <w:rFonts w:hint="default" w:ascii="Times New Roman" w:hAnsi="Times New Roman" w:cs="Times New Roman"/>
                <w:color w:val="auto"/>
                <w:sz w:val="21"/>
                <w:szCs w:val="21"/>
                <w:lang w:eastAsia="zh-CN"/>
              </w:rPr>
              <w:t>）</w:t>
            </w:r>
          </w:p>
        </w:tc>
        <w:tc>
          <w:tcPr>
            <w:tcW w:w="1002"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Merge w:val="restart"/>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燃烧爆炸危险性</w:t>
            </w:r>
          </w:p>
        </w:tc>
        <w:tc>
          <w:tcPr>
            <w:tcW w:w="1279"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燃烧性</w:t>
            </w:r>
          </w:p>
        </w:tc>
        <w:tc>
          <w:tcPr>
            <w:tcW w:w="1074" w:type="dxa"/>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易燃</w:t>
            </w:r>
          </w:p>
        </w:tc>
        <w:tc>
          <w:tcPr>
            <w:tcW w:w="1854" w:type="dxa"/>
            <w:gridSpan w:val="3"/>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燃烧分解物</w:t>
            </w:r>
          </w:p>
        </w:tc>
        <w:tc>
          <w:tcPr>
            <w:tcW w:w="3961" w:type="dxa"/>
            <w:gridSpan w:val="5"/>
            <w:vAlign w:val="center"/>
          </w:tcPr>
          <w:p>
            <w:pPr>
              <w:pStyle w:val="64"/>
              <w:adjustRightInd w:val="0"/>
              <w:snapToGrid w:val="0"/>
              <w:spacing w:before="0" w:after="0" w:line="240" w:lineRule="auto"/>
              <w:ind w:firstLine="0" w:firstLineChars="0"/>
              <w:jc w:val="left"/>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一氧化碳、二氧化碳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Merge w:val="continue"/>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p>
        </w:tc>
        <w:tc>
          <w:tcPr>
            <w:tcW w:w="1279"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闪点（℃）</w:t>
            </w:r>
          </w:p>
        </w:tc>
        <w:tc>
          <w:tcPr>
            <w:tcW w:w="1074" w:type="dxa"/>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1854" w:type="dxa"/>
            <w:gridSpan w:val="3"/>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聚合危害</w:t>
            </w:r>
          </w:p>
        </w:tc>
        <w:tc>
          <w:tcPr>
            <w:tcW w:w="3961" w:type="dxa"/>
            <w:gridSpan w:val="5"/>
            <w:vAlign w:val="center"/>
          </w:tcPr>
          <w:p>
            <w:pPr>
              <w:pStyle w:val="64"/>
              <w:adjustRightInd w:val="0"/>
              <w:snapToGrid w:val="0"/>
              <w:spacing w:before="0" w:after="0" w:line="240" w:lineRule="auto"/>
              <w:ind w:firstLine="0" w:firstLineChars="0"/>
              <w:jc w:val="left"/>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不聚合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Merge w:val="continue"/>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p>
        </w:tc>
        <w:tc>
          <w:tcPr>
            <w:tcW w:w="1279"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爆炸下限（v%）</w:t>
            </w:r>
          </w:p>
        </w:tc>
        <w:tc>
          <w:tcPr>
            <w:tcW w:w="1074"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12</w:t>
            </w:r>
          </w:p>
        </w:tc>
        <w:tc>
          <w:tcPr>
            <w:tcW w:w="1854" w:type="dxa"/>
            <w:gridSpan w:val="3"/>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稳定性</w:t>
            </w:r>
          </w:p>
        </w:tc>
        <w:tc>
          <w:tcPr>
            <w:tcW w:w="3961" w:type="dxa"/>
            <w:gridSpan w:val="5"/>
            <w:vAlign w:val="center"/>
          </w:tcPr>
          <w:p>
            <w:pPr>
              <w:pStyle w:val="64"/>
              <w:adjustRightInd w:val="0"/>
              <w:snapToGrid w:val="0"/>
              <w:spacing w:before="0" w:after="0" w:line="240" w:lineRule="auto"/>
              <w:ind w:firstLine="0" w:firstLineChars="0"/>
              <w:jc w:val="left"/>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Merge w:val="continue"/>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p>
        </w:tc>
        <w:tc>
          <w:tcPr>
            <w:tcW w:w="1279"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爆炸</w:t>
            </w:r>
            <w:r>
              <w:rPr>
                <w:rFonts w:hint="default" w:ascii="Times New Roman" w:hAnsi="Times New Roman" w:cs="Times New Roman"/>
                <w:color w:val="auto"/>
                <w:sz w:val="21"/>
                <w:szCs w:val="21"/>
                <w:lang w:eastAsia="zh-CN"/>
              </w:rPr>
              <w:t>上</w:t>
            </w:r>
            <w:r>
              <w:rPr>
                <w:rFonts w:hint="default" w:ascii="Times New Roman" w:hAnsi="Times New Roman" w:cs="Times New Roman"/>
                <w:color w:val="auto"/>
                <w:sz w:val="21"/>
                <w:szCs w:val="21"/>
              </w:rPr>
              <w:t>限（v%）</w:t>
            </w:r>
          </w:p>
        </w:tc>
        <w:tc>
          <w:tcPr>
            <w:tcW w:w="1074" w:type="dxa"/>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1854" w:type="dxa"/>
            <w:gridSpan w:val="3"/>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避免接触条件</w:t>
            </w:r>
          </w:p>
        </w:tc>
        <w:tc>
          <w:tcPr>
            <w:tcW w:w="3961" w:type="dxa"/>
            <w:gridSpan w:val="5"/>
            <w:vAlign w:val="center"/>
          </w:tcPr>
          <w:p>
            <w:pPr>
              <w:pStyle w:val="64"/>
              <w:adjustRightInd w:val="0"/>
              <w:snapToGrid w:val="0"/>
              <w:spacing w:before="0" w:after="0" w:line="240" w:lineRule="auto"/>
              <w:ind w:firstLine="0" w:firstLineChars="0"/>
              <w:jc w:val="left"/>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Merge w:val="continue"/>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p>
        </w:tc>
        <w:tc>
          <w:tcPr>
            <w:tcW w:w="1279" w:type="dxa"/>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引燃温度</w:t>
            </w:r>
            <w:r>
              <w:rPr>
                <w:rFonts w:hint="default" w:ascii="Times New Roman" w:hAnsi="Times New Roman" w:cs="Times New Roman"/>
                <w:color w:val="auto"/>
                <w:sz w:val="21"/>
                <w:szCs w:val="21"/>
              </w:rPr>
              <w:t>（℃）</w:t>
            </w:r>
          </w:p>
        </w:tc>
        <w:tc>
          <w:tcPr>
            <w:tcW w:w="1074" w:type="dxa"/>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490（粉云）</w:t>
            </w:r>
          </w:p>
        </w:tc>
        <w:tc>
          <w:tcPr>
            <w:tcW w:w="1854" w:type="dxa"/>
            <w:gridSpan w:val="3"/>
            <w:vAlign w:val="center"/>
          </w:tcPr>
          <w:p>
            <w:pPr>
              <w:keepNext w:val="0"/>
              <w:keepLines w:val="0"/>
              <w:widowControl/>
              <w:suppressLineNumbers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kern w:val="0"/>
                <w:sz w:val="21"/>
                <w:szCs w:val="21"/>
                <w:lang w:val="en-US" w:eastAsia="zh-CN" w:bidi="ar"/>
              </w:rPr>
              <w:t>禁忌物</w:t>
            </w:r>
          </w:p>
        </w:tc>
        <w:tc>
          <w:tcPr>
            <w:tcW w:w="3961" w:type="dxa"/>
            <w:gridSpan w:val="5"/>
            <w:vAlign w:val="center"/>
          </w:tcPr>
          <w:p>
            <w:pPr>
              <w:keepNext w:val="0"/>
              <w:keepLines w:val="0"/>
              <w:widowControl/>
              <w:suppressLineNumbers w:val="0"/>
              <w:jc w:val="left"/>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kern w:val="0"/>
                <w:sz w:val="21"/>
                <w:szCs w:val="21"/>
                <w:lang w:val="en-US" w:eastAsia="zh-CN" w:bidi="ar"/>
              </w:rPr>
              <w:t>强氧化剂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Merge w:val="continue"/>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p>
        </w:tc>
        <w:tc>
          <w:tcPr>
            <w:tcW w:w="1279"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危险特性</w:t>
            </w:r>
          </w:p>
        </w:tc>
        <w:tc>
          <w:tcPr>
            <w:tcW w:w="6889" w:type="dxa"/>
            <w:gridSpan w:val="9"/>
            <w:vAlign w:val="center"/>
          </w:tcPr>
          <w:p>
            <w:pPr>
              <w:keepNext w:val="0"/>
              <w:keepLines w:val="0"/>
              <w:widowControl/>
              <w:suppressLineNumbers w:val="0"/>
              <w:jc w:val="left"/>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val="en-US" w:eastAsia="zh-CN" w:bidi="ar"/>
              </w:rPr>
              <w:t>易燃，遇明火、高热能燃烧。受高热分解放出有毒的气体。粉体与空气可形成爆炸性混合物，当达到一定浓度时，遇火星会发生爆炸。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Merge w:val="continue"/>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p>
        </w:tc>
        <w:tc>
          <w:tcPr>
            <w:tcW w:w="1279"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灭火方法</w:t>
            </w:r>
          </w:p>
        </w:tc>
        <w:tc>
          <w:tcPr>
            <w:tcW w:w="6889" w:type="dxa"/>
            <w:gridSpan w:val="9"/>
            <w:vAlign w:val="center"/>
          </w:tcPr>
          <w:p>
            <w:pPr>
              <w:pStyle w:val="64"/>
              <w:adjustRightInd w:val="0"/>
              <w:snapToGrid w:val="0"/>
              <w:spacing w:before="0" w:after="0" w:line="240" w:lineRule="auto"/>
              <w:ind w:firstLine="0" w:firstLineChars="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尽可能将容器从火场移至空旷处。喷水保持火场容器冷却，直至灭火结束。灭火剂：抗溶性泡沫、干粉、二氧化碳、砂土。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毒性</w:t>
            </w:r>
          </w:p>
        </w:tc>
        <w:tc>
          <w:tcPr>
            <w:tcW w:w="1279"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急性毒性</w:t>
            </w:r>
          </w:p>
        </w:tc>
        <w:tc>
          <w:tcPr>
            <w:tcW w:w="6889" w:type="dxa"/>
            <w:gridSpan w:val="9"/>
            <w:vAlign w:val="center"/>
          </w:tcPr>
          <w:p>
            <w:pPr>
              <w:keepNext w:val="0"/>
              <w:keepLines w:val="0"/>
              <w:widowControl/>
              <w:suppressLineNumbers w:val="0"/>
              <w:jc w:val="left"/>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val="en-US" w:eastAsia="zh-CN" w:bidi="ar"/>
              </w:rPr>
              <w:t>LD</w:t>
            </w:r>
            <w:r>
              <w:rPr>
                <w:rFonts w:hint="default" w:ascii="Times New Roman" w:hAnsi="Times New Roman" w:eastAsia="宋体" w:cs="Times New Roman"/>
                <w:color w:val="auto"/>
                <w:kern w:val="0"/>
                <w:sz w:val="21"/>
                <w:szCs w:val="21"/>
                <w:vertAlign w:val="subscript"/>
                <w:lang w:val="en-US" w:eastAsia="zh-CN" w:bidi="ar"/>
              </w:rPr>
              <w:t>50</w:t>
            </w:r>
            <w:r>
              <w:rPr>
                <w:rFonts w:hint="default" w:ascii="Times New Roman" w:hAnsi="Times New Roman" w:eastAsia="宋体" w:cs="Times New Roman"/>
                <w:color w:val="auto"/>
                <w:kern w:val="0"/>
                <w:sz w:val="21"/>
                <w:szCs w:val="21"/>
                <w:lang w:val="en-US" w:eastAsia="zh-CN" w:bidi="ar"/>
              </w:rPr>
              <w:t>：11400mg/kg（大鼠经口）；</w:t>
            </w:r>
          </w:p>
          <w:p>
            <w:pPr>
              <w:keepNext w:val="0"/>
              <w:keepLines w:val="0"/>
              <w:widowControl/>
              <w:suppressLineNumbers w:val="0"/>
              <w:jc w:val="left"/>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0"/>
                <w:sz w:val="21"/>
                <w:szCs w:val="21"/>
                <w:lang w:val="en-US" w:eastAsia="zh-CN" w:bidi="ar"/>
              </w:rPr>
              <w:t>LC</w:t>
            </w:r>
            <w:r>
              <w:rPr>
                <w:rFonts w:hint="default" w:ascii="Times New Roman" w:hAnsi="Times New Roman" w:eastAsia="宋体" w:cs="Times New Roman"/>
                <w:color w:val="auto"/>
                <w:kern w:val="0"/>
                <w:sz w:val="21"/>
                <w:szCs w:val="21"/>
                <w:vertAlign w:val="subscript"/>
                <w:lang w:val="en-US" w:eastAsia="zh-CN" w:bidi="ar"/>
              </w:rPr>
              <w:t>50</w:t>
            </w:r>
            <w:r>
              <w:rPr>
                <w:rFonts w:hint="default" w:ascii="Times New Roman" w:hAnsi="Times New Roman" w:eastAsia="宋体" w:cs="Times New Roman"/>
                <w:color w:val="auto"/>
                <w:kern w:val="0"/>
                <w:sz w:val="21"/>
                <w:szCs w:val="21"/>
                <w:lang w:val="en-US" w:eastAsia="zh-CN" w:bidi="ar"/>
              </w:rPr>
              <w:t>：</w:t>
            </w:r>
            <w:r>
              <w:rPr>
                <w:rFonts w:hint="default" w:ascii="Times New Roman" w:hAnsi="Times New Roman" w:cs="Times New Roman"/>
                <w:color w:val="auto"/>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741" w:type="dxa"/>
            <w:vMerge w:val="restart"/>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危害</w:t>
            </w:r>
          </w:p>
        </w:tc>
        <w:tc>
          <w:tcPr>
            <w:tcW w:w="1279"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val="en-US" w:eastAsia="zh-CN" w:bidi="ar"/>
              </w:rPr>
              <w:t>侵入途径</w:t>
            </w:r>
          </w:p>
        </w:tc>
        <w:tc>
          <w:tcPr>
            <w:tcW w:w="6889" w:type="dxa"/>
            <w:gridSpan w:val="9"/>
            <w:vAlign w:val="center"/>
          </w:tcPr>
          <w:p>
            <w:pPr>
              <w:keepNext w:val="0"/>
              <w:keepLines w:val="0"/>
              <w:widowControl/>
              <w:suppressLineNumbers w:val="0"/>
              <w:jc w:val="left"/>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val="en-US" w:eastAsia="zh-CN" w:bidi="ar"/>
              </w:rPr>
              <w:t>吸入、食入、经皮肤吸收。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1" w:type="dxa"/>
            <w:vMerge w:val="continue"/>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p>
        </w:tc>
        <w:tc>
          <w:tcPr>
            <w:tcW w:w="1279"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健康危害</w:t>
            </w:r>
          </w:p>
        </w:tc>
        <w:tc>
          <w:tcPr>
            <w:tcW w:w="6889" w:type="dxa"/>
            <w:gridSpan w:val="9"/>
            <w:vAlign w:val="center"/>
          </w:tcPr>
          <w:p>
            <w:pPr>
              <w:keepNext w:val="0"/>
              <w:keepLines w:val="0"/>
              <w:widowControl/>
              <w:suppressLineNumbers w:val="0"/>
              <w:jc w:val="left"/>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val="en-US" w:eastAsia="zh-CN" w:bidi="ar"/>
              </w:rPr>
              <w:t>制备和使用环氧树脂的工人，可有头痛、恶心、食欲不振、眼灼痛、眼睑水肿、上呼吸道刺激、皮肤病症等。本品的主要危害为引起过敏性皮肤病，其表现形式为瘙痒性红斑、丘疹、疱疹、湿疹性皮炎等。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741" w:type="dxa"/>
            <w:vMerge w:val="restart"/>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急救措施</w:t>
            </w:r>
          </w:p>
        </w:tc>
        <w:tc>
          <w:tcPr>
            <w:tcW w:w="1279"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皮肤接触</w:t>
            </w:r>
          </w:p>
        </w:tc>
        <w:tc>
          <w:tcPr>
            <w:tcW w:w="6889" w:type="dxa"/>
            <w:gridSpan w:val="9"/>
            <w:vAlign w:val="center"/>
          </w:tcPr>
          <w:p>
            <w:pPr>
              <w:keepNext w:val="0"/>
              <w:keepLines w:val="0"/>
              <w:widowControl/>
              <w:suppressLineNumbers w:val="0"/>
              <w:jc w:val="left"/>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val="en-US" w:eastAsia="zh-CN" w:bidi="ar"/>
              </w:rPr>
              <w:t>脱去被污染的衣着，用肥皂水和清水彻底冲洗皮肤。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741" w:type="dxa"/>
            <w:vMerge w:val="continue"/>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p>
        </w:tc>
        <w:tc>
          <w:tcPr>
            <w:tcW w:w="1279"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眼睛接触</w:t>
            </w:r>
          </w:p>
        </w:tc>
        <w:tc>
          <w:tcPr>
            <w:tcW w:w="6889" w:type="dxa"/>
            <w:gridSpan w:val="9"/>
            <w:vAlign w:val="center"/>
          </w:tcPr>
          <w:p>
            <w:pPr>
              <w:keepNext w:val="0"/>
              <w:keepLines w:val="0"/>
              <w:widowControl/>
              <w:suppressLineNumbers w:val="0"/>
              <w:jc w:val="left"/>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val="en-US" w:eastAsia="zh-CN" w:bidi="ar"/>
              </w:rPr>
              <w:t>提起眼睑，用流动清水或生理盐水冲洗。就医。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741" w:type="dxa"/>
            <w:vMerge w:val="continue"/>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p>
        </w:tc>
        <w:tc>
          <w:tcPr>
            <w:tcW w:w="1279"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吸入</w:t>
            </w:r>
          </w:p>
        </w:tc>
        <w:tc>
          <w:tcPr>
            <w:tcW w:w="6889" w:type="dxa"/>
            <w:gridSpan w:val="9"/>
            <w:vAlign w:val="center"/>
          </w:tcPr>
          <w:p>
            <w:pPr>
              <w:keepNext w:val="0"/>
              <w:keepLines w:val="0"/>
              <w:widowControl/>
              <w:suppressLineNumbers w:val="0"/>
              <w:jc w:val="left"/>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val="en-US" w:eastAsia="zh-CN" w:bidi="ar"/>
              </w:rPr>
              <w:t>迅速脱离现场至空气新鲜处。就医。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741" w:type="dxa"/>
            <w:vMerge w:val="continue"/>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p>
        </w:tc>
        <w:tc>
          <w:tcPr>
            <w:tcW w:w="1279"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食入</w:t>
            </w:r>
          </w:p>
        </w:tc>
        <w:tc>
          <w:tcPr>
            <w:tcW w:w="6889" w:type="dxa"/>
            <w:gridSpan w:val="9"/>
            <w:vAlign w:val="center"/>
          </w:tcPr>
          <w:p>
            <w:pPr>
              <w:keepNext w:val="0"/>
              <w:keepLines w:val="0"/>
              <w:widowControl/>
              <w:suppressLineNumbers w:val="0"/>
              <w:jc w:val="left"/>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val="en-US" w:eastAsia="zh-CN" w:bidi="ar"/>
              </w:rPr>
              <w:t>饮足量温水，催吐。就医。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41" w:type="dxa"/>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防护</w:t>
            </w:r>
          </w:p>
        </w:tc>
        <w:tc>
          <w:tcPr>
            <w:tcW w:w="8168" w:type="dxa"/>
            <w:gridSpan w:val="10"/>
            <w:vAlign w:val="center"/>
          </w:tcPr>
          <w:p>
            <w:pPr>
              <w:keepNext w:val="0"/>
              <w:keepLines w:val="0"/>
              <w:widowControl/>
              <w:suppressLineNumbers w:val="0"/>
              <w:jc w:val="left"/>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val="en-US" w:eastAsia="zh-CN" w:bidi="ar"/>
              </w:rPr>
              <w:t>工程控制：密闭操作，提供良好的自然通风条件。</w:t>
            </w:r>
          </w:p>
          <w:p>
            <w:pPr>
              <w:keepNext w:val="0"/>
              <w:keepLines w:val="0"/>
              <w:widowControl/>
              <w:suppressLineNumbers w:val="0"/>
              <w:jc w:val="left"/>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val="en-US" w:eastAsia="zh-CN" w:bidi="ar"/>
              </w:rPr>
              <w:t>呼吸系统防护：空气中浓度超标时，佩戴自吸过滤式防尘口罩。</w:t>
            </w:r>
          </w:p>
          <w:p>
            <w:pPr>
              <w:keepNext w:val="0"/>
              <w:keepLines w:val="0"/>
              <w:widowControl/>
              <w:suppressLineNumbers w:val="0"/>
              <w:jc w:val="left"/>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val="en-US" w:eastAsia="zh-CN" w:bidi="ar"/>
              </w:rPr>
              <w:t>眼睛防护：一般不需要特殊防护，高浓度接触时可戴化学安全防护眼镜。</w:t>
            </w:r>
          </w:p>
          <w:p>
            <w:pPr>
              <w:keepNext w:val="0"/>
              <w:keepLines w:val="0"/>
              <w:widowControl/>
              <w:suppressLineNumbers w:val="0"/>
              <w:jc w:val="left"/>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val="en-US" w:eastAsia="zh-CN" w:bidi="ar"/>
              </w:rPr>
              <w:t>身体防护：穿一般作业防护服。</w:t>
            </w:r>
          </w:p>
          <w:p>
            <w:pPr>
              <w:keepNext w:val="0"/>
              <w:keepLines w:val="0"/>
              <w:widowControl/>
              <w:suppressLineNumbers w:val="0"/>
              <w:jc w:val="left"/>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val="en-US" w:eastAsia="zh-CN" w:bidi="ar"/>
              </w:rPr>
              <w:t>手防护：戴一般作业防护手套。</w:t>
            </w:r>
          </w:p>
          <w:p>
            <w:pPr>
              <w:keepNext w:val="0"/>
              <w:keepLines w:val="0"/>
              <w:widowControl/>
              <w:suppressLineNumbers w:val="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其他防护：工作现场严禁吸烟。保持良好的卫生习惯。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泄漏处置</w:t>
            </w:r>
          </w:p>
        </w:tc>
        <w:tc>
          <w:tcPr>
            <w:tcW w:w="8168" w:type="dxa"/>
            <w:gridSpan w:val="10"/>
            <w:vAlign w:val="center"/>
          </w:tcPr>
          <w:p>
            <w:pPr>
              <w:keepNext w:val="0"/>
              <w:keepLines w:val="0"/>
              <w:widowControl/>
              <w:suppressLineNumbers w:val="0"/>
              <w:jc w:val="left"/>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0"/>
                <w:sz w:val="21"/>
                <w:szCs w:val="21"/>
                <w:lang w:val="en-US" w:eastAsia="zh-CN" w:bidi="ar"/>
              </w:rPr>
              <w:t>迅速撤离泄漏污染区人员至安全区，并进行隔离，严格限制出入。切断火源。建议应急处理人员戴自给正压式呼吸器，穿消防防护服。若是液体，尽可能切断泄漏源，防止进入下水道、排洪沟等限制性空间。小量泄漏：用干燥的砂土或类似物质吸收。大量泄漏：构筑围堤或挖坑收容；用泡沫覆盖，降低蒸气灾害。用防爆泵转移至槽车或专用收集器内，回收或运至废物处理场所处置。若是固体，收集于干燥、洁净、有盖的容器中。若大量泄漏，收集回收或运至废物处理场所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储运</w:t>
            </w:r>
          </w:p>
        </w:tc>
        <w:tc>
          <w:tcPr>
            <w:tcW w:w="8168" w:type="dxa"/>
            <w:gridSpan w:val="10"/>
            <w:vAlign w:val="center"/>
          </w:tcPr>
          <w:p>
            <w:pPr>
              <w:keepNext w:val="0"/>
              <w:keepLines w:val="0"/>
              <w:widowControl/>
              <w:suppressLineNumbers w:val="0"/>
              <w:jc w:val="left"/>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val="en-US" w:eastAsia="zh-CN" w:bidi="ar"/>
              </w:rPr>
              <w:t>包装标志：7               UN 编号：</w:t>
            </w:r>
            <w:r>
              <w:rPr>
                <w:rFonts w:hint="default" w:ascii="Times New Roman" w:hAnsi="Times New Roman" w:cs="Times New Roman"/>
                <w:color w:val="auto"/>
                <w:kern w:val="0"/>
                <w:sz w:val="21"/>
                <w:szCs w:val="21"/>
                <w:lang w:val="en-US" w:eastAsia="zh-CN" w:bidi="ar"/>
              </w:rPr>
              <w:t>1866</w:t>
            </w:r>
            <w:r>
              <w:rPr>
                <w:rFonts w:hint="default" w:ascii="Times New Roman" w:hAnsi="Times New Roman" w:eastAsia="宋体" w:cs="Times New Roman"/>
                <w:color w:val="auto"/>
                <w:kern w:val="0"/>
                <w:sz w:val="21"/>
                <w:szCs w:val="21"/>
                <w:lang w:val="en-US" w:eastAsia="zh-CN" w:bidi="ar"/>
              </w:rPr>
              <w:t xml:space="preserve">                 包装分类：Ⅱ </w:t>
            </w:r>
          </w:p>
          <w:p>
            <w:pPr>
              <w:keepNext w:val="0"/>
              <w:keepLines w:val="0"/>
              <w:widowControl/>
              <w:suppressLineNumbers w:val="0"/>
              <w:jc w:val="left"/>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val="en-US" w:eastAsia="zh-CN" w:bidi="ar"/>
              </w:rPr>
              <w:t xml:space="preserve">包装方法：小开口钢桶；螺纹口玻璃瓶、塑料瓶、镀锡薄钢板桶外竹箱、柳条箱。 </w:t>
            </w:r>
          </w:p>
          <w:p>
            <w:pPr>
              <w:keepNext w:val="0"/>
              <w:keepLines w:val="0"/>
              <w:widowControl/>
              <w:suppressLineNumbers w:val="0"/>
              <w:jc w:val="left"/>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0"/>
                <w:sz w:val="21"/>
                <w:szCs w:val="21"/>
                <w:lang w:val="en-US" w:eastAsia="zh-CN" w:bidi="ar"/>
              </w:rPr>
              <w:t>储运条件：储存于阴凉、通风仓间内。远离火种、热源，防止阳光直射。包装必须密封，切勿受潮。应与氧化剂分开存放。搬运时要轻装轻卸，防止包装及容器损坏。</w:t>
            </w:r>
          </w:p>
        </w:tc>
      </w:tr>
    </w:tbl>
    <w:p>
      <w:pPr>
        <w:pStyle w:val="178"/>
        <w:keepNext w:val="0"/>
        <w:keepLines w:val="0"/>
        <w:pageBreakBefore w:val="0"/>
        <w:widowControl/>
        <w:numPr>
          <w:ilvl w:val="0"/>
          <w:numId w:val="7"/>
        </w:numPr>
        <w:kinsoku/>
        <w:wordWrap/>
        <w:overflowPunct/>
        <w:topLinePunct w:val="0"/>
        <w:autoSpaceDE/>
        <w:autoSpaceDN/>
        <w:bidi w:val="0"/>
        <w:adjustRightInd/>
        <w:snapToGrid/>
        <w:spacing w:before="157" w:beforeLines="50" w:afterLines="0" w:line="360" w:lineRule="auto"/>
        <w:ind w:left="0" w:leftChars="0" w:firstLine="0" w:firstLineChars="0"/>
        <w:textAlignment w:val="auto"/>
        <w:rPr>
          <w:rFonts w:hint="default" w:ascii="Times New Roman" w:hAnsi="Times New Roman" w:cs="Times New Roman"/>
          <w:b/>
          <w:color w:val="auto"/>
        </w:rPr>
      </w:pPr>
      <w:r>
        <w:rPr>
          <w:rFonts w:hint="default" w:ascii="Times New Roman" w:hAnsi="Times New Roman" w:cs="Times New Roman"/>
          <w:b/>
          <w:color w:val="auto"/>
          <w:lang w:eastAsia="zh-CN"/>
        </w:rPr>
        <w:t>双氧水的理化性质及危险特性</w:t>
      </w:r>
      <w:r>
        <w:rPr>
          <w:rFonts w:hint="default" w:ascii="Times New Roman" w:hAnsi="Times New Roman" w:cs="Times New Roman"/>
          <w:b/>
          <w:color w:val="auto"/>
        </w:rPr>
        <w:t>表</w:t>
      </w:r>
    </w:p>
    <w:tbl>
      <w:tblPr>
        <w:tblStyle w:val="44"/>
        <w:tblW w:w="89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1279"/>
        <w:gridCol w:w="997"/>
        <w:gridCol w:w="549"/>
        <w:gridCol w:w="1080"/>
        <w:gridCol w:w="205"/>
        <w:gridCol w:w="886"/>
        <w:gridCol w:w="1158"/>
        <w:gridCol w:w="8"/>
        <w:gridCol w:w="793"/>
        <w:gridCol w:w="1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Merge w:val="restart"/>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标识</w:t>
            </w:r>
          </w:p>
        </w:tc>
        <w:tc>
          <w:tcPr>
            <w:tcW w:w="1279"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中文名</w:t>
            </w:r>
          </w:p>
        </w:tc>
        <w:tc>
          <w:tcPr>
            <w:tcW w:w="2631" w:type="dxa"/>
            <w:gridSpan w:val="3"/>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双氧水</w:t>
            </w:r>
          </w:p>
        </w:tc>
        <w:tc>
          <w:tcPr>
            <w:tcW w:w="2252" w:type="dxa"/>
            <w:gridSpan w:val="3"/>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英文名</w:t>
            </w:r>
          </w:p>
        </w:tc>
        <w:tc>
          <w:tcPr>
            <w:tcW w:w="2006" w:type="dxa"/>
            <w:gridSpan w:val="3"/>
            <w:vAlign w:val="center"/>
          </w:tcPr>
          <w:p>
            <w:pPr>
              <w:keepNext w:val="0"/>
              <w:keepLines w:val="0"/>
              <w:widowControl/>
              <w:suppressLineNumbers w:val="0"/>
              <w:jc w:val="left"/>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0"/>
                <w:szCs w:val="20"/>
                <w:lang w:val="en-US" w:eastAsia="zh-CN" w:bidi="ar"/>
              </w:rPr>
              <w:t>hydrogen peroxide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41" w:type="dxa"/>
            <w:vMerge w:val="continue"/>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p>
        </w:tc>
        <w:tc>
          <w:tcPr>
            <w:tcW w:w="1279"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分子式</w:t>
            </w:r>
          </w:p>
        </w:tc>
        <w:tc>
          <w:tcPr>
            <w:tcW w:w="1550" w:type="dxa"/>
            <w:gridSpan w:val="2"/>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H</w:t>
            </w:r>
            <w:r>
              <w:rPr>
                <w:rFonts w:hint="default" w:ascii="Times New Roman" w:hAnsi="Times New Roman" w:cs="Times New Roman"/>
                <w:color w:val="auto"/>
                <w:sz w:val="21"/>
                <w:szCs w:val="21"/>
                <w:vertAlign w:val="subscript"/>
                <w:lang w:val="en-US" w:eastAsia="zh-CN"/>
              </w:rPr>
              <w:t>2</w:t>
            </w:r>
            <w:r>
              <w:rPr>
                <w:rFonts w:hint="default" w:ascii="Times New Roman" w:hAnsi="Times New Roman" w:cs="Times New Roman"/>
                <w:color w:val="auto"/>
                <w:sz w:val="21"/>
                <w:szCs w:val="21"/>
                <w:lang w:val="en-US" w:eastAsia="zh-CN"/>
              </w:rPr>
              <w:t>O</w:t>
            </w:r>
            <w:r>
              <w:rPr>
                <w:rFonts w:hint="default" w:ascii="Times New Roman" w:hAnsi="Times New Roman" w:cs="Times New Roman"/>
                <w:color w:val="auto"/>
                <w:sz w:val="21"/>
                <w:szCs w:val="21"/>
                <w:vertAlign w:val="subscript"/>
                <w:lang w:val="en-US" w:eastAsia="zh-CN"/>
              </w:rPr>
              <w:t>2</w:t>
            </w:r>
          </w:p>
        </w:tc>
        <w:tc>
          <w:tcPr>
            <w:tcW w:w="1081"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分子量</w:t>
            </w:r>
          </w:p>
        </w:tc>
        <w:tc>
          <w:tcPr>
            <w:tcW w:w="1093" w:type="dxa"/>
            <w:gridSpan w:val="2"/>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34.01</w:t>
            </w:r>
          </w:p>
        </w:tc>
        <w:tc>
          <w:tcPr>
            <w:tcW w:w="1167" w:type="dxa"/>
            <w:gridSpan w:val="2"/>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CAS号</w:t>
            </w:r>
          </w:p>
        </w:tc>
        <w:tc>
          <w:tcPr>
            <w:tcW w:w="1998" w:type="dxa"/>
            <w:gridSpan w:val="2"/>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7722</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84</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Merge w:val="continue"/>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p>
        </w:tc>
        <w:tc>
          <w:tcPr>
            <w:tcW w:w="8168" w:type="dxa"/>
            <w:gridSpan w:val="10"/>
            <w:vAlign w:val="center"/>
          </w:tcPr>
          <w:p>
            <w:pPr>
              <w:keepNext w:val="0"/>
              <w:keepLines w:val="0"/>
              <w:widowControl/>
              <w:suppressLineNumbers w:val="0"/>
              <w:ind w:firstLine="210" w:firstLineChars="100"/>
              <w:jc w:val="left"/>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kern w:val="0"/>
                <w:sz w:val="21"/>
                <w:szCs w:val="21"/>
                <w:lang w:val="en-US" w:eastAsia="zh-CN" w:bidi="ar"/>
              </w:rPr>
              <w:t>危规号：</w:t>
            </w:r>
            <w:r>
              <w:rPr>
                <w:rFonts w:hint="default" w:ascii="Times New Roman" w:hAnsi="Times New Roman" w:cs="Times New Roman"/>
                <w:color w:val="auto"/>
                <w:kern w:val="0"/>
                <w:sz w:val="21"/>
                <w:szCs w:val="21"/>
                <w:lang w:val="en-US" w:eastAsia="zh-CN" w:bidi="ar"/>
              </w:rPr>
              <w:t>51001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Merge w:val="restart"/>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理化性质</w:t>
            </w:r>
          </w:p>
        </w:tc>
        <w:tc>
          <w:tcPr>
            <w:tcW w:w="1279"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外观与性状</w:t>
            </w:r>
          </w:p>
        </w:tc>
        <w:tc>
          <w:tcPr>
            <w:tcW w:w="6889" w:type="dxa"/>
            <w:gridSpan w:val="9"/>
            <w:vAlign w:val="center"/>
          </w:tcPr>
          <w:p>
            <w:pPr>
              <w:keepNext w:val="0"/>
              <w:keepLines w:val="0"/>
              <w:widowControl/>
              <w:suppressLineNumbers w:val="0"/>
              <w:jc w:val="left"/>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val="en-US" w:eastAsia="zh-CN" w:bidi="ar"/>
              </w:rPr>
              <w:t>无色透明液体，有微弱的特殊气味。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 w:hRule="atLeast"/>
          <w:jc w:val="center"/>
        </w:trPr>
        <w:tc>
          <w:tcPr>
            <w:tcW w:w="741" w:type="dxa"/>
            <w:vMerge w:val="continue"/>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p>
        </w:tc>
        <w:tc>
          <w:tcPr>
            <w:tcW w:w="1279" w:type="dxa"/>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溶解性</w:t>
            </w:r>
          </w:p>
        </w:tc>
        <w:tc>
          <w:tcPr>
            <w:tcW w:w="6889" w:type="dxa"/>
            <w:gridSpan w:val="9"/>
            <w:vAlign w:val="center"/>
          </w:tcPr>
          <w:p>
            <w:pPr>
              <w:keepNext w:val="0"/>
              <w:keepLines w:val="0"/>
              <w:widowControl/>
              <w:suppressLineNumbers w:val="0"/>
              <w:jc w:val="left"/>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val="en-US" w:eastAsia="zh-CN" w:bidi="ar"/>
              </w:rPr>
              <w:t>微溶于水、醇、醚，不溶于石油醚、苯。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 w:hRule="atLeast"/>
          <w:jc w:val="center"/>
        </w:trPr>
        <w:tc>
          <w:tcPr>
            <w:tcW w:w="741" w:type="dxa"/>
            <w:vMerge w:val="continue"/>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p>
        </w:tc>
        <w:tc>
          <w:tcPr>
            <w:tcW w:w="1279"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熔点（℃）</w:t>
            </w:r>
          </w:p>
        </w:tc>
        <w:tc>
          <w:tcPr>
            <w:tcW w:w="999" w:type="dxa"/>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2（无水）</w:t>
            </w:r>
          </w:p>
        </w:tc>
        <w:tc>
          <w:tcPr>
            <w:tcW w:w="1838" w:type="dxa"/>
            <w:gridSpan w:val="3"/>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沸点（℃）</w:t>
            </w:r>
          </w:p>
        </w:tc>
        <w:tc>
          <w:tcPr>
            <w:tcW w:w="887" w:type="dxa"/>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158（无水）</w:t>
            </w:r>
          </w:p>
        </w:tc>
        <w:tc>
          <w:tcPr>
            <w:tcW w:w="1963" w:type="dxa"/>
            <w:gridSpan w:val="3"/>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相对密度（</w:t>
            </w:r>
            <w:r>
              <w:rPr>
                <w:rFonts w:hint="default" w:ascii="Times New Roman" w:hAnsi="Times New Roman" w:cs="Times New Roman"/>
                <w:color w:val="auto"/>
                <w:sz w:val="21"/>
                <w:szCs w:val="21"/>
                <w:lang w:eastAsia="zh-CN"/>
              </w:rPr>
              <w:t>水</w:t>
            </w:r>
            <w:r>
              <w:rPr>
                <w:rFonts w:hint="default"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rPr>
              <w:t>）</w:t>
            </w:r>
          </w:p>
        </w:tc>
        <w:tc>
          <w:tcPr>
            <w:tcW w:w="1202" w:type="dxa"/>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1.46（无水）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Merge w:val="continue"/>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p>
        </w:tc>
        <w:tc>
          <w:tcPr>
            <w:tcW w:w="1279" w:type="dxa"/>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临界温度</w:t>
            </w:r>
            <w:r>
              <w:rPr>
                <w:rFonts w:hint="default" w:ascii="Times New Roman" w:hAnsi="Times New Roman" w:cs="Times New Roman"/>
                <w:color w:val="auto"/>
                <w:sz w:val="21"/>
                <w:szCs w:val="21"/>
              </w:rPr>
              <w:t>（℃）</w:t>
            </w:r>
          </w:p>
        </w:tc>
        <w:tc>
          <w:tcPr>
            <w:tcW w:w="999" w:type="dxa"/>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1838" w:type="dxa"/>
            <w:gridSpan w:val="3"/>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临界压力（</w:t>
            </w:r>
            <w:r>
              <w:rPr>
                <w:rFonts w:hint="default" w:ascii="Times New Roman" w:hAnsi="Times New Roman" w:cs="Times New Roman"/>
                <w:color w:val="auto"/>
                <w:sz w:val="21"/>
                <w:szCs w:val="21"/>
                <w:lang w:val="en-US" w:eastAsia="zh-CN"/>
              </w:rPr>
              <w:t>MPa</w:t>
            </w:r>
            <w:r>
              <w:rPr>
                <w:rFonts w:hint="default" w:ascii="Times New Roman" w:hAnsi="Times New Roman" w:cs="Times New Roman"/>
                <w:color w:val="auto"/>
                <w:sz w:val="21"/>
                <w:szCs w:val="21"/>
                <w:lang w:eastAsia="zh-CN"/>
              </w:rPr>
              <w:t>）</w:t>
            </w:r>
          </w:p>
        </w:tc>
        <w:tc>
          <w:tcPr>
            <w:tcW w:w="887" w:type="dxa"/>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1963" w:type="dxa"/>
            <w:gridSpan w:val="3"/>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相对密度（</w:t>
            </w:r>
            <w:r>
              <w:rPr>
                <w:rFonts w:hint="default" w:ascii="Times New Roman" w:hAnsi="Times New Roman" w:cs="Times New Roman"/>
                <w:color w:val="auto"/>
                <w:sz w:val="21"/>
                <w:szCs w:val="21"/>
                <w:lang w:eastAsia="zh-CN"/>
              </w:rPr>
              <w:t>空气</w:t>
            </w:r>
            <w:r>
              <w:rPr>
                <w:rFonts w:hint="default"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rPr>
              <w:t>）</w:t>
            </w:r>
          </w:p>
        </w:tc>
        <w:tc>
          <w:tcPr>
            <w:tcW w:w="1202" w:type="dxa"/>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Merge w:val="continue"/>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p>
        </w:tc>
        <w:tc>
          <w:tcPr>
            <w:tcW w:w="1279" w:type="dxa"/>
            <w:vAlign w:val="center"/>
          </w:tcPr>
          <w:p>
            <w:pPr>
              <w:keepNext w:val="0"/>
              <w:keepLines w:val="0"/>
              <w:widowControl/>
              <w:suppressLineNumbers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燃烧热（</w:t>
            </w:r>
            <w:r>
              <w:rPr>
                <w:rFonts w:hint="default" w:ascii="Times New Roman" w:hAnsi="Times New Roman" w:eastAsia="宋体" w:cs="Times New Roman"/>
                <w:color w:val="auto"/>
                <w:kern w:val="0"/>
                <w:sz w:val="21"/>
                <w:szCs w:val="21"/>
                <w:lang w:val="en-US" w:eastAsia="zh-CN" w:bidi="ar"/>
              </w:rPr>
              <w:t>KJ/mol）</w:t>
            </w:r>
          </w:p>
        </w:tc>
        <w:tc>
          <w:tcPr>
            <w:tcW w:w="999"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1838" w:type="dxa"/>
            <w:gridSpan w:val="3"/>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最小点火能（</w:t>
            </w:r>
            <w:r>
              <w:rPr>
                <w:rFonts w:hint="default" w:ascii="Times New Roman" w:hAnsi="Times New Roman" w:cs="Times New Roman"/>
                <w:color w:val="auto"/>
                <w:sz w:val="21"/>
                <w:szCs w:val="21"/>
                <w:lang w:val="en-US" w:eastAsia="zh-CN"/>
              </w:rPr>
              <w:t>mJ</w:t>
            </w:r>
            <w:r>
              <w:rPr>
                <w:rFonts w:hint="default" w:ascii="Times New Roman" w:hAnsi="Times New Roman" w:cs="Times New Roman"/>
                <w:color w:val="auto"/>
                <w:sz w:val="21"/>
                <w:szCs w:val="21"/>
                <w:lang w:eastAsia="zh-CN"/>
              </w:rPr>
              <w:t>）</w:t>
            </w:r>
          </w:p>
        </w:tc>
        <w:tc>
          <w:tcPr>
            <w:tcW w:w="887"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1963" w:type="dxa"/>
            <w:gridSpan w:val="3"/>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饱和蒸气压（</w:t>
            </w:r>
            <w:r>
              <w:rPr>
                <w:rFonts w:hint="default" w:ascii="Times New Roman" w:hAnsi="Times New Roman" w:cs="Times New Roman"/>
                <w:color w:val="auto"/>
                <w:sz w:val="21"/>
                <w:szCs w:val="21"/>
                <w:lang w:val="en-US" w:eastAsia="zh-CN"/>
              </w:rPr>
              <w:t>KPa</w:t>
            </w:r>
            <w:r>
              <w:rPr>
                <w:rFonts w:hint="default" w:ascii="Times New Roman" w:hAnsi="Times New Roman" w:cs="Times New Roman"/>
                <w:color w:val="auto"/>
                <w:sz w:val="21"/>
                <w:szCs w:val="21"/>
                <w:lang w:eastAsia="zh-CN"/>
              </w:rPr>
              <w:t>）</w:t>
            </w:r>
          </w:p>
        </w:tc>
        <w:tc>
          <w:tcPr>
            <w:tcW w:w="1202"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0.13（15.3℃）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Merge w:val="restart"/>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燃烧爆炸危险性</w:t>
            </w:r>
          </w:p>
        </w:tc>
        <w:tc>
          <w:tcPr>
            <w:tcW w:w="1279"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燃烧性</w:t>
            </w:r>
          </w:p>
        </w:tc>
        <w:tc>
          <w:tcPr>
            <w:tcW w:w="999" w:type="dxa"/>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不燃</w:t>
            </w:r>
          </w:p>
        </w:tc>
        <w:tc>
          <w:tcPr>
            <w:tcW w:w="1838" w:type="dxa"/>
            <w:gridSpan w:val="3"/>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燃烧分解物</w:t>
            </w:r>
          </w:p>
        </w:tc>
        <w:tc>
          <w:tcPr>
            <w:tcW w:w="4052" w:type="dxa"/>
            <w:gridSpan w:val="5"/>
            <w:vAlign w:val="center"/>
          </w:tcPr>
          <w:p>
            <w:pPr>
              <w:pStyle w:val="64"/>
              <w:adjustRightInd w:val="0"/>
              <w:snapToGrid w:val="0"/>
              <w:spacing w:before="0" w:after="0" w:line="240" w:lineRule="auto"/>
              <w:ind w:firstLine="0" w:firstLineChars="0"/>
              <w:jc w:val="left"/>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氧气、水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Merge w:val="continue"/>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p>
        </w:tc>
        <w:tc>
          <w:tcPr>
            <w:tcW w:w="1279"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闪点（℃）</w:t>
            </w:r>
          </w:p>
        </w:tc>
        <w:tc>
          <w:tcPr>
            <w:tcW w:w="999" w:type="dxa"/>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1838" w:type="dxa"/>
            <w:gridSpan w:val="3"/>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聚合危害</w:t>
            </w:r>
          </w:p>
        </w:tc>
        <w:tc>
          <w:tcPr>
            <w:tcW w:w="4052" w:type="dxa"/>
            <w:gridSpan w:val="5"/>
            <w:vAlign w:val="center"/>
          </w:tcPr>
          <w:p>
            <w:pPr>
              <w:pStyle w:val="64"/>
              <w:adjustRightInd w:val="0"/>
              <w:snapToGrid w:val="0"/>
              <w:spacing w:before="0" w:after="0" w:line="240" w:lineRule="auto"/>
              <w:ind w:firstLine="0" w:firstLineChars="0"/>
              <w:jc w:val="left"/>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不聚合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Merge w:val="continue"/>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p>
        </w:tc>
        <w:tc>
          <w:tcPr>
            <w:tcW w:w="1279"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爆炸下限（v%）</w:t>
            </w:r>
          </w:p>
        </w:tc>
        <w:tc>
          <w:tcPr>
            <w:tcW w:w="999"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1838" w:type="dxa"/>
            <w:gridSpan w:val="3"/>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稳定性</w:t>
            </w:r>
          </w:p>
        </w:tc>
        <w:tc>
          <w:tcPr>
            <w:tcW w:w="4052" w:type="dxa"/>
            <w:gridSpan w:val="5"/>
            <w:vAlign w:val="center"/>
          </w:tcPr>
          <w:p>
            <w:pPr>
              <w:pStyle w:val="64"/>
              <w:adjustRightInd w:val="0"/>
              <w:snapToGrid w:val="0"/>
              <w:spacing w:before="0" w:after="0" w:line="240" w:lineRule="auto"/>
              <w:ind w:firstLine="0" w:firstLineChars="0"/>
              <w:jc w:val="left"/>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Merge w:val="continue"/>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p>
        </w:tc>
        <w:tc>
          <w:tcPr>
            <w:tcW w:w="1279"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爆炸</w:t>
            </w:r>
            <w:r>
              <w:rPr>
                <w:rFonts w:hint="default" w:ascii="Times New Roman" w:hAnsi="Times New Roman" w:cs="Times New Roman"/>
                <w:color w:val="auto"/>
                <w:sz w:val="21"/>
                <w:szCs w:val="21"/>
                <w:lang w:eastAsia="zh-CN"/>
              </w:rPr>
              <w:t>上</w:t>
            </w:r>
            <w:r>
              <w:rPr>
                <w:rFonts w:hint="default" w:ascii="Times New Roman" w:hAnsi="Times New Roman" w:cs="Times New Roman"/>
                <w:color w:val="auto"/>
                <w:sz w:val="21"/>
                <w:szCs w:val="21"/>
              </w:rPr>
              <w:t>限（v%）</w:t>
            </w:r>
          </w:p>
        </w:tc>
        <w:tc>
          <w:tcPr>
            <w:tcW w:w="999" w:type="dxa"/>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1838" w:type="dxa"/>
            <w:gridSpan w:val="3"/>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最大爆炸压力（</w:t>
            </w:r>
            <w:r>
              <w:rPr>
                <w:rFonts w:hint="default" w:ascii="Times New Roman" w:hAnsi="Times New Roman" w:cs="Times New Roman"/>
                <w:color w:val="auto"/>
                <w:sz w:val="21"/>
                <w:szCs w:val="21"/>
                <w:lang w:val="en-US" w:eastAsia="zh-CN"/>
              </w:rPr>
              <w:t>MPa</w:t>
            </w:r>
            <w:r>
              <w:rPr>
                <w:rFonts w:hint="default" w:ascii="Times New Roman" w:hAnsi="Times New Roman" w:cs="Times New Roman"/>
                <w:color w:val="auto"/>
                <w:sz w:val="21"/>
                <w:szCs w:val="21"/>
                <w:lang w:eastAsia="zh-CN"/>
              </w:rPr>
              <w:t>）</w:t>
            </w:r>
          </w:p>
        </w:tc>
        <w:tc>
          <w:tcPr>
            <w:tcW w:w="4052" w:type="dxa"/>
            <w:gridSpan w:val="5"/>
            <w:vAlign w:val="center"/>
          </w:tcPr>
          <w:p>
            <w:pPr>
              <w:pStyle w:val="64"/>
              <w:adjustRightInd w:val="0"/>
              <w:snapToGrid w:val="0"/>
              <w:spacing w:before="0" w:after="0" w:line="240" w:lineRule="auto"/>
              <w:ind w:firstLine="0" w:firstLineChars="0"/>
              <w:jc w:val="left"/>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Merge w:val="continue"/>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p>
        </w:tc>
        <w:tc>
          <w:tcPr>
            <w:tcW w:w="1279" w:type="dxa"/>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引燃温度</w:t>
            </w:r>
            <w:r>
              <w:rPr>
                <w:rFonts w:hint="default" w:ascii="Times New Roman" w:hAnsi="Times New Roman" w:cs="Times New Roman"/>
                <w:color w:val="auto"/>
                <w:sz w:val="21"/>
                <w:szCs w:val="21"/>
              </w:rPr>
              <w:t>（℃）</w:t>
            </w:r>
          </w:p>
        </w:tc>
        <w:tc>
          <w:tcPr>
            <w:tcW w:w="999" w:type="dxa"/>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1838" w:type="dxa"/>
            <w:gridSpan w:val="3"/>
            <w:vAlign w:val="center"/>
          </w:tcPr>
          <w:p>
            <w:pPr>
              <w:keepNext w:val="0"/>
              <w:keepLines w:val="0"/>
              <w:widowControl/>
              <w:suppressLineNumbers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kern w:val="0"/>
                <w:sz w:val="21"/>
                <w:szCs w:val="21"/>
                <w:lang w:val="en-US" w:eastAsia="zh-CN" w:bidi="ar"/>
              </w:rPr>
              <w:t>禁忌物</w:t>
            </w:r>
          </w:p>
        </w:tc>
        <w:tc>
          <w:tcPr>
            <w:tcW w:w="4052" w:type="dxa"/>
            <w:gridSpan w:val="5"/>
            <w:vAlign w:val="center"/>
          </w:tcPr>
          <w:p>
            <w:pPr>
              <w:keepNext w:val="0"/>
              <w:keepLines w:val="0"/>
              <w:widowControl/>
              <w:suppressLineNumbers w:val="0"/>
              <w:jc w:val="left"/>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kern w:val="0"/>
                <w:sz w:val="21"/>
                <w:szCs w:val="21"/>
                <w:lang w:val="en-US" w:eastAsia="zh-CN" w:bidi="ar"/>
              </w:rPr>
              <w:t>易燃或可燃物、强还原剂、铜、铁、铁盐、锌、活性金属粉末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Merge w:val="continue"/>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p>
        </w:tc>
        <w:tc>
          <w:tcPr>
            <w:tcW w:w="1279"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危险特性</w:t>
            </w:r>
          </w:p>
        </w:tc>
        <w:tc>
          <w:tcPr>
            <w:tcW w:w="6889" w:type="dxa"/>
            <w:gridSpan w:val="9"/>
            <w:vAlign w:val="center"/>
          </w:tcPr>
          <w:p>
            <w:pPr>
              <w:keepNext w:val="0"/>
              <w:keepLines w:val="0"/>
              <w:widowControl/>
              <w:suppressLineNumbers w:val="0"/>
              <w:jc w:val="left"/>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val="en-US" w:eastAsia="zh-CN" w:bidi="ar"/>
              </w:rPr>
              <w:t>爆炸性强氧化剂。过氧化氢本身不燃，但能与可燃物反应放出大量热量和氧气而引起着火爆炸。过氧化氢在pH值为3.5～4.5时最稳定，在碱性溶液中极易分解，在遇强光，特别是短波射线照射时也能发生分解。当加热到100℃以上时，开始急剧分解。它与许多有机物如糖、淀粉、醇类、石油产品等形成爆炸性混合物，在撞击、受热或电火花作用下能发生爆炸。过氧化氢与许多有机化合物或杂质接触后会迅速分解而导致爆炸，放出大量的热量、氧和水蒸气。大多数重金属（如铁、铜、银、铅、汞、锌、钴、镍、铬、锰等）及其氧化物和盐类都是活性催化剂，尘土、香烟灰、碳粉、铁锈等也能加速分解。浓度超过74％的过氧化氢，在具有适当的点火源或温度的密闭容器中，会产生气相爆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Merge w:val="continue"/>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p>
        </w:tc>
        <w:tc>
          <w:tcPr>
            <w:tcW w:w="1279"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灭火方法</w:t>
            </w:r>
          </w:p>
        </w:tc>
        <w:tc>
          <w:tcPr>
            <w:tcW w:w="6889" w:type="dxa"/>
            <w:gridSpan w:val="9"/>
            <w:vAlign w:val="center"/>
          </w:tcPr>
          <w:p>
            <w:pPr>
              <w:keepNext w:val="0"/>
              <w:keepLines w:val="0"/>
              <w:widowControl/>
              <w:suppressLineNumbers w:val="0"/>
              <w:jc w:val="left"/>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val="en-US" w:eastAsia="zh-CN" w:bidi="ar"/>
              </w:rPr>
              <w:t>消防人员必须穿戴全身防火防毒服。尽可能将容器从火场移至空旷处。喷水冷却火场容器，直至灭火结束。处在火场中的容器若已变色或从安全泄压装置中产生声音，必须马上撤离。灭火剂：雾状水、干粉、砂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毒性</w:t>
            </w:r>
          </w:p>
        </w:tc>
        <w:tc>
          <w:tcPr>
            <w:tcW w:w="1279"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急性毒性</w:t>
            </w:r>
          </w:p>
        </w:tc>
        <w:tc>
          <w:tcPr>
            <w:tcW w:w="6889" w:type="dxa"/>
            <w:gridSpan w:val="9"/>
            <w:vAlign w:val="center"/>
          </w:tcPr>
          <w:p>
            <w:pPr>
              <w:keepNext w:val="0"/>
              <w:keepLines w:val="0"/>
              <w:widowControl/>
              <w:suppressLineNumbers w:val="0"/>
              <w:jc w:val="left"/>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741" w:type="dxa"/>
            <w:vMerge w:val="restart"/>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危害</w:t>
            </w:r>
          </w:p>
        </w:tc>
        <w:tc>
          <w:tcPr>
            <w:tcW w:w="1279"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val="en-US" w:eastAsia="zh-CN" w:bidi="ar"/>
              </w:rPr>
              <w:t>侵入途径</w:t>
            </w:r>
          </w:p>
        </w:tc>
        <w:tc>
          <w:tcPr>
            <w:tcW w:w="6889" w:type="dxa"/>
            <w:gridSpan w:val="9"/>
            <w:vAlign w:val="center"/>
          </w:tcPr>
          <w:p>
            <w:pPr>
              <w:keepNext w:val="0"/>
              <w:keepLines w:val="0"/>
              <w:widowControl/>
              <w:suppressLineNumbers w:val="0"/>
              <w:jc w:val="left"/>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val="en-US" w:eastAsia="zh-CN" w:bidi="ar"/>
              </w:rPr>
              <w:t>吸入、食入。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1" w:hRule="atLeast"/>
          <w:jc w:val="center"/>
        </w:trPr>
        <w:tc>
          <w:tcPr>
            <w:tcW w:w="741" w:type="dxa"/>
            <w:vMerge w:val="continue"/>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p>
        </w:tc>
        <w:tc>
          <w:tcPr>
            <w:tcW w:w="1279"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健康危害</w:t>
            </w:r>
          </w:p>
        </w:tc>
        <w:tc>
          <w:tcPr>
            <w:tcW w:w="6889" w:type="dxa"/>
            <w:gridSpan w:val="9"/>
            <w:vAlign w:val="center"/>
          </w:tcPr>
          <w:p>
            <w:pPr>
              <w:keepNext w:val="0"/>
              <w:keepLines w:val="0"/>
              <w:widowControl/>
              <w:suppressLineNumbers w:val="0"/>
              <w:jc w:val="left"/>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val="en-US" w:eastAsia="zh-CN" w:bidi="ar"/>
              </w:rPr>
              <w:t>吸入本品蒸气或雾对呼吸道有强烈刺激性。眼直接接触液体可致不可逆损伤甚至失明。口服中毒出现腹痛、胸口痛、呼吸困难、呕吐，一时性运动和感觉障碍、体温升高、结膜和皮肤出血。个别病例出现视力障碍、癫痫样痉挛、轻瘫，长期接触本品可致接触性皮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741" w:type="dxa"/>
            <w:vMerge w:val="restart"/>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急救措施</w:t>
            </w:r>
          </w:p>
        </w:tc>
        <w:tc>
          <w:tcPr>
            <w:tcW w:w="1279"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皮肤接触</w:t>
            </w:r>
          </w:p>
        </w:tc>
        <w:tc>
          <w:tcPr>
            <w:tcW w:w="6889" w:type="dxa"/>
            <w:gridSpan w:val="9"/>
            <w:vAlign w:val="center"/>
          </w:tcPr>
          <w:p>
            <w:pPr>
              <w:keepNext w:val="0"/>
              <w:keepLines w:val="0"/>
              <w:widowControl/>
              <w:suppressLineNumbers w:val="0"/>
              <w:jc w:val="left"/>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val="en-US" w:eastAsia="zh-CN" w:bidi="ar"/>
              </w:rPr>
              <w:t>立即脱去被污染的衣着，用大量流动清水冲洗皮肤。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741" w:type="dxa"/>
            <w:vMerge w:val="continue"/>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p>
        </w:tc>
        <w:tc>
          <w:tcPr>
            <w:tcW w:w="1279"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眼睛接触</w:t>
            </w:r>
          </w:p>
        </w:tc>
        <w:tc>
          <w:tcPr>
            <w:tcW w:w="6889" w:type="dxa"/>
            <w:gridSpan w:val="9"/>
            <w:vAlign w:val="center"/>
          </w:tcPr>
          <w:p>
            <w:pPr>
              <w:keepNext w:val="0"/>
              <w:keepLines w:val="0"/>
              <w:widowControl/>
              <w:suppressLineNumbers w:val="0"/>
              <w:jc w:val="left"/>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val="en-US" w:eastAsia="zh-CN" w:bidi="ar"/>
              </w:rPr>
              <w:t>立即提起眼睑，用大量流动清水或生理盐水冲洗至少15分钟。就医。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741" w:type="dxa"/>
            <w:vMerge w:val="continue"/>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p>
        </w:tc>
        <w:tc>
          <w:tcPr>
            <w:tcW w:w="1279"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吸入</w:t>
            </w:r>
          </w:p>
        </w:tc>
        <w:tc>
          <w:tcPr>
            <w:tcW w:w="6889" w:type="dxa"/>
            <w:gridSpan w:val="9"/>
            <w:vAlign w:val="center"/>
          </w:tcPr>
          <w:p>
            <w:pPr>
              <w:keepNext w:val="0"/>
              <w:keepLines w:val="0"/>
              <w:widowControl/>
              <w:suppressLineNumbers w:val="0"/>
              <w:jc w:val="left"/>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val="en-US" w:eastAsia="zh-CN" w:bidi="ar"/>
              </w:rPr>
              <w:t>迅速脱离现场至空气新鲜处，保持呼吸道通畅。如呼吸困难，给输氧。如呼吸停止，立即进行人工呼吸。就医。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741" w:type="dxa"/>
            <w:vMerge w:val="continue"/>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p>
        </w:tc>
        <w:tc>
          <w:tcPr>
            <w:tcW w:w="1279"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食入</w:t>
            </w:r>
          </w:p>
        </w:tc>
        <w:tc>
          <w:tcPr>
            <w:tcW w:w="6889" w:type="dxa"/>
            <w:gridSpan w:val="9"/>
            <w:vAlign w:val="center"/>
          </w:tcPr>
          <w:p>
            <w:pPr>
              <w:keepNext w:val="0"/>
              <w:keepLines w:val="0"/>
              <w:widowControl/>
              <w:suppressLineNumbers w:val="0"/>
              <w:jc w:val="left"/>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val="en-US" w:eastAsia="zh-CN" w:bidi="ar"/>
              </w:rPr>
              <w:t>饮足量温水，催吐。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41" w:type="dxa"/>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防护</w:t>
            </w:r>
          </w:p>
        </w:tc>
        <w:tc>
          <w:tcPr>
            <w:tcW w:w="8168" w:type="dxa"/>
            <w:gridSpan w:val="10"/>
            <w:vAlign w:val="center"/>
          </w:tcPr>
          <w:p>
            <w:pPr>
              <w:keepNext w:val="0"/>
              <w:keepLines w:val="0"/>
              <w:widowControl/>
              <w:suppressLineNumbers w:val="0"/>
              <w:jc w:val="left"/>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val="en-US" w:eastAsia="zh-CN" w:bidi="ar"/>
              </w:rPr>
              <w:t>工程控制：生产过程密闭，全面通风。提供安全淋浴和洗眼设备。</w:t>
            </w:r>
          </w:p>
          <w:p>
            <w:pPr>
              <w:keepNext w:val="0"/>
              <w:keepLines w:val="0"/>
              <w:widowControl/>
              <w:suppressLineNumbers w:val="0"/>
              <w:jc w:val="left"/>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val="en-US" w:eastAsia="zh-CN" w:bidi="ar"/>
              </w:rPr>
              <w:t>呼吸系统防护：可能接触其蒸气时，应佩戴自吸过滤式防毒面具（全面罩）。</w:t>
            </w:r>
          </w:p>
          <w:p>
            <w:pPr>
              <w:keepNext w:val="0"/>
              <w:keepLines w:val="0"/>
              <w:widowControl/>
              <w:suppressLineNumbers w:val="0"/>
              <w:jc w:val="left"/>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val="en-US" w:eastAsia="zh-CN" w:bidi="ar"/>
              </w:rPr>
              <w:t>身体防护：穿聚乙烯防毒服。</w:t>
            </w:r>
          </w:p>
          <w:p>
            <w:pPr>
              <w:keepNext w:val="0"/>
              <w:keepLines w:val="0"/>
              <w:widowControl/>
              <w:suppressLineNumbers w:val="0"/>
              <w:jc w:val="left"/>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val="en-US" w:eastAsia="zh-CN" w:bidi="ar"/>
              </w:rPr>
              <w:t>手防护：戴氯丁橡胶手套。</w:t>
            </w:r>
          </w:p>
          <w:p>
            <w:pPr>
              <w:keepNext w:val="0"/>
              <w:keepLines w:val="0"/>
              <w:widowControl/>
              <w:suppressLineNumbers w:val="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其他防护：工作场所禁止吸烟。工作毕，淋浴更衣。注意个人清洁卫生。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泄漏处置</w:t>
            </w:r>
          </w:p>
        </w:tc>
        <w:tc>
          <w:tcPr>
            <w:tcW w:w="8168" w:type="dxa"/>
            <w:gridSpan w:val="10"/>
            <w:vAlign w:val="center"/>
          </w:tcPr>
          <w:p>
            <w:pPr>
              <w:keepNext w:val="0"/>
              <w:keepLines w:val="0"/>
              <w:widowControl/>
              <w:suppressLineNumbers w:val="0"/>
              <w:jc w:val="left"/>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0"/>
                <w:sz w:val="21"/>
                <w:szCs w:val="21"/>
                <w:lang w:val="en-US" w:eastAsia="zh-CN" w:bidi="ar"/>
              </w:rPr>
              <w:t>迅速撤离泄漏污染区人员至安全区，并进行隔离，严格限制出入。建议应急处理人员戴自给正压式呼吸器，穿防酸碱工作服。尽可能切断泄漏源，防止进入下水道、排洪沟等限制性空间。小量泄漏：用砂土、蛭石或其它惰性材料吸收。也可以用大量水冲洗，洗水稀释后放入废水系统。大量泄漏：构筑围堤或挖坑收容；喷雾状水冷却和稀释蒸气、保护现场人员、把泄漏物稀释成不燃物。用泵转移至槽车或专用收集器内，回收或运至废物处理场所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储运</w:t>
            </w:r>
          </w:p>
        </w:tc>
        <w:tc>
          <w:tcPr>
            <w:tcW w:w="8168" w:type="dxa"/>
            <w:gridSpan w:val="10"/>
            <w:vAlign w:val="center"/>
          </w:tcPr>
          <w:p>
            <w:pPr>
              <w:keepNext w:val="0"/>
              <w:keepLines w:val="0"/>
              <w:widowControl/>
              <w:suppressLineNumbers w:val="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 xml:space="preserve">包装标志：11，20             UN 编号：2015                  包装分类：Ⅰ </w:t>
            </w:r>
          </w:p>
          <w:p>
            <w:pPr>
              <w:keepNext w:val="0"/>
              <w:keepLines w:val="0"/>
              <w:widowControl/>
              <w:suppressLineNumbers w:val="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 xml:space="preserve">包装方法：玻璃瓶、塑料桶外木板箱或半花格箱。 </w:t>
            </w:r>
          </w:p>
          <w:p>
            <w:pPr>
              <w:keepNext w:val="0"/>
              <w:keepLines w:val="0"/>
              <w:widowControl/>
              <w:suppressLineNumbers w:val="0"/>
              <w:jc w:val="left"/>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0"/>
                <w:sz w:val="21"/>
                <w:szCs w:val="21"/>
                <w:lang w:val="en-US" w:eastAsia="zh-CN" w:bidi="ar"/>
              </w:rPr>
              <w:t>储运条件：储存在阴凉、通风的仓间内。远离火种、热源。仓内温度不宜超过30℃。防止阳光直射。保持容器密封。应与易燃或可燃物、还原剂、酸类、金属粉末等分开存放。搬运时要轻装轻卸，防止包装及容器损坏。夏季应早晚运输，防止日光暴晒。禁止撞击和振荡。</w:t>
            </w:r>
          </w:p>
        </w:tc>
      </w:tr>
    </w:tbl>
    <w:p>
      <w:pPr>
        <w:pStyle w:val="178"/>
        <w:keepNext w:val="0"/>
        <w:keepLines w:val="0"/>
        <w:pageBreakBefore w:val="0"/>
        <w:widowControl/>
        <w:numPr>
          <w:ilvl w:val="0"/>
          <w:numId w:val="7"/>
        </w:numPr>
        <w:kinsoku/>
        <w:wordWrap/>
        <w:overflowPunct/>
        <w:topLinePunct w:val="0"/>
        <w:autoSpaceDE/>
        <w:autoSpaceDN/>
        <w:bidi w:val="0"/>
        <w:adjustRightInd/>
        <w:snapToGrid/>
        <w:spacing w:before="157" w:beforeLines="50" w:afterLines="0" w:line="360" w:lineRule="auto"/>
        <w:ind w:left="0" w:leftChars="0" w:firstLine="0" w:firstLineChars="0"/>
        <w:textAlignment w:val="auto"/>
        <w:rPr>
          <w:rFonts w:hint="default" w:ascii="Times New Roman" w:hAnsi="Times New Roman" w:cs="Times New Roman"/>
          <w:b/>
          <w:color w:val="auto"/>
        </w:rPr>
      </w:pPr>
      <w:r>
        <w:rPr>
          <w:rFonts w:hint="default" w:ascii="Times New Roman" w:hAnsi="Times New Roman" w:cs="Times New Roman"/>
          <w:b/>
          <w:color w:val="auto"/>
          <w:lang w:eastAsia="zh-CN"/>
        </w:rPr>
        <w:t>氢氟酸的理化性质及危险特性</w:t>
      </w:r>
      <w:r>
        <w:rPr>
          <w:rFonts w:hint="default" w:ascii="Times New Roman" w:hAnsi="Times New Roman" w:cs="Times New Roman"/>
          <w:b/>
          <w:color w:val="auto"/>
        </w:rPr>
        <w:t>表</w:t>
      </w:r>
    </w:p>
    <w:tbl>
      <w:tblPr>
        <w:tblStyle w:val="44"/>
        <w:tblW w:w="89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1"/>
        <w:gridCol w:w="1279"/>
        <w:gridCol w:w="999"/>
        <w:gridCol w:w="551"/>
        <w:gridCol w:w="1081"/>
        <w:gridCol w:w="206"/>
        <w:gridCol w:w="887"/>
        <w:gridCol w:w="1159"/>
        <w:gridCol w:w="8"/>
        <w:gridCol w:w="796"/>
        <w:gridCol w:w="12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Merge w:val="restart"/>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标识</w:t>
            </w:r>
          </w:p>
        </w:tc>
        <w:tc>
          <w:tcPr>
            <w:tcW w:w="1279"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中文名</w:t>
            </w:r>
          </w:p>
        </w:tc>
        <w:tc>
          <w:tcPr>
            <w:tcW w:w="2631" w:type="dxa"/>
            <w:gridSpan w:val="3"/>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氢氟酸</w:t>
            </w:r>
          </w:p>
        </w:tc>
        <w:tc>
          <w:tcPr>
            <w:tcW w:w="2252" w:type="dxa"/>
            <w:gridSpan w:val="3"/>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英文名</w:t>
            </w:r>
          </w:p>
        </w:tc>
        <w:tc>
          <w:tcPr>
            <w:tcW w:w="2006" w:type="dxa"/>
            <w:gridSpan w:val="3"/>
            <w:vAlign w:val="center"/>
          </w:tcPr>
          <w:p>
            <w:pPr>
              <w:keepNext w:val="0"/>
              <w:keepLines w:val="0"/>
              <w:widowControl/>
              <w:suppressLineNumbers w:val="0"/>
              <w:jc w:val="left"/>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0"/>
                <w:szCs w:val="20"/>
                <w:lang w:val="en-US" w:eastAsia="zh-CN" w:bidi="ar"/>
              </w:rPr>
              <w:t>hydrofluoric acid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41" w:type="dxa"/>
            <w:vMerge w:val="continue"/>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p>
        </w:tc>
        <w:tc>
          <w:tcPr>
            <w:tcW w:w="1279"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分子式</w:t>
            </w:r>
          </w:p>
        </w:tc>
        <w:tc>
          <w:tcPr>
            <w:tcW w:w="1550" w:type="dxa"/>
            <w:gridSpan w:val="2"/>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HF</w:t>
            </w:r>
          </w:p>
        </w:tc>
        <w:tc>
          <w:tcPr>
            <w:tcW w:w="1081"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分子量</w:t>
            </w:r>
          </w:p>
        </w:tc>
        <w:tc>
          <w:tcPr>
            <w:tcW w:w="1093" w:type="dxa"/>
            <w:gridSpan w:val="2"/>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20.01</w:t>
            </w:r>
          </w:p>
        </w:tc>
        <w:tc>
          <w:tcPr>
            <w:tcW w:w="1167" w:type="dxa"/>
            <w:gridSpan w:val="2"/>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CAS号</w:t>
            </w:r>
          </w:p>
        </w:tc>
        <w:tc>
          <w:tcPr>
            <w:tcW w:w="1998" w:type="dxa"/>
            <w:gridSpan w:val="2"/>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7664-39-3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Merge w:val="continue"/>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p>
        </w:tc>
        <w:tc>
          <w:tcPr>
            <w:tcW w:w="8168" w:type="dxa"/>
            <w:gridSpan w:val="10"/>
            <w:vAlign w:val="center"/>
          </w:tcPr>
          <w:p>
            <w:pPr>
              <w:keepNext w:val="0"/>
              <w:keepLines w:val="0"/>
              <w:widowControl/>
              <w:suppressLineNumbers w:val="0"/>
              <w:ind w:firstLine="210" w:firstLineChars="100"/>
              <w:jc w:val="left"/>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kern w:val="0"/>
                <w:sz w:val="21"/>
                <w:szCs w:val="21"/>
                <w:lang w:val="en-US" w:eastAsia="zh-CN" w:bidi="ar"/>
              </w:rPr>
              <w:t>危规号：</w:t>
            </w:r>
            <w:r>
              <w:rPr>
                <w:rFonts w:hint="default" w:ascii="Times New Roman" w:hAnsi="Times New Roman" w:cs="Times New Roman"/>
                <w:color w:val="auto"/>
                <w:kern w:val="0"/>
                <w:sz w:val="21"/>
                <w:szCs w:val="21"/>
                <w:lang w:val="en-US" w:eastAsia="zh-CN" w:bidi="ar"/>
              </w:rPr>
              <w:t>81016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Merge w:val="restart"/>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理化性质</w:t>
            </w:r>
          </w:p>
        </w:tc>
        <w:tc>
          <w:tcPr>
            <w:tcW w:w="1279"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外观与性状</w:t>
            </w:r>
          </w:p>
        </w:tc>
        <w:tc>
          <w:tcPr>
            <w:tcW w:w="6889" w:type="dxa"/>
            <w:gridSpan w:val="9"/>
            <w:vAlign w:val="center"/>
          </w:tcPr>
          <w:p>
            <w:pPr>
              <w:keepNext w:val="0"/>
              <w:keepLines w:val="0"/>
              <w:widowControl/>
              <w:suppressLineNumbers w:val="0"/>
              <w:jc w:val="left"/>
              <w:rPr>
                <w:rFonts w:hint="default" w:ascii="Times New Roman" w:hAnsi="Times New Roman" w:cs="Times New Roman"/>
                <w:color w:val="auto"/>
                <w:sz w:val="21"/>
                <w:szCs w:val="21"/>
              </w:rPr>
            </w:pPr>
            <w:r>
              <w:rPr>
                <w:rFonts w:hint="default" w:ascii="Times New Roman" w:hAnsi="Times New Roman" w:eastAsia="宋体" w:cs="Times New Roman"/>
                <w:color w:val="auto"/>
                <w:kern w:val="2"/>
                <w:sz w:val="21"/>
                <w:szCs w:val="21"/>
                <w:lang w:val="en-US" w:eastAsia="zh-CN" w:bidi="ar-SA"/>
              </w:rPr>
              <w:t>无色透明有刺激性臭味的液体。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 w:hRule="atLeast"/>
          <w:jc w:val="center"/>
        </w:trPr>
        <w:tc>
          <w:tcPr>
            <w:tcW w:w="741" w:type="dxa"/>
            <w:vMerge w:val="continue"/>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p>
        </w:tc>
        <w:tc>
          <w:tcPr>
            <w:tcW w:w="1279" w:type="dxa"/>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溶解性</w:t>
            </w:r>
          </w:p>
        </w:tc>
        <w:tc>
          <w:tcPr>
            <w:tcW w:w="6889" w:type="dxa"/>
            <w:gridSpan w:val="9"/>
            <w:vAlign w:val="center"/>
          </w:tcPr>
          <w:p>
            <w:pPr>
              <w:keepNext w:val="0"/>
              <w:keepLines w:val="0"/>
              <w:widowControl/>
              <w:suppressLineNumbers w:val="0"/>
              <w:jc w:val="left"/>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val="en-US" w:eastAsia="zh-CN" w:bidi="ar"/>
              </w:rPr>
              <w:t>与水混溶</w:t>
            </w:r>
            <w:r>
              <w:rPr>
                <w:rFonts w:hint="default" w:ascii="Times New Roman" w:hAnsi="Times New Roman" w:eastAsia="宋体" w:cs="Times New Roman"/>
                <w:color w:val="auto"/>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 w:hRule="atLeast"/>
          <w:jc w:val="center"/>
        </w:trPr>
        <w:tc>
          <w:tcPr>
            <w:tcW w:w="741" w:type="dxa"/>
            <w:vMerge w:val="continue"/>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p>
        </w:tc>
        <w:tc>
          <w:tcPr>
            <w:tcW w:w="1279"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熔点（℃）</w:t>
            </w:r>
          </w:p>
        </w:tc>
        <w:tc>
          <w:tcPr>
            <w:tcW w:w="999" w:type="dxa"/>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83.1</w:t>
            </w:r>
          </w:p>
        </w:tc>
        <w:tc>
          <w:tcPr>
            <w:tcW w:w="1838" w:type="dxa"/>
            <w:gridSpan w:val="3"/>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沸点（℃）</w:t>
            </w:r>
          </w:p>
        </w:tc>
        <w:tc>
          <w:tcPr>
            <w:tcW w:w="887" w:type="dxa"/>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120</w:t>
            </w:r>
          </w:p>
        </w:tc>
        <w:tc>
          <w:tcPr>
            <w:tcW w:w="1963" w:type="dxa"/>
            <w:gridSpan w:val="3"/>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相对密度（</w:t>
            </w:r>
            <w:r>
              <w:rPr>
                <w:rFonts w:hint="default" w:ascii="Times New Roman" w:hAnsi="Times New Roman" w:cs="Times New Roman"/>
                <w:color w:val="auto"/>
                <w:sz w:val="21"/>
                <w:szCs w:val="21"/>
                <w:lang w:eastAsia="zh-CN"/>
              </w:rPr>
              <w:t>水</w:t>
            </w:r>
            <w:r>
              <w:rPr>
                <w:rFonts w:hint="default"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rPr>
              <w:t>）</w:t>
            </w:r>
          </w:p>
        </w:tc>
        <w:tc>
          <w:tcPr>
            <w:tcW w:w="1202" w:type="dxa"/>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41" w:type="dxa"/>
            <w:vMerge w:val="continue"/>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p>
        </w:tc>
        <w:tc>
          <w:tcPr>
            <w:tcW w:w="1279" w:type="dxa"/>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临界温度</w:t>
            </w:r>
            <w:r>
              <w:rPr>
                <w:rFonts w:hint="default" w:ascii="Times New Roman" w:hAnsi="Times New Roman" w:cs="Times New Roman"/>
                <w:color w:val="auto"/>
                <w:sz w:val="21"/>
                <w:szCs w:val="21"/>
              </w:rPr>
              <w:t>（℃）</w:t>
            </w:r>
          </w:p>
        </w:tc>
        <w:tc>
          <w:tcPr>
            <w:tcW w:w="999" w:type="dxa"/>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1838" w:type="dxa"/>
            <w:gridSpan w:val="3"/>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临界压力（</w:t>
            </w:r>
            <w:r>
              <w:rPr>
                <w:rFonts w:hint="default" w:ascii="Times New Roman" w:hAnsi="Times New Roman" w:cs="Times New Roman"/>
                <w:color w:val="auto"/>
                <w:sz w:val="21"/>
                <w:szCs w:val="21"/>
                <w:lang w:val="en-US" w:eastAsia="zh-CN"/>
              </w:rPr>
              <w:t>MPa</w:t>
            </w:r>
            <w:r>
              <w:rPr>
                <w:rFonts w:hint="default" w:ascii="Times New Roman" w:hAnsi="Times New Roman" w:cs="Times New Roman"/>
                <w:color w:val="auto"/>
                <w:sz w:val="21"/>
                <w:szCs w:val="21"/>
                <w:lang w:eastAsia="zh-CN"/>
              </w:rPr>
              <w:t>）</w:t>
            </w:r>
          </w:p>
        </w:tc>
        <w:tc>
          <w:tcPr>
            <w:tcW w:w="887" w:type="dxa"/>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1963" w:type="dxa"/>
            <w:gridSpan w:val="3"/>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相对密度（</w:t>
            </w:r>
            <w:r>
              <w:rPr>
                <w:rFonts w:hint="default" w:ascii="Times New Roman" w:hAnsi="Times New Roman" w:cs="Times New Roman"/>
                <w:color w:val="auto"/>
                <w:sz w:val="21"/>
                <w:szCs w:val="21"/>
                <w:lang w:eastAsia="zh-CN"/>
              </w:rPr>
              <w:t>空气</w:t>
            </w:r>
            <w:r>
              <w:rPr>
                <w:rFonts w:hint="default"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rPr>
              <w:t>）</w:t>
            </w:r>
          </w:p>
        </w:tc>
        <w:tc>
          <w:tcPr>
            <w:tcW w:w="1202" w:type="dxa"/>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Merge w:val="continue"/>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p>
        </w:tc>
        <w:tc>
          <w:tcPr>
            <w:tcW w:w="1279" w:type="dxa"/>
            <w:vAlign w:val="center"/>
          </w:tcPr>
          <w:p>
            <w:pPr>
              <w:keepNext w:val="0"/>
              <w:keepLines w:val="0"/>
              <w:widowControl/>
              <w:suppressLineNumbers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燃烧热（</w:t>
            </w:r>
            <w:r>
              <w:rPr>
                <w:rFonts w:hint="default" w:ascii="Times New Roman" w:hAnsi="Times New Roman" w:eastAsia="宋体" w:cs="Times New Roman"/>
                <w:color w:val="auto"/>
                <w:kern w:val="0"/>
                <w:sz w:val="21"/>
                <w:szCs w:val="21"/>
                <w:lang w:val="en-US" w:eastAsia="zh-CN" w:bidi="ar"/>
              </w:rPr>
              <w:t>KJ/mol）</w:t>
            </w:r>
          </w:p>
        </w:tc>
        <w:tc>
          <w:tcPr>
            <w:tcW w:w="999"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1838" w:type="dxa"/>
            <w:gridSpan w:val="3"/>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最小点火能（</w:t>
            </w:r>
            <w:r>
              <w:rPr>
                <w:rFonts w:hint="default" w:ascii="Times New Roman" w:hAnsi="Times New Roman" w:cs="Times New Roman"/>
                <w:color w:val="auto"/>
                <w:sz w:val="21"/>
                <w:szCs w:val="21"/>
                <w:lang w:val="en-US" w:eastAsia="zh-CN"/>
              </w:rPr>
              <w:t>mJ</w:t>
            </w:r>
            <w:r>
              <w:rPr>
                <w:rFonts w:hint="default" w:ascii="Times New Roman" w:hAnsi="Times New Roman" w:cs="Times New Roman"/>
                <w:color w:val="auto"/>
                <w:sz w:val="21"/>
                <w:szCs w:val="21"/>
                <w:lang w:eastAsia="zh-CN"/>
              </w:rPr>
              <w:t>）</w:t>
            </w:r>
          </w:p>
        </w:tc>
        <w:tc>
          <w:tcPr>
            <w:tcW w:w="887"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1963" w:type="dxa"/>
            <w:gridSpan w:val="3"/>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饱和蒸气压（</w:t>
            </w:r>
            <w:r>
              <w:rPr>
                <w:rFonts w:hint="default" w:ascii="Times New Roman" w:hAnsi="Times New Roman" w:cs="Times New Roman"/>
                <w:color w:val="auto"/>
                <w:sz w:val="21"/>
                <w:szCs w:val="21"/>
                <w:lang w:val="en-US" w:eastAsia="zh-CN"/>
              </w:rPr>
              <w:t>KPa</w:t>
            </w:r>
            <w:r>
              <w:rPr>
                <w:rFonts w:hint="default" w:ascii="Times New Roman" w:hAnsi="Times New Roman" w:cs="Times New Roman"/>
                <w:color w:val="auto"/>
                <w:sz w:val="21"/>
                <w:szCs w:val="21"/>
                <w:lang w:eastAsia="zh-CN"/>
              </w:rPr>
              <w:t>）</w:t>
            </w:r>
          </w:p>
        </w:tc>
        <w:tc>
          <w:tcPr>
            <w:tcW w:w="1202"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Merge w:val="restart"/>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燃烧爆炸危险性</w:t>
            </w:r>
          </w:p>
        </w:tc>
        <w:tc>
          <w:tcPr>
            <w:tcW w:w="1279"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燃烧性</w:t>
            </w:r>
          </w:p>
        </w:tc>
        <w:tc>
          <w:tcPr>
            <w:tcW w:w="999" w:type="dxa"/>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不燃</w:t>
            </w:r>
          </w:p>
        </w:tc>
        <w:tc>
          <w:tcPr>
            <w:tcW w:w="1838" w:type="dxa"/>
            <w:gridSpan w:val="3"/>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燃烧分解物</w:t>
            </w:r>
          </w:p>
        </w:tc>
        <w:tc>
          <w:tcPr>
            <w:tcW w:w="4052" w:type="dxa"/>
            <w:gridSpan w:val="5"/>
            <w:vAlign w:val="center"/>
          </w:tcPr>
          <w:p>
            <w:pPr>
              <w:pStyle w:val="64"/>
              <w:adjustRightInd w:val="0"/>
              <w:snapToGrid w:val="0"/>
              <w:spacing w:before="0" w:after="0" w:line="240" w:lineRule="auto"/>
              <w:ind w:firstLine="0" w:firstLineChars="0"/>
              <w:jc w:val="left"/>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Merge w:val="continue"/>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p>
        </w:tc>
        <w:tc>
          <w:tcPr>
            <w:tcW w:w="1279"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闪点（℃）</w:t>
            </w:r>
          </w:p>
        </w:tc>
        <w:tc>
          <w:tcPr>
            <w:tcW w:w="999" w:type="dxa"/>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1838" w:type="dxa"/>
            <w:gridSpan w:val="3"/>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聚合危害</w:t>
            </w:r>
          </w:p>
        </w:tc>
        <w:tc>
          <w:tcPr>
            <w:tcW w:w="4052" w:type="dxa"/>
            <w:gridSpan w:val="5"/>
            <w:vAlign w:val="center"/>
          </w:tcPr>
          <w:p>
            <w:pPr>
              <w:pStyle w:val="64"/>
              <w:adjustRightInd w:val="0"/>
              <w:snapToGrid w:val="0"/>
              <w:spacing w:before="0" w:after="0" w:line="240" w:lineRule="auto"/>
              <w:ind w:firstLine="0" w:firstLineChars="0"/>
              <w:jc w:val="left"/>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不聚合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Merge w:val="continue"/>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p>
        </w:tc>
        <w:tc>
          <w:tcPr>
            <w:tcW w:w="1279"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爆炸下限（v%）</w:t>
            </w:r>
          </w:p>
        </w:tc>
        <w:tc>
          <w:tcPr>
            <w:tcW w:w="999"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1838" w:type="dxa"/>
            <w:gridSpan w:val="3"/>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稳定性</w:t>
            </w:r>
          </w:p>
        </w:tc>
        <w:tc>
          <w:tcPr>
            <w:tcW w:w="4052" w:type="dxa"/>
            <w:gridSpan w:val="5"/>
            <w:vAlign w:val="center"/>
          </w:tcPr>
          <w:p>
            <w:pPr>
              <w:pStyle w:val="64"/>
              <w:adjustRightInd w:val="0"/>
              <w:snapToGrid w:val="0"/>
              <w:spacing w:before="0" w:after="0" w:line="240" w:lineRule="auto"/>
              <w:ind w:firstLine="0" w:firstLineChars="0"/>
              <w:jc w:val="left"/>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Merge w:val="continue"/>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p>
        </w:tc>
        <w:tc>
          <w:tcPr>
            <w:tcW w:w="1279"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爆炸</w:t>
            </w:r>
            <w:r>
              <w:rPr>
                <w:rFonts w:hint="default" w:ascii="Times New Roman" w:hAnsi="Times New Roman" w:cs="Times New Roman"/>
                <w:color w:val="auto"/>
                <w:sz w:val="21"/>
                <w:szCs w:val="21"/>
                <w:lang w:eastAsia="zh-CN"/>
              </w:rPr>
              <w:t>上</w:t>
            </w:r>
            <w:r>
              <w:rPr>
                <w:rFonts w:hint="default" w:ascii="Times New Roman" w:hAnsi="Times New Roman" w:cs="Times New Roman"/>
                <w:color w:val="auto"/>
                <w:sz w:val="21"/>
                <w:szCs w:val="21"/>
              </w:rPr>
              <w:t>限（v%）</w:t>
            </w:r>
          </w:p>
        </w:tc>
        <w:tc>
          <w:tcPr>
            <w:tcW w:w="999" w:type="dxa"/>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1838" w:type="dxa"/>
            <w:gridSpan w:val="3"/>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最大爆炸压力（</w:t>
            </w:r>
            <w:r>
              <w:rPr>
                <w:rFonts w:hint="default" w:ascii="Times New Roman" w:hAnsi="Times New Roman" w:cs="Times New Roman"/>
                <w:color w:val="auto"/>
                <w:sz w:val="21"/>
                <w:szCs w:val="21"/>
                <w:lang w:val="en-US" w:eastAsia="zh-CN"/>
              </w:rPr>
              <w:t>MPa</w:t>
            </w:r>
            <w:r>
              <w:rPr>
                <w:rFonts w:hint="default" w:ascii="Times New Roman" w:hAnsi="Times New Roman" w:cs="Times New Roman"/>
                <w:color w:val="auto"/>
                <w:sz w:val="21"/>
                <w:szCs w:val="21"/>
                <w:lang w:eastAsia="zh-CN"/>
              </w:rPr>
              <w:t>）</w:t>
            </w:r>
          </w:p>
        </w:tc>
        <w:tc>
          <w:tcPr>
            <w:tcW w:w="4052" w:type="dxa"/>
            <w:gridSpan w:val="5"/>
            <w:vAlign w:val="center"/>
          </w:tcPr>
          <w:p>
            <w:pPr>
              <w:pStyle w:val="64"/>
              <w:adjustRightInd w:val="0"/>
              <w:snapToGrid w:val="0"/>
              <w:spacing w:before="0" w:after="0" w:line="240" w:lineRule="auto"/>
              <w:ind w:firstLine="0" w:firstLineChars="0"/>
              <w:jc w:val="left"/>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Merge w:val="continue"/>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p>
        </w:tc>
        <w:tc>
          <w:tcPr>
            <w:tcW w:w="1279" w:type="dxa"/>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引燃温度</w:t>
            </w:r>
            <w:r>
              <w:rPr>
                <w:rFonts w:hint="default" w:ascii="Times New Roman" w:hAnsi="Times New Roman" w:cs="Times New Roman"/>
                <w:color w:val="auto"/>
                <w:sz w:val="21"/>
                <w:szCs w:val="21"/>
              </w:rPr>
              <w:t>（℃）</w:t>
            </w:r>
          </w:p>
        </w:tc>
        <w:tc>
          <w:tcPr>
            <w:tcW w:w="999" w:type="dxa"/>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1838" w:type="dxa"/>
            <w:gridSpan w:val="3"/>
            <w:vAlign w:val="center"/>
          </w:tcPr>
          <w:p>
            <w:pPr>
              <w:keepNext w:val="0"/>
              <w:keepLines w:val="0"/>
              <w:widowControl/>
              <w:suppressLineNumbers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kern w:val="0"/>
                <w:sz w:val="21"/>
                <w:szCs w:val="21"/>
                <w:lang w:val="en-US" w:eastAsia="zh-CN" w:bidi="ar"/>
              </w:rPr>
              <w:t>禁忌物</w:t>
            </w:r>
          </w:p>
        </w:tc>
        <w:tc>
          <w:tcPr>
            <w:tcW w:w="4052" w:type="dxa"/>
            <w:gridSpan w:val="5"/>
            <w:vAlign w:val="center"/>
          </w:tcPr>
          <w:p>
            <w:pPr>
              <w:pStyle w:val="64"/>
              <w:adjustRightInd w:val="0"/>
              <w:snapToGrid w:val="0"/>
              <w:spacing w:before="0" w:after="0" w:line="240" w:lineRule="auto"/>
              <w:ind w:firstLine="0" w:firstLineChars="0"/>
              <w:jc w:val="left"/>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强碱、活性金属粉末、玻璃制品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Merge w:val="continue"/>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p>
        </w:tc>
        <w:tc>
          <w:tcPr>
            <w:tcW w:w="1279"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危险特性</w:t>
            </w:r>
          </w:p>
        </w:tc>
        <w:tc>
          <w:tcPr>
            <w:tcW w:w="6889" w:type="dxa"/>
            <w:gridSpan w:val="9"/>
            <w:vAlign w:val="center"/>
          </w:tcPr>
          <w:p>
            <w:pPr>
              <w:keepNext w:val="0"/>
              <w:keepLines w:val="0"/>
              <w:widowControl/>
              <w:suppressLineNumbers w:val="0"/>
              <w:jc w:val="left"/>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val="en-US" w:eastAsia="zh-CN" w:bidi="ar"/>
              </w:rPr>
              <w:t>本品不燃，但能与大多数金属反应，生成氢气而引起爆炸。遇H发泡剂立即燃烧。腐蚀性极强。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Merge w:val="continue"/>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p>
        </w:tc>
        <w:tc>
          <w:tcPr>
            <w:tcW w:w="1279"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灭火方法</w:t>
            </w:r>
          </w:p>
        </w:tc>
        <w:tc>
          <w:tcPr>
            <w:tcW w:w="6889" w:type="dxa"/>
            <w:gridSpan w:val="9"/>
            <w:vAlign w:val="center"/>
          </w:tcPr>
          <w:p>
            <w:pPr>
              <w:keepNext w:val="0"/>
              <w:keepLines w:val="0"/>
              <w:widowControl/>
              <w:suppressLineNumbers w:val="0"/>
              <w:jc w:val="left"/>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消防人员必须佩戴氧气呼吸器、穿全身防护服。灭火剂：雾状水、泡沫。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毒性</w:t>
            </w:r>
          </w:p>
        </w:tc>
        <w:tc>
          <w:tcPr>
            <w:tcW w:w="1279"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急性毒性</w:t>
            </w:r>
          </w:p>
        </w:tc>
        <w:tc>
          <w:tcPr>
            <w:tcW w:w="6889" w:type="dxa"/>
            <w:gridSpan w:val="9"/>
            <w:vAlign w:val="center"/>
          </w:tcPr>
          <w:p>
            <w:pPr>
              <w:keepNext w:val="0"/>
              <w:keepLines w:val="0"/>
              <w:widowControl/>
              <w:suppressLineNumbers w:val="0"/>
              <w:jc w:val="left"/>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LC</w:t>
            </w:r>
            <w:r>
              <w:rPr>
                <w:rFonts w:hint="default" w:ascii="Times New Roman" w:hAnsi="Times New Roman" w:eastAsia="宋体" w:cs="Times New Roman"/>
                <w:color w:val="auto"/>
                <w:kern w:val="0"/>
                <w:sz w:val="21"/>
                <w:szCs w:val="21"/>
                <w:vertAlign w:val="subscript"/>
                <w:lang w:val="en-US" w:eastAsia="zh-CN" w:bidi="ar"/>
              </w:rPr>
              <w:t>50</w:t>
            </w:r>
            <w:r>
              <w:rPr>
                <w:rFonts w:hint="default" w:ascii="Times New Roman" w:hAnsi="Times New Roman" w:eastAsia="宋体" w:cs="Times New Roman"/>
                <w:color w:val="auto"/>
                <w:kern w:val="0"/>
                <w:sz w:val="21"/>
                <w:szCs w:val="21"/>
                <w:lang w:val="en-US" w:eastAsia="zh-CN" w:bidi="ar"/>
              </w:rPr>
              <w:t>：1044mg/m</w:t>
            </w:r>
            <w:r>
              <w:rPr>
                <w:rFonts w:hint="default" w:ascii="Times New Roman" w:hAnsi="Times New Roman" w:eastAsia="宋体" w:cs="Times New Roman"/>
                <w:color w:val="auto"/>
                <w:kern w:val="0"/>
                <w:sz w:val="21"/>
                <w:szCs w:val="21"/>
                <w:vertAlign w:val="superscript"/>
                <w:lang w:val="en-US" w:eastAsia="zh-CN" w:bidi="ar"/>
              </w:rPr>
              <w:t>3</w:t>
            </w:r>
            <w:r>
              <w:rPr>
                <w:rFonts w:hint="default" w:ascii="Times New Roman" w:hAnsi="Times New Roman" w:eastAsia="宋体" w:cs="Times New Roman"/>
                <w:color w:val="auto"/>
                <w:kern w:val="0"/>
                <w:sz w:val="21"/>
                <w:szCs w:val="21"/>
                <w:lang w:val="en-US" w:eastAsia="zh-CN" w:bidi="ar"/>
              </w:rPr>
              <w:t>（大鼠吸入）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741" w:type="dxa"/>
            <w:vMerge w:val="restart"/>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危害</w:t>
            </w:r>
          </w:p>
        </w:tc>
        <w:tc>
          <w:tcPr>
            <w:tcW w:w="1279"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val="en-US" w:eastAsia="zh-CN" w:bidi="ar"/>
              </w:rPr>
              <w:t>侵入途径</w:t>
            </w:r>
          </w:p>
        </w:tc>
        <w:tc>
          <w:tcPr>
            <w:tcW w:w="6889" w:type="dxa"/>
            <w:gridSpan w:val="9"/>
            <w:vAlign w:val="center"/>
          </w:tcPr>
          <w:p>
            <w:pPr>
              <w:keepNext w:val="0"/>
              <w:keepLines w:val="0"/>
              <w:widowControl/>
              <w:suppressLineNumbers w:val="0"/>
              <w:jc w:val="left"/>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吸入，食入，经皮肤吸收。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741" w:type="dxa"/>
            <w:vMerge w:val="continue"/>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p>
        </w:tc>
        <w:tc>
          <w:tcPr>
            <w:tcW w:w="1279"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健康危害</w:t>
            </w:r>
          </w:p>
        </w:tc>
        <w:tc>
          <w:tcPr>
            <w:tcW w:w="6889" w:type="dxa"/>
            <w:gridSpan w:val="9"/>
            <w:vAlign w:val="center"/>
          </w:tcPr>
          <w:p>
            <w:pPr>
              <w:keepNext w:val="0"/>
              <w:keepLines w:val="0"/>
              <w:widowControl/>
              <w:suppressLineNumbers w:val="0"/>
              <w:jc w:val="left"/>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主要引起高铁血红蛋白血症。可引起溶血及肝损害。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741" w:type="dxa"/>
            <w:vMerge w:val="restart"/>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急救措施</w:t>
            </w:r>
          </w:p>
        </w:tc>
        <w:tc>
          <w:tcPr>
            <w:tcW w:w="1279"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皮肤接触</w:t>
            </w:r>
          </w:p>
        </w:tc>
        <w:tc>
          <w:tcPr>
            <w:tcW w:w="6889" w:type="dxa"/>
            <w:gridSpan w:val="9"/>
            <w:vAlign w:val="center"/>
          </w:tcPr>
          <w:p>
            <w:pPr>
              <w:keepNext w:val="0"/>
              <w:keepLines w:val="0"/>
              <w:widowControl/>
              <w:suppressLineNumbers w:val="0"/>
              <w:jc w:val="left"/>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立即脱去被污染的衣着，用大量流动清水彻底冲洗，至少15分钟。就医。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741" w:type="dxa"/>
            <w:vMerge w:val="continue"/>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p>
        </w:tc>
        <w:tc>
          <w:tcPr>
            <w:tcW w:w="1279"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眼睛接触</w:t>
            </w:r>
          </w:p>
        </w:tc>
        <w:tc>
          <w:tcPr>
            <w:tcW w:w="6889" w:type="dxa"/>
            <w:gridSpan w:val="9"/>
            <w:vAlign w:val="center"/>
          </w:tcPr>
          <w:p>
            <w:pPr>
              <w:keepNext w:val="0"/>
              <w:keepLines w:val="0"/>
              <w:widowControl/>
              <w:suppressLineNumbers w:val="0"/>
              <w:jc w:val="left"/>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提起眼睑，用大量流动清水或生理盐水彻底冲洗，至少15分钟。就医。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741" w:type="dxa"/>
            <w:vMerge w:val="continue"/>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p>
        </w:tc>
        <w:tc>
          <w:tcPr>
            <w:tcW w:w="1279"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吸入</w:t>
            </w:r>
          </w:p>
        </w:tc>
        <w:tc>
          <w:tcPr>
            <w:tcW w:w="6889" w:type="dxa"/>
            <w:gridSpan w:val="9"/>
            <w:vAlign w:val="center"/>
          </w:tcPr>
          <w:p>
            <w:pPr>
              <w:keepNext w:val="0"/>
              <w:keepLines w:val="0"/>
              <w:widowControl/>
              <w:suppressLineNumbers w:val="0"/>
              <w:jc w:val="left"/>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迅速脱离现场至空气新鲜处。保持呼吸道通畅。如呼吸困难，给输氧。呼吸心跳停止时立即进行人工呼吸。就医。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741" w:type="dxa"/>
            <w:vMerge w:val="continue"/>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p>
        </w:tc>
        <w:tc>
          <w:tcPr>
            <w:tcW w:w="1279"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食入</w:t>
            </w:r>
          </w:p>
        </w:tc>
        <w:tc>
          <w:tcPr>
            <w:tcW w:w="6889" w:type="dxa"/>
            <w:gridSpan w:val="9"/>
            <w:vAlign w:val="center"/>
          </w:tcPr>
          <w:p>
            <w:pPr>
              <w:keepNext w:val="0"/>
              <w:keepLines w:val="0"/>
              <w:widowControl/>
              <w:suppressLineNumbers w:val="0"/>
              <w:jc w:val="left"/>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误服者用水漱口，给饮牛奶或蛋清。就医。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41" w:type="dxa"/>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防护</w:t>
            </w:r>
          </w:p>
        </w:tc>
        <w:tc>
          <w:tcPr>
            <w:tcW w:w="8168" w:type="dxa"/>
            <w:gridSpan w:val="10"/>
            <w:vAlign w:val="center"/>
          </w:tcPr>
          <w:p>
            <w:pPr>
              <w:keepNext w:val="0"/>
              <w:keepLines w:val="0"/>
              <w:widowControl/>
              <w:suppressLineNumbers w:val="0"/>
              <w:jc w:val="left"/>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 xml:space="preserve">工程防护：密闭操作，注意通风。尽可能机械化、自动化。提供安全淋浴和洗眼设备。 </w:t>
            </w:r>
          </w:p>
          <w:p>
            <w:pPr>
              <w:keepNext w:val="0"/>
              <w:keepLines w:val="0"/>
              <w:widowControl/>
              <w:suppressLineNumbers w:val="0"/>
              <w:jc w:val="left"/>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 xml:space="preserve">呼吸系统防护：可能接触其烟雾时，佩戴自吸过滤式防毒面具（全面罩）或空气呼吸器。紧急事态抢救或撤离时，建议佩戴氧气呼吸器。 </w:t>
            </w:r>
          </w:p>
          <w:p>
            <w:pPr>
              <w:keepNext w:val="0"/>
              <w:keepLines w:val="0"/>
              <w:widowControl/>
              <w:suppressLineNumbers w:val="0"/>
              <w:jc w:val="left"/>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 xml:space="preserve">身体防护：穿橡胶耐酸碱服。 </w:t>
            </w:r>
          </w:p>
          <w:p>
            <w:pPr>
              <w:keepNext w:val="0"/>
              <w:keepLines w:val="0"/>
              <w:widowControl/>
              <w:suppressLineNumbers w:val="0"/>
              <w:jc w:val="left"/>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 xml:space="preserve">手防护：戴橡胶耐酸碱手套。 </w:t>
            </w:r>
          </w:p>
          <w:p>
            <w:pPr>
              <w:keepNext w:val="0"/>
              <w:keepLines w:val="0"/>
              <w:widowControl/>
              <w:suppressLineNumbers w:val="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其他：工作现场禁止吸烟、进食和饮水。工作后淋浴更衣。单独存放被毒物污染的衣服，洗后备用。保持良好的卫生习惯。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泄漏处置</w:t>
            </w:r>
          </w:p>
        </w:tc>
        <w:tc>
          <w:tcPr>
            <w:tcW w:w="8168" w:type="dxa"/>
            <w:gridSpan w:val="10"/>
            <w:vAlign w:val="center"/>
          </w:tcPr>
          <w:p>
            <w:pPr>
              <w:keepNext w:val="0"/>
              <w:keepLines w:val="0"/>
              <w:widowControl/>
              <w:suppressLineNumbers w:val="0"/>
              <w:jc w:val="left"/>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0"/>
                <w:sz w:val="21"/>
                <w:szCs w:val="21"/>
                <w:lang w:val="en-US" w:eastAsia="zh-CN" w:bidi="ar"/>
              </w:rPr>
              <w:t>迅速撤离泄漏污染区人员至安全区，并进行隔离，严格限制出入。建议应急处理人员戴自给正压式呼吸器，穿防酸碱工作服。不要直接接触泄漏物。尽可能切断泄漏源，防止进入下水道、排洪沟等限制性空间。小量泄漏：用砂土、干燥石灰或苏打灰混合。也可以用大量水冲洗，洗液稀释后放入废水系统。大量泄漏：构筑围堤或挖坑收容；用泵转移至槽车或专用收集器内，回收或运至废物处理场所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储运</w:t>
            </w:r>
          </w:p>
        </w:tc>
        <w:tc>
          <w:tcPr>
            <w:tcW w:w="8168" w:type="dxa"/>
            <w:gridSpan w:val="10"/>
            <w:vAlign w:val="center"/>
          </w:tcPr>
          <w:p>
            <w:pPr>
              <w:keepNext w:val="0"/>
              <w:keepLines w:val="0"/>
              <w:widowControl/>
              <w:suppressLineNumbers w:val="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包装标志：</w:t>
            </w:r>
            <w:r>
              <w:rPr>
                <w:rFonts w:hint="default" w:ascii="Times New Roman" w:hAnsi="Times New Roman" w:cs="Times New Roman"/>
                <w:color w:val="auto"/>
                <w:kern w:val="0"/>
                <w:sz w:val="21"/>
                <w:szCs w:val="21"/>
                <w:lang w:val="en-US" w:eastAsia="zh-CN" w:bidi="ar"/>
              </w:rPr>
              <w:t>13</w:t>
            </w:r>
            <w:r>
              <w:rPr>
                <w:rFonts w:hint="default" w:ascii="Times New Roman" w:hAnsi="Times New Roman" w:eastAsia="宋体" w:cs="Times New Roman"/>
                <w:color w:val="auto"/>
                <w:kern w:val="0"/>
                <w:sz w:val="21"/>
                <w:szCs w:val="21"/>
                <w:lang w:val="en-US" w:eastAsia="zh-CN" w:bidi="ar"/>
              </w:rPr>
              <w:t xml:space="preserve">             UN 编号</w:t>
            </w:r>
            <w:r>
              <w:rPr>
                <w:rFonts w:hint="default" w:ascii="Times New Roman" w:hAnsi="Times New Roman" w:cs="Times New Roman"/>
                <w:color w:val="auto"/>
                <w:kern w:val="0"/>
                <w:sz w:val="21"/>
                <w:szCs w:val="21"/>
                <w:lang w:val="en-US" w:eastAsia="zh-CN" w:bidi="ar"/>
              </w:rPr>
              <w:t>1662</w:t>
            </w:r>
            <w:r>
              <w:rPr>
                <w:rFonts w:hint="default" w:ascii="Times New Roman" w:hAnsi="Times New Roman" w:eastAsia="宋体" w:cs="Times New Roman"/>
                <w:color w:val="auto"/>
                <w:kern w:val="0"/>
                <w:sz w:val="21"/>
                <w:szCs w:val="21"/>
                <w:lang w:val="en-US" w:eastAsia="zh-CN" w:bidi="ar"/>
              </w:rPr>
              <w:t xml:space="preserve">                  包装分类：</w:t>
            </w:r>
            <w:r>
              <w:rPr>
                <w:rFonts w:hint="default" w:ascii="Times New Roman" w:hAnsi="Times New Roman" w:cs="Times New Roman"/>
                <w:color w:val="auto"/>
                <w:kern w:val="0"/>
                <w:sz w:val="21"/>
                <w:szCs w:val="21"/>
              </w:rPr>
              <w:t>II</w:t>
            </w:r>
            <w:r>
              <w:rPr>
                <w:rFonts w:hint="default" w:ascii="Times New Roman" w:hAnsi="Times New Roman" w:eastAsia="宋体" w:cs="Times New Roman"/>
                <w:color w:val="auto"/>
                <w:kern w:val="0"/>
                <w:sz w:val="21"/>
                <w:szCs w:val="21"/>
                <w:lang w:val="en-US" w:eastAsia="zh-CN" w:bidi="ar"/>
              </w:rPr>
              <w:t xml:space="preserve"> </w:t>
            </w:r>
          </w:p>
          <w:p>
            <w:pPr>
              <w:keepNext w:val="0"/>
              <w:keepLines w:val="0"/>
              <w:widowControl/>
              <w:suppressLineNumbers w:val="0"/>
              <w:jc w:val="left"/>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 xml:space="preserve">包装方法：小开口钢桶；螺纹口玻璃瓶、铁盖压口玻璃瓶、塑料瓶或金属桶（罐）外木板箱；塑料瓶、镀锡薄钢板桶外满底花格箱。 </w:t>
            </w:r>
          </w:p>
          <w:p>
            <w:pPr>
              <w:keepNext w:val="0"/>
              <w:keepLines w:val="0"/>
              <w:widowControl/>
              <w:suppressLineNumbers w:val="0"/>
              <w:jc w:val="left"/>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0"/>
                <w:sz w:val="21"/>
                <w:szCs w:val="21"/>
                <w:lang w:val="en-US" w:eastAsia="zh-CN" w:bidi="ar"/>
              </w:rPr>
              <w:t>储运条件：储存于阴凉、通风的仓间内。远离火种、热源，防止阳光直射。应与碱类、金属粉末、易燃、可燃物、发泡剂 H 等分开存放。不可混储混运。搬运时轻装轻卸，防止包装及容器损坏。分装和搬运作业要注意个人防护。按规定路线行驶，勿在居民区和人口稠密区停留。</w:t>
            </w:r>
          </w:p>
        </w:tc>
      </w:tr>
    </w:tbl>
    <w:p>
      <w:pPr>
        <w:pStyle w:val="178"/>
        <w:keepNext w:val="0"/>
        <w:keepLines w:val="0"/>
        <w:pageBreakBefore w:val="0"/>
        <w:widowControl/>
        <w:numPr>
          <w:ilvl w:val="0"/>
          <w:numId w:val="7"/>
        </w:numPr>
        <w:kinsoku/>
        <w:wordWrap/>
        <w:overflowPunct/>
        <w:topLinePunct w:val="0"/>
        <w:autoSpaceDE/>
        <w:autoSpaceDN/>
        <w:bidi w:val="0"/>
        <w:adjustRightInd/>
        <w:snapToGrid/>
        <w:spacing w:before="157" w:beforeLines="50" w:afterLines="0" w:line="360" w:lineRule="auto"/>
        <w:ind w:left="0" w:leftChars="0" w:firstLine="0" w:firstLineChars="0"/>
        <w:textAlignment w:val="auto"/>
        <w:rPr>
          <w:rFonts w:hint="default" w:ascii="Times New Roman" w:hAnsi="Times New Roman" w:cs="Times New Roman"/>
          <w:b/>
          <w:color w:val="auto"/>
        </w:rPr>
      </w:pPr>
      <w:r>
        <w:rPr>
          <w:rFonts w:hint="default" w:ascii="Times New Roman" w:hAnsi="Times New Roman" w:cs="Times New Roman"/>
          <w:b/>
          <w:color w:val="auto"/>
          <w:lang w:eastAsia="zh-CN"/>
        </w:rPr>
        <w:t>盐酸的理化性质及危险特性</w:t>
      </w:r>
      <w:r>
        <w:rPr>
          <w:rFonts w:hint="default" w:ascii="Times New Roman" w:hAnsi="Times New Roman" w:cs="Times New Roman"/>
          <w:b/>
          <w:color w:val="auto"/>
        </w:rPr>
        <w:t>表</w:t>
      </w:r>
    </w:p>
    <w:tbl>
      <w:tblPr>
        <w:tblStyle w:val="44"/>
        <w:tblW w:w="89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1278"/>
        <w:gridCol w:w="990"/>
        <w:gridCol w:w="527"/>
        <w:gridCol w:w="1066"/>
        <w:gridCol w:w="197"/>
        <w:gridCol w:w="1021"/>
        <w:gridCol w:w="1140"/>
        <w:gridCol w:w="8"/>
        <w:gridCol w:w="758"/>
        <w:gridCol w:w="12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Merge w:val="restart"/>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标识</w:t>
            </w:r>
          </w:p>
        </w:tc>
        <w:tc>
          <w:tcPr>
            <w:tcW w:w="1279"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中文名</w:t>
            </w:r>
          </w:p>
        </w:tc>
        <w:tc>
          <w:tcPr>
            <w:tcW w:w="2631" w:type="dxa"/>
            <w:gridSpan w:val="3"/>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氢氯酸</w:t>
            </w:r>
          </w:p>
        </w:tc>
        <w:tc>
          <w:tcPr>
            <w:tcW w:w="2252" w:type="dxa"/>
            <w:gridSpan w:val="3"/>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英文名</w:t>
            </w:r>
          </w:p>
        </w:tc>
        <w:tc>
          <w:tcPr>
            <w:tcW w:w="2006" w:type="dxa"/>
            <w:gridSpan w:val="3"/>
            <w:vAlign w:val="center"/>
          </w:tcPr>
          <w:p>
            <w:pPr>
              <w:keepNext w:val="0"/>
              <w:keepLines w:val="0"/>
              <w:widowControl/>
              <w:suppressLineNumbers w:val="0"/>
              <w:jc w:val="left"/>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0"/>
                <w:szCs w:val="20"/>
                <w:lang w:val="en-US" w:eastAsia="zh-CN" w:bidi="ar"/>
              </w:rPr>
              <w:t>hrdrochloric acid；chlorohydric acid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41" w:type="dxa"/>
            <w:vMerge w:val="continue"/>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p>
        </w:tc>
        <w:tc>
          <w:tcPr>
            <w:tcW w:w="1279"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分子式</w:t>
            </w:r>
          </w:p>
        </w:tc>
        <w:tc>
          <w:tcPr>
            <w:tcW w:w="1550" w:type="dxa"/>
            <w:gridSpan w:val="2"/>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H</w:t>
            </w:r>
            <w:r>
              <w:rPr>
                <w:rFonts w:hint="default" w:ascii="Times New Roman" w:hAnsi="Times New Roman" w:cs="Times New Roman"/>
                <w:color w:val="auto"/>
                <w:sz w:val="21"/>
                <w:szCs w:val="21"/>
                <w:vertAlign w:val="baseline"/>
                <w:lang w:val="en-US" w:eastAsia="zh-CN"/>
              </w:rPr>
              <w:t>Cl</w:t>
            </w:r>
          </w:p>
        </w:tc>
        <w:tc>
          <w:tcPr>
            <w:tcW w:w="1081"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分子量</w:t>
            </w:r>
          </w:p>
        </w:tc>
        <w:tc>
          <w:tcPr>
            <w:tcW w:w="1093" w:type="dxa"/>
            <w:gridSpan w:val="2"/>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36.46</w:t>
            </w:r>
          </w:p>
        </w:tc>
        <w:tc>
          <w:tcPr>
            <w:tcW w:w="1167" w:type="dxa"/>
            <w:gridSpan w:val="2"/>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CAS号</w:t>
            </w:r>
          </w:p>
        </w:tc>
        <w:tc>
          <w:tcPr>
            <w:tcW w:w="1998" w:type="dxa"/>
            <w:gridSpan w:val="2"/>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7647-01-0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Merge w:val="continue"/>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p>
        </w:tc>
        <w:tc>
          <w:tcPr>
            <w:tcW w:w="8168" w:type="dxa"/>
            <w:gridSpan w:val="10"/>
            <w:vAlign w:val="center"/>
          </w:tcPr>
          <w:p>
            <w:pPr>
              <w:keepNext w:val="0"/>
              <w:keepLines w:val="0"/>
              <w:widowControl/>
              <w:suppressLineNumbers w:val="0"/>
              <w:ind w:firstLine="210" w:firstLineChars="100"/>
              <w:jc w:val="left"/>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kern w:val="0"/>
                <w:sz w:val="21"/>
                <w:szCs w:val="21"/>
                <w:lang w:val="en-US" w:eastAsia="zh-CN" w:bidi="ar"/>
              </w:rPr>
              <w:t>危规号：</w:t>
            </w:r>
            <w:r>
              <w:rPr>
                <w:rFonts w:hint="default" w:ascii="Times New Roman" w:hAnsi="Times New Roman" w:cs="Times New Roman"/>
                <w:color w:val="auto"/>
                <w:kern w:val="0"/>
                <w:sz w:val="21"/>
                <w:szCs w:val="21"/>
                <w:lang w:val="en-US" w:eastAsia="zh-CN" w:bidi="ar"/>
              </w:rPr>
              <w:t>81013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Merge w:val="restart"/>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理化性质</w:t>
            </w:r>
          </w:p>
        </w:tc>
        <w:tc>
          <w:tcPr>
            <w:tcW w:w="1279"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外观与性状</w:t>
            </w:r>
          </w:p>
        </w:tc>
        <w:tc>
          <w:tcPr>
            <w:tcW w:w="6889" w:type="dxa"/>
            <w:gridSpan w:val="9"/>
            <w:vAlign w:val="center"/>
          </w:tcPr>
          <w:p>
            <w:pPr>
              <w:keepNext w:val="0"/>
              <w:keepLines w:val="0"/>
              <w:widowControl/>
              <w:suppressLineNumbers w:val="0"/>
              <w:ind w:firstLine="210" w:firstLineChars="100"/>
              <w:jc w:val="left"/>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无色或微黄色发烟液体、有刺鼻的酸味。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 w:hRule="atLeast"/>
          <w:jc w:val="center"/>
        </w:trPr>
        <w:tc>
          <w:tcPr>
            <w:tcW w:w="741" w:type="dxa"/>
            <w:vMerge w:val="continue"/>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p>
        </w:tc>
        <w:tc>
          <w:tcPr>
            <w:tcW w:w="1279" w:type="dxa"/>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溶解性</w:t>
            </w:r>
          </w:p>
        </w:tc>
        <w:tc>
          <w:tcPr>
            <w:tcW w:w="6889" w:type="dxa"/>
            <w:gridSpan w:val="9"/>
            <w:vAlign w:val="center"/>
          </w:tcPr>
          <w:p>
            <w:pPr>
              <w:keepNext w:val="0"/>
              <w:keepLines w:val="0"/>
              <w:widowControl/>
              <w:suppressLineNumbers w:val="0"/>
              <w:ind w:firstLine="210" w:firstLineChars="100"/>
              <w:jc w:val="left"/>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与水混溶，溶于碱液。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 w:hRule="atLeast"/>
          <w:jc w:val="center"/>
        </w:trPr>
        <w:tc>
          <w:tcPr>
            <w:tcW w:w="741" w:type="dxa"/>
            <w:vMerge w:val="continue"/>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p>
        </w:tc>
        <w:tc>
          <w:tcPr>
            <w:tcW w:w="1279"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熔点（℃）</w:t>
            </w:r>
          </w:p>
        </w:tc>
        <w:tc>
          <w:tcPr>
            <w:tcW w:w="999" w:type="dxa"/>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114.8（纯）</w:t>
            </w:r>
          </w:p>
        </w:tc>
        <w:tc>
          <w:tcPr>
            <w:tcW w:w="1838" w:type="dxa"/>
            <w:gridSpan w:val="3"/>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沸点（℃）</w:t>
            </w:r>
          </w:p>
        </w:tc>
        <w:tc>
          <w:tcPr>
            <w:tcW w:w="887" w:type="dxa"/>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108.6（20%）</w:t>
            </w:r>
          </w:p>
        </w:tc>
        <w:tc>
          <w:tcPr>
            <w:tcW w:w="1963" w:type="dxa"/>
            <w:gridSpan w:val="3"/>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相对密度（</w:t>
            </w:r>
            <w:r>
              <w:rPr>
                <w:rFonts w:hint="default" w:ascii="Times New Roman" w:hAnsi="Times New Roman" w:cs="Times New Roman"/>
                <w:color w:val="auto"/>
                <w:sz w:val="21"/>
                <w:szCs w:val="21"/>
                <w:lang w:eastAsia="zh-CN"/>
              </w:rPr>
              <w:t>水</w:t>
            </w:r>
            <w:r>
              <w:rPr>
                <w:rFonts w:hint="default"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rPr>
              <w:t>）</w:t>
            </w:r>
          </w:p>
        </w:tc>
        <w:tc>
          <w:tcPr>
            <w:tcW w:w="1202" w:type="dxa"/>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Merge w:val="continue"/>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p>
        </w:tc>
        <w:tc>
          <w:tcPr>
            <w:tcW w:w="1279" w:type="dxa"/>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临界温度</w:t>
            </w:r>
            <w:r>
              <w:rPr>
                <w:rFonts w:hint="default" w:ascii="Times New Roman" w:hAnsi="Times New Roman" w:cs="Times New Roman"/>
                <w:color w:val="auto"/>
                <w:sz w:val="21"/>
                <w:szCs w:val="21"/>
              </w:rPr>
              <w:t>（℃）</w:t>
            </w:r>
          </w:p>
        </w:tc>
        <w:tc>
          <w:tcPr>
            <w:tcW w:w="999" w:type="dxa"/>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1838" w:type="dxa"/>
            <w:gridSpan w:val="3"/>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临界压力（</w:t>
            </w:r>
            <w:r>
              <w:rPr>
                <w:rFonts w:hint="default" w:ascii="Times New Roman" w:hAnsi="Times New Roman" w:cs="Times New Roman"/>
                <w:color w:val="auto"/>
                <w:sz w:val="21"/>
                <w:szCs w:val="21"/>
                <w:lang w:val="en-US" w:eastAsia="zh-CN"/>
              </w:rPr>
              <w:t>MPa</w:t>
            </w:r>
            <w:r>
              <w:rPr>
                <w:rFonts w:hint="default" w:ascii="Times New Roman" w:hAnsi="Times New Roman" w:cs="Times New Roman"/>
                <w:color w:val="auto"/>
                <w:sz w:val="21"/>
                <w:szCs w:val="21"/>
                <w:lang w:eastAsia="zh-CN"/>
              </w:rPr>
              <w:t>）</w:t>
            </w:r>
          </w:p>
        </w:tc>
        <w:tc>
          <w:tcPr>
            <w:tcW w:w="887" w:type="dxa"/>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1963" w:type="dxa"/>
            <w:gridSpan w:val="3"/>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相对密度（</w:t>
            </w:r>
            <w:r>
              <w:rPr>
                <w:rFonts w:hint="default" w:ascii="Times New Roman" w:hAnsi="Times New Roman" w:cs="Times New Roman"/>
                <w:color w:val="auto"/>
                <w:sz w:val="21"/>
                <w:szCs w:val="21"/>
                <w:lang w:eastAsia="zh-CN"/>
              </w:rPr>
              <w:t>空气</w:t>
            </w:r>
            <w:r>
              <w:rPr>
                <w:rFonts w:hint="default"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rPr>
              <w:t>）</w:t>
            </w:r>
          </w:p>
        </w:tc>
        <w:tc>
          <w:tcPr>
            <w:tcW w:w="1202" w:type="dxa"/>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Merge w:val="continue"/>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p>
        </w:tc>
        <w:tc>
          <w:tcPr>
            <w:tcW w:w="1279" w:type="dxa"/>
            <w:vAlign w:val="center"/>
          </w:tcPr>
          <w:p>
            <w:pPr>
              <w:keepNext w:val="0"/>
              <w:keepLines w:val="0"/>
              <w:widowControl/>
              <w:suppressLineNumbers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燃烧热（</w:t>
            </w:r>
            <w:r>
              <w:rPr>
                <w:rFonts w:hint="default" w:ascii="Times New Roman" w:hAnsi="Times New Roman" w:eastAsia="宋体" w:cs="Times New Roman"/>
                <w:color w:val="auto"/>
                <w:kern w:val="0"/>
                <w:sz w:val="21"/>
                <w:szCs w:val="21"/>
                <w:lang w:val="en-US" w:eastAsia="zh-CN" w:bidi="ar"/>
              </w:rPr>
              <w:t>KJ/mol）</w:t>
            </w:r>
          </w:p>
        </w:tc>
        <w:tc>
          <w:tcPr>
            <w:tcW w:w="999"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无意义</w:t>
            </w:r>
          </w:p>
        </w:tc>
        <w:tc>
          <w:tcPr>
            <w:tcW w:w="1838" w:type="dxa"/>
            <w:gridSpan w:val="3"/>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最小点火能（</w:t>
            </w:r>
            <w:r>
              <w:rPr>
                <w:rFonts w:hint="default" w:ascii="Times New Roman" w:hAnsi="Times New Roman" w:cs="Times New Roman"/>
                <w:color w:val="auto"/>
                <w:sz w:val="21"/>
                <w:szCs w:val="21"/>
                <w:lang w:val="en-US" w:eastAsia="zh-CN"/>
              </w:rPr>
              <w:t>mJ</w:t>
            </w:r>
            <w:r>
              <w:rPr>
                <w:rFonts w:hint="default" w:ascii="Times New Roman" w:hAnsi="Times New Roman" w:cs="Times New Roman"/>
                <w:color w:val="auto"/>
                <w:sz w:val="21"/>
                <w:szCs w:val="21"/>
                <w:lang w:eastAsia="zh-CN"/>
              </w:rPr>
              <w:t>）</w:t>
            </w:r>
          </w:p>
        </w:tc>
        <w:tc>
          <w:tcPr>
            <w:tcW w:w="887"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1963" w:type="dxa"/>
            <w:gridSpan w:val="3"/>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饱和蒸气压（</w:t>
            </w:r>
            <w:r>
              <w:rPr>
                <w:rFonts w:hint="default" w:ascii="Times New Roman" w:hAnsi="Times New Roman" w:cs="Times New Roman"/>
                <w:color w:val="auto"/>
                <w:sz w:val="21"/>
                <w:szCs w:val="21"/>
                <w:lang w:val="en-US" w:eastAsia="zh-CN"/>
              </w:rPr>
              <w:t>KPa</w:t>
            </w:r>
            <w:r>
              <w:rPr>
                <w:rFonts w:hint="default" w:ascii="Times New Roman" w:hAnsi="Times New Roman" w:cs="Times New Roman"/>
                <w:color w:val="auto"/>
                <w:sz w:val="21"/>
                <w:szCs w:val="21"/>
                <w:lang w:eastAsia="zh-CN"/>
              </w:rPr>
              <w:t>）</w:t>
            </w:r>
          </w:p>
        </w:tc>
        <w:tc>
          <w:tcPr>
            <w:tcW w:w="1202"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30.66（21℃）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Merge w:val="restart"/>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燃烧爆炸危险性</w:t>
            </w:r>
          </w:p>
        </w:tc>
        <w:tc>
          <w:tcPr>
            <w:tcW w:w="1279"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燃烧性</w:t>
            </w:r>
          </w:p>
        </w:tc>
        <w:tc>
          <w:tcPr>
            <w:tcW w:w="999" w:type="dxa"/>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不燃</w:t>
            </w:r>
          </w:p>
        </w:tc>
        <w:tc>
          <w:tcPr>
            <w:tcW w:w="1838" w:type="dxa"/>
            <w:gridSpan w:val="3"/>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燃烧分解物</w:t>
            </w:r>
          </w:p>
        </w:tc>
        <w:tc>
          <w:tcPr>
            <w:tcW w:w="4052" w:type="dxa"/>
            <w:gridSpan w:val="5"/>
            <w:vAlign w:val="center"/>
          </w:tcPr>
          <w:p>
            <w:pPr>
              <w:pStyle w:val="64"/>
              <w:adjustRightInd w:val="0"/>
              <w:snapToGrid w:val="0"/>
              <w:spacing w:before="0" w:after="0" w:line="240" w:lineRule="auto"/>
              <w:ind w:firstLine="0" w:firstLineChars="0"/>
              <w:jc w:val="left"/>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Merge w:val="continue"/>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p>
        </w:tc>
        <w:tc>
          <w:tcPr>
            <w:tcW w:w="1279"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闪点（℃）</w:t>
            </w:r>
          </w:p>
        </w:tc>
        <w:tc>
          <w:tcPr>
            <w:tcW w:w="999" w:type="dxa"/>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1838" w:type="dxa"/>
            <w:gridSpan w:val="3"/>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聚合危害</w:t>
            </w:r>
          </w:p>
        </w:tc>
        <w:tc>
          <w:tcPr>
            <w:tcW w:w="4052" w:type="dxa"/>
            <w:gridSpan w:val="5"/>
            <w:vAlign w:val="center"/>
          </w:tcPr>
          <w:p>
            <w:pPr>
              <w:pStyle w:val="64"/>
              <w:adjustRightInd w:val="0"/>
              <w:snapToGrid w:val="0"/>
              <w:spacing w:before="0" w:after="0" w:line="240" w:lineRule="auto"/>
              <w:ind w:firstLine="0" w:firstLineChars="0"/>
              <w:jc w:val="left"/>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不聚合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Merge w:val="continue"/>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p>
        </w:tc>
        <w:tc>
          <w:tcPr>
            <w:tcW w:w="1279"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爆炸下限（v%）</w:t>
            </w:r>
          </w:p>
        </w:tc>
        <w:tc>
          <w:tcPr>
            <w:tcW w:w="999"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无意义</w:t>
            </w:r>
          </w:p>
        </w:tc>
        <w:tc>
          <w:tcPr>
            <w:tcW w:w="1838" w:type="dxa"/>
            <w:gridSpan w:val="3"/>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稳定性</w:t>
            </w:r>
          </w:p>
        </w:tc>
        <w:tc>
          <w:tcPr>
            <w:tcW w:w="4052" w:type="dxa"/>
            <w:gridSpan w:val="5"/>
            <w:vAlign w:val="center"/>
          </w:tcPr>
          <w:p>
            <w:pPr>
              <w:pStyle w:val="64"/>
              <w:adjustRightInd w:val="0"/>
              <w:snapToGrid w:val="0"/>
              <w:spacing w:before="0" w:after="0" w:line="240" w:lineRule="auto"/>
              <w:ind w:firstLine="0" w:firstLineChars="0"/>
              <w:jc w:val="left"/>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Merge w:val="continue"/>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p>
        </w:tc>
        <w:tc>
          <w:tcPr>
            <w:tcW w:w="1279"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爆炸</w:t>
            </w:r>
            <w:r>
              <w:rPr>
                <w:rFonts w:hint="default" w:ascii="Times New Roman" w:hAnsi="Times New Roman" w:cs="Times New Roman"/>
                <w:color w:val="auto"/>
                <w:sz w:val="21"/>
                <w:szCs w:val="21"/>
                <w:lang w:eastAsia="zh-CN"/>
              </w:rPr>
              <w:t>上</w:t>
            </w:r>
            <w:r>
              <w:rPr>
                <w:rFonts w:hint="default" w:ascii="Times New Roman" w:hAnsi="Times New Roman" w:cs="Times New Roman"/>
                <w:color w:val="auto"/>
                <w:sz w:val="21"/>
                <w:szCs w:val="21"/>
              </w:rPr>
              <w:t>限（v%）</w:t>
            </w:r>
          </w:p>
        </w:tc>
        <w:tc>
          <w:tcPr>
            <w:tcW w:w="999" w:type="dxa"/>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无意义</w:t>
            </w:r>
          </w:p>
        </w:tc>
        <w:tc>
          <w:tcPr>
            <w:tcW w:w="1838" w:type="dxa"/>
            <w:gridSpan w:val="3"/>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最大爆炸压力（</w:t>
            </w:r>
            <w:r>
              <w:rPr>
                <w:rFonts w:hint="default" w:ascii="Times New Roman" w:hAnsi="Times New Roman" w:cs="Times New Roman"/>
                <w:color w:val="auto"/>
                <w:sz w:val="21"/>
                <w:szCs w:val="21"/>
                <w:lang w:val="en-US" w:eastAsia="zh-CN"/>
              </w:rPr>
              <w:t>MPa</w:t>
            </w:r>
            <w:r>
              <w:rPr>
                <w:rFonts w:hint="default" w:ascii="Times New Roman" w:hAnsi="Times New Roman" w:cs="Times New Roman"/>
                <w:color w:val="auto"/>
                <w:sz w:val="21"/>
                <w:szCs w:val="21"/>
                <w:lang w:eastAsia="zh-CN"/>
              </w:rPr>
              <w:t>）</w:t>
            </w:r>
          </w:p>
        </w:tc>
        <w:tc>
          <w:tcPr>
            <w:tcW w:w="4052" w:type="dxa"/>
            <w:gridSpan w:val="5"/>
            <w:vAlign w:val="center"/>
          </w:tcPr>
          <w:p>
            <w:pPr>
              <w:pStyle w:val="64"/>
              <w:adjustRightInd w:val="0"/>
              <w:snapToGrid w:val="0"/>
              <w:spacing w:before="0" w:after="0" w:line="240" w:lineRule="auto"/>
              <w:ind w:firstLine="0" w:firstLineChars="0"/>
              <w:jc w:val="left"/>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无意义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Merge w:val="continue"/>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p>
        </w:tc>
        <w:tc>
          <w:tcPr>
            <w:tcW w:w="1279" w:type="dxa"/>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引燃温度</w:t>
            </w:r>
            <w:r>
              <w:rPr>
                <w:rFonts w:hint="default" w:ascii="Times New Roman" w:hAnsi="Times New Roman" w:cs="Times New Roman"/>
                <w:color w:val="auto"/>
                <w:sz w:val="21"/>
                <w:szCs w:val="21"/>
              </w:rPr>
              <w:t>（℃）</w:t>
            </w:r>
          </w:p>
        </w:tc>
        <w:tc>
          <w:tcPr>
            <w:tcW w:w="999" w:type="dxa"/>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无意义</w:t>
            </w:r>
          </w:p>
        </w:tc>
        <w:tc>
          <w:tcPr>
            <w:tcW w:w="1838" w:type="dxa"/>
            <w:gridSpan w:val="3"/>
            <w:vAlign w:val="center"/>
          </w:tcPr>
          <w:p>
            <w:pPr>
              <w:keepNext w:val="0"/>
              <w:keepLines w:val="0"/>
              <w:widowControl/>
              <w:suppressLineNumbers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kern w:val="0"/>
                <w:sz w:val="21"/>
                <w:szCs w:val="21"/>
                <w:lang w:val="en-US" w:eastAsia="zh-CN" w:bidi="ar"/>
              </w:rPr>
              <w:t>禁忌物</w:t>
            </w:r>
          </w:p>
        </w:tc>
        <w:tc>
          <w:tcPr>
            <w:tcW w:w="4052" w:type="dxa"/>
            <w:gridSpan w:val="5"/>
            <w:vAlign w:val="center"/>
          </w:tcPr>
          <w:p>
            <w:pPr>
              <w:keepNext w:val="0"/>
              <w:keepLines w:val="0"/>
              <w:widowControl/>
              <w:suppressLineNumbers w:val="0"/>
              <w:jc w:val="left"/>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kern w:val="2"/>
                <w:sz w:val="21"/>
                <w:szCs w:val="21"/>
                <w:lang w:val="en-US" w:eastAsia="zh-CN" w:bidi="ar-SA"/>
              </w:rPr>
              <w:t>碱类、胺类、碱金属、易燃或可燃物。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Merge w:val="continue"/>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p>
        </w:tc>
        <w:tc>
          <w:tcPr>
            <w:tcW w:w="1279"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危险特性</w:t>
            </w:r>
          </w:p>
        </w:tc>
        <w:tc>
          <w:tcPr>
            <w:tcW w:w="6889" w:type="dxa"/>
            <w:gridSpan w:val="9"/>
            <w:vAlign w:val="center"/>
          </w:tcPr>
          <w:p>
            <w:pPr>
              <w:pStyle w:val="64"/>
              <w:adjustRightInd w:val="0"/>
              <w:snapToGrid w:val="0"/>
              <w:spacing w:before="0" w:after="0" w:line="240" w:lineRule="auto"/>
              <w:ind w:firstLine="0" w:firstLineChars="0"/>
              <w:jc w:val="left"/>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能与一些活性金属粉末发生反应，放出氢气。遇氰化物能产生剧毒的氰化氢气体。与碱发生中合反应，并放出大量的热。具有较强的腐蚀性。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Merge w:val="continue"/>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p>
        </w:tc>
        <w:tc>
          <w:tcPr>
            <w:tcW w:w="1279"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灭火方法</w:t>
            </w:r>
          </w:p>
        </w:tc>
        <w:tc>
          <w:tcPr>
            <w:tcW w:w="6889" w:type="dxa"/>
            <w:gridSpan w:val="9"/>
            <w:vAlign w:val="center"/>
          </w:tcPr>
          <w:p>
            <w:pPr>
              <w:pStyle w:val="64"/>
              <w:adjustRightInd w:val="0"/>
              <w:snapToGrid w:val="0"/>
              <w:spacing w:before="0" w:after="0" w:line="240" w:lineRule="auto"/>
              <w:ind w:firstLine="0" w:firstLineChars="0"/>
              <w:jc w:val="left"/>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消防人员必须佩戴氧气呼吸器、穿全身防护服。用碱性物质如碳酸氢钠、碳酸钠、消石灰等中和。也可用大量水扑救。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毒性</w:t>
            </w:r>
          </w:p>
        </w:tc>
        <w:tc>
          <w:tcPr>
            <w:tcW w:w="1279"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急性毒性</w:t>
            </w:r>
          </w:p>
        </w:tc>
        <w:tc>
          <w:tcPr>
            <w:tcW w:w="6889" w:type="dxa"/>
            <w:gridSpan w:val="9"/>
            <w:vAlign w:val="center"/>
          </w:tcPr>
          <w:p>
            <w:pPr>
              <w:pStyle w:val="64"/>
              <w:adjustRightInd w:val="0"/>
              <w:snapToGrid w:val="0"/>
              <w:spacing w:before="0" w:after="0" w:line="240" w:lineRule="auto"/>
              <w:ind w:firstLine="0" w:firstLineChars="0"/>
              <w:jc w:val="left"/>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接触限值：中国MAC（mg/m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）：15</w:t>
            </w:r>
          </w:p>
          <w:p>
            <w:pPr>
              <w:pStyle w:val="64"/>
              <w:adjustRightInd w:val="0"/>
              <w:snapToGrid w:val="0"/>
              <w:spacing w:before="0" w:after="0" w:line="240" w:lineRule="auto"/>
              <w:ind w:firstLine="0" w:firstLineChars="0"/>
              <w:jc w:val="left"/>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前苏联MAC（mg/m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）：未制定标准</w:t>
            </w:r>
          </w:p>
          <w:p>
            <w:pPr>
              <w:pStyle w:val="64"/>
              <w:adjustRightInd w:val="0"/>
              <w:snapToGrid w:val="0"/>
              <w:spacing w:before="0" w:after="0" w:line="240" w:lineRule="auto"/>
              <w:ind w:firstLine="0" w:firstLineChars="0"/>
              <w:jc w:val="left"/>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美国TVL－TWA OSHA：5ppm，7.5〔上限值〕 美国TLV－STEL ACGIH ：5ppm，7.5mg/m</w:t>
            </w:r>
            <w:r>
              <w:rPr>
                <w:rFonts w:hint="default" w:ascii="Times New Roman" w:hAnsi="Times New Roman" w:cs="Times New Roman"/>
                <w:color w:val="auto"/>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741" w:type="dxa"/>
            <w:vMerge w:val="restart"/>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危害</w:t>
            </w:r>
          </w:p>
        </w:tc>
        <w:tc>
          <w:tcPr>
            <w:tcW w:w="1279"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val="en-US" w:eastAsia="zh-CN" w:bidi="ar"/>
              </w:rPr>
              <w:t>侵入途径</w:t>
            </w:r>
          </w:p>
        </w:tc>
        <w:tc>
          <w:tcPr>
            <w:tcW w:w="6889" w:type="dxa"/>
            <w:gridSpan w:val="9"/>
            <w:vAlign w:val="center"/>
          </w:tcPr>
          <w:p>
            <w:pPr>
              <w:keepNext w:val="0"/>
              <w:keepLines w:val="0"/>
              <w:widowControl/>
              <w:suppressLineNumbers w:val="0"/>
              <w:jc w:val="left"/>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val="en-US" w:eastAsia="zh-CN" w:bidi="ar"/>
              </w:rPr>
              <w:t>吸入、食入。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1" w:hRule="atLeast"/>
          <w:jc w:val="center"/>
        </w:trPr>
        <w:tc>
          <w:tcPr>
            <w:tcW w:w="741" w:type="dxa"/>
            <w:vMerge w:val="continue"/>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p>
        </w:tc>
        <w:tc>
          <w:tcPr>
            <w:tcW w:w="1279"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健康危害</w:t>
            </w:r>
          </w:p>
        </w:tc>
        <w:tc>
          <w:tcPr>
            <w:tcW w:w="6889" w:type="dxa"/>
            <w:gridSpan w:val="9"/>
            <w:vAlign w:val="center"/>
          </w:tcPr>
          <w:p>
            <w:pPr>
              <w:pStyle w:val="64"/>
              <w:adjustRightInd w:val="0"/>
              <w:snapToGrid w:val="0"/>
              <w:spacing w:before="0" w:after="0" w:line="240" w:lineRule="auto"/>
              <w:ind w:firstLine="0" w:firstLineChars="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接触其蒸气或烟雾，可引起急性中毒，出现眼结膜炎，鼻及口腔粘膜有烧灼感，鼻衄，齿龈出血，气管炎等。误服可引起消化道灼伤、溃疡形成，有可能引起胃穿孔、腹膜 炎等。眼和皮肤接触可致灼伤。慢性影响：长期接触，引起慢性鼻炎、慢性支气管炎、牙齿酸蚀症及皮肤损害。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741" w:type="dxa"/>
            <w:vMerge w:val="restart"/>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急救措施</w:t>
            </w:r>
          </w:p>
        </w:tc>
        <w:tc>
          <w:tcPr>
            <w:tcW w:w="1279"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皮肤接触</w:t>
            </w:r>
          </w:p>
        </w:tc>
        <w:tc>
          <w:tcPr>
            <w:tcW w:w="6889" w:type="dxa"/>
            <w:gridSpan w:val="9"/>
            <w:vAlign w:val="center"/>
          </w:tcPr>
          <w:p>
            <w:pPr>
              <w:pStyle w:val="64"/>
              <w:adjustRightInd w:val="0"/>
              <w:snapToGrid w:val="0"/>
              <w:spacing w:before="0" w:after="0" w:line="240" w:lineRule="auto"/>
              <w:ind w:firstLine="0" w:firstLineChars="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立即脱出被污染的衣着。用大量流动清水冲洗，至少 15 分钟。就医。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741" w:type="dxa"/>
            <w:vMerge w:val="continue"/>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p>
        </w:tc>
        <w:tc>
          <w:tcPr>
            <w:tcW w:w="1279"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眼睛接触</w:t>
            </w:r>
          </w:p>
        </w:tc>
        <w:tc>
          <w:tcPr>
            <w:tcW w:w="6889" w:type="dxa"/>
            <w:gridSpan w:val="9"/>
            <w:vAlign w:val="center"/>
          </w:tcPr>
          <w:p>
            <w:pPr>
              <w:pStyle w:val="64"/>
              <w:adjustRightInd w:val="0"/>
              <w:snapToGrid w:val="0"/>
              <w:spacing w:before="0" w:after="0" w:line="240" w:lineRule="auto"/>
              <w:ind w:firstLine="0" w:firstLineChars="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立即提起眼睑，用大量流动清水或生理盐水彻底冲洗至少 15 分钟。就医。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741" w:type="dxa"/>
            <w:vMerge w:val="continue"/>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p>
        </w:tc>
        <w:tc>
          <w:tcPr>
            <w:tcW w:w="1279"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吸入</w:t>
            </w:r>
          </w:p>
        </w:tc>
        <w:tc>
          <w:tcPr>
            <w:tcW w:w="6889" w:type="dxa"/>
            <w:gridSpan w:val="9"/>
            <w:vAlign w:val="center"/>
          </w:tcPr>
          <w:p>
            <w:pPr>
              <w:pStyle w:val="64"/>
              <w:adjustRightInd w:val="0"/>
              <w:snapToGrid w:val="0"/>
              <w:spacing w:before="0" w:after="0" w:line="240" w:lineRule="auto"/>
              <w:ind w:firstLine="0" w:firstLineChars="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迅速脱离现场至空气新鲜处，保持呼吸道通畅。如呼吸困难，给输氧。如呼吸停止，立即进行人工呼吸。就医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741" w:type="dxa"/>
            <w:vMerge w:val="continue"/>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p>
        </w:tc>
        <w:tc>
          <w:tcPr>
            <w:tcW w:w="1279"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食入</w:t>
            </w:r>
          </w:p>
        </w:tc>
        <w:tc>
          <w:tcPr>
            <w:tcW w:w="6889" w:type="dxa"/>
            <w:gridSpan w:val="9"/>
            <w:vAlign w:val="center"/>
          </w:tcPr>
          <w:p>
            <w:pPr>
              <w:pStyle w:val="64"/>
              <w:adjustRightInd w:val="0"/>
              <w:snapToGrid w:val="0"/>
              <w:spacing w:before="0" w:after="0" w:line="240" w:lineRule="auto"/>
              <w:ind w:firstLine="0" w:firstLineChars="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误服者用水漱口，给饮牛奶或蛋清。就医。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41" w:type="dxa"/>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防护</w:t>
            </w:r>
          </w:p>
        </w:tc>
        <w:tc>
          <w:tcPr>
            <w:tcW w:w="8168" w:type="dxa"/>
            <w:gridSpan w:val="10"/>
            <w:vAlign w:val="center"/>
          </w:tcPr>
          <w:p>
            <w:pPr>
              <w:pStyle w:val="64"/>
              <w:adjustRightInd w:val="0"/>
              <w:snapToGrid w:val="0"/>
              <w:spacing w:before="0" w:after="0" w:line="240" w:lineRule="auto"/>
              <w:ind w:firstLine="0" w:firstLineChars="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 xml:space="preserve">工程防护：密闭操作，注意通风。尽可能机械化、自动化。提供安全淋浴和洗眼设备。 </w:t>
            </w:r>
          </w:p>
          <w:p>
            <w:pPr>
              <w:pStyle w:val="64"/>
              <w:adjustRightInd w:val="0"/>
              <w:snapToGrid w:val="0"/>
              <w:spacing w:before="0" w:after="0" w:line="240" w:lineRule="auto"/>
              <w:ind w:firstLine="0" w:firstLineChars="0"/>
              <w:jc w:val="left"/>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个人防护：可能接触其烟雾时，佩戴自吸过滤式防毒面具（全面罩）或空气呼吸器。紧急事 态抢救或撤离时，建议佩戴氧气呼吸器；穿橡胶耐酸碱服；戴橡胶耐酸碱手套。工作现场严禁吸烟、进食和饮水。工作毕，淋浴更衣。单独存放被毒物污染的衣服，洗后备用。保持良好的卫生习惯。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泄漏处置</w:t>
            </w:r>
          </w:p>
        </w:tc>
        <w:tc>
          <w:tcPr>
            <w:tcW w:w="8168" w:type="dxa"/>
            <w:gridSpan w:val="10"/>
            <w:vAlign w:val="center"/>
          </w:tcPr>
          <w:p>
            <w:pPr>
              <w:pStyle w:val="64"/>
              <w:adjustRightInd w:val="0"/>
              <w:snapToGrid w:val="0"/>
              <w:spacing w:before="0" w:after="0" w:line="240" w:lineRule="auto"/>
              <w:ind w:firstLine="0" w:firstLineChars="0"/>
              <w:jc w:val="left"/>
              <w:rPr>
                <w:rFonts w:hint="default" w:ascii="Times New Roman" w:hAnsi="Times New Roman" w:eastAsia="宋体" w:cs="Times New Roman"/>
                <w:color w:val="auto"/>
                <w:kern w:val="2"/>
                <w:sz w:val="21"/>
                <w:szCs w:val="21"/>
              </w:rPr>
            </w:pPr>
            <w:r>
              <w:rPr>
                <w:rFonts w:hint="default" w:ascii="Times New Roman" w:hAnsi="Times New Roman" w:cs="Times New Roman"/>
                <w:color w:val="auto"/>
                <w:sz w:val="21"/>
                <w:szCs w:val="21"/>
                <w:lang w:val="en-US" w:eastAsia="zh-CN"/>
              </w:rPr>
              <w:t>迅速撤离泄漏污染区人员至安全区，并进行隔离，严格限制出入。建议应急处理人员戴自给正压式呼吸器，穿防酸碱工作服。不要直接接触泄漏物。尽可能切断泄漏源。防止进入下水道、排洪沟等限制性空间。小量泄漏：用砂土、干燥石灰或苏打灰混合。也可以用大量水冲洗，洗水稀释后放入废水系统。大量泄漏：构筑围堤或挖坑收容；用泵转移至槽车或专用收集器内。回收或运至废物处理场所处置</w:t>
            </w:r>
            <w:r>
              <w:rPr>
                <w:rFonts w:hint="default" w:ascii="Times New Roman" w:hAnsi="Times New Roman" w:eastAsia="宋体" w:cs="Times New Roman"/>
                <w:color w:val="auto"/>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储运</w:t>
            </w:r>
          </w:p>
        </w:tc>
        <w:tc>
          <w:tcPr>
            <w:tcW w:w="8168" w:type="dxa"/>
            <w:gridSpan w:val="10"/>
            <w:vAlign w:val="center"/>
          </w:tcPr>
          <w:p>
            <w:pPr>
              <w:keepNext w:val="0"/>
              <w:keepLines w:val="0"/>
              <w:widowControl/>
              <w:suppressLineNumbers w:val="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包装标志：20             UN 编号：</w:t>
            </w:r>
            <w:r>
              <w:rPr>
                <w:rFonts w:hint="default" w:ascii="Times New Roman" w:hAnsi="Times New Roman" w:cs="Times New Roman"/>
                <w:color w:val="auto"/>
                <w:kern w:val="0"/>
                <w:sz w:val="21"/>
                <w:szCs w:val="21"/>
                <w:lang w:val="en-US" w:eastAsia="zh-CN" w:bidi="ar"/>
              </w:rPr>
              <w:t>1789</w:t>
            </w:r>
            <w:r>
              <w:rPr>
                <w:rFonts w:hint="default" w:ascii="Times New Roman" w:hAnsi="Times New Roman" w:eastAsia="宋体" w:cs="Times New Roman"/>
                <w:color w:val="auto"/>
                <w:kern w:val="0"/>
                <w:sz w:val="21"/>
                <w:szCs w:val="21"/>
                <w:lang w:val="en-US" w:eastAsia="zh-CN" w:bidi="ar"/>
              </w:rPr>
              <w:t xml:space="preserve">                  包装分类：Ⅰ </w:t>
            </w:r>
          </w:p>
          <w:p>
            <w:pPr>
              <w:pStyle w:val="64"/>
              <w:adjustRightInd w:val="0"/>
              <w:snapToGrid w:val="0"/>
              <w:spacing w:before="0" w:after="0" w:line="240" w:lineRule="auto"/>
              <w:ind w:firstLine="0" w:firstLineChars="0"/>
              <w:jc w:val="left"/>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kern w:val="0"/>
                <w:sz w:val="21"/>
                <w:szCs w:val="21"/>
                <w:lang w:val="en-US" w:eastAsia="zh-CN" w:bidi="ar"/>
              </w:rPr>
              <w:t>包</w:t>
            </w:r>
            <w:r>
              <w:rPr>
                <w:rFonts w:hint="default" w:ascii="Times New Roman" w:hAnsi="Times New Roman" w:cs="Times New Roman"/>
                <w:color w:val="auto"/>
                <w:sz w:val="21"/>
                <w:szCs w:val="21"/>
                <w:lang w:val="en-US" w:eastAsia="zh-CN"/>
              </w:rPr>
              <w:t xml:space="preserve">装方法：螺纹口玻璃瓶、铁盖压口玻璃瓶、塑料瓶或金属桶（罐）外木板箱；耐酸坛、陶瓷罐外木板箱或半花格箱。 </w:t>
            </w:r>
          </w:p>
          <w:p>
            <w:pPr>
              <w:pStyle w:val="64"/>
              <w:adjustRightInd w:val="0"/>
              <w:snapToGrid w:val="0"/>
              <w:spacing w:before="0" w:after="0" w:line="240" w:lineRule="auto"/>
              <w:ind w:firstLine="0" w:firstLineChars="0"/>
              <w:jc w:val="left"/>
              <w:rPr>
                <w:rFonts w:hint="default" w:ascii="Times New Roman" w:hAnsi="Times New Roman" w:eastAsia="宋体" w:cs="Times New Roman"/>
                <w:color w:val="auto"/>
                <w:kern w:val="2"/>
                <w:sz w:val="21"/>
                <w:szCs w:val="21"/>
              </w:rPr>
            </w:pPr>
            <w:r>
              <w:rPr>
                <w:rFonts w:hint="default" w:ascii="Times New Roman" w:hAnsi="Times New Roman" w:cs="Times New Roman"/>
                <w:color w:val="auto"/>
                <w:sz w:val="21"/>
                <w:szCs w:val="21"/>
                <w:lang w:val="en-US" w:eastAsia="zh-CN"/>
              </w:rPr>
              <w:t>储运条件：储存于阴凉、干燥，通风良好的仓间。应与碱类、金属粉末、卤素（氟、氯、溴）、易燃或可燃物分开存放。不可混储混运。搬运要轻装轻卸，防止包装及容器损坏。分装和搬 运作业要注意个人防护。运输按规定路线行驶</w:t>
            </w:r>
            <w:r>
              <w:rPr>
                <w:rFonts w:hint="default" w:ascii="Times New Roman" w:hAnsi="Times New Roman" w:eastAsia="宋体" w:cs="Times New Roman"/>
                <w:color w:val="auto"/>
                <w:kern w:val="0"/>
                <w:sz w:val="21"/>
                <w:szCs w:val="21"/>
                <w:lang w:val="en-US" w:eastAsia="zh-CN" w:bidi="ar"/>
              </w:rPr>
              <w:t>。</w:t>
            </w:r>
          </w:p>
        </w:tc>
      </w:tr>
    </w:tbl>
    <w:p>
      <w:pPr>
        <w:pStyle w:val="178"/>
        <w:keepNext w:val="0"/>
        <w:keepLines w:val="0"/>
        <w:pageBreakBefore w:val="0"/>
        <w:widowControl/>
        <w:numPr>
          <w:ilvl w:val="0"/>
          <w:numId w:val="7"/>
        </w:numPr>
        <w:kinsoku/>
        <w:wordWrap/>
        <w:overflowPunct/>
        <w:topLinePunct w:val="0"/>
        <w:autoSpaceDE/>
        <w:autoSpaceDN/>
        <w:bidi w:val="0"/>
        <w:adjustRightInd/>
        <w:snapToGrid/>
        <w:spacing w:before="157" w:beforeLines="50" w:afterLines="0" w:line="360" w:lineRule="auto"/>
        <w:ind w:left="0" w:leftChars="0" w:firstLine="0" w:firstLineChars="0"/>
        <w:textAlignment w:val="auto"/>
        <w:rPr>
          <w:rFonts w:hint="default" w:ascii="Times New Roman" w:hAnsi="Times New Roman" w:cs="Times New Roman"/>
          <w:b/>
          <w:color w:val="auto"/>
        </w:rPr>
      </w:pPr>
      <w:r>
        <w:rPr>
          <w:rFonts w:hint="default" w:ascii="Times New Roman" w:hAnsi="Times New Roman" w:cs="Times New Roman"/>
          <w:b/>
          <w:color w:val="auto"/>
          <w:lang w:eastAsia="zh-CN"/>
        </w:rPr>
        <w:t>氢氧化钠的理化性质及危险特性</w:t>
      </w:r>
      <w:r>
        <w:rPr>
          <w:rFonts w:hint="default" w:ascii="Times New Roman" w:hAnsi="Times New Roman" w:cs="Times New Roman"/>
          <w:b/>
          <w:color w:val="auto"/>
        </w:rPr>
        <w:t>表</w:t>
      </w:r>
    </w:p>
    <w:tbl>
      <w:tblPr>
        <w:tblStyle w:val="44"/>
        <w:tblW w:w="89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1"/>
        <w:gridCol w:w="1279"/>
        <w:gridCol w:w="999"/>
        <w:gridCol w:w="551"/>
        <w:gridCol w:w="1081"/>
        <w:gridCol w:w="206"/>
        <w:gridCol w:w="887"/>
        <w:gridCol w:w="1159"/>
        <w:gridCol w:w="8"/>
        <w:gridCol w:w="796"/>
        <w:gridCol w:w="12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Merge w:val="restart"/>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标识</w:t>
            </w:r>
          </w:p>
        </w:tc>
        <w:tc>
          <w:tcPr>
            <w:tcW w:w="1279"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中文名</w:t>
            </w:r>
          </w:p>
        </w:tc>
        <w:tc>
          <w:tcPr>
            <w:tcW w:w="2631" w:type="dxa"/>
            <w:gridSpan w:val="3"/>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eastAsia="zh-CN"/>
              </w:rPr>
              <w:t>氢氧化钠；烧碱</w:t>
            </w:r>
          </w:p>
        </w:tc>
        <w:tc>
          <w:tcPr>
            <w:tcW w:w="2252" w:type="dxa"/>
            <w:gridSpan w:val="3"/>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英文名</w:t>
            </w:r>
          </w:p>
        </w:tc>
        <w:tc>
          <w:tcPr>
            <w:tcW w:w="2006" w:type="dxa"/>
            <w:gridSpan w:val="3"/>
            <w:vAlign w:val="center"/>
          </w:tcPr>
          <w:p>
            <w:pPr>
              <w:keepNext w:val="0"/>
              <w:keepLines w:val="0"/>
              <w:widowControl/>
              <w:suppressLineNumbers w:val="0"/>
              <w:jc w:val="left"/>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val="en-US" w:eastAsia="zh-CN" w:bidi="ar"/>
              </w:rPr>
              <w:t>sodiun hydroxide；caustic soda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41" w:type="dxa"/>
            <w:vMerge w:val="continue"/>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p>
        </w:tc>
        <w:tc>
          <w:tcPr>
            <w:tcW w:w="1279"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分子式</w:t>
            </w:r>
          </w:p>
        </w:tc>
        <w:tc>
          <w:tcPr>
            <w:tcW w:w="1550" w:type="dxa"/>
            <w:gridSpan w:val="2"/>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NaOH</w:t>
            </w:r>
          </w:p>
        </w:tc>
        <w:tc>
          <w:tcPr>
            <w:tcW w:w="1081"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分子量</w:t>
            </w:r>
          </w:p>
        </w:tc>
        <w:tc>
          <w:tcPr>
            <w:tcW w:w="1093" w:type="dxa"/>
            <w:gridSpan w:val="2"/>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40.01</w:t>
            </w:r>
          </w:p>
        </w:tc>
        <w:tc>
          <w:tcPr>
            <w:tcW w:w="1167" w:type="dxa"/>
            <w:gridSpan w:val="2"/>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CAS号</w:t>
            </w:r>
          </w:p>
        </w:tc>
        <w:tc>
          <w:tcPr>
            <w:tcW w:w="1998" w:type="dxa"/>
            <w:gridSpan w:val="2"/>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1310</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73</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Merge w:val="continue"/>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p>
        </w:tc>
        <w:tc>
          <w:tcPr>
            <w:tcW w:w="8168" w:type="dxa"/>
            <w:gridSpan w:val="10"/>
            <w:vAlign w:val="center"/>
          </w:tcPr>
          <w:p>
            <w:pPr>
              <w:keepNext w:val="0"/>
              <w:keepLines w:val="0"/>
              <w:widowControl/>
              <w:suppressLineNumbers w:val="0"/>
              <w:ind w:firstLine="210" w:firstLineChars="100"/>
              <w:jc w:val="left"/>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kern w:val="0"/>
                <w:sz w:val="21"/>
                <w:szCs w:val="21"/>
                <w:lang w:val="en-US" w:eastAsia="zh-CN" w:bidi="ar"/>
              </w:rPr>
              <w:t>危规号：</w:t>
            </w:r>
            <w:r>
              <w:rPr>
                <w:rFonts w:hint="default" w:ascii="Times New Roman" w:hAnsi="Times New Roman" w:cs="Times New Roman"/>
                <w:color w:val="auto"/>
                <w:kern w:val="0"/>
                <w:sz w:val="21"/>
                <w:szCs w:val="21"/>
                <w:lang w:val="en-US" w:eastAsia="zh-CN" w:bidi="ar"/>
              </w:rPr>
              <w:t>82001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Merge w:val="restart"/>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理化性质</w:t>
            </w:r>
          </w:p>
        </w:tc>
        <w:tc>
          <w:tcPr>
            <w:tcW w:w="1279"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外观与性状</w:t>
            </w:r>
          </w:p>
        </w:tc>
        <w:tc>
          <w:tcPr>
            <w:tcW w:w="6889" w:type="dxa"/>
            <w:gridSpan w:val="9"/>
            <w:vAlign w:val="center"/>
          </w:tcPr>
          <w:p>
            <w:pPr>
              <w:keepNext w:val="0"/>
              <w:keepLines w:val="0"/>
              <w:widowControl/>
              <w:suppressLineNumbers w:val="0"/>
              <w:jc w:val="left"/>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val="en-US" w:eastAsia="zh-CN" w:bidi="ar"/>
              </w:rPr>
              <w:t>白色不透明固体，易潮解。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 w:hRule="atLeast"/>
          <w:jc w:val="center"/>
        </w:trPr>
        <w:tc>
          <w:tcPr>
            <w:tcW w:w="741" w:type="dxa"/>
            <w:vMerge w:val="continue"/>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p>
        </w:tc>
        <w:tc>
          <w:tcPr>
            <w:tcW w:w="1279" w:type="dxa"/>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溶解性</w:t>
            </w:r>
          </w:p>
        </w:tc>
        <w:tc>
          <w:tcPr>
            <w:tcW w:w="6889" w:type="dxa"/>
            <w:gridSpan w:val="9"/>
            <w:vAlign w:val="center"/>
          </w:tcPr>
          <w:p>
            <w:pPr>
              <w:keepNext w:val="0"/>
              <w:keepLines w:val="0"/>
              <w:widowControl/>
              <w:suppressLineNumbers w:val="0"/>
              <w:jc w:val="left"/>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val="en-US" w:eastAsia="zh-CN" w:bidi="ar"/>
              </w:rPr>
              <w:t>易溶于水、乙醇、甘油，不溶于丙酮。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 w:hRule="atLeast"/>
          <w:jc w:val="center"/>
        </w:trPr>
        <w:tc>
          <w:tcPr>
            <w:tcW w:w="741" w:type="dxa"/>
            <w:vMerge w:val="continue"/>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p>
        </w:tc>
        <w:tc>
          <w:tcPr>
            <w:tcW w:w="1279"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熔点（℃）</w:t>
            </w:r>
          </w:p>
        </w:tc>
        <w:tc>
          <w:tcPr>
            <w:tcW w:w="999" w:type="dxa"/>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318.4</w:t>
            </w:r>
          </w:p>
        </w:tc>
        <w:tc>
          <w:tcPr>
            <w:tcW w:w="1838" w:type="dxa"/>
            <w:gridSpan w:val="3"/>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沸点（℃）</w:t>
            </w:r>
          </w:p>
        </w:tc>
        <w:tc>
          <w:tcPr>
            <w:tcW w:w="887" w:type="dxa"/>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13</w:t>
            </w:r>
          </w:p>
        </w:tc>
        <w:tc>
          <w:tcPr>
            <w:tcW w:w="1963" w:type="dxa"/>
            <w:gridSpan w:val="3"/>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相对密度（</w:t>
            </w:r>
            <w:r>
              <w:rPr>
                <w:rFonts w:hint="default" w:ascii="Times New Roman" w:hAnsi="Times New Roman" w:cs="Times New Roman"/>
                <w:color w:val="auto"/>
                <w:sz w:val="21"/>
                <w:szCs w:val="21"/>
                <w:lang w:eastAsia="zh-CN"/>
              </w:rPr>
              <w:t>水</w:t>
            </w:r>
            <w:r>
              <w:rPr>
                <w:rFonts w:hint="default"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rPr>
              <w:t>）</w:t>
            </w:r>
          </w:p>
        </w:tc>
        <w:tc>
          <w:tcPr>
            <w:tcW w:w="1202" w:type="dxa"/>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41" w:type="dxa"/>
            <w:vMerge w:val="continue"/>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p>
        </w:tc>
        <w:tc>
          <w:tcPr>
            <w:tcW w:w="1279" w:type="dxa"/>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临界温度</w:t>
            </w:r>
            <w:r>
              <w:rPr>
                <w:rFonts w:hint="default" w:ascii="Times New Roman" w:hAnsi="Times New Roman" w:cs="Times New Roman"/>
                <w:color w:val="auto"/>
                <w:sz w:val="21"/>
                <w:szCs w:val="21"/>
              </w:rPr>
              <w:t>（℃）</w:t>
            </w:r>
          </w:p>
        </w:tc>
        <w:tc>
          <w:tcPr>
            <w:tcW w:w="999" w:type="dxa"/>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1838" w:type="dxa"/>
            <w:gridSpan w:val="3"/>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临界压力（</w:t>
            </w:r>
            <w:r>
              <w:rPr>
                <w:rFonts w:hint="default" w:ascii="Times New Roman" w:hAnsi="Times New Roman" w:cs="Times New Roman"/>
                <w:color w:val="auto"/>
                <w:sz w:val="21"/>
                <w:szCs w:val="21"/>
                <w:lang w:val="en-US" w:eastAsia="zh-CN"/>
              </w:rPr>
              <w:t>MPa</w:t>
            </w:r>
            <w:r>
              <w:rPr>
                <w:rFonts w:hint="default" w:ascii="Times New Roman" w:hAnsi="Times New Roman" w:cs="Times New Roman"/>
                <w:color w:val="auto"/>
                <w:sz w:val="21"/>
                <w:szCs w:val="21"/>
                <w:lang w:eastAsia="zh-CN"/>
              </w:rPr>
              <w:t>）</w:t>
            </w:r>
          </w:p>
        </w:tc>
        <w:tc>
          <w:tcPr>
            <w:tcW w:w="887" w:type="dxa"/>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1963" w:type="dxa"/>
            <w:gridSpan w:val="3"/>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相对密度（</w:t>
            </w:r>
            <w:r>
              <w:rPr>
                <w:rFonts w:hint="default" w:ascii="Times New Roman" w:hAnsi="Times New Roman" w:cs="Times New Roman"/>
                <w:color w:val="auto"/>
                <w:sz w:val="21"/>
                <w:szCs w:val="21"/>
                <w:lang w:eastAsia="zh-CN"/>
              </w:rPr>
              <w:t>空气</w:t>
            </w:r>
            <w:r>
              <w:rPr>
                <w:rFonts w:hint="default"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rPr>
              <w:t>）</w:t>
            </w:r>
          </w:p>
        </w:tc>
        <w:tc>
          <w:tcPr>
            <w:tcW w:w="1202" w:type="dxa"/>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Merge w:val="continue"/>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p>
        </w:tc>
        <w:tc>
          <w:tcPr>
            <w:tcW w:w="1279" w:type="dxa"/>
            <w:vAlign w:val="center"/>
          </w:tcPr>
          <w:p>
            <w:pPr>
              <w:keepNext w:val="0"/>
              <w:keepLines w:val="0"/>
              <w:widowControl/>
              <w:suppressLineNumbers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燃烧热（</w:t>
            </w:r>
            <w:r>
              <w:rPr>
                <w:rFonts w:hint="default" w:ascii="Times New Roman" w:hAnsi="Times New Roman" w:eastAsia="宋体" w:cs="Times New Roman"/>
                <w:color w:val="auto"/>
                <w:kern w:val="0"/>
                <w:sz w:val="21"/>
                <w:szCs w:val="21"/>
                <w:lang w:val="en-US" w:eastAsia="zh-CN" w:bidi="ar"/>
              </w:rPr>
              <w:t>KJ/mol）</w:t>
            </w:r>
          </w:p>
        </w:tc>
        <w:tc>
          <w:tcPr>
            <w:tcW w:w="999"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无意义</w:t>
            </w:r>
          </w:p>
        </w:tc>
        <w:tc>
          <w:tcPr>
            <w:tcW w:w="1838" w:type="dxa"/>
            <w:gridSpan w:val="3"/>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最小点火能（</w:t>
            </w:r>
            <w:r>
              <w:rPr>
                <w:rFonts w:hint="default" w:ascii="Times New Roman" w:hAnsi="Times New Roman" w:cs="Times New Roman"/>
                <w:color w:val="auto"/>
                <w:sz w:val="21"/>
                <w:szCs w:val="21"/>
                <w:lang w:val="en-US" w:eastAsia="zh-CN"/>
              </w:rPr>
              <w:t>mJ</w:t>
            </w:r>
            <w:r>
              <w:rPr>
                <w:rFonts w:hint="default" w:ascii="Times New Roman" w:hAnsi="Times New Roman" w:cs="Times New Roman"/>
                <w:color w:val="auto"/>
                <w:sz w:val="21"/>
                <w:szCs w:val="21"/>
                <w:lang w:eastAsia="zh-CN"/>
              </w:rPr>
              <w:t>）</w:t>
            </w:r>
          </w:p>
        </w:tc>
        <w:tc>
          <w:tcPr>
            <w:tcW w:w="887"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1963" w:type="dxa"/>
            <w:gridSpan w:val="3"/>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饱和蒸气压（</w:t>
            </w:r>
            <w:r>
              <w:rPr>
                <w:rFonts w:hint="default" w:ascii="Times New Roman" w:hAnsi="Times New Roman" w:cs="Times New Roman"/>
                <w:color w:val="auto"/>
                <w:sz w:val="21"/>
                <w:szCs w:val="21"/>
                <w:lang w:val="en-US" w:eastAsia="zh-CN"/>
              </w:rPr>
              <w:t>KPa</w:t>
            </w:r>
            <w:r>
              <w:rPr>
                <w:rFonts w:hint="default" w:ascii="Times New Roman" w:hAnsi="Times New Roman" w:cs="Times New Roman"/>
                <w:color w:val="auto"/>
                <w:sz w:val="21"/>
                <w:szCs w:val="21"/>
                <w:lang w:eastAsia="zh-CN"/>
              </w:rPr>
              <w:t>）</w:t>
            </w:r>
          </w:p>
        </w:tc>
        <w:tc>
          <w:tcPr>
            <w:tcW w:w="1202"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0.13（739℃）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Merge w:val="restart"/>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燃烧爆炸危险性</w:t>
            </w:r>
          </w:p>
        </w:tc>
        <w:tc>
          <w:tcPr>
            <w:tcW w:w="1279"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燃烧性</w:t>
            </w:r>
          </w:p>
        </w:tc>
        <w:tc>
          <w:tcPr>
            <w:tcW w:w="999" w:type="dxa"/>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不燃</w:t>
            </w:r>
          </w:p>
        </w:tc>
        <w:tc>
          <w:tcPr>
            <w:tcW w:w="1838" w:type="dxa"/>
            <w:gridSpan w:val="3"/>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燃烧分解物</w:t>
            </w:r>
          </w:p>
        </w:tc>
        <w:tc>
          <w:tcPr>
            <w:tcW w:w="4052" w:type="dxa"/>
            <w:gridSpan w:val="5"/>
            <w:vAlign w:val="center"/>
          </w:tcPr>
          <w:p>
            <w:pPr>
              <w:keepNext w:val="0"/>
              <w:keepLines w:val="0"/>
              <w:widowControl/>
              <w:suppressLineNumbers w:val="0"/>
              <w:jc w:val="left"/>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kern w:val="0"/>
                <w:sz w:val="21"/>
                <w:szCs w:val="21"/>
                <w:lang w:val="en-US" w:eastAsia="zh-CN" w:bidi="ar"/>
              </w:rPr>
              <w:t>可能产生有害的毒性烟雾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Merge w:val="continue"/>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p>
        </w:tc>
        <w:tc>
          <w:tcPr>
            <w:tcW w:w="1279"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闪点（℃）</w:t>
            </w:r>
          </w:p>
        </w:tc>
        <w:tc>
          <w:tcPr>
            <w:tcW w:w="999" w:type="dxa"/>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无意义</w:t>
            </w:r>
          </w:p>
        </w:tc>
        <w:tc>
          <w:tcPr>
            <w:tcW w:w="1838" w:type="dxa"/>
            <w:gridSpan w:val="3"/>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聚合危害</w:t>
            </w:r>
          </w:p>
        </w:tc>
        <w:tc>
          <w:tcPr>
            <w:tcW w:w="4052" w:type="dxa"/>
            <w:gridSpan w:val="5"/>
            <w:vAlign w:val="center"/>
          </w:tcPr>
          <w:p>
            <w:pPr>
              <w:pStyle w:val="64"/>
              <w:adjustRightInd w:val="0"/>
              <w:snapToGrid w:val="0"/>
              <w:spacing w:before="0" w:after="0" w:line="240" w:lineRule="auto"/>
              <w:ind w:firstLine="0" w:firstLineChars="0"/>
              <w:jc w:val="left"/>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不聚合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Merge w:val="continue"/>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p>
        </w:tc>
        <w:tc>
          <w:tcPr>
            <w:tcW w:w="1279"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爆炸下限（v%）</w:t>
            </w:r>
          </w:p>
        </w:tc>
        <w:tc>
          <w:tcPr>
            <w:tcW w:w="999"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无意义</w:t>
            </w:r>
          </w:p>
        </w:tc>
        <w:tc>
          <w:tcPr>
            <w:tcW w:w="1838" w:type="dxa"/>
            <w:gridSpan w:val="3"/>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稳定性</w:t>
            </w:r>
          </w:p>
        </w:tc>
        <w:tc>
          <w:tcPr>
            <w:tcW w:w="4052" w:type="dxa"/>
            <w:gridSpan w:val="5"/>
            <w:vAlign w:val="center"/>
          </w:tcPr>
          <w:p>
            <w:pPr>
              <w:pStyle w:val="64"/>
              <w:adjustRightInd w:val="0"/>
              <w:snapToGrid w:val="0"/>
              <w:spacing w:before="0" w:after="0" w:line="240" w:lineRule="auto"/>
              <w:ind w:firstLine="0" w:firstLineChars="0"/>
              <w:jc w:val="left"/>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Merge w:val="continue"/>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p>
        </w:tc>
        <w:tc>
          <w:tcPr>
            <w:tcW w:w="1279"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爆炸</w:t>
            </w:r>
            <w:r>
              <w:rPr>
                <w:rFonts w:hint="default" w:ascii="Times New Roman" w:hAnsi="Times New Roman" w:cs="Times New Roman"/>
                <w:color w:val="auto"/>
                <w:sz w:val="21"/>
                <w:szCs w:val="21"/>
                <w:lang w:eastAsia="zh-CN"/>
              </w:rPr>
              <w:t>上</w:t>
            </w:r>
            <w:r>
              <w:rPr>
                <w:rFonts w:hint="default" w:ascii="Times New Roman" w:hAnsi="Times New Roman" w:cs="Times New Roman"/>
                <w:color w:val="auto"/>
                <w:sz w:val="21"/>
                <w:szCs w:val="21"/>
              </w:rPr>
              <w:t>限（v%）</w:t>
            </w:r>
          </w:p>
        </w:tc>
        <w:tc>
          <w:tcPr>
            <w:tcW w:w="999" w:type="dxa"/>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无意义</w:t>
            </w:r>
          </w:p>
        </w:tc>
        <w:tc>
          <w:tcPr>
            <w:tcW w:w="1838" w:type="dxa"/>
            <w:gridSpan w:val="3"/>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最大爆炸压力（</w:t>
            </w:r>
            <w:r>
              <w:rPr>
                <w:rFonts w:hint="default" w:ascii="Times New Roman" w:hAnsi="Times New Roman" w:cs="Times New Roman"/>
                <w:color w:val="auto"/>
                <w:sz w:val="21"/>
                <w:szCs w:val="21"/>
                <w:lang w:val="en-US" w:eastAsia="zh-CN"/>
              </w:rPr>
              <w:t>MPa</w:t>
            </w:r>
            <w:r>
              <w:rPr>
                <w:rFonts w:hint="default" w:ascii="Times New Roman" w:hAnsi="Times New Roman" w:cs="Times New Roman"/>
                <w:color w:val="auto"/>
                <w:sz w:val="21"/>
                <w:szCs w:val="21"/>
                <w:lang w:eastAsia="zh-CN"/>
              </w:rPr>
              <w:t>）</w:t>
            </w:r>
          </w:p>
        </w:tc>
        <w:tc>
          <w:tcPr>
            <w:tcW w:w="4052" w:type="dxa"/>
            <w:gridSpan w:val="5"/>
            <w:vAlign w:val="center"/>
          </w:tcPr>
          <w:p>
            <w:pPr>
              <w:pStyle w:val="64"/>
              <w:adjustRightInd w:val="0"/>
              <w:snapToGrid w:val="0"/>
              <w:spacing w:before="0" w:after="0" w:line="240" w:lineRule="auto"/>
              <w:ind w:firstLine="0" w:firstLineChars="0"/>
              <w:jc w:val="left"/>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无意义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Merge w:val="continue"/>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p>
        </w:tc>
        <w:tc>
          <w:tcPr>
            <w:tcW w:w="1279" w:type="dxa"/>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引燃温度</w:t>
            </w:r>
            <w:r>
              <w:rPr>
                <w:rFonts w:hint="default" w:ascii="Times New Roman" w:hAnsi="Times New Roman" w:cs="Times New Roman"/>
                <w:color w:val="auto"/>
                <w:sz w:val="21"/>
                <w:szCs w:val="21"/>
              </w:rPr>
              <w:t>（℃）</w:t>
            </w:r>
          </w:p>
        </w:tc>
        <w:tc>
          <w:tcPr>
            <w:tcW w:w="999" w:type="dxa"/>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无意义</w:t>
            </w:r>
          </w:p>
        </w:tc>
        <w:tc>
          <w:tcPr>
            <w:tcW w:w="1838" w:type="dxa"/>
            <w:gridSpan w:val="3"/>
            <w:vAlign w:val="center"/>
          </w:tcPr>
          <w:p>
            <w:pPr>
              <w:keepNext w:val="0"/>
              <w:keepLines w:val="0"/>
              <w:widowControl/>
              <w:suppressLineNumbers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kern w:val="0"/>
                <w:sz w:val="21"/>
                <w:szCs w:val="21"/>
                <w:lang w:val="en-US" w:eastAsia="zh-CN" w:bidi="ar"/>
              </w:rPr>
              <w:t>禁忌物</w:t>
            </w:r>
          </w:p>
        </w:tc>
        <w:tc>
          <w:tcPr>
            <w:tcW w:w="4052" w:type="dxa"/>
            <w:gridSpan w:val="5"/>
            <w:vAlign w:val="center"/>
          </w:tcPr>
          <w:p>
            <w:pPr>
              <w:keepNext w:val="0"/>
              <w:keepLines w:val="0"/>
              <w:widowControl/>
              <w:suppressLineNumbers w:val="0"/>
              <w:jc w:val="left"/>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kern w:val="0"/>
                <w:sz w:val="21"/>
                <w:szCs w:val="21"/>
                <w:lang w:val="en-US" w:eastAsia="zh-CN" w:bidi="ar"/>
              </w:rPr>
              <w:t>强酸、易燃或可燃物、二氧化碳、过氧化物、水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Merge w:val="continue"/>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p>
        </w:tc>
        <w:tc>
          <w:tcPr>
            <w:tcW w:w="1279"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危险特性</w:t>
            </w:r>
          </w:p>
        </w:tc>
        <w:tc>
          <w:tcPr>
            <w:tcW w:w="6889" w:type="dxa"/>
            <w:gridSpan w:val="9"/>
            <w:vAlign w:val="center"/>
          </w:tcPr>
          <w:p>
            <w:pPr>
              <w:keepNext w:val="0"/>
              <w:keepLines w:val="0"/>
              <w:widowControl/>
              <w:suppressLineNumbers w:val="0"/>
              <w:jc w:val="left"/>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val="en-US" w:eastAsia="zh-CN" w:bidi="ar"/>
              </w:rPr>
              <w:t>与酸发生中和反应并放热。遇潮时对铝、锌和锡有腐蚀性，并放出易燃易爆的氢气。本品不会燃烧，遇水和水蒸气大量放热，形成腐蚀性溶液，具有强腐蚀性。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Merge w:val="continue"/>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p>
        </w:tc>
        <w:tc>
          <w:tcPr>
            <w:tcW w:w="1279"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灭火方法</w:t>
            </w:r>
          </w:p>
        </w:tc>
        <w:tc>
          <w:tcPr>
            <w:tcW w:w="6889" w:type="dxa"/>
            <w:gridSpan w:val="9"/>
            <w:vAlign w:val="center"/>
          </w:tcPr>
          <w:p>
            <w:pPr>
              <w:keepNext w:val="0"/>
              <w:keepLines w:val="0"/>
              <w:widowControl/>
              <w:suppressLineNumbers w:val="0"/>
              <w:jc w:val="left"/>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val="en-US" w:eastAsia="zh-CN" w:bidi="ar"/>
              </w:rPr>
              <w:t>用水、砂土扑救，但须防止物品遇水产生飞溅，造成灼伤。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毒性</w:t>
            </w:r>
          </w:p>
        </w:tc>
        <w:tc>
          <w:tcPr>
            <w:tcW w:w="1279"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急性毒性</w:t>
            </w:r>
          </w:p>
        </w:tc>
        <w:tc>
          <w:tcPr>
            <w:tcW w:w="6889" w:type="dxa"/>
            <w:gridSpan w:val="9"/>
            <w:vAlign w:val="center"/>
          </w:tcPr>
          <w:p>
            <w:pPr>
              <w:keepNext w:val="0"/>
              <w:keepLines w:val="0"/>
              <w:widowControl/>
              <w:suppressLineNumbers w:val="0"/>
              <w:jc w:val="left"/>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val="en-US" w:eastAsia="zh-CN" w:bidi="ar"/>
              </w:rPr>
              <w:t>接触限值：中国 MAC：0.5mg/m</w:t>
            </w:r>
            <w:r>
              <w:rPr>
                <w:rFonts w:hint="default" w:ascii="Times New Roman" w:hAnsi="Times New Roman" w:eastAsia="宋体" w:cs="Times New Roman"/>
                <w:color w:val="auto"/>
                <w:kern w:val="0"/>
                <w:sz w:val="21"/>
                <w:szCs w:val="21"/>
                <w:vertAlign w:val="superscript"/>
                <w:lang w:val="en-US" w:eastAsia="zh-CN" w:bidi="ar"/>
              </w:rPr>
              <w:t>3</w:t>
            </w:r>
          </w:p>
          <w:p>
            <w:pPr>
              <w:keepNext w:val="0"/>
              <w:keepLines w:val="0"/>
              <w:widowControl/>
              <w:suppressLineNumbers w:val="0"/>
              <w:ind w:firstLine="1050" w:firstLineChars="500"/>
              <w:jc w:val="left"/>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val="en-US" w:eastAsia="zh-CN" w:bidi="ar"/>
              </w:rPr>
              <w:t>前苏联 MAC：0.5 mg/m</w:t>
            </w:r>
            <w:r>
              <w:rPr>
                <w:rFonts w:hint="default" w:ascii="Times New Roman" w:hAnsi="Times New Roman" w:eastAsia="宋体" w:cs="Times New Roman"/>
                <w:color w:val="auto"/>
                <w:kern w:val="0"/>
                <w:sz w:val="21"/>
                <w:szCs w:val="21"/>
                <w:vertAlign w:val="superscript"/>
                <w:lang w:val="en-US" w:eastAsia="zh-CN" w:bidi="ar"/>
              </w:rPr>
              <w:t>3</w:t>
            </w:r>
          </w:p>
          <w:p>
            <w:pPr>
              <w:keepNext w:val="0"/>
              <w:keepLines w:val="0"/>
              <w:widowControl/>
              <w:suppressLineNumbers w:val="0"/>
              <w:ind w:firstLine="1050" w:firstLineChars="500"/>
              <w:jc w:val="left"/>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0"/>
                <w:sz w:val="21"/>
                <w:szCs w:val="21"/>
                <w:lang w:val="en-US" w:eastAsia="zh-CN" w:bidi="ar"/>
              </w:rPr>
              <w:t>美国 TVL－TWA OSHA：2mg/m</w:t>
            </w:r>
            <w:r>
              <w:rPr>
                <w:rFonts w:hint="default" w:ascii="Times New Roman" w:hAnsi="Times New Roman" w:eastAsia="宋体" w:cs="Times New Roman"/>
                <w:color w:val="auto"/>
                <w:kern w:val="0"/>
                <w:sz w:val="21"/>
                <w:szCs w:val="21"/>
                <w:vertAlign w:val="superscript"/>
                <w:lang w:val="en-US" w:eastAsia="zh-CN" w:bidi="ar"/>
              </w:rPr>
              <w:t>3</w:t>
            </w:r>
          </w:p>
          <w:p>
            <w:pPr>
              <w:keepNext w:val="0"/>
              <w:keepLines w:val="0"/>
              <w:widowControl/>
              <w:suppressLineNumbers w:val="0"/>
              <w:ind w:firstLine="1050" w:firstLineChars="500"/>
              <w:jc w:val="left"/>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0"/>
                <w:sz w:val="21"/>
                <w:szCs w:val="21"/>
                <w:lang w:val="en-US" w:eastAsia="zh-CN" w:bidi="ar"/>
              </w:rPr>
              <w:t>美国 TLV－STEL ACGIH：2mg/m</w:t>
            </w:r>
            <w:r>
              <w:rPr>
                <w:rFonts w:hint="default" w:ascii="Times New Roman" w:hAnsi="Times New Roman" w:eastAsia="宋体" w:cs="Times New Roman"/>
                <w:color w:val="auto"/>
                <w:kern w:val="0"/>
                <w:sz w:val="21"/>
                <w:szCs w:val="21"/>
                <w:vertAlign w:val="superscript"/>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741" w:type="dxa"/>
            <w:vMerge w:val="restart"/>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危害</w:t>
            </w:r>
          </w:p>
        </w:tc>
        <w:tc>
          <w:tcPr>
            <w:tcW w:w="1279"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val="en-US" w:eastAsia="zh-CN" w:bidi="ar"/>
              </w:rPr>
              <w:t>侵入途径</w:t>
            </w:r>
          </w:p>
        </w:tc>
        <w:tc>
          <w:tcPr>
            <w:tcW w:w="6889" w:type="dxa"/>
            <w:gridSpan w:val="9"/>
            <w:vAlign w:val="center"/>
          </w:tcPr>
          <w:p>
            <w:pPr>
              <w:keepNext w:val="0"/>
              <w:keepLines w:val="0"/>
              <w:widowControl/>
              <w:suppressLineNumbers w:val="0"/>
              <w:jc w:val="left"/>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val="en-US" w:eastAsia="zh-CN" w:bidi="ar"/>
              </w:rPr>
              <w:t>吸入、食入。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741" w:type="dxa"/>
            <w:vMerge w:val="continue"/>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p>
        </w:tc>
        <w:tc>
          <w:tcPr>
            <w:tcW w:w="1279"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健康危害</w:t>
            </w:r>
          </w:p>
        </w:tc>
        <w:tc>
          <w:tcPr>
            <w:tcW w:w="6889" w:type="dxa"/>
            <w:gridSpan w:val="9"/>
            <w:vAlign w:val="center"/>
          </w:tcPr>
          <w:p>
            <w:pPr>
              <w:keepNext w:val="0"/>
              <w:keepLines w:val="0"/>
              <w:widowControl/>
              <w:suppressLineNumbers w:val="0"/>
              <w:jc w:val="left"/>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val="en-US" w:eastAsia="zh-CN" w:bidi="ar"/>
              </w:rPr>
              <w:t>本品具有强烈刺激和腐蚀性。粉尘刺激眼和呼吸道，腐蚀鼻中隔；皮肤和眼直接接触可引起灼伤；误服可造成消化道灼伤，粘膜糜烂、出血和休克。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741" w:type="dxa"/>
            <w:vMerge w:val="restart"/>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急救措施</w:t>
            </w:r>
          </w:p>
        </w:tc>
        <w:tc>
          <w:tcPr>
            <w:tcW w:w="1279"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皮肤接触</w:t>
            </w:r>
          </w:p>
        </w:tc>
        <w:tc>
          <w:tcPr>
            <w:tcW w:w="6889" w:type="dxa"/>
            <w:gridSpan w:val="9"/>
            <w:vAlign w:val="center"/>
          </w:tcPr>
          <w:p>
            <w:pPr>
              <w:keepNext w:val="0"/>
              <w:keepLines w:val="0"/>
              <w:widowControl/>
              <w:suppressLineNumbers w:val="0"/>
              <w:jc w:val="left"/>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val="en-US" w:eastAsia="zh-CN" w:bidi="ar"/>
              </w:rPr>
              <w:t>立即脱出被污染的衣着。用大量流动清水冲洗，至少15分钟。就医。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741" w:type="dxa"/>
            <w:vMerge w:val="continue"/>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p>
        </w:tc>
        <w:tc>
          <w:tcPr>
            <w:tcW w:w="1279"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眼睛接触</w:t>
            </w:r>
          </w:p>
        </w:tc>
        <w:tc>
          <w:tcPr>
            <w:tcW w:w="6889" w:type="dxa"/>
            <w:gridSpan w:val="9"/>
            <w:vAlign w:val="center"/>
          </w:tcPr>
          <w:p>
            <w:pPr>
              <w:keepNext w:val="0"/>
              <w:keepLines w:val="0"/>
              <w:widowControl/>
              <w:suppressLineNumbers w:val="0"/>
              <w:jc w:val="left"/>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val="en-US" w:eastAsia="zh-CN" w:bidi="ar"/>
              </w:rPr>
              <w:t>立即提起眼睑，用大量流动清水或生理盐水彻底冲洗至少15分钟。就医。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741" w:type="dxa"/>
            <w:vMerge w:val="continue"/>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p>
        </w:tc>
        <w:tc>
          <w:tcPr>
            <w:tcW w:w="1279"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吸入</w:t>
            </w:r>
          </w:p>
        </w:tc>
        <w:tc>
          <w:tcPr>
            <w:tcW w:w="6889" w:type="dxa"/>
            <w:gridSpan w:val="9"/>
            <w:vAlign w:val="center"/>
          </w:tcPr>
          <w:p>
            <w:pPr>
              <w:keepNext w:val="0"/>
              <w:keepLines w:val="0"/>
              <w:widowControl/>
              <w:suppressLineNumbers w:val="0"/>
              <w:jc w:val="left"/>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val="en-US" w:eastAsia="zh-CN" w:bidi="ar"/>
              </w:rPr>
              <w:t>迅速脱离现场至空气新鲜处，保持呼吸道通畅。如呼吸困难，给输氧。如呼吸停止，立即进行人工呼吸。就医。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741" w:type="dxa"/>
            <w:vMerge w:val="continue"/>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p>
        </w:tc>
        <w:tc>
          <w:tcPr>
            <w:tcW w:w="1279"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食入</w:t>
            </w:r>
          </w:p>
        </w:tc>
        <w:tc>
          <w:tcPr>
            <w:tcW w:w="6889" w:type="dxa"/>
            <w:gridSpan w:val="9"/>
            <w:vAlign w:val="center"/>
          </w:tcPr>
          <w:p>
            <w:pPr>
              <w:keepNext w:val="0"/>
              <w:keepLines w:val="0"/>
              <w:widowControl/>
              <w:suppressLineNumbers w:val="0"/>
              <w:jc w:val="left"/>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val="en-US" w:eastAsia="zh-CN" w:bidi="ar"/>
              </w:rPr>
              <w:t>误服者用水漱口，给饮牛奶或蛋清。就医。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41" w:type="dxa"/>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防护</w:t>
            </w:r>
          </w:p>
        </w:tc>
        <w:tc>
          <w:tcPr>
            <w:tcW w:w="8168" w:type="dxa"/>
            <w:gridSpan w:val="10"/>
            <w:vAlign w:val="center"/>
          </w:tcPr>
          <w:p>
            <w:pPr>
              <w:keepNext w:val="0"/>
              <w:keepLines w:val="0"/>
              <w:widowControl/>
              <w:suppressLineNumbers w:val="0"/>
              <w:jc w:val="left"/>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val="en-US" w:eastAsia="zh-CN" w:bidi="ar"/>
              </w:rPr>
              <w:t>工程控制：密闭操作。提供安全淋浴和洗眼设备。</w:t>
            </w:r>
          </w:p>
          <w:p>
            <w:pPr>
              <w:keepNext w:val="0"/>
              <w:keepLines w:val="0"/>
              <w:widowControl/>
              <w:suppressLineNumbers w:val="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个人防护：可能接触其粉尘时，必须佩戴头罩型电动送风过滤式防尘呼吸器。必要时，佩戴空气呼吸器；穿橡胶耐酸碱服；戴橡胶耐酸碱手套。工作现场严禁吸烟、进食和饮水。工作毕，淋浴更衣。注意个人清洁卫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泄漏处置</w:t>
            </w:r>
          </w:p>
        </w:tc>
        <w:tc>
          <w:tcPr>
            <w:tcW w:w="8168" w:type="dxa"/>
            <w:gridSpan w:val="10"/>
            <w:vAlign w:val="center"/>
          </w:tcPr>
          <w:p>
            <w:pPr>
              <w:keepNext w:val="0"/>
              <w:keepLines w:val="0"/>
              <w:widowControl/>
              <w:suppressLineNumbers w:val="0"/>
              <w:jc w:val="left"/>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0"/>
                <w:sz w:val="21"/>
                <w:szCs w:val="21"/>
                <w:lang w:val="en-US" w:eastAsia="zh-CN" w:bidi="ar"/>
              </w:rPr>
              <w:t>隔离泄漏污染区，限制出入。建议应急处理人员戴自给式呼吸器，穿防酸碱工作服。不要直接接触泄漏物。小量泄漏：避免扬尘，用洁净的铲子收集于干燥、洁净、有盖的容器中。也可以用大量水冲洗，洗水稀释后放入废水系统。大量泄漏：收集回收或运至废物处理场所处</w:t>
            </w:r>
            <w:r>
              <w:rPr>
                <w:rFonts w:hint="default" w:ascii="Times New Roman" w:hAnsi="Times New Roman" w:cs="Times New Roman"/>
                <w:color w:val="auto"/>
                <w:kern w:val="0"/>
                <w:sz w:val="21"/>
                <w:szCs w:val="21"/>
                <w:lang w:val="en-US" w:eastAsia="zh-CN" w:bidi="ar"/>
              </w:rPr>
              <w:t>置</w:t>
            </w:r>
            <w:r>
              <w:rPr>
                <w:rFonts w:hint="default" w:ascii="Times New Roman" w:hAnsi="Times New Roman" w:eastAsia="宋体" w:cs="Times New Roman"/>
                <w:color w:val="auto"/>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储运</w:t>
            </w:r>
          </w:p>
        </w:tc>
        <w:tc>
          <w:tcPr>
            <w:tcW w:w="8168" w:type="dxa"/>
            <w:gridSpan w:val="10"/>
            <w:vAlign w:val="center"/>
          </w:tcPr>
          <w:p>
            <w:pPr>
              <w:keepNext w:val="0"/>
              <w:keepLines w:val="0"/>
              <w:widowControl/>
              <w:suppressLineNumbers w:val="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包装标志：20             UN 编号：</w:t>
            </w:r>
            <w:r>
              <w:rPr>
                <w:rFonts w:hint="default" w:ascii="Times New Roman" w:hAnsi="Times New Roman" w:cs="Times New Roman"/>
                <w:color w:val="auto"/>
                <w:kern w:val="0"/>
                <w:sz w:val="21"/>
                <w:szCs w:val="21"/>
                <w:lang w:val="en-US" w:eastAsia="zh-CN" w:bidi="ar"/>
              </w:rPr>
              <w:t>1823</w:t>
            </w:r>
            <w:r>
              <w:rPr>
                <w:rFonts w:hint="default" w:ascii="Times New Roman" w:hAnsi="Times New Roman" w:eastAsia="宋体" w:cs="Times New Roman"/>
                <w:color w:val="auto"/>
                <w:kern w:val="0"/>
                <w:sz w:val="21"/>
                <w:szCs w:val="21"/>
                <w:lang w:val="en-US" w:eastAsia="zh-CN" w:bidi="ar"/>
              </w:rPr>
              <w:t xml:space="preserve">                  包装分类：Ⅱ </w:t>
            </w:r>
          </w:p>
          <w:p>
            <w:pPr>
              <w:keepNext w:val="0"/>
              <w:keepLines w:val="0"/>
              <w:widowControl/>
              <w:suppressLineNumbers w:val="0"/>
              <w:jc w:val="left"/>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val="en-US" w:eastAsia="zh-CN" w:bidi="ar"/>
              </w:rPr>
              <w:t>包装方法：小开口钢桶；塑料袋、多层牛皮纸外木板箱。</w:t>
            </w:r>
          </w:p>
          <w:p>
            <w:pPr>
              <w:keepNext w:val="0"/>
              <w:keepLines w:val="0"/>
              <w:widowControl/>
              <w:suppressLineNumbers w:val="0"/>
              <w:jc w:val="left"/>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0"/>
                <w:sz w:val="21"/>
                <w:szCs w:val="21"/>
                <w:lang w:val="en-US" w:eastAsia="zh-CN" w:bidi="ar"/>
              </w:rPr>
              <w:t>储运条件：储存于干燥清洁的仓间内。注意防潮和雨淋。应与易燃或可燃物及酸类分开存放。分装和搬运作业要注意个人防护。搬运要轻装轻卸，防止包装及容器损坏。雨天不宜运输。</w:t>
            </w:r>
          </w:p>
        </w:tc>
      </w:tr>
    </w:tbl>
    <w:p>
      <w:pPr>
        <w:pStyle w:val="6"/>
        <w:keepNext/>
        <w:keepLines/>
        <w:pageBreakBefore w:val="0"/>
        <w:widowControl w:val="0"/>
        <w:kinsoku/>
        <w:wordWrap/>
        <w:overflowPunct/>
        <w:topLinePunct w:val="0"/>
        <w:autoSpaceDE/>
        <w:autoSpaceDN/>
        <w:bidi w:val="0"/>
        <w:adjustRightInd/>
        <w:snapToGrid/>
        <w:spacing w:before="157" w:beforeLines="50" w:after="0" w:line="360" w:lineRule="auto"/>
        <w:textAlignment w:val="auto"/>
        <w:rPr>
          <w:rFonts w:hint="default" w:ascii="Times New Roman" w:hAnsi="Times New Roman" w:cs="Times New Roman"/>
          <w:color w:val="auto"/>
          <w:sz w:val="28"/>
          <w:szCs w:val="28"/>
          <w:lang w:val="en-US" w:eastAsia="zh-CN"/>
        </w:rPr>
      </w:pPr>
      <w:bookmarkStart w:id="939" w:name="_Toc2700"/>
      <w:r>
        <w:rPr>
          <w:rFonts w:hint="default" w:ascii="Times New Roman" w:hAnsi="Times New Roman" w:cs="Times New Roman"/>
          <w:color w:val="auto"/>
          <w:sz w:val="28"/>
          <w:szCs w:val="28"/>
          <w:lang w:val="en-US" w:eastAsia="zh-CN"/>
        </w:rPr>
        <w:t>5</w:t>
      </w:r>
      <w:r>
        <w:rPr>
          <w:rFonts w:hint="default" w:ascii="Times New Roman" w:hAnsi="Times New Roman" w:eastAsia="宋体" w:cs="Times New Roman"/>
          <w:color w:val="auto"/>
          <w:sz w:val="28"/>
          <w:szCs w:val="28"/>
          <w:lang w:val="en-US" w:eastAsia="zh-CN"/>
        </w:rPr>
        <w:t>.</w:t>
      </w:r>
      <w:r>
        <w:rPr>
          <w:rFonts w:hint="default" w:ascii="Times New Roman" w:hAnsi="Times New Roman" w:cs="Times New Roman"/>
          <w:color w:val="auto"/>
          <w:sz w:val="28"/>
          <w:szCs w:val="28"/>
          <w:lang w:val="en-US" w:eastAsia="zh-CN"/>
        </w:rPr>
        <w:t>3</w:t>
      </w:r>
      <w:r>
        <w:rPr>
          <w:rFonts w:hint="default" w:ascii="Times New Roman" w:hAnsi="Times New Roman" w:cs="Times New Roman"/>
          <w:color w:val="auto"/>
          <w:sz w:val="28"/>
          <w:szCs w:val="28"/>
          <w:lang w:val="en-US" w:eastAsia="zh-CN"/>
        </w:rPr>
        <w:t>.</w:t>
      </w:r>
      <w:r>
        <w:rPr>
          <w:rFonts w:hint="default" w:ascii="Times New Roman" w:hAnsi="Times New Roman" w:cs="Times New Roman"/>
          <w:color w:val="auto"/>
          <w:sz w:val="28"/>
          <w:szCs w:val="28"/>
          <w:lang w:val="en-US" w:eastAsia="zh-CN"/>
        </w:rPr>
        <w:t>4环境风险潜势初判</w:t>
      </w:r>
      <w:bookmarkEnd w:id="939"/>
    </w:p>
    <w:p>
      <w:pPr>
        <w:spacing w:line="360" w:lineRule="auto"/>
        <w:ind w:firstLine="482" w:firstLineChars="20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一、</w:t>
      </w:r>
      <w:r>
        <w:rPr>
          <w:rFonts w:hint="default" w:ascii="Times New Roman" w:hAnsi="Times New Roman" w:cs="Times New Roman"/>
          <w:b/>
          <w:bCs/>
          <w:color w:val="auto"/>
          <w:lang w:val="en-US" w:eastAsia="zh-CN"/>
        </w:rPr>
        <w:t>P的分级确定</w:t>
      </w:r>
    </w:p>
    <w:p>
      <w:pPr>
        <w:spacing w:line="360" w:lineRule="auto"/>
        <w:ind w:firstLine="480" w:firstLineChars="200"/>
        <w:rPr>
          <w:rFonts w:hint="default" w:ascii="Times New Roman" w:hAnsi="Times New Roman" w:eastAsia="宋体" w:cs="Times New Roman"/>
          <w:b w:val="0"/>
          <w:bCs w:val="0"/>
          <w:color w:val="auto"/>
          <w:lang w:val="en-US" w:eastAsia="zh-CN"/>
        </w:rPr>
      </w:pPr>
      <w:r>
        <w:rPr>
          <w:rFonts w:hint="default" w:ascii="Times New Roman" w:hAnsi="Times New Roman" w:cs="Times New Roman"/>
          <w:b w:val="0"/>
          <w:bCs w:val="0"/>
          <w:color w:val="auto"/>
          <w:lang w:val="en-US" w:eastAsia="zh-CN"/>
        </w:rPr>
        <w:t>1、</w:t>
      </w:r>
      <w:r>
        <w:rPr>
          <w:rFonts w:hint="default" w:ascii="Times New Roman" w:hAnsi="Times New Roman" w:cs="Times New Roman"/>
          <w:b w:val="0"/>
          <w:bCs w:val="0"/>
          <w:color w:val="auto"/>
        </w:rPr>
        <w:t>风险</w:t>
      </w:r>
      <w:r>
        <w:rPr>
          <w:rFonts w:hint="default" w:ascii="Times New Roman" w:hAnsi="Times New Roman" w:cs="Times New Roman"/>
          <w:b w:val="0"/>
          <w:bCs w:val="0"/>
          <w:color w:val="auto"/>
          <w:lang w:eastAsia="zh-CN"/>
        </w:rPr>
        <w:t>物质</w:t>
      </w:r>
      <w:r>
        <w:rPr>
          <w:rFonts w:hint="default" w:ascii="Times New Roman" w:hAnsi="Times New Roman" w:cs="Times New Roman"/>
          <w:b w:val="0"/>
          <w:bCs w:val="0"/>
          <w:color w:val="auto"/>
        </w:rPr>
        <w:t>数量与临界量的比值Q</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根据《建设项目环境风险评价技术导则》（HJ169-2018）附录C，Q按下式进行计算：</w:t>
      </w:r>
    </w:p>
    <w:p>
      <w:pPr>
        <w:pStyle w:val="136"/>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outlineLvl w:val="9"/>
        <w:rPr>
          <w:rFonts w:hint="default" w:ascii="Times New Roman" w:hAnsi="Times New Roman" w:eastAsia="宋体" w:cs="Times New Roman"/>
          <w:color w:val="auto"/>
        </w:rPr>
      </w:pPr>
      <w:r>
        <w:rPr>
          <w:rFonts w:hint="default" w:ascii="Times New Roman" w:hAnsi="Times New Roman" w:eastAsia="宋体" w:cs="Times New Roman"/>
          <w:color w:val="auto"/>
        </w:rPr>
        <w:t>Q=q</w:t>
      </w:r>
      <w:r>
        <w:rPr>
          <w:rFonts w:hint="default" w:ascii="Times New Roman" w:hAnsi="Times New Roman" w:eastAsia="宋体" w:cs="Times New Roman"/>
          <w:color w:val="auto"/>
          <w:vertAlign w:val="subscript"/>
        </w:rPr>
        <w:t>1</w:t>
      </w:r>
      <w:r>
        <w:rPr>
          <w:rFonts w:hint="default" w:ascii="Times New Roman" w:hAnsi="Times New Roman" w:eastAsia="宋体" w:cs="Times New Roman"/>
          <w:color w:val="auto"/>
        </w:rPr>
        <w:t>/Q</w:t>
      </w:r>
      <w:r>
        <w:rPr>
          <w:rFonts w:hint="default" w:ascii="Times New Roman" w:hAnsi="Times New Roman" w:eastAsia="宋体" w:cs="Times New Roman"/>
          <w:color w:val="auto"/>
          <w:vertAlign w:val="subscript"/>
        </w:rPr>
        <w:t>1</w:t>
      </w:r>
      <w:r>
        <w:rPr>
          <w:rFonts w:hint="default" w:ascii="Times New Roman" w:hAnsi="Times New Roman" w:eastAsia="宋体" w:cs="Times New Roman"/>
          <w:color w:val="auto"/>
        </w:rPr>
        <w:t>+q</w:t>
      </w:r>
      <w:r>
        <w:rPr>
          <w:rFonts w:hint="default" w:ascii="Times New Roman" w:hAnsi="Times New Roman" w:eastAsia="宋体" w:cs="Times New Roman"/>
          <w:color w:val="auto"/>
          <w:vertAlign w:val="subscript"/>
        </w:rPr>
        <w:t>2</w:t>
      </w:r>
      <w:r>
        <w:rPr>
          <w:rFonts w:hint="default" w:ascii="Times New Roman" w:hAnsi="Times New Roman" w:eastAsia="宋体" w:cs="Times New Roman"/>
          <w:color w:val="auto"/>
        </w:rPr>
        <w:t>/Q</w:t>
      </w:r>
      <w:r>
        <w:rPr>
          <w:rFonts w:hint="default" w:ascii="Times New Roman" w:hAnsi="Times New Roman" w:eastAsia="宋体" w:cs="Times New Roman"/>
          <w:color w:val="auto"/>
          <w:vertAlign w:val="subscript"/>
        </w:rPr>
        <w:t>2</w:t>
      </w:r>
      <w:r>
        <w:rPr>
          <w:rFonts w:hint="default" w:ascii="Times New Roman" w:hAnsi="Times New Roman" w:eastAsia="宋体" w:cs="Times New Roman"/>
          <w:color w:val="auto"/>
        </w:rPr>
        <w:t>+q</w:t>
      </w:r>
      <w:r>
        <w:rPr>
          <w:rFonts w:hint="default" w:ascii="Times New Roman" w:hAnsi="Times New Roman" w:eastAsia="宋体" w:cs="Times New Roman"/>
          <w:color w:val="auto"/>
          <w:vertAlign w:val="subscript"/>
        </w:rPr>
        <w:t>3</w:t>
      </w:r>
      <w:r>
        <w:rPr>
          <w:rFonts w:hint="default" w:ascii="Times New Roman" w:hAnsi="Times New Roman" w:eastAsia="宋体" w:cs="Times New Roman"/>
          <w:color w:val="auto"/>
        </w:rPr>
        <w:t>/Q</w:t>
      </w:r>
      <w:r>
        <w:rPr>
          <w:rFonts w:hint="default" w:ascii="Times New Roman" w:hAnsi="Times New Roman" w:eastAsia="宋体" w:cs="Times New Roman"/>
          <w:color w:val="auto"/>
          <w:vertAlign w:val="subscript"/>
        </w:rPr>
        <w:t>3</w:t>
      </w:r>
      <w:r>
        <w:rPr>
          <w:rFonts w:hint="default" w:ascii="Times New Roman" w:hAnsi="Times New Roman" w:eastAsia="宋体" w:cs="Times New Roman"/>
          <w:color w:val="auto"/>
        </w:rPr>
        <w:t>+…q</w:t>
      </w:r>
      <w:r>
        <w:rPr>
          <w:rFonts w:hint="default" w:ascii="Times New Roman" w:hAnsi="Times New Roman" w:eastAsia="宋体" w:cs="Times New Roman"/>
          <w:color w:val="auto"/>
          <w:vertAlign w:val="subscript"/>
        </w:rPr>
        <w:t>n</w:t>
      </w:r>
      <w:r>
        <w:rPr>
          <w:rFonts w:hint="default" w:ascii="Times New Roman" w:hAnsi="Times New Roman" w:eastAsia="宋体" w:cs="Times New Roman"/>
          <w:color w:val="auto"/>
        </w:rPr>
        <w:t>/Q</w:t>
      </w:r>
      <w:r>
        <w:rPr>
          <w:rFonts w:hint="default" w:ascii="Times New Roman" w:hAnsi="Times New Roman" w:eastAsia="宋体" w:cs="Times New Roman"/>
          <w:color w:val="auto"/>
          <w:vertAlign w:val="subscript"/>
        </w:rPr>
        <w:t>n</w:t>
      </w:r>
    </w:p>
    <w:p>
      <w:pPr>
        <w:pStyle w:val="136"/>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式中：q</w:t>
      </w:r>
      <w:r>
        <w:rPr>
          <w:rFonts w:hint="default" w:ascii="Times New Roman" w:hAnsi="Times New Roman" w:eastAsia="宋体" w:cs="Times New Roman"/>
          <w:color w:val="auto"/>
          <w:vertAlign w:val="subscript"/>
        </w:rPr>
        <w:t>1</w:t>
      </w:r>
      <w:r>
        <w:rPr>
          <w:rFonts w:hint="default" w:ascii="Times New Roman" w:hAnsi="Times New Roman" w:eastAsia="宋体" w:cs="Times New Roman"/>
          <w:color w:val="auto"/>
        </w:rPr>
        <w:t>，q</w:t>
      </w:r>
      <w:r>
        <w:rPr>
          <w:rFonts w:hint="default" w:ascii="Times New Roman" w:hAnsi="Times New Roman" w:eastAsia="宋体" w:cs="Times New Roman"/>
          <w:color w:val="auto"/>
          <w:vertAlign w:val="subscript"/>
        </w:rPr>
        <w:t>2</w:t>
      </w:r>
      <w:r>
        <w:rPr>
          <w:rFonts w:hint="default" w:ascii="Times New Roman" w:hAnsi="Times New Roman" w:eastAsia="宋体" w:cs="Times New Roman"/>
          <w:color w:val="auto"/>
        </w:rPr>
        <w:t>，q</w:t>
      </w:r>
      <w:r>
        <w:rPr>
          <w:rFonts w:hint="default" w:ascii="Times New Roman" w:hAnsi="Times New Roman" w:eastAsia="宋体" w:cs="Times New Roman"/>
          <w:color w:val="auto"/>
          <w:vertAlign w:val="subscript"/>
        </w:rPr>
        <w:t>3</w:t>
      </w:r>
      <w:r>
        <w:rPr>
          <w:rFonts w:hint="default" w:ascii="Times New Roman" w:hAnsi="Times New Roman" w:eastAsia="宋体" w:cs="Times New Roman"/>
          <w:color w:val="auto"/>
        </w:rPr>
        <w:t>，…q</w:t>
      </w:r>
      <w:r>
        <w:rPr>
          <w:rFonts w:hint="default" w:ascii="Times New Roman" w:hAnsi="Times New Roman" w:eastAsia="宋体" w:cs="Times New Roman"/>
          <w:color w:val="auto"/>
          <w:vertAlign w:val="subscript"/>
        </w:rPr>
        <w:t>n</w:t>
      </w:r>
      <w:r>
        <w:rPr>
          <w:rFonts w:hint="default" w:ascii="Times New Roman" w:hAnsi="Times New Roman" w:eastAsia="宋体" w:cs="Times New Roman"/>
          <w:color w:val="auto"/>
        </w:rPr>
        <w:t>——每种危险物质的最大存在总量t；</w:t>
      </w:r>
    </w:p>
    <w:p>
      <w:pPr>
        <w:pStyle w:val="136"/>
        <w:spacing w:line="360" w:lineRule="auto"/>
        <w:ind w:firstLine="1200" w:firstLineChars="500"/>
        <w:rPr>
          <w:rFonts w:hint="default" w:ascii="Times New Roman" w:hAnsi="Times New Roman" w:eastAsia="宋体" w:cs="Times New Roman"/>
          <w:color w:val="auto"/>
        </w:rPr>
      </w:pPr>
      <w:r>
        <w:rPr>
          <w:rFonts w:hint="default" w:ascii="Times New Roman" w:hAnsi="Times New Roman" w:eastAsia="宋体" w:cs="Times New Roman"/>
          <w:color w:val="auto"/>
        </w:rPr>
        <w:t>Q</w:t>
      </w:r>
      <w:r>
        <w:rPr>
          <w:rFonts w:hint="default" w:ascii="Times New Roman" w:hAnsi="Times New Roman" w:eastAsia="宋体" w:cs="Times New Roman"/>
          <w:color w:val="auto"/>
          <w:vertAlign w:val="subscript"/>
        </w:rPr>
        <w:t>1</w:t>
      </w:r>
      <w:r>
        <w:rPr>
          <w:rFonts w:hint="default" w:ascii="Times New Roman" w:hAnsi="Times New Roman" w:eastAsia="宋体" w:cs="Times New Roman"/>
          <w:color w:val="auto"/>
        </w:rPr>
        <w:t>，Q</w:t>
      </w:r>
      <w:r>
        <w:rPr>
          <w:rFonts w:hint="default" w:ascii="Times New Roman" w:hAnsi="Times New Roman" w:eastAsia="宋体" w:cs="Times New Roman"/>
          <w:color w:val="auto"/>
          <w:vertAlign w:val="subscript"/>
        </w:rPr>
        <w:t>2</w:t>
      </w:r>
      <w:r>
        <w:rPr>
          <w:rFonts w:hint="default" w:ascii="Times New Roman" w:hAnsi="Times New Roman" w:eastAsia="宋体" w:cs="Times New Roman"/>
          <w:color w:val="auto"/>
        </w:rPr>
        <w:t>，Q</w:t>
      </w:r>
      <w:r>
        <w:rPr>
          <w:rFonts w:hint="default" w:ascii="Times New Roman" w:hAnsi="Times New Roman" w:eastAsia="宋体" w:cs="Times New Roman"/>
          <w:color w:val="auto"/>
          <w:vertAlign w:val="subscript"/>
        </w:rPr>
        <w:t>3</w:t>
      </w:r>
      <w:r>
        <w:rPr>
          <w:rFonts w:hint="default" w:ascii="Times New Roman" w:hAnsi="Times New Roman" w:eastAsia="宋体" w:cs="Times New Roman"/>
          <w:color w:val="auto"/>
        </w:rPr>
        <w:t>，…Q</w:t>
      </w:r>
      <w:r>
        <w:rPr>
          <w:rFonts w:hint="default" w:ascii="Times New Roman" w:hAnsi="Times New Roman" w:eastAsia="宋体" w:cs="Times New Roman"/>
          <w:color w:val="auto"/>
          <w:vertAlign w:val="subscript"/>
        </w:rPr>
        <w:t>n</w:t>
      </w:r>
      <w:r>
        <w:rPr>
          <w:rFonts w:hint="default" w:ascii="Times New Roman" w:hAnsi="Times New Roman" w:eastAsia="宋体" w:cs="Times New Roman"/>
          <w:color w:val="auto"/>
        </w:rPr>
        <w:t>——每种危险物质的临界量，t；</w:t>
      </w:r>
    </w:p>
    <w:p>
      <w:pPr>
        <w:adjustRightInd w:val="0"/>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当Q＜1时，该项目环境风险潜势为Ⅰ；当Q≥1时，将Q值划分为：1≤Q＜10，10≤Q＜100，Q≥100。</w:t>
      </w:r>
    </w:p>
    <w:p>
      <w:pPr>
        <w:adjustRightInd w:val="0"/>
        <w:snapToGrid w:val="0"/>
        <w:spacing w:line="360" w:lineRule="auto"/>
        <w:ind w:firstLine="480" w:firstLineChars="200"/>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根据上文识别结果，本项目危险物质主要为工业酒精（乙醇）、粘棒胶（环氧树脂）、双氧水、氢氟酸、盐酸、氢氧化钠、废胶（环氧树脂）。对照</w:t>
      </w:r>
      <w:r>
        <w:rPr>
          <w:rFonts w:hint="default" w:ascii="Times New Roman" w:hAnsi="Times New Roman" w:cs="Times New Roman"/>
          <w:color w:val="auto"/>
        </w:rPr>
        <w:t>《建设项目环境风险评价技术导则》（HJ 169-2018）附录B</w:t>
      </w:r>
      <w:r>
        <w:rPr>
          <w:rFonts w:hint="default" w:ascii="Times New Roman" w:hAnsi="Times New Roman" w:cs="Times New Roman"/>
          <w:color w:val="auto"/>
          <w:lang w:eastAsia="zh-CN"/>
        </w:rPr>
        <w:t>、</w:t>
      </w:r>
      <w:r>
        <w:rPr>
          <w:rFonts w:hint="default" w:ascii="Times New Roman" w:hAnsi="Times New Roman" w:cs="Times New Roman"/>
          <w:color w:val="auto"/>
        </w:rPr>
        <w:t>《企业突发环境事件风险分级方法》（HJ941-2018）中附录A</w:t>
      </w:r>
      <w:r>
        <w:rPr>
          <w:rFonts w:hint="default" w:ascii="Times New Roman" w:hAnsi="Times New Roman" w:cs="Times New Roman"/>
          <w:color w:val="auto"/>
          <w:lang w:eastAsia="zh-CN"/>
        </w:rPr>
        <w:t>以及《危险化学品分类信息表》（</w:t>
      </w:r>
      <w:r>
        <w:rPr>
          <w:rFonts w:hint="default" w:ascii="Times New Roman" w:hAnsi="Times New Roman" w:cs="Times New Roman"/>
          <w:color w:val="auto"/>
          <w:lang w:val="en-US" w:eastAsia="zh-CN"/>
        </w:rPr>
        <w:t>2015</w:t>
      </w:r>
      <w:r>
        <w:rPr>
          <w:rFonts w:hint="default" w:ascii="Times New Roman" w:hAnsi="Times New Roman" w:cs="Times New Roman"/>
          <w:color w:val="auto"/>
          <w:lang w:eastAsia="zh-CN"/>
        </w:rPr>
        <w:t>）可知，本项目需要重点关注的危险物质为工业酒精（乙醇）、氢氟酸、盐酸。</w:t>
      </w:r>
    </w:p>
    <w:p>
      <w:pPr>
        <w:pStyle w:val="178"/>
        <w:keepNext w:val="0"/>
        <w:keepLines w:val="0"/>
        <w:pageBreakBefore w:val="0"/>
        <w:widowControl/>
        <w:numPr>
          <w:ilvl w:val="0"/>
          <w:numId w:val="7"/>
        </w:numPr>
        <w:kinsoku/>
        <w:wordWrap/>
        <w:overflowPunct/>
        <w:topLinePunct w:val="0"/>
        <w:autoSpaceDE/>
        <w:autoSpaceDN/>
        <w:bidi w:val="0"/>
        <w:adjustRightInd/>
        <w:snapToGrid/>
        <w:spacing w:beforeLines="0" w:afterLines="0" w:line="360" w:lineRule="auto"/>
        <w:ind w:left="0" w:leftChars="0" w:firstLine="0" w:firstLineChars="0"/>
        <w:textAlignment w:val="auto"/>
        <w:rPr>
          <w:rFonts w:hint="default" w:ascii="Times New Roman" w:hAnsi="Times New Roman" w:cs="Times New Roman"/>
          <w:b/>
          <w:color w:val="auto"/>
        </w:rPr>
      </w:pPr>
      <w:r>
        <w:rPr>
          <w:rFonts w:hint="default" w:ascii="Times New Roman" w:hAnsi="Times New Roman" w:cs="Times New Roman"/>
          <w:b/>
          <w:color w:val="auto"/>
          <w:lang w:eastAsia="zh-CN"/>
        </w:rPr>
        <w:t>重点关注的危险物质及临界量</w:t>
      </w:r>
    </w:p>
    <w:tbl>
      <w:tblPr>
        <w:tblStyle w:val="44"/>
        <w:tblW w:w="83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4"/>
        <w:gridCol w:w="1196"/>
        <w:gridCol w:w="884"/>
        <w:gridCol w:w="1166"/>
        <w:gridCol w:w="2777"/>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4" w:type="dxa"/>
            <w:vAlign w:val="center"/>
          </w:tcPr>
          <w:p>
            <w:pPr>
              <w:jc w:val="center"/>
              <w:rPr>
                <w:rFonts w:hint="default" w:ascii="Times New Roman" w:hAnsi="Times New Roman" w:cs="Times New Roman"/>
                <w:b/>
                <w:color w:val="auto"/>
                <w:sz w:val="21"/>
                <w:szCs w:val="21"/>
                <w:lang w:eastAsia="zh-CN"/>
              </w:rPr>
            </w:pPr>
            <w:r>
              <w:rPr>
                <w:rFonts w:hint="default" w:ascii="Times New Roman" w:hAnsi="Times New Roman" w:cs="Times New Roman"/>
                <w:b/>
                <w:color w:val="auto"/>
                <w:sz w:val="21"/>
                <w:szCs w:val="21"/>
                <w:lang w:eastAsia="zh-CN"/>
              </w:rPr>
              <w:t>危险物质</w:t>
            </w:r>
          </w:p>
        </w:tc>
        <w:tc>
          <w:tcPr>
            <w:tcW w:w="1196" w:type="dxa"/>
            <w:vAlign w:val="center"/>
          </w:tcPr>
          <w:p>
            <w:pPr>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CAS号</w:t>
            </w:r>
          </w:p>
        </w:tc>
        <w:tc>
          <w:tcPr>
            <w:tcW w:w="884" w:type="dxa"/>
            <w:vAlign w:val="center"/>
          </w:tcPr>
          <w:p>
            <w:pPr>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分布位置</w:t>
            </w:r>
          </w:p>
        </w:tc>
        <w:tc>
          <w:tcPr>
            <w:tcW w:w="1166" w:type="dxa"/>
            <w:vAlign w:val="center"/>
          </w:tcPr>
          <w:p>
            <w:pPr>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是否</w:t>
            </w:r>
            <w:r>
              <w:rPr>
                <w:rFonts w:hint="default" w:ascii="Times New Roman" w:hAnsi="Times New Roman" w:cs="Times New Roman"/>
                <w:b/>
                <w:color w:val="auto"/>
                <w:sz w:val="21"/>
                <w:szCs w:val="21"/>
                <w:lang w:eastAsia="zh-CN"/>
              </w:rPr>
              <w:t>是</w:t>
            </w:r>
            <w:r>
              <w:rPr>
                <w:rFonts w:hint="default" w:ascii="Times New Roman" w:hAnsi="Times New Roman" w:cs="Times New Roman"/>
                <w:b/>
                <w:color w:val="auto"/>
                <w:sz w:val="21"/>
                <w:szCs w:val="21"/>
              </w:rPr>
              <w:t>危险物质</w:t>
            </w:r>
          </w:p>
        </w:tc>
        <w:tc>
          <w:tcPr>
            <w:tcW w:w="2777" w:type="dxa"/>
            <w:vAlign w:val="center"/>
          </w:tcPr>
          <w:p>
            <w:pPr>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依据</w:t>
            </w:r>
          </w:p>
        </w:tc>
        <w:tc>
          <w:tcPr>
            <w:tcW w:w="851" w:type="dxa"/>
            <w:vAlign w:val="center"/>
          </w:tcPr>
          <w:p>
            <w:pPr>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临界量t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4" w:type="dxa"/>
            <w:vAlign w:val="center"/>
          </w:tcPr>
          <w:p>
            <w:pPr>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工业酒精</w:t>
            </w:r>
          </w:p>
        </w:tc>
        <w:tc>
          <w:tcPr>
            <w:tcW w:w="1196" w:type="dxa"/>
            <w:vAlign w:val="center"/>
          </w:tcPr>
          <w:p>
            <w:pPr>
              <w:pStyle w:val="167"/>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64-17-5</w:t>
            </w:r>
          </w:p>
        </w:tc>
        <w:tc>
          <w:tcPr>
            <w:tcW w:w="884"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eastAsia="zh-CN"/>
              </w:rPr>
              <w:t>化学品库</w:t>
            </w:r>
          </w:p>
        </w:tc>
        <w:tc>
          <w:tcPr>
            <w:tcW w:w="1166" w:type="dxa"/>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计入</w:t>
            </w:r>
          </w:p>
        </w:tc>
        <w:tc>
          <w:tcPr>
            <w:tcW w:w="2777"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属于《企业突发环境事件风险分级方法》（HJ941-2018）附录A中的物质</w:t>
            </w:r>
          </w:p>
        </w:tc>
        <w:tc>
          <w:tcPr>
            <w:tcW w:w="851" w:type="dxa"/>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4" w:type="dxa"/>
            <w:vAlign w:val="center"/>
          </w:tcPr>
          <w:p>
            <w:pPr>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氢氟酸</w:t>
            </w:r>
          </w:p>
        </w:tc>
        <w:tc>
          <w:tcPr>
            <w:tcW w:w="1196" w:type="dxa"/>
            <w:vAlign w:val="center"/>
          </w:tcPr>
          <w:p>
            <w:pPr>
              <w:pStyle w:val="167"/>
              <w:rPr>
                <w:rFonts w:hint="default" w:ascii="Times New Roman" w:hAnsi="Times New Roman" w:cs="Times New Roman"/>
                <w:color w:val="auto"/>
                <w:lang w:val="en-US" w:eastAsia="zh-CN"/>
              </w:rPr>
            </w:pPr>
            <w:r>
              <w:rPr>
                <w:rFonts w:hint="default" w:ascii="Times New Roman" w:hAnsi="Times New Roman" w:cs="Times New Roman"/>
                <w:color w:val="auto"/>
              </w:rPr>
              <w:t>7664-39-3</w:t>
            </w:r>
          </w:p>
        </w:tc>
        <w:tc>
          <w:tcPr>
            <w:tcW w:w="884" w:type="dxa"/>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eastAsia="zh-CN"/>
              </w:rPr>
              <w:t>化学品库</w:t>
            </w:r>
          </w:p>
        </w:tc>
        <w:tc>
          <w:tcPr>
            <w:tcW w:w="1166"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计入</w:t>
            </w:r>
          </w:p>
        </w:tc>
        <w:tc>
          <w:tcPr>
            <w:tcW w:w="2777" w:type="dxa"/>
            <w:vMerge w:val="restart"/>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属于《建设项目环境风险评价技术导则》（HJ 169-2018）附录B</w:t>
            </w:r>
            <w:r>
              <w:rPr>
                <w:rFonts w:hint="default" w:ascii="Times New Roman" w:hAnsi="Times New Roman" w:cs="Times New Roman"/>
                <w:color w:val="auto"/>
                <w:sz w:val="21"/>
                <w:szCs w:val="21"/>
                <w:lang w:eastAsia="zh-CN"/>
              </w:rPr>
              <w:t>中的物质</w:t>
            </w:r>
          </w:p>
        </w:tc>
        <w:tc>
          <w:tcPr>
            <w:tcW w:w="851" w:type="dxa"/>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4" w:type="dxa"/>
            <w:vAlign w:val="center"/>
          </w:tcPr>
          <w:p>
            <w:pPr>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盐酸（</w:t>
            </w:r>
            <w:r>
              <w:rPr>
                <w:rFonts w:hint="default" w:ascii="Times New Roman" w:hAnsi="Times New Roman" w:cs="Times New Roman"/>
                <w:color w:val="auto"/>
                <w:sz w:val="21"/>
                <w:szCs w:val="21"/>
                <w:lang w:val="en-US" w:eastAsia="zh-CN"/>
              </w:rPr>
              <w:t>31%</w:t>
            </w:r>
            <w:r>
              <w:rPr>
                <w:rFonts w:hint="default" w:ascii="Times New Roman" w:hAnsi="Times New Roman" w:cs="Times New Roman"/>
                <w:color w:val="auto"/>
                <w:sz w:val="21"/>
                <w:szCs w:val="21"/>
                <w:lang w:eastAsia="zh-CN"/>
              </w:rPr>
              <w:t>）</w:t>
            </w:r>
          </w:p>
        </w:tc>
        <w:tc>
          <w:tcPr>
            <w:tcW w:w="1196" w:type="dxa"/>
            <w:vAlign w:val="center"/>
          </w:tcPr>
          <w:p>
            <w:pPr>
              <w:pStyle w:val="16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7647-01-0</w:t>
            </w:r>
          </w:p>
        </w:tc>
        <w:tc>
          <w:tcPr>
            <w:tcW w:w="884" w:type="dxa"/>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eastAsia="zh-CN"/>
              </w:rPr>
              <w:t>化学品库</w:t>
            </w:r>
          </w:p>
        </w:tc>
        <w:tc>
          <w:tcPr>
            <w:tcW w:w="1166"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计入</w:t>
            </w:r>
          </w:p>
        </w:tc>
        <w:tc>
          <w:tcPr>
            <w:tcW w:w="2777" w:type="dxa"/>
            <w:vMerge w:val="continue"/>
            <w:vAlign w:val="center"/>
          </w:tcPr>
          <w:p>
            <w:pPr>
              <w:jc w:val="center"/>
              <w:rPr>
                <w:rFonts w:hint="default" w:ascii="Times New Roman" w:hAnsi="Times New Roman" w:cs="Times New Roman"/>
                <w:color w:val="auto"/>
                <w:sz w:val="21"/>
                <w:szCs w:val="21"/>
              </w:rPr>
            </w:pPr>
          </w:p>
        </w:tc>
        <w:tc>
          <w:tcPr>
            <w:tcW w:w="851"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4" w:type="dxa"/>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粘棒胶（环氧树脂）</w:t>
            </w:r>
          </w:p>
        </w:tc>
        <w:tc>
          <w:tcPr>
            <w:tcW w:w="1196" w:type="dxa"/>
            <w:vAlign w:val="center"/>
          </w:tcPr>
          <w:p>
            <w:pPr>
              <w:pStyle w:val="167"/>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24969-06-0</w:t>
            </w:r>
          </w:p>
        </w:tc>
        <w:tc>
          <w:tcPr>
            <w:tcW w:w="884" w:type="dxa"/>
            <w:vAlign w:val="center"/>
          </w:tcPr>
          <w:p>
            <w:pPr>
              <w:jc w:val="center"/>
              <w:rPr>
                <w:rFonts w:hint="default" w:ascii="Times New Roman" w:hAnsi="Times New Roman" w:eastAsia="宋体" w:cs="Times New Roman"/>
                <w:color w:val="auto"/>
                <w:sz w:val="21"/>
                <w:szCs w:val="21"/>
                <w:lang w:val="en-US" w:eastAsia="zh-CN"/>
              </w:rPr>
            </w:pPr>
          </w:p>
        </w:tc>
        <w:tc>
          <w:tcPr>
            <w:tcW w:w="1166"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不计入</w:t>
            </w:r>
          </w:p>
        </w:tc>
        <w:tc>
          <w:tcPr>
            <w:tcW w:w="2777" w:type="dxa"/>
            <w:vMerge w:val="restart"/>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不属于《建设项目环境风险评价技术导则》（HJ 169-2018）附录B、《企业突发环境事件风险分级方法》（HJ941-2018）附录A中的物质，也不是健康危害急性毒性物质（类别1、类别2、类别3）、危害水环境物质（急性毒性类别1）</w:t>
            </w:r>
          </w:p>
        </w:tc>
        <w:tc>
          <w:tcPr>
            <w:tcW w:w="851"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4" w:type="dxa"/>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双氧水</w:t>
            </w:r>
          </w:p>
        </w:tc>
        <w:tc>
          <w:tcPr>
            <w:tcW w:w="1196" w:type="dxa"/>
            <w:vAlign w:val="center"/>
          </w:tcPr>
          <w:p>
            <w:pPr>
              <w:pStyle w:val="167"/>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7722-84-1</w:t>
            </w:r>
          </w:p>
        </w:tc>
        <w:tc>
          <w:tcPr>
            <w:tcW w:w="884"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化学品库</w:t>
            </w:r>
          </w:p>
        </w:tc>
        <w:tc>
          <w:tcPr>
            <w:tcW w:w="1166"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不计入</w:t>
            </w:r>
          </w:p>
        </w:tc>
        <w:tc>
          <w:tcPr>
            <w:tcW w:w="2777" w:type="dxa"/>
            <w:vMerge w:val="continue"/>
            <w:vAlign w:val="center"/>
          </w:tcPr>
          <w:p>
            <w:pPr>
              <w:jc w:val="center"/>
              <w:rPr>
                <w:rFonts w:hint="default" w:ascii="Times New Roman" w:hAnsi="Times New Roman" w:cs="Times New Roman"/>
                <w:color w:val="auto"/>
                <w:sz w:val="21"/>
                <w:szCs w:val="21"/>
              </w:rPr>
            </w:pPr>
          </w:p>
        </w:tc>
        <w:tc>
          <w:tcPr>
            <w:tcW w:w="851"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4" w:type="dxa"/>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氢氧化钠</w:t>
            </w:r>
          </w:p>
        </w:tc>
        <w:tc>
          <w:tcPr>
            <w:tcW w:w="1196" w:type="dxa"/>
            <w:vAlign w:val="center"/>
          </w:tcPr>
          <w:p>
            <w:pPr>
              <w:pStyle w:val="167"/>
              <w:rPr>
                <w:rFonts w:hint="default" w:ascii="Times New Roman" w:hAnsi="Times New Roman" w:cs="Times New Roman"/>
                <w:color w:val="auto"/>
                <w:lang w:eastAsia="zh-CN"/>
              </w:rPr>
            </w:pPr>
            <w:r>
              <w:rPr>
                <w:rFonts w:hint="default" w:ascii="Times New Roman" w:hAnsi="Times New Roman" w:cs="Times New Roman"/>
                <w:color w:val="auto"/>
                <w:lang w:eastAsia="zh-CN"/>
              </w:rPr>
              <w:t>1310-73-2</w:t>
            </w:r>
          </w:p>
        </w:tc>
        <w:tc>
          <w:tcPr>
            <w:tcW w:w="884" w:type="dxa"/>
            <w:vAlign w:val="center"/>
          </w:tcPr>
          <w:p>
            <w:pPr>
              <w:jc w:val="center"/>
              <w:rPr>
                <w:rFonts w:hint="default" w:ascii="Times New Roman" w:hAnsi="Times New Roman" w:cs="Times New Roman"/>
                <w:color w:val="auto"/>
                <w:sz w:val="21"/>
                <w:szCs w:val="21"/>
              </w:rPr>
            </w:pPr>
          </w:p>
        </w:tc>
        <w:tc>
          <w:tcPr>
            <w:tcW w:w="1166"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不计入</w:t>
            </w:r>
          </w:p>
        </w:tc>
        <w:tc>
          <w:tcPr>
            <w:tcW w:w="2777" w:type="dxa"/>
            <w:vMerge w:val="continue"/>
            <w:vAlign w:val="center"/>
          </w:tcPr>
          <w:p>
            <w:pPr>
              <w:jc w:val="center"/>
              <w:rPr>
                <w:rFonts w:hint="default" w:ascii="Times New Roman" w:hAnsi="Times New Roman" w:cs="Times New Roman"/>
                <w:color w:val="auto"/>
                <w:sz w:val="21"/>
                <w:szCs w:val="21"/>
              </w:rPr>
            </w:pPr>
          </w:p>
        </w:tc>
        <w:tc>
          <w:tcPr>
            <w:tcW w:w="851" w:type="dxa"/>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4" w:type="dxa"/>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废胶（环氧树脂）</w:t>
            </w:r>
          </w:p>
        </w:tc>
        <w:tc>
          <w:tcPr>
            <w:tcW w:w="1196" w:type="dxa"/>
            <w:vAlign w:val="center"/>
          </w:tcPr>
          <w:p>
            <w:pPr>
              <w:pStyle w:val="16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884" w:type="dxa"/>
            <w:vAlign w:val="center"/>
          </w:tcPr>
          <w:p>
            <w:pPr>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硅泥库</w:t>
            </w:r>
          </w:p>
        </w:tc>
        <w:tc>
          <w:tcPr>
            <w:tcW w:w="1166" w:type="dxa"/>
            <w:vAlign w:val="center"/>
          </w:tcPr>
          <w:p>
            <w:pPr>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不计入</w:t>
            </w:r>
          </w:p>
        </w:tc>
        <w:tc>
          <w:tcPr>
            <w:tcW w:w="2777" w:type="dxa"/>
            <w:vMerge w:val="continue"/>
            <w:vAlign w:val="center"/>
          </w:tcPr>
          <w:p>
            <w:pPr>
              <w:jc w:val="center"/>
              <w:rPr>
                <w:rFonts w:hint="default" w:ascii="Times New Roman" w:hAnsi="Times New Roman" w:cs="Times New Roman"/>
                <w:color w:val="auto"/>
                <w:sz w:val="21"/>
                <w:szCs w:val="21"/>
              </w:rPr>
            </w:pPr>
          </w:p>
        </w:tc>
        <w:tc>
          <w:tcPr>
            <w:tcW w:w="851"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根据本项目筛选出的</w:t>
      </w:r>
      <w:r>
        <w:rPr>
          <w:rFonts w:hint="default" w:ascii="Times New Roman" w:hAnsi="Times New Roman" w:cs="Times New Roman"/>
          <w:color w:val="auto"/>
          <w:lang w:eastAsia="zh-CN"/>
        </w:rPr>
        <w:t>重点危险</w:t>
      </w:r>
      <w:r>
        <w:rPr>
          <w:rFonts w:hint="default" w:ascii="Times New Roman" w:hAnsi="Times New Roman" w:cs="Times New Roman"/>
          <w:color w:val="auto"/>
        </w:rPr>
        <w:t>物质，最大贮存量按建设单位生产调配实际存储的最大量计，最大在线量按物质在项目生产线、工艺管道1h的循环量或产生量计。</w:t>
      </w:r>
    </w:p>
    <w:p>
      <w:pPr>
        <w:pStyle w:val="178"/>
        <w:keepNext w:val="0"/>
        <w:keepLines w:val="0"/>
        <w:pageBreakBefore w:val="0"/>
        <w:widowControl/>
        <w:numPr>
          <w:ilvl w:val="0"/>
          <w:numId w:val="7"/>
        </w:numPr>
        <w:kinsoku/>
        <w:wordWrap/>
        <w:overflowPunct/>
        <w:topLinePunct w:val="0"/>
        <w:autoSpaceDE/>
        <w:autoSpaceDN/>
        <w:bidi w:val="0"/>
        <w:adjustRightInd/>
        <w:snapToGrid/>
        <w:spacing w:beforeLines="0" w:afterLines="0" w:line="360" w:lineRule="auto"/>
        <w:ind w:left="0" w:leftChars="0" w:firstLine="0" w:firstLineChars="0"/>
        <w:textAlignment w:val="auto"/>
        <w:rPr>
          <w:rFonts w:hint="default" w:ascii="Times New Roman" w:hAnsi="Times New Roman" w:cs="Times New Roman"/>
          <w:b/>
          <w:color w:val="auto"/>
        </w:rPr>
      </w:pPr>
      <w:r>
        <w:rPr>
          <w:rFonts w:hint="default" w:ascii="Times New Roman" w:hAnsi="Times New Roman" w:cs="Times New Roman"/>
          <w:b/>
          <w:color w:val="auto"/>
        </w:rPr>
        <w:t>风险</w:t>
      </w:r>
      <w:r>
        <w:rPr>
          <w:rFonts w:hint="default" w:ascii="Times New Roman" w:hAnsi="Times New Roman" w:cs="Times New Roman"/>
          <w:b/>
          <w:color w:val="auto"/>
          <w:lang w:eastAsia="zh-CN"/>
        </w:rPr>
        <w:t>物质</w:t>
      </w:r>
      <w:r>
        <w:rPr>
          <w:rFonts w:hint="default" w:ascii="Times New Roman" w:hAnsi="Times New Roman" w:cs="Times New Roman"/>
          <w:b/>
          <w:color w:val="auto"/>
        </w:rPr>
        <w:t>数量与临界量的比值Q</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7"/>
        <w:gridCol w:w="2380"/>
        <w:gridCol w:w="1372"/>
        <w:gridCol w:w="1427"/>
        <w:gridCol w:w="1008"/>
        <w:gridCol w:w="1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47"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2380"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物质名称</w:t>
            </w:r>
          </w:p>
        </w:tc>
        <w:tc>
          <w:tcPr>
            <w:tcW w:w="1372"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最大贮存量t</w:t>
            </w:r>
          </w:p>
        </w:tc>
        <w:tc>
          <w:tcPr>
            <w:tcW w:w="1427"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最大在线量t</w:t>
            </w:r>
          </w:p>
        </w:tc>
        <w:tc>
          <w:tcPr>
            <w:tcW w:w="1008"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临界量t</w:t>
            </w:r>
          </w:p>
        </w:tc>
        <w:tc>
          <w:tcPr>
            <w:tcW w:w="1237"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Q值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47" w:type="dxa"/>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1</w:t>
            </w:r>
          </w:p>
        </w:tc>
        <w:tc>
          <w:tcPr>
            <w:tcW w:w="2380" w:type="dxa"/>
            <w:vAlign w:val="center"/>
          </w:tcPr>
          <w:p>
            <w:pPr>
              <w:pStyle w:val="167"/>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lang w:eastAsia="zh-CN"/>
              </w:rPr>
              <w:t>工业酒精（乙醇）</w:t>
            </w:r>
          </w:p>
        </w:tc>
        <w:tc>
          <w:tcPr>
            <w:tcW w:w="1372" w:type="dxa"/>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w:t>
            </w:r>
          </w:p>
        </w:tc>
        <w:tc>
          <w:tcPr>
            <w:tcW w:w="1427" w:type="dxa"/>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0.0004</w:t>
            </w:r>
          </w:p>
        </w:tc>
        <w:tc>
          <w:tcPr>
            <w:tcW w:w="1008" w:type="dxa"/>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5</w:t>
            </w:r>
            <w:r>
              <w:rPr>
                <w:rFonts w:hint="default" w:ascii="Times New Roman" w:hAnsi="Times New Roman" w:cs="Times New Roman"/>
                <w:color w:val="auto"/>
                <w:sz w:val="21"/>
                <w:szCs w:val="21"/>
                <w:lang w:val="en-US" w:eastAsia="zh-CN"/>
              </w:rPr>
              <w:t>00</w:t>
            </w:r>
          </w:p>
        </w:tc>
        <w:tc>
          <w:tcPr>
            <w:tcW w:w="1237" w:type="dxa"/>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47" w:type="dxa"/>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2380" w:type="dxa"/>
            <w:vAlign w:val="center"/>
          </w:tcPr>
          <w:p>
            <w:pPr>
              <w:pStyle w:val="167"/>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氢氟酸</w:t>
            </w:r>
          </w:p>
        </w:tc>
        <w:tc>
          <w:tcPr>
            <w:tcW w:w="1372"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23</w:t>
            </w:r>
          </w:p>
        </w:tc>
        <w:tc>
          <w:tcPr>
            <w:tcW w:w="1427"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0.031</w:t>
            </w:r>
          </w:p>
        </w:tc>
        <w:tc>
          <w:tcPr>
            <w:tcW w:w="1008" w:type="dxa"/>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1237"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23.031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47" w:type="dxa"/>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w:t>
            </w:r>
          </w:p>
        </w:tc>
        <w:tc>
          <w:tcPr>
            <w:tcW w:w="2380" w:type="dxa"/>
            <w:vAlign w:val="center"/>
          </w:tcPr>
          <w:p>
            <w:pPr>
              <w:pStyle w:val="167"/>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eastAsia="zh-CN"/>
              </w:rPr>
              <w:t>盐酸（</w:t>
            </w:r>
            <w:r>
              <w:rPr>
                <w:rFonts w:hint="default" w:ascii="Times New Roman" w:hAnsi="Times New Roman" w:cs="Times New Roman"/>
                <w:color w:val="auto"/>
                <w:sz w:val="21"/>
                <w:szCs w:val="21"/>
                <w:lang w:val="en-US" w:eastAsia="zh-CN"/>
              </w:rPr>
              <w:t>31%</w:t>
            </w:r>
            <w:r>
              <w:rPr>
                <w:rFonts w:hint="default" w:ascii="Times New Roman" w:hAnsi="Times New Roman" w:cs="Times New Roman"/>
                <w:color w:val="auto"/>
                <w:sz w:val="21"/>
                <w:szCs w:val="21"/>
                <w:lang w:eastAsia="zh-CN"/>
              </w:rPr>
              <w:t>）折纯至</w:t>
            </w:r>
            <w:r>
              <w:rPr>
                <w:rFonts w:hint="default" w:ascii="Times New Roman" w:hAnsi="Times New Roman" w:cs="Times New Roman"/>
                <w:color w:val="auto"/>
                <w:sz w:val="21"/>
                <w:szCs w:val="21"/>
                <w:lang w:val="en-US" w:eastAsia="zh-CN"/>
              </w:rPr>
              <w:t>37%</w:t>
            </w:r>
          </w:p>
        </w:tc>
        <w:tc>
          <w:tcPr>
            <w:tcW w:w="1372" w:type="dxa"/>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0.42</w:t>
            </w:r>
          </w:p>
        </w:tc>
        <w:tc>
          <w:tcPr>
            <w:tcW w:w="1427" w:type="dxa"/>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0.0003</w:t>
            </w:r>
          </w:p>
        </w:tc>
        <w:tc>
          <w:tcPr>
            <w:tcW w:w="1008" w:type="dxa"/>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7.5</w:t>
            </w:r>
          </w:p>
        </w:tc>
        <w:tc>
          <w:tcPr>
            <w:tcW w:w="1237" w:type="dxa"/>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227" w:type="dxa"/>
            <w:gridSpan w:val="2"/>
            <w:vAlign w:val="center"/>
          </w:tcPr>
          <w:p>
            <w:pPr>
              <w:pStyle w:val="167"/>
              <w:rPr>
                <w:rFonts w:hint="default" w:ascii="Times New Roman" w:hAnsi="Times New Roman" w:cs="Times New Roman"/>
                <w:color w:val="auto"/>
                <w:sz w:val="21"/>
                <w:szCs w:val="21"/>
              </w:rPr>
            </w:pPr>
            <w:r>
              <w:rPr>
                <w:rFonts w:hint="default" w:ascii="Times New Roman" w:hAnsi="Times New Roman" w:cs="Times New Roman"/>
                <w:color w:val="auto"/>
                <w:sz w:val="21"/>
                <w:szCs w:val="21"/>
              </w:rPr>
              <w:t>Q值</w:t>
            </w:r>
          </w:p>
        </w:tc>
        <w:tc>
          <w:tcPr>
            <w:tcW w:w="1372"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p>
        </w:tc>
        <w:tc>
          <w:tcPr>
            <w:tcW w:w="1427"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p>
        </w:tc>
        <w:tc>
          <w:tcPr>
            <w:tcW w:w="1008" w:type="dxa"/>
            <w:vAlign w:val="center"/>
          </w:tcPr>
          <w:p>
            <w:pPr>
              <w:pStyle w:val="64"/>
              <w:adjustRightInd w:val="0"/>
              <w:snapToGrid w:val="0"/>
              <w:spacing w:before="0" w:after="0" w:line="240" w:lineRule="auto"/>
              <w:ind w:firstLine="0" w:firstLineChars="0"/>
              <w:jc w:val="center"/>
              <w:rPr>
                <w:rFonts w:hint="default" w:ascii="Times New Roman" w:hAnsi="Times New Roman" w:cs="Times New Roman"/>
                <w:color w:val="auto"/>
                <w:sz w:val="21"/>
                <w:szCs w:val="21"/>
              </w:rPr>
            </w:pPr>
          </w:p>
        </w:tc>
        <w:tc>
          <w:tcPr>
            <w:tcW w:w="1237" w:type="dxa"/>
            <w:vAlign w:val="center"/>
          </w:tcPr>
          <w:p>
            <w:pPr>
              <w:pStyle w:val="64"/>
              <w:adjustRightInd w:val="0"/>
              <w:snapToGrid w:val="0"/>
              <w:spacing w:before="0"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23.089</w:t>
            </w:r>
          </w:p>
        </w:tc>
      </w:tr>
    </w:tbl>
    <w:p>
      <w:pPr>
        <w:pStyle w:val="64"/>
        <w:adjustRightInd w:val="0"/>
        <w:snapToGrid w:val="0"/>
        <w:spacing w:beforeLines="50" w:after="0"/>
        <w:ind w:firstLine="482"/>
        <w:jc w:val="left"/>
        <w:rPr>
          <w:rFonts w:hint="default" w:ascii="Times New Roman" w:hAnsi="Times New Roman" w:cs="Times New Roman"/>
          <w:b w:val="0"/>
          <w:bCs/>
        </w:rPr>
      </w:pPr>
      <w:r>
        <w:rPr>
          <w:rFonts w:hint="default" w:ascii="Times New Roman" w:hAnsi="Times New Roman" w:cs="Times New Roman"/>
          <w:b w:val="0"/>
          <w:bCs/>
        </w:rPr>
        <w:t>2、行业及生产工艺（M）值确定</w:t>
      </w:r>
    </w:p>
    <w:p>
      <w:pPr>
        <w:pStyle w:val="136"/>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《建设项目环境风险评价技术导则》（HJ169-2018）对建设项目M值的划分：M1（M&gt;20）、M2（10&lt;M≤20）、M3（5&lt;M≤10）、M4（M=5）。打分标准如下：</w:t>
      </w:r>
    </w:p>
    <w:p>
      <w:pPr>
        <w:pStyle w:val="178"/>
        <w:keepNext w:val="0"/>
        <w:keepLines w:val="0"/>
        <w:pageBreakBefore w:val="0"/>
        <w:widowControl/>
        <w:numPr>
          <w:ilvl w:val="0"/>
          <w:numId w:val="7"/>
        </w:numPr>
        <w:kinsoku/>
        <w:wordWrap/>
        <w:overflowPunct/>
        <w:topLinePunct w:val="0"/>
        <w:autoSpaceDE/>
        <w:autoSpaceDN/>
        <w:bidi w:val="0"/>
        <w:adjustRightInd/>
        <w:snapToGrid/>
        <w:spacing w:beforeLines="0" w:afterLines="0" w:line="360" w:lineRule="auto"/>
        <w:ind w:left="0" w:leftChars="0" w:firstLine="0" w:firstLineChars="0"/>
        <w:textAlignment w:val="auto"/>
        <w:rPr>
          <w:rFonts w:hint="default" w:ascii="Times New Roman" w:hAnsi="Times New Roman" w:cs="Times New Roman"/>
          <w:b/>
        </w:rPr>
      </w:pPr>
      <w:r>
        <w:rPr>
          <w:rFonts w:hint="default" w:ascii="Times New Roman" w:hAnsi="Times New Roman" w:cs="Times New Roman"/>
          <w:b/>
        </w:rPr>
        <w:t>行业及生产工艺（M值）打分表</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5"/>
        <w:gridCol w:w="5245"/>
        <w:gridCol w:w="12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5"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行业</w:t>
            </w:r>
          </w:p>
        </w:tc>
        <w:tc>
          <w:tcPr>
            <w:tcW w:w="5245"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评估依据</w:t>
            </w:r>
          </w:p>
        </w:tc>
        <w:tc>
          <w:tcPr>
            <w:tcW w:w="1299"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5" w:type="dxa"/>
            <w:vMerge w:val="restar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石化、化工、医药、 轻工、化纤、有色 冶炼等</w:t>
            </w:r>
          </w:p>
        </w:tc>
        <w:tc>
          <w:tcPr>
            <w:tcW w:w="5245"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涉及光气及光气化工艺、电解工艺（氯碱）、氯化工艺、硝化工艺、合成氨工艺、裂解（裂化）工艺、氟化工艺、加氢工艺、重氮化工艺、氧化工艺、过氧化工艺、胺基化工艺、磺化工艺、聚合工艺、烷基化工艺、新型煤化工工艺、电石生产工艺、偶氮化工艺</w:t>
            </w:r>
          </w:p>
        </w:tc>
        <w:tc>
          <w:tcPr>
            <w:tcW w:w="1299"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10/套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5" w:type="dxa"/>
            <w:vMerge w:val="continue"/>
            <w:vAlign w:val="center"/>
          </w:tcPr>
          <w:p>
            <w:pPr>
              <w:pStyle w:val="167"/>
              <w:rPr>
                <w:rFonts w:hint="default" w:ascii="Times New Roman" w:hAnsi="Times New Roman" w:cs="Times New Roman"/>
                <w:color w:val="auto"/>
              </w:rPr>
            </w:pPr>
          </w:p>
        </w:tc>
        <w:tc>
          <w:tcPr>
            <w:tcW w:w="5245"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无机酸制酸工艺、焦化工艺</w:t>
            </w:r>
          </w:p>
        </w:tc>
        <w:tc>
          <w:tcPr>
            <w:tcW w:w="1299"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5/套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5" w:type="dxa"/>
            <w:vMerge w:val="continue"/>
            <w:vAlign w:val="center"/>
          </w:tcPr>
          <w:p>
            <w:pPr>
              <w:pStyle w:val="167"/>
              <w:rPr>
                <w:rFonts w:hint="default" w:ascii="Times New Roman" w:hAnsi="Times New Roman" w:cs="Times New Roman"/>
                <w:color w:val="auto"/>
              </w:rPr>
            </w:pPr>
          </w:p>
        </w:tc>
        <w:tc>
          <w:tcPr>
            <w:tcW w:w="5245"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其他高温或高压，且涉及危险物质的工艺过程a 、危险物质贮存罐区</w:t>
            </w:r>
          </w:p>
        </w:tc>
        <w:tc>
          <w:tcPr>
            <w:tcW w:w="1299"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5/套（罐区）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5"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管道、港口/码头等</w:t>
            </w:r>
          </w:p>
        </w:tc>
        <w:tc>
          <w:tcPr>
            <w:tcW w:w="5245"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涉及危险物质管道运输项目、港口/码头等</w:t>
            </w:r>
          </w:p>
        </w:tc>
        <w:tc>
          <w:tcPr>
            <w:tcW w:w="1299"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5"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石油天然气</w:t>
            </w:r>
          </w:p>
        </w:tc>
        <w:tc>
          <w:tcPr>
            <w:tcW w:w="5245"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石油、天然气、页岩气开采（含净化），气库（不含加气站的气库），油 库（不含加气站的油库）、油气管线b（不含城镇燃气管线）</w:t>
            </w:r>
          </w:p>
        </w:tc>
        <w:tc>
          <w:tcPr>
            <w:tcW w:w="1299"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5"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其他</w:t>
            </w:r>
          </w:p>
        </w:tc>
        <w:tc>
          <w:tcPr>
            <w:tcW w:w="5245"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涉及危险物质使用、贮存的项目</w:t>
            </w:r>
          </w:p>
        </w:tc>
        <w:tc>
          <w:tcPr>
            <w:tcW w:w="1299"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9" w:type="dxa"/>
            <w:gridSpan w:val="3"/>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a 高温指工艺温度≥300 ℃，高压指压力容器的设计压力（P）≥10.0 MPa；</w:t>
            </w:r>
          </w:p>
          <w:p>
            <w:pPr>
              <w:pStyle w:val="167"/>
              <w:rPr>
                <w:rFonts w:hint="default" w:ascii="Times New Roman" w:hAnsi="Times New Roman" w:cs="Times New Roman"/>
                <w:color w:val="auto"/>
              </w:rPr>
            </w:pPr>
            <w:r>
              <w:rPr>
                <w:rFonts w:hint="default" w:ascii="Times New Roman" w:hAnsi="Times New Roman" w:cs="Times New Roman"/>
                <w:color w:val="auto"/>
              </w:rPr>
              <w:t>b 长输管道运输项目应按站场、管线分段进行评价。</w:t>
            </w:r>
          </w:p>
        </w:tc>
      </w:tr>
    </w:tbl>
    <w:p>
      <w:pPr>
        <w:pStyle w:val="136"/>
        <w:spacing w:beforeLines="50" w:line="360" w:lineRule="auto"/>
        <w:ind w:firstLine="480" w:firstLineChars="200"/>
        <w:rPr>
          <w:rFonts w:hint="default" w:ascii="Times New Roman" w:hAnsi="Times New Roman" w:eastAsia="宋体" w:cs="Times New Roman"/>
          <w:color w:val="FF0000"/>
        </w:rPr>
      </w:pPr>
      <w:r>
        <w:rPr>
          <w:rFonts w:hint="default" w:ascii="Times New Roman" w:hAnsi="Times New Roman" w:eastAsia="宋体" w:cs="Times New Roman"/>
          <w:color w:val="auto"/>
        </w:rPr>
        <w:t>结合本项目生产工艺情况，对照上表，本项目仅涉及危险物质（氢氟酸、</w:t>
      </w:r>
      <w:r>
        <w:rPr>
          <w:rFonts w:hint="default" w:ascii="Times New Roman" w:hAnsi="Times New Roman" w:eastAsia="宋体" w:cs="Times New Roman"/>
          <w:color w:val="auto"/>
          <w:lang w:eastAsia="zh-CN"/>
        </w:rPr>
        <w:t>盐酸</w:t>
      </w:r>
      <w:r>
        <w:rPr>
          <w:rFonts w:hint="default" w:ascii="Times New Roman" w:hAnsi="Times New Roman" w:eastAsia="宋体" w:cs="Times New Roman"/>
          <w:color w:val="auto"/>
        </w:rPr>
        <w:t>）的使用、贮存，因此本项目M=5。根据划分依据，属于划分的 M4。</w:t>
      </w:r>
    </w:p>
    <w:p>
      <w:pPr>
        <w:pStyle w:val="64"/>
        <w:adjustRightInd w:val="0"/>
        <w:snapToGrid w:val="0"/>
        <w:spacing w:before="0" w:after="0"/>
        <w:ind w:firstLine="482"/>
        <w:jc w:val="left"/>
        <w:rPr>
          <w:rFonts w:hint="default" w:ascii="Times New Roman" w:hAnsi="Times New Roman" w:cs="Times New Roman"/>
          <w:b w:val="0"/>
          <w:bCs/>
        </w:rPr>
      </w:pPr>
      <w:r>
        <w:rPr>
          <w:rFonts w:hint="default" w:ascii="Times New Roman" w:hAnsi="Times New Roman" w:cs="Times New Roman"/>
          <w:b w:val="0"/>
          <w:bCs/>
        </w:rPr>
        <w:t>3、危险物质及工艺系统危害性（P）</w:t>
      </w:r>
    </w:p>
    <w:p>
      <w:pPr>
        <w:pStyle w:val="136"/>
        <w:spacing w:line="360" w:lineRule="auto"/>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根据上述对项目Q值及M值的确定，本项目危险物质及工艺系统危害性判定为P4。</w:t>
      </w:r>
    </w:p>
    <w:p>
      <w:pPr>
        <w:pStyle w:val="178"/>
        <w:keepNext w:val="0"/>
        <w:keepLines w:val="0"/>
        <w:pageBreakBefore w:val="0"/>
        <w:widowControl/>
        <w:numPr>
          <w:ilvl w:val="0"/>
          <w:numId w:val="7"/>
        </w:numPr>
        <w:kinsoku/>
        <w:wordWrap/>
        <w:overflowPunct/>
        <w:topLinePunct w:val="0"/>
        <w:autoSpaceDE/>
        <w:autoSpaceDN/>
        <w:bidi w:val="0"/>
        <w:adjustRightInd/>
        <w:snapToGrid/>
        <w:spacing w:beforeLines="0" w:afterLines="0" w:line="360" w:lineRule="auto"/>
        <w:ind w:left="0" w:leftChars="0" w:firstLine="0" w:firstLineChars="0"/>
        <w:textAlignment w:val="auto"/>
        <w:rPr>
          <w:rFonts w:hint="default" w:ascii="Times New Roman" w:hAnsi="Times New Roman" w:cs="Times New Roman"/>
          <w:b/>
        </w:rPr>
      </w:pPr>
      <w:r>
        <w:rPr>
          <w:rFonts w:hint="default" w:ascii="Times New Roman" w:hAnsi="Times New Roman" w:cs="Times New Roman"/>
          <w:b/>
        </w:rPr>
        <w:t>危险物质及工艺系统危害性等级判断</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20"/>
        <w:gridCol w:w="1096"/>
        <w:gridCol w:w="1180"/>
        <w:gridCol w:w="1219"/>
        <w:gridCol w:w="10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3920" w:type="dxa"/>
            <w:vMerge w:val="restart"/>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危险物质数量 与临界量比值（Q）</w:t>
            </w:r>
          </w:p>
        </w:tc>
        <w:tc>
          <w:tcPr>
            <w:tcW w:w="4560" w:type="dxa"/>
            <w:gridSpan w:val="4"/>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行业及生产工艺（M）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3920" w:type="dxa"/>
            <w:vMerge w:val="continue"/>
            <w:vAlign w:val="center"/>
          </w:tcPr>
          <w:p>
            <w:pPr>
              <w:pStyle w:val="167"/>
              <w:rPr>
                <w:rFonts w:hint="default" w:ascii="Times New Roman" w:hAnsi="Times New Roman" w:cs="Times New Roman"/>
                <w:color w:val="auto"/>
              </w:rPr>
            </w:pPr>
          </w:p>
        </w:tc>
        <w:tc>
          <w:tcPr>
            <w:tcW w:w="1096"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M1</w:t>
            </w:r>
          </w:p>
        </w:tc>
        <w:tc>
          <w:tcPr>
            <w:tcW w:w="1180"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M2</w:t>
            </w:r>
          </w:p>
        </w:tc>
        <w:tc>
          <w:tcPr>
            <w:tcW w:w="1219"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M3</w:t>
            </w:r>
          </w:p>
        </w:tc>
        <w:tc>
          <w:tcPr>
            <w:tcW w:w="1065"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M4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920"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Q≥100</w:t>
            </w:r>
          </w:p>
        </w:tc>
        <w:tc>
          <w:tcPr>
            <w:tcW w:w="1096"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P1</w:t>
            </w:r>
          </w:p>
        </w:tc>
        <w:tc>
          <w:tcPr>
            <w:tcW w:w="1180"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P1</w:t>
            </w:r>
          </w:p>
        </w:tc>
        <w:tc>
          <w:tcPr>
            <w:tcW w:w="1219"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P2</w:t>
            </w:r>
          </w:p>
        </w:tc>
        <w:tc>
          <w:tcPr>
            <w:tcW w:w="1065"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P3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920"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10≤Q＜100</w:t>
            </w:r>
          </w:p>
        </w:tc>
        <w:tc>
          <w:tcPr>
            <w:tcW w:w="1096"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P1</w:t>
            </w:r>
          </w:p>
        </w:tc>
        <w:tc>
          <w:tcPr>
            <w:tcW w:w="1180"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P2</w:t>
            </w:r>
          </w:p>
        </w:tc>
        <w:tc>
          <w:tcPr>
            <w:tcW w:w="1219"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P3</w:t>
            </w:r>
          </w:p>
        </w:tc>
        <w:tc>
          <w:tcPr>
            <w:tcW w:w="1065" w:type="dxa"/>
            <w:shd w:val="clear" w:color="auto" w:fill="808080"/>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P4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920" w:type="dxa"/>
            <w:shd w:val="clear" w:color="auto" w:fill="FFFFFF"/>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1≤Q＜10</w:t>
            </w:r>
          </w:p>
        </w:tc>
        <w:tc>
          <w:tcPr>
            <w:tcW w:w="1096" w:type="dxa"/>
            <w:shd w:val="clear" w:color="auto" w:fill="FFFFFF"/>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P2</w:t>
            </w:r>
          </w:p>
        </w:tc>
        <w:tc>
          <w:tcPr>
            <w:tcW w:w="1180" w:type="dxa"/>
            <w:shd w:val="clear" w:color="auto" w:fill="auto"/>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P3</w:t>
            </w:r>
          </w:p>
        </w:tc>
        <w:tc>
          <w:tcPr>
            <w:tcW w:w="1219"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P4</w:t>
            </w:r>
          </w:p>
        </w:tc>
        <w:tc>
          <w:tcPr>
            <w:tcW w:w="1065" w:type="dxa"/>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P4</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textAlignment w:val="auto"/>
        <w:rPr>
          <w:rFonts w:hint="default" w:ascii="Times New Roman" w:hAnsi="Times New Roman" w:cs="Times New Roman"/>
          <w:b/>
          <w:lang w:val="en-US" w:eastAsia="zh-CN"/>
        </w:rPr>
      </w:pPr>
      <w:r>
        <w:rPr>
          <w:rFonts w:hint="default" w:ascii="Times New Roman" w:hAnsi="Times New Roman" w:cs="Times New Roman"/>
          <w:b/>
          <w:lang w:val="en-US" w:eastAsia="zh-CN"/>
        </w:rPr>
        <w:t>二、</w:t>
      </w:r>
      <w:r>
        <w:rPr>
          <w:rFonts w:hint="default" w:ascii="Times New Roman" w:hAnsi="Times New Roman" w:cs="Times New Roman"/>
          <w:b/>
          <w:lang w:val="en-US" w:eastAsia="zh-CN"/>
        </w:rPr>
        <w:t>E的分级确定</w:t>
      </w:r>
    </w:p>
    <w:p>
      <w:pPr>
        <w:spacing w:line="360" w:lineRule="auto"/>
        <w:ind w:firstLine="482"/>
        <w:rPr>
          <w:rFonts w:hint="default" w:ascii="Times New Roman" w:hAnsi="Times New Roman" w:cs="Times New Roman"/>
        </w:rPr>
      </w:pPr>
      <w:r>
        <w:rPr>
          <w:rFonts w:hint="default" w:ascii="Times New Roman" w:hAnsi="Times New Roman" w:cs="Times New Roman"/>
        </w:rPr>
        <w:t>本次评价调查了厂界周边5km范围内的居民区、医院、学校及其他人口密集场所；厂址周边地表水体及其环境功能、下游环境敏感目标；地下水环境敏感特征等。</w:t>
      </w:r>
    </w:p>
    <w:p>
      <w:pPr>
        <w:spacing w:line="360" w:lineRule="auto"/>
        <w:ind w:firstLine="482"/>
        <w:rPr>
          <w:rFonts w:hint="default" w:ascii="Times New Roman" w:hAnsi="Times New Roman" w:cs="Times New Roman"/>
          <w:b w:val="0"/>
          <w:bCs/>
        </w:rPr>
      </w:pPr>
      <w:r>
        <w:rPr>
          <w:rFonts w:hint="default" w:ascii="Times New Roman" w:hAnsi="Times New Roman" w:cs="Times New Roman"/>
          <w:b w:val="0"/>
          <w:bCs/>
        </w:rPr>
        <w:t>1、环境空气</w:t>
      </w:r>
    </w:p>
    <w:p>
      <w:pPr>
        <w:spacing w:line="360" w:lineRule="auto"/>
        <w:ind w:firstLine="482"/>
        <w:rPr>
          <w:rFonts w:hint="default" w:ascii="Times New Roman" w:hAnsi="Times New Roman" w:cs="Times New Roman"/>
        </w:rPr>
      </w:pPr>
      <w:r>
        <w:rPr>
          <w:rFonts w:hint="default" w:ascii="Times New Roman" w:hAnsi="Times New Roman" w:cs="Times New Roman"/>
        </w:rPr>
        <w:t>本项目位于楚雄工业园区富民庄甸工业区，经调查核实，项目占地范围内居民点（外干村、迤干村）、项目占地范围外500m范围内居民点（倪家咀、王家小屯、迤周村）均已完成搬迁，企业周边500m范围内主要涉及阳光花园小区（800人）、黄土坡村（190人）、楚雄市思源实验学校（750人），总人口数约为1740人，大于1000人，根据《建设项目环境风险评价技术导则》（HJ169－2018）附录 D，项目大气环境敏感程度为中度敏感区E1。</w:t>
      </w:r>
    </w:p>
    <w:p>
      <w:pPr>
        <w:pStyle w:val="178"/>
        <w:keepNext w:val="0"/>
        <w:keepLines w:val="0"/>
        <w:pageBreakBefore w:val="0"/>
        <w:widowControl/>
        <w:numPr>
          <w:ilvl w:val="0"/>
          <w:numId w:val="7"/>
        </w:numPr>
        <w:kinsoku/>
        <w:wordWrap/>
        <w:overflowPunct/>
        <w:topLinePunct w:val="0"/>
        <w:autoSpaceDE/>
        <w:autoSpaceDN/>
        <w:bidi w:val="0"/>
        <w:adjustRightInd/>
        <w:snapToGrid/>
        <w:spacing w:beforeLines="0" w:afterLines="0" w:line="360" w:lineRule="auto"/>
        <w:ind w:left="0" w:leftChars="0" w:firstLine="0" w:firstLineChars="0"/>
        <w:textAlignment w:val="auto"/>
        <w:rPr>
          <w:rFonts w:hint="default" w:ascii="Times New Roman" w:hAnsi="Times New Roman" w:cs="Times New Roman"/>
          <w:b/>
        </w:rPr>
      </w:pPr>
      <w:r>
        <w:rPr>
          <w:rFonts w:hint="default" w:ascii="Times New Roman" w:hAnsi="Times New Roman" w:cs="Times New Roman"/>
          <w:b/>
        </w:rPr>
        <w:t>大气环境敏感程度分级</w:t>
      </w:r>
    </w:p>
    <w:tbl>
      <w:tblPr>
        <w:tblStyle w:val="44"/>
        <w:tblW w:w="80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1"/>
        <w:gridCol w:w="71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1" w:type="dxa"/>
            <w:tcBorders>
              <w:bottom w:val="single" w:color="auto" w:sz="4" w:space="0"/>
            </w:tcBorders>
            <w:vAlign w:val="center"/>
          </w:tcPr>
          <w:p>
            <w:pPr>
              <w:pStyle w:val="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分级</w:t>
            </w:r>
          </w:p>
        </w:tc>
        <w:tc>
          <w:tcPr>
            <w:tcW w:w="7161" w:type="dxa"/>
            <w:vAlign w:val="center"/>
          </w:tcPr>
          <w:p>
            <w:pPr>
              <w:pStyle w:val="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大气环境敏感性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1" w:type="dxa"/>
            <w:shd w:val="clear" w:color="auto" w:fill="A5A5A5" w:themeFill="background1" w:themeFillShade="A6"/>
            <w:vAlign w:val="center"/>
          </w:tcPr>
          <w:p>
            <w:pPr>
              <w:pStyle w:val="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E1</w:t>
            </w:r>
          </w:p>
        </w:tc>
        <w:tc>
          <w:tcPr>
            <w:tcW w:w="7161" w:type="dxa"/>
            <w:vAlign w:val="center"/>
          </w:tcPr>
          <w:p>
            <w:pPr>
              <w:pStyle w:val="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周边5km范围内居住区、医疗卫生、文化教育、科研、行政办公等机构人口总数大于5万人，或其他需要特殊保护区域；或周边500m范围内人口总数大于1000人；油气、化学品输送管线管段周边200m范围内，每千米管段人口数大于200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1" w:type="dxa"/>
            <w:tcBorders>
              <w:top w:val="single" w:color="auto" w:sz="4" w:space="0"/>
              <w:left w:val="single" w:color="auto" w:sz="4" w:space="0"/>
              <w:bottom w:val="single" w:color="auto" w:sz="4" w:space="0"/>
              <w:right w:val="single" w:color="auto" w:sz="4" w:space="0"/>
            </w:tcBorders>
            <w:vAlign w:val="center"/>
          </w:tcPr>
          <w:p>
            <w:pPr>
              <w:pStyle w:val="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E2</w:t>
            </w:r>
          </w:p>
        </w:tc>
        <w:tc>
          <w:tcPr>
            <w:tcW w:w="7161" w:type="dxa"/>
            <w:tcBorders>
              <w:top w:val="single" w:color="auto" w:sz="4" w:space="0"/>
              <w:left w:val="single" w:color="auto" w:sz="4" w:space="0"/>
              <w:bottom w:val="single" w:color="auto" w:sz="4" w:space="0"/>
              <w:right w:val="single" w:color="auto" w:sz="4" w:space="0"/>
            </w:tcBorders>
            <w:vAlign w:val="center"/>
          </w:tcPr>
          <w:p>
            <w:pPr>
              <w:pStyle w:val="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周边5km范围内居住区、医疗卫生、文化教育、科研、行政办公等机构人口总数大于1万人，小于5万人；或周边500m范围内人口总数大于500人，小于1000人；油气、化学品输送管线管段周边200m范围内，每千米管段人口数大于100人，小于200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1" w:type="dxa"/>
            <w:tcBorders>
              <w:top w:val="single" w:color="auto" w:sz="4" w:space="0"/>
              <w:left w:val="single" w:color="auto" w:sz="4" w:space="0"/>
              <w:bottom w:val="single" w:color="auto" w:sz="4" w:space="0"/>
              <w:right w:val="single" w:color="auto" w:sz="4" w:space="0"/>
            </w:tcBorders>
            <w:vAlign w:val="center"/>
          </w:tcPr>
          <w:p>
            <w:pPr>
              <w:pStyle w:val="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E3</w:t>
            </w:r>
          </w:p>
        </w:tc>
        <w:tc>
          <w:tcPr>
            <w:tcW w:w="7161" w:type="dxa"/>
            <w:tcBorders>
              <w:top w:val="single" w:color="auto" w:sz="4" w:space="0"/>
              <w:left w:val="single" w:color="auto" w:sz="4" w:space="0"/>
              <w:bottom w:val="single" w:color="auto" w:sz="4" w:space="0"/>
              <w:right w:val="single" w:color="auto" w:sz="4" w:space="0"/>
            </w:tcBorders>
            <w:vAlign w:val="center"/>
          </w:tcPr>
          <w:p>
            <w:pPr>
              <w:pStyle w:val="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周边5km范围内居住区、医疗卫生、文化教育、科研、行政办公等机构人口总数小于1万人；或周边500m范围内人口总数小于500人；油气、化学品输送管线管段周边200m范围内，每千米管段人口数小于100人</w:t>
            </w:r>
          </w:p>
        </w:tc>
      </w:tr>
    </w:tbl>
    <w:p>
      <w:pPr>
        <w:spacing w:beforeLines="50" w:line="360" w:lineRule="auto"/>
        <w:ind w:firstLine="482"/>
        <w:rPr>
          <w:rFonts w:hint="default" w:ascii="Times New Roman" w:hAnsi="Times New Roman" w:cs="Times New Roman"/>
          <w:b w:val="0"/>
          <w:bCs/>
        </w:rPr>
      </w:pPr>
      <w:r>
        <w:rPr>
          <w:rFonts w:hint="default" w:ascii="Times New Roman" w:hAnsi="Times New Roman" w:cs="Times New Roman"/>
          <w:b w:val="0"/>
          <w:bCs/>
        </w:rPr>
        <w:t>2、地表水</w:t>
      </w:r>
    </w:p>
    <w:p>
      <w:pPr>
        <w:spacing w:line="360" w:lineRule="auto"/>
        <w:ind w:firstLine="482"/>
        <w:rPr>
          <w:rFonts w:hint="default" w:ascii="Times New Roman" w:hAnsi="Times New Roman" w:cs="Times New Roman"/>
        </w:rPr>
      </w:pPr>
      <w:r>
        <w:rPr>
          <w:rFonts w:hint="default" w:ascii="Times New Roman" w:hAnsi="Times New Roman" w:cs="Times New Roman"/>
        </w:rPr>
        <w:t>本项目事故排放时，排入受纳河流（青龙河和龙川江）为</w:t>
      </w:r>
      <w:r>
        <w:rPr>
          <w:rFonts w:hint="default" w:ascii="Times New Roman" w:hAnsi="Times New Roman" w:cs="Times New Roman"/>
          <w:lang w:eastAsia="zh-CN"/>
        </w:rPr>
        <w:t>Ⅲ</w:t>
      </w:r>
      <w:r>
        <w:rPr>
          <w:rFonts w:hint="default" w:ascii="Times New Roman" w:hAnsi="Times New Roman" w:cs="Times New Roman"/>
        </w:rPr>
        <w:t>类水体，24h流经范围不涉及省界或国界；排放点下游（顺水流向）10 km范围可能达到的最大水平距离内不涉及饮用水源保护区、自然保护区等需要特殊保护区域。根据《建设项目环境风险评价技术导则》（HJ169－2018）附录 D，项目地表水功能敏感性为较敏感 F</w:t>
      </w:r>
      <w:r>
        <w:rPr>
          <w:rFonts w:hint="default" w:ascii="Times New Roman" w:hAnsi="Times New Roman" w:cs="Times New Roman"/>
          <w:lang w:val="en-US" w:eastAsia="zh-CN"/>
        </w:rPr>
        <w:t>2</w:t>
      </w:r>
      <w:r>
        <w:rPr>
          <w:rFonts w:hint="default" w:ascii="Times New Roman" w:hAnsi="Times New Roman" w:cs="Times New Roman"/>
        </w:rPr>
        <w:t>，环境敏感目标分级为S3，本项目地表水环境敏感程度最终判定为E</w:t>
      </w:r>
      <w:r>
        <w:rPr>
          <w:rFonts w:hint="default" w:ascii="Times New Roman" w:hAnsi="Times New Roman" w:cs="Times New Roman"/>
          <w:lang w:val="en-US" w:eastAsia="zh-CN"/>
        </w:rPr>
        <w:t>2</w:t>
      </w:r>
      <w:r>
        <w:rPr>
          <w:rFonts w:hint="default" w:ascii="Times New Roman" w:hAnsi="Times New Roman" w:cs="Times New Roman"/>
        </w:rPr>
        <w:t>。</w:t>
      </w:r>
    </w:p>
    <w:p>
      <w:pPr>
        <w:pStyle w:val="178"/>
        <w:keepNext w:val="0"/>
        <w:keepLines w:val="0"/>
        <w:pageBreakBefore w:val="0"/>
        <w:widowControl/>
        <w:numPr>
          <w:ilvl w:val="0"/>
          <w:numId w:val="7"/>
        </w:numPr>
        <w:kinsoku/>
        <w:wordWrap/>
        <w:overflowPunct/>
        <w:topLinePunct w:val="0"/>
        <w:autoSpaceDE/>
        <w:autoSpaceDN/>
        <w:bidi w:val="0"/>
        <w:adjustRightInd/>
        <w:snapToGrid/>
        <w:spacing w:beforeLines="0" w:afterLines="0" w:line="360" w:lineRule="auto"/>
        <w:ind w:left="0" w:leftChars="0" w:firstLine="0" w:firstLineChars="0"/>
        <w:textAlignment w:val="auto"/>
        <w:rPr>
          <w:rFonts w:hint="default" w:ascii="Times New Roman" w:hAnsi="Times New Roman" w:cs="Times New Roman"/>
          <w:b/>
        </w:rPr>
      </w:pPr>
      <w:r>
        <w:rPr>
          <w:rFonts w:hint="default" w:ascii="Times New Roman" w:hAnsi="Times New Roman" w:cs="Times New Roman"/>
          <w:b/>
        </w:rPr>
        <w:t>地表水功能敏感性分区</w:t>
      </w:r>
    </w:p>
    <w:tbl>
      <w:tblPr>
        <w:tblStyle w:val="44"/>
        <w:tblW w:w="80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1"/>
        <w:gridCol w:w="71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1" w:type="dxa"/>
            <w:vAlign w:val="center"/>
          </w:tcPr>
          <w:p>
            <w:pPr>
              <w:pStyle w:val="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敏感性</w:t>
            </w:r>
          </w:p>
        </w:tc>
        <w:tc>
          <w:tcPr>
            <w:tcW w:w="7161" w:type="dxa"/>
            <w:vAlign w:val="center"/>
          </w:tcPr>
          <w:p>
            <w:pPr>
              <w:pStyle w:val="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地表水环境敏感特征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1" w:type="dxa"/>
            <w:vAlign w:val="center"/>
          </w:tcPr>
          <w:p>
            <w:pPr>
              <w:pStyle w:val="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敏感F1</w:t>
            </w:r>
          </w:p>
        </w:tc>
        <w:tc>
          <w:tcPr>
            <w:tcW w:w="7161" w:type="dxa"/>
            <w:vAlign w:val="center"/>
          </w:tcPr>
          <w:p>
            <w:pPr>
              <w:pStyle w:val="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排放点进入地表水水域环境功能为Ⅱ类及以上，或海水水质分类第一类；或以发生事故时，危险物质泄漏到水体的排放点算起，排放进入受纳河流最大流速时，24h流经范围内涉跨国界的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1" w:type="dxa"/>
            <w:tcBorders>
              <w:top w:val="single" w:color="auto" w:sz="4" w:space="0"/>
              <w:left w:val="single" w:color="auto" w:sz="4" w:space="0"/>
              <w:bottom w:val="single" w:color="auto" w:sz="4" w:space="0"/>
              <w:right w:val="single" w:color="auto" w:sz="4" w:space="0"/>
            </w:tcBorders>
            <w:vAlign w:val="center"/>
          </w:tcPr>
          <w:p>
            <w:pPr>
              <w:pStyle w:val="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较敏感F2</w:t>
            </w:r>
          </w:p>
        </w:tc>
        <w:tc>
          <w:tcPr>
            <w:tcW w:w="7161" w:type="dxa"/>
            <w:tcBorders>
              <w:top w:val="single" w:color="auto" w:sz="4" w:space="0"/>
              <w:left w:val="single" w:color="auto" w:sz="4" w:space="0"/>
              <w:bottom w:val="single" w:color="auto" w:sz="4" w:space="0"/>
              <w:right w:val="single" w:color="auto" w:sz="4" w:space="0"/>
            </w:tcBorders>
            <w:vAlign w:val="center"/>
          </w:tcPr>
          <w:p>
            <w:pPr>
              <w:pStyle w:val="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排放点进入地表水水域环境功能为Ⅲ类，或海水水质分类第二类；或以发生事故时，危险物质泄漏到水体的排放点算起，排放进入受纳河流最大流速时，24h流经范围内涉跨省界的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1" w:type="dxa"/>
            <w:tcBorders>
              <w:top w:val="single" w:color="auto" w:sz="4" w:space="0"/>
              <w:left w:val="single" w:color="auto" w:sz="4" w:space="0"/>
              <w:bottom w:val="single" w:color="auto" w:sz="4" w:space="0"/>
              <w:right w:val="single" w:color="auto" w:sz="4" w:space="0"/>
            </w:tcBorders>
            <w:vAlign w:val="center"/>
          </w:tcPr>
          <w:p>
            <w:pPr>
              <w:pStyle w:val="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低敏感F3</w:t>
            </w:r>
          </w:p>
        </w:tc>
        <w:tc>
          <w:tcPr>
            <w:tcW w:w="7161" w:type="dxa"/>
            <w:tcBorders>
              <w:top w:val="single" w:color="auto" w:sz="4" w:space="0"/>
              <w:left w:val="single" w:color="auto" w:sz="4" w:space="0"/>
              <w:bottom w:val="single" w:color="auto" w:sz="4" w:space="0"/>
              <w:right w:val="single" w:color="auto" w:sz="4" w:space="0"/>
            </w:tcBorders>
            <w:vAlign w:val="center"/>
          </w:tcPr>
          <w:p>
            <w:pPr>
              <w:pStyle w:val="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上述地区之外的其他地区</w:t>
            </w:r>
          </w:p>
        </w:tc>
      </w:tr>
    </w:tbl>
    <w:p>
      <w:pPr>
        <w:pStyle w:val="178"/>
        <w:keepNext w:val="0"/>
        <w:keepLines w:val="0"/>
        <w:pageBreakBefore w:val="0"/>
        <w:widowControl/>
        <w:numPr>
          <w:ilvl w:val="0"/>
          <w:numId w:val="7"/>
        </w:numPr>
        <w:kinsoku/>
        <w:wordWrap/>
        <w:overflowPunct/>
        <w:topLinePunct w:val="0"/>
        <w:autoSpaceDE/>
        <w:autoSpaceDN/>
        <w:bidi w:val="0"/>
        <w:adjustRightInd/>
        <w:snapToGrid/>
        <w:spacing w:before="157" w:beforeLines="50" w:afterLines="0" w:line="360" w:lineRule="auto"/>
        <w:ind w:left="0" w:leftChars="0" w:firstLine="0" w:firstLineChars="0"/>
        <w:textAlignment w:val="auto"/>
        <w:rPr>
          <w:rFonts w:hint="default" w:ascii="Times New Roman" w:hAnsi="Times New Roman" w:cs="Times New Roman"/>
          <w:b/>
        </w:rPr>
      </w:pPr>
      <w:r>
        <w:rPr>
          <w:rFonts w:hint="default" w:ascii="Times New Roman" w:hAnsi="Times New Roman" w:cs="Times New Roman"/>
          <w:b/>
        </w:rPr>
        <w:t>地表水环境敏感目标分级</w:t>
      </w:r>
    </w:p>
    <w:tbl>
      <w:tblPr>
        <w:tblStyle w:val="44"/>
        <w:tblW w:w="80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1"/>
        <w:gridCol w:w="71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901" w:type="dxa"/>
            <w:vAlign w:val="center"/>
          </w:tcPr>
          <w:p>
            <w:pPr>
              <w:pStyle w:val="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分级</w:t>
            </w:r>
          </w:p>
        </w:tc>
        <w:tc>
          <w:tcPr>
            <w:tcW w:w="7161" w:type="dxa"/>
            <w:vAlign w:val="center"/>
          </w:tcPr>
          <w:p>
            <w:pPr>
              <w:pStyle w:val="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环境敏感目标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1" w:type="dxa"/>
            <w:vAlign w:val="center"/>
          </w:tcPr>
          <w:p>
            <w:pPr>
              <w:pStyle w:val="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S1</w:t>
            </w:r>
          </w:p>
        </w:tc>
        <w:tc>
          <w:tcPr>
            <w:tcW w:w="7161" w:type="dxa"/>
            <w:vAlign w:val="center"/>
          </w:tcPr>
          <w:p>
            <w:pPr>
              <w:pStyle w:val="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发生事故时，危险物质泄漏到内陆水体的排放点下游（顺水流向）10km范围内、近岸海域一个潮周期水质点可能达到的最大水平距离的两倍范围内，有如下一类或多类环境风险受体：集中式地表水饮用水水源保护区（包括一级保护区、二级保护区及准保护区）；农村及分散式饮用水水源保护区；自然保护区；重要湿地；珍稀濒危野生动植物天然集中分布区；重要水生生物的自然产卵场及索饵场、越冬场和洄游通道；世界文化和自然遗产地；红树林、珊瑚礁等滨海湿地生态系统；珍稀、濒危海洋生物的天然集中分布区；海洋特别保护区；海上自然保护区；盐场保护区；海水浴场；海洋自然历史遗迹；风景名胜区；或其他特殊重要保护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1" w:type="dxa"/>
            <w:tcBorders>
              <w:top w:val="single" w:color="auto" w:sz="4" w:space="0"/>
              <w:left w:val="single" w:color="auto" w:sz="4" w:space="0"/>
              <w:bottom w:val="single" w:color="auto" w:sz="4" w:space="0"/>
              <w:right w:val="single" w:color="auto" w:sz="4" w:space="0"/>
            </w:tcBorders>
            <w:vAlign w:val="center"/>
          </w:tcPr>
          <w:p>
            <w:pPr>
              <w:pStyle w:val="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S2</w:t>
            </w:r>
          </w:p>
        </w:tc>
        <w:tc>
          <w:tcPr>
            <w:tcW w:w="7161" w:type="dxa"/>
            <w:tcBorders>
              <w:top w:val="single" w:color="auto" w:sz="4" w:space="0"/>
              <w:left w:val="single" w:color="auto" w:sz="4" w:space="0"/>
              <w:bottom w:val="single" w:color="auto" w:sz="4" w:space="0"/>
              <w:right w:val="single" w:color="auto" w:sz="4" w:space="0"/>
            </w:tcBorders>
            <w:vAlign w:val="center"/>
          </w:tcPr>
          <w:p>
            <w:pPr>
              <w:pStyle w:val="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发生事故时，危险物质泄漏到内陆水体的排放点下游（顺水流向）10km范围内、近岸海域一个潮周期水质点可能达到的最大水平距离的两倍范围内，有如下一类或多类环境风险受体的：水产养殖区；天然渔场；森林公园；地质公园；海滨风景游览区；具有重要经济价值的海洋生物生存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1" w:type="dxa"/>
            <w:tcBorders>
              <w:top w:val="single" w:color="auto" w:sz="4" w:space="0"/>
              <w:left w:val="single" w:color="auto" w:sz="4" w:space="0"/>
              <w:bottom w:val="single" w:color="auto" w:sz="4" w:space="0"/>
              <w:right w:val="single" w:color="auto" w:sz="4" w:space="0"/>
            </w:tcBorders>
            <w:vAlign w:val="center"/>
          </w:tcPr>
          <w:p>
            <w:pPr>
              <w:pStyle w:val="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S3</w:t>
            </w:r>
          </w:p>
        </w:tc>
        <w:tc>
          <w:tcPr>
            <w:tcW w:w="7161" w:type="dxa"/>
            <w:tcBorders>
              <w:top w:val="single" w:color="auto" w:sz="4" w:space="0"/>
              <w:left w:val="single" w:color="auto" w:sz="4" w:space="0"/>
              <w:bottom w:val="single" w:color="auto" w:sz="4" w:space="0"/>
              <w:right w:val="single" w:color="auto" w:sz="4" w:space="0"/>
            </w:tcBorders>
            <w:vAlign w:val="center"/>
          </w:tcPr>
          <w:p>
            <w:pPr>
              <w:pStyle w:val="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排放点下游（顺水流向）10km范围、近岸海域一个潮周期水质点可能达到的最大水平距离的两倍范围内无上述类型1和类型2包括的敏感保护目标</w:t>
            </w:r>
          </w:p>
        </w:tc>
      </w:tr>
    </w:tbl>
    <w:p>
      <w:pPr>
        <w:pStyle w:val="178"/>
        <w:keepNext w:val="0"/>
        <w:keepLines w:val="0"/>
        <w:pageBreakBefore w:val="0"/>
        <w:widowControl/>
        <w:numPr>
          <w:ilvl w:val="0"/>
          <w:numId w:val="7"/>
        </w:numPr>
        <w:kinsoku/>
        <w:wordWrap/>
        <w:overflowPunct/>
        <w:topLinePunct w:val="0"/>
        <w:autoSpaceDE/>
        <w:autoSpaceDN/>
        <w:bidi w:val="0"/>
        <w:adjustRightInd/>
        <w:snapToGrid/>
        <w:spacing w:before="157" w:beforeLines="50" w:afterLines="0" w:line="360" w:lineRule="auto"/>
        <w:ind w:left="0" w:leftChars="0" w:firstLine="0" w:firstLineChars="0"/>
        <w:textAlignment w:val="auto"/>
        <w:rPr>
          <w:rFonts w:hint="default" w:ascii="Times New Roman" w:hAnsi="Times New Roman" w:cs="Times New Roman"/>
          <w:b/>
        </w:rPr>
      </w:pPr>
      <w:r>
        <w:rPr>
          <w:rFonts w:hint="default" w:ascii="Times New Roman" w:hAnsi="Times New Roman" w:cs="Times New Roman"/>
          <w:b/>
        </w:rPr>
        <w:t>地表水环境敏感程度分级</w:t>
      </w:r>
    </w:p>
    <w:tbl>
      <w:tblPr>
        <w:tblStyle w:val="44"/>
        <w:tblW w:w="80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2309"/>
        <w:gridCol w:w="2309"/>
        <w:gridCol w:w="23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vMerge w:val="restart"/>
            <w:vAlign w:val="center"/>
          </w:tcPr>
          <w:p>
            <w:pPr>
              <w:pStyle w:val="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环境敏感目标</w:t>
            </w:r>
          </w:p>
        </w:tc>
        <w:tc>
          <w:tcPr>
            <w:tcW w:w="6928" w:type="dxa"/>
            <w:gridSpan w:val="3"/>
            <w:vAlign w:val="center"/>
          </w:tcPr>
          <w:p>
            <w:pPr>
              <w:pStyle w:val="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地表水功能敏感性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vMerge w:val="continue"/>
            <w:vAlign w:val="center"/>
          </w:tcPr>
          <w:p>
            <w:pPr>
              <w:pStyle w:val="136"/>
              <w:jc w:val="center"/>
              <w:rPr>
                <w:rFonts w:hint="default" w:ascii="Times New Roman" w:hAnsi="Times New Roman" w:eastAsia="宋体" w:cs="Times New Roman"/>
                <w:color w:val="auto"/>
                <w:sz w:val="21"/>
                <w:szCs w:val="21"/>
              </w:rPr>
            </w:pPr>
          </w:p>
        </w:tc>
        <w:tc>
          <w:tcPr>
            <w:tcW w:w="2309" w:type="dxa"/>
            <w:vAlign w:val="center"/>
          </w:tcPr>
          <w:p>
            <w:pPr>
              <w:pStyle w:val="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F1</w:t>
            </w:r>
          </w:p>
        </w:tc>
        <w:tc>
          <w:tcPr>
            <w:tcW w:w="2309" w:type="dxa"/>
            <w:vAlign w:val="center"/>
          </w:tcPr>
          <w:p>
            <w:pPr>
              <w:pStyle w:val="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F2</w:t>
            </w:r>
          </w:p>
        </w:tc>
        <w:tc>
          <w:tcPr>
            <w:tcW w:w="2310" w:type="dxa"/>
            <w:vAlign w:val="center"/>
          </w:tcPr>
          <w:p>
            <w:pPr>
              <w:pStyle w:val="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F3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vAlign w:val="center"/>
          </w:tcPr>
          <w:p>
            <w:pPr>
              <w:pStyle w:val="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S1</w:t>
            </w:r>
          </w:p>
        </w:tc>
        <w:tc>
          <w:tcPr>
            <w:tcW w:w="2309" w:type="dxa"/>
            <w:tcBorders>
              <w:top w:val="single" w:color="auto" w:sz="4" w:space="0"/>
              <w:left w:val="single" w:color="auto" w:sz="4" w:space="0"/>
              <w:bottom w:val="single" w:color="auto" w:sz="4" w:space="0"/>
              <w:right w:val="single" w:color="auto" w:sz="4" w:space="0"/>
            </w:tcBorders>
            <w:vAlign w:val="center"/>
          </w:tcPr>
          <w:p>
            <w:pPr>
              <w:pStyle w:val="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E1</w:t>
            </w:r>
          </w:p>
        </w:tc>
        <w:tc>
          <w:tcPr>
            <w:tcW w:w="2309" w:type="dxa"/>
            <w:tcBorders>
              <w:top w:val="single" w:color="auto" w:sz="4" w:space="0"/>
              <w:left w:val="single" w:color="auto" w:sz="4" w:space="0"/>
              <w:bottom w:val="single" w:color="auto" w:sz="4" w:space="0"/>
              <w:right w:val="single" w:color="auto" w:sz="4" w:space="0"/>
            </w:tcBorders>
            <w:vAlign w:val="center"/>
          </w:tcPr>
          <w:p>
            <w:pPr>
              <w:pStyle w:val="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E1</w:t>
            </w:r>
          </w:p>
        </w:tc>
        <w:tc>
          <w:tcPr>
            <w:tcW w:w="2310" w:type="dxa"/>
            <w:tcBorders>
              <w:top w:val="single" w:color="auto" w:sz="4" w:space="0"/>
              <w:left w:val="single" w:color="auto" w:sz="4" w:space="0"/>
              <w:bottom w:val="single" w:color="auto" w:sz="4" w:space="0"/>
              <w:right w:val="single" w:color="auto" w:sz="4" w:space="0"/>
            </w:tcBorders>
            <w:vAlign w:val="center"/>
          </w:tcPr>
          <w:p>
            <w:pPr>
              <w:pStyle w:val="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E2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vAlign w:val="center"/>
          </w:tcPr>
          <w:p>
            <w:pPr>
              <w:pStyle w:val="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S2</w:t>
            </w:r>
          </w:p>
        </w:tc>
        <w:tc>
          <w:tcPr>
            <w:tcW w:w="2309" w:type="dxa"/>
            <w:tcBorders>
              <w:top w:val="single" w:color="auto" w:sz="4" w:space="0"/>
              <w:left w:val="single" w:color="auto" w:sz="4" w:space="0"/>
              <w:bottom w:val="single" w:color="auto" w:sz="4" w:space="0"/>
              <w:right w:val="single" w:color="auto" w:sz="4" w:space="0"/>
            </w:tcBorders>
            <w:vAlign w:val="center"/>
          </w:tcPr>
          <w:p>
            <w:pPr>
              <w:pStyle w:val="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E1</w:t>
            </w:r>
          </w:p>
        </w:tc>
        <w:tc>
          <w:tcPr>
            <w:tcW w:w="2309" w:type="dxa"/>
            <w:tcBorders>
              <w:top w:val="single" w:color="auto" w:sz="4" w:space="0"/>
              <w:left w:val="single" w:color="auto" w:sz="4" w:space="0"/>
              <w:bottom w:val="single" w:color="auto" w:sz="4" w:space="0"/>
              <w:right w:val="single" w:color="auto" w:sz="4" w:space="0"/>
            </w:tcBorders>
            <w:vAlign w:val="center"/>
          </w:tcPr>
          <w:p>
            <w:pPr>
              <w:pStyle w:val="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E2</w:t>
            </w:r>
          </w:p>
        </w:tc>
        <w:tc>
          <w:tcPr>
            <w:tcW w:w="2310" w:type="dxa"/>
            <w:tcBorders>
              <w:top w:val="single" w:color="auto" w:sz="4" w:space="0"/>
              <w:left w:val="single" w:color="auto" w:sz="4" w:space="0"/>
              <w:bottom w:val="single" w:color="auto" w:sz="4" w:space="0"/>
              <w:right w:val="single" w:color="auto" w:sz="4" w:space="0"/>
            </w:tcBorders>
            <w:vAlign w:val="center"/>
          </w:tcPr>
          <w:p>
            <w:pPr>
              <w:pStyle w:val="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E3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vAlign w:val="center"/>
          </w:tcPr>
          <w:p>
            <w:pPr>
              <w:pStyle w:val="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S3</w:t>
            </w:r>
          </w:p>
        </w:tc>
        <w:tc>
          <w:tcPr>
            <w:tcW w:w="2309" w:type="dxa"/>
            <w:tcBorders>
              <w:top w:val="single" w:color="auto" w:sz="4" w:space="0"/>
              <w:left w:val="single" w:color="auto" w:sz="4" w:space="0"/>
              <w:bottom w:val="single" w:color="auto" w:sz="4" w:space="0"/>
              <w:right w:val="single" w:color="auto" w:sz="4" w:space="0"/>
            </w:tcBorders>
            <w:vAlign w:val="center"/>
          </w:tcPr>
          <w:p>
            <w:pPr>
              <w:pStyle w:val="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E1</w:t>
            </w:r>
          </w:p>
        </w:tc>
        <w:tc>
          <w:tcPr>
            <w:tcW w:w="2309" w:type="dxa"/>
            <w:tcBorders>
              <w:top w:val="single" w:color="auto" w:sz="4" w:space="0"/>
              <w:left w:val="single" w:color="auto" w:sz="4" w:space="0"/>
              <w:bottom w:val="single" w:color="auto" w:sz="4" w:space="0"/>
              <w:right w:val="single" w:color="auto" w:sz="4" w:space="0"/>
            </w:tcBorders>
            <w:shd w:val="clear" w:color="auto" w:fill="7F7F7F" w:themeFill="text1" w:themeFillTint="7F"/>
            <w:vAlign w:val="center"/>
          </w:tcPr>
          <w:p>
            <w:pPr>
              <w:pStyle w:val="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E2</w:t>
            </w:r>
          </w:p>
        </w:tc>
        <w:tc>
          <w:tcPr>
            <w:tcW w:w="231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E3</w:t>
            </w:r>
          </w:p>
        </w:tc>
      </w:tr>
    </w:tbl>
    <w:p>
      <w:pPr>
        <w:spacing w:beforeLines="50" w:line="360" w:lineRule="auto"/>
        <w:ind w:firstLine="482"/>
        <w:rPr>
          <w:rFonts w:hint="default" w:ascii="Times New Roman" w:hAnsi="Times New Roman" w:cs="Times New Roman"/>
          <w:b w:val="0"/>
          <w:bCs/>
        </w:rPr>
      </w:pPr>
      <w:r>
        <w:rPr>
          <w:rFonts w:hint="default" w:ascii="Times New Roman" w:hAnsi="Times New Roman" w:cs="Times New Roman"/>
          <w:b w:val="0"/>
          <w:bCs/>
        </w:rPr>
        <w:t>3、地下水环境</w:t>
      </w:r>
    </w:p>
    <w:p>
      <w:pPr>
        <w:pStyle w:val="64"/>
        <w:adjustRightInd w:val="0"/>
        <w:snapToGrid w:val="0"/>
        <w:spacing w:before="0" w:after="0"/>
        <w:jc w:val="left"/>
        <w:rPr>
          <w:rFonts w:hint="default" w:ascii="Times New Roman" w:hAnsi="Times New Roman" w:cs="Times New Roman"/>
        </w:rPr>
      </w:pPr>
      <w:r>
        <w:rPr>
          <w:rFonts w:hint="default" w:ascii="Times New Roman" w:hAnsi="Times New Roman" w:cs="Times New Roman"/>
        </w:rPr>
        <w:t>按照《建设项目环境风险评价技术导则》（HJ169-2018）附录D，地下水功能敏感性分区见表</w:t>
      </w:r>
      <w:r>
        <w:rPr>
          <w:rFonts w:hint="default" w:ascii="Times New Roman" w:hAnsi="Times New Roman" w:cs="Times New Roman"/>
          <w:lang w:val="en-US" w:eastAsia="zh-CN"/>
        </w:rPr>
        <w:t>5-36</w:t>
      </w:r>
      <w:r>
        <w:rPr>
          <w:rFonts w:hint="default" w:ascii="Times New Roman" w:hAnsi="Times New Roman" w:cs="Times New Roman"/>
        </w:rPr>
        <w:t>，包气带防污性能分级见表</w:t>
      </w:r>
      <w:r>
        <w:rPr>
          <w:rFonts w:hint="default" w:ascii="Times New Roman" w:hAnsi="Times New Roman" w:cs="Times New Roman"/>
          <w:lang w:val="en-US" w:eastAsia="zh-CN"/>
        </w:rPr>
        <w:t>5-37</w:t>
      </w:r>
      <w:r>
        <w:rPr>
          <w:rFonts w:hint="default" w:ascii="Times New Roman" w:hAnsi="Times New Roman" w:cs="Times New Roman"/>
        </w:rPr>
        <w:t>，地下水环境敏感程度分级见表</w:t>
      </w:r>
      <w:r>
        <w:rPr>
          <w:rFonts w:hint="default" w:ascii="Times New Roman" w:hAnsi="Times New Roman" w:cs="Times New Roman"/>
          <w:lang w:val="en-US" w:eastAsia="zh-CN"/>
        </w:rPr>
        <w:t>5-38</w:t>
      </w:r>
      <w:r>
        <w:rPr>
          <w:rFonts w:hint="default" w:ascii="Times New Roman" w:hAnsi="Times New Roman" w:cs="Times New Roman"/>
        </w:rPr>
        <w:t>。</w:t>
      </w:r>
    </w:p>
    <w:p>
      <w:pPr>
        <w:pStyle w:val="178"/>
        <w:keepNext w:val="0"/>
        <w:keepLines w:val="0"/>
        <w:pageBreakBefore w:val="0"/>
        <w:widowControl/>
        <w:numPr>
          <w:ilvl w:val="0"/>
          <w:numId w:val="7"/>
        </w:numPr>
        <w:kinsoku/>
        <w:wordWrap/>
        <w:overflowPunct/>
        <w:topLinePunct w:val="0"/>
        <w:autoSpaceDE/>
        <w:autoSpaceDN/>
        <w:bidi w:val="0"/>
        <w:adjustRightInd/>
        <w:snapToGrid/>
        <w:spacing w:beforeLines="0" w:afterLines="0" w:line="360" w:lineRule="auto"/>
        <w:ind w:left="0" w:leftChars="0" w:firstLine="0" w:firstLineChars="0"/>
        <w:textAlignment w:val="auto"/>
        <w:rPr>
          <w:rFonts w:hint="default" w:ascii="Times New Roman" w:hAnsi="Times New Roman" w:cs="Times New Roman"/>
          <w:b/>
        </w:rPr>
      </w:pPr>
      <w:r>
        <w:rPr>
          <w:rFonts w:hint="default" w:ascii="Times New Roman" w:hAnsi="Times New Roman" w:cs="Times New Roman"/>
          <w:b/>
        </w:rPr>
        <w:t>地下水功能敏感性分区</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7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敏感性</w:t>
            </w:r>
          </w:p>
        </w:tc>
        <w:tc>
          <w:tcPr>
            <w:tcW w:w="7286"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地下水环境敏感特征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敏感G1</w:t>
            </w:r>
          </w:p>
        </w:tc>
        <w:tc>
          <w:tcPr>
            <w:tcW w:w="7286" w:type="dxa"/>
          </w:tcPr>
          <w:p>
            <w:pPr>
              <w:rPr>
                <w:rFonts w:hint="default" w:ascii="Times New Roman" w:hAnsi="Times New Roman" w:cs="Times New Roman"/>
                <w:sz w:val="21"/>
                <w:szCs w:val="21"/>
              </w:rPr>
            </w:pPr>
            <w:r>
              <w:rPr>
                <w:rFonts w:hint="default" w:ascii="Times New Roman" w:hAnsi="Times New Roman" w:cs="Times New Roman"/>
                <w:sz w:val="21"/>
                <w:szCs w:val="21"/>
              </w:rPr>
              <w:t>集中式饮用水水源（包括已建成的在用、备用、应急水源，在建和规划的饮用水水源）准保护区；除集中式饮用水水源以外的国家或地方政府设定的与地下水环境相关的其他保护区，如热水、矿泉水、温泉等特殊地下水资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较敏感G2</w:t>
            </w:r>
          </w:p>
        </w:tc>
        <w:tc>
          <w:tcPr>
            <w:tcW w:w="7286"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集中式饮用水水源（包括已建成的在用、备用、应急水源，在建和规划的饮用水水源）准保护区以外的补给径流区；未划定准保护区的集中式饮用水水源，其保护区以外的补给径流区；分散式饮用水水源地；特殊地下水资源（如热水、矿泉水、温泉等）保护区以外的分布区等其他未列入上述敏感分级的环境敏感区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不敏感G3</w:t>
            </w:r>
          </w:p>
        </w:tc>
        <w:tc>
          <w:tcPr>
            <w:tcW w:w="7286"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上述地区之外的其他地区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8" w:type="dxa"/>
            <w:gridSpan w:val="2"/>
            <w:tcBorders>
              <w:top w:val="single" w:color="auto" w:sz="4" w:space="0"/>
              <w:left w:val="single" w:color="auto" w:sz="4" w:space="0"/>
              <w:bottom w:val="single" w:color="auto" w:sz="4" w:space="0"/>
              <w:right w:val="single" w:color="auto" w:sz="4" w:space="0"/>
            </w:tcBorders>
            <w:vAlign w:val="center"/>
          </w:tcPr>
          <w:p>
            <w:pPr>
              <w:pStyle w:val="64"/>
              <w:adjustRightInd w:val="0"/>
              <w:snapToGrid w:val="0"/>
              <w:spacing w:before="0" w:after="0" w:line="240" w:lineRule="auto"/>
              <w:ind w:firstLine="0" w:firstLineChars="0"/>
              <w:jc w:val="left"/>
              <w:rPr>
                <w:rFonts w:hint="default" w:ascii="Times New Roman" w:hAnsi="Times New Roman" w:cs="Times New Roman"/>
                <w:sz w:val="21"/>
                <w:szCs w:val="21"/>
              </w:rPr>
            </w:pPr>
            <w:r>
              <w:rPr>
                <w:rFonts w:hint="default" w:ascii="Times New Roman" w:hAnsi="Times New Roman" w:cs="Times New Roman"/>
                <w:sz w:val="21"/>
                <w:szCs w:val="21"/>
              </w:rPr>
              <w:t>a“环境敏感区”是指《建设项目环境影响评价分类管理名录》中所界定的涉及地下水的环境敏感区</w:t>
            </w:r>
          </w:p>
        </w:tc>
      </w:tr>
    </w:tbl>
    <w:p>
      <w:pPr>
        <w:pStyle w:val="178"/>
        <w:keepNext w:val="0"/>
        <w:keepLines w:val="0"/>
        <w:pageBreakBefore w:val="0"/>
        <w:widowControl/>
        <w:numPr>
          <w:ilvl w:val="0"/>
          <w:numId w:val="7"/>
        </w:numPr>
        <w:kinsoku/>
        <w:wordWrap/>
        <w:overflowPunct/>
        <w:topLinePunct w:val="0"/>
        <w:autoSpaceDE/>
        <w:autoSpaceDN/>
        <w:bidi w:val="0"/>
        <w:adjustRightInd/>
        <w:snapToGrid/>
        <w:spacing w:before="157" w:beforeLines="50" w:afterLines="0" w:line="360" w:lineRule="auto"/>
        <w:ind w:left="0" w:leftChars="0" w:firstLine="0" w:firstLineChars="0"/>
        <w:textAlignment w:val="auto"/>
        <w:rPr>
          <w:rFonts w:hint="default" w:ascii="Times New Roman" w:hAnsi="Times New Roman" w:cs="Times New Roman"/>
          <w:b/>
        </w:rPr>
      </w:pPr>
      <w:r>
        <w:rPr>
          <w:rFonts w:hint="default" w:ascii="Times New Roman" w:hAnsi="Times New Roman" w:cs="Times New Roman"/>
          <w:b/>
        </w:rPr>
        <w:t>包气带防污性能分级</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7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分级</w:t>
            </w:r>
          </w:p>
        </w:tc>
        <w:tc>
          <w:tcPr>
            <w:tcW w:w="7286"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包气带岩土的渗透性能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D3</w:t>
            </w:r>
          </w:p>
        </w:tc>
        <w:tc>
          <w:tcPr>
            <w:tcW w:w="7286" w:type="dxa"/>
            <w:vAlign w:val="center"/>
          </w:tcPr>
          <w:p>
            <w:pPr>
              <w:jc w:val="left"/>
              <w:rPr>
                <w:rFonts w:hint="default" w:ascii="Times New Roman" w:hAnsi="Times New Roman" w:cs="Times New Roman"/>
                <w:sz w:val="21"/>
                <w:szCs w:val="21"/>
              </w:rPr>
            </w:pPr>
            <w:r>
              <w:rPr>
                <w:rFonts w:hint="default" w:ascii="Times New Roman" w:hAnsi="Times New Roman" w:cs="Times New Roman"/>
                <w:sz w:val="21"/>
                <w:szCs w:val="21"/>
              </w:rPr>
              <w:t>Mb≥1.0m，K≤1.0×10-6cm/s，且分布连续、稳定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D2</w:t>
            </w:r>
          </w:p>
        </w:tc>
        <w:tc>
          <w:tcPr>
            <w:tcW w:w="7286" w:type="dxa"/>
            <w:vAlign w:val="center"/>
          </w:tcPr>
          <w:p>
            <w:pPr>
              <w:jc w:val="left"/>
              <w:rPr>
                <w:rFonts w:hint="default" w:ascii="Times New Roman" w:hAnsi="Times New Roman" w:cs="Times New Roman"/>
                <w:sz w:val="21"/>
                <w:szCs w:val="21"/>
              </w:rPr>
            </w:pPr>
            <w:r>
              <w:rPr>
                <w:rFonts w:hint="default" w:ascii="Times New Roman" w:hAnsi="Times New Roman" w:cs="Times New Roman"/>
                <w:sz w:val="21"/>
                <w:szCs w:val="21"/>
              </w:rPr>
              <w:t>0.5m≤Mb＜1.0m，K≤1×10</w:t>
            </w:r>
            <w:r>
              <w:rPr>
                <w:rFonts w:hint="default" w:ascii="Times New Roman" w:hAnsi="Times New Roman" w:cs="Times New Roman"/>
                <w:sz w:val="21"/>
                <w:szCs w:val="21"/>
                <w:vertAlign w:val="superscript"/>
              </w:rPr>
              <w:t>-6</w:t>
            </w:r>
            <w:r>
              <w:rPr>
                <w:rFonts w:hint="default" w:ascii="Times New Roman" w:hAnsi="Times New Roman" w:cs="Times New Roman"/>
                <w:sz w:val="21"/>
                <w:szCs w:val="21"/>
              </w:rPr>
              <w:t>cm/s，且分布连续稳定；</w:t>
            </w:r>
          </w:p>
          <w:p>
            <w:pPr>
              <w:jc w:val="left"/>
              <w:rPr>
                <w:rFonts w:hint="default" w:ascii="Times New Roman" w:hAnsi="Times New Roman" w:cs="Times New Roman"/>
                <w:sz w:val="21"/>
                <w:szCs w:val="21"/>
              </w:rPr>
            </w:pPr>
            <w:r>
              <w:rPr>
                <w:rFonts w:hint="default" w:ascii="Times New Roman" w:hAnsi="Times New Roman" w:cs="Times New Roman"/>
                <w:sz w:val="21"/>
                <w:szCs w:val="21"/>
              </w:rPr>
              <w:t>Mb≥1.0m，1×10</w:t>
            </w:r>
            <w:r>
              <w:rPr>
                <w:rFonts w:hint="default" w:ascii="Times New Roman" w:hAnsi="Times New Roman" w:cs="Times New Roman"/>
                <w:sz w:val="21"/>
                <w:szCs w:val="21"/>
                <w:vertAlign w:val="superscript"/>
              </w:rPr>
              <w:t>-6</w:t>
            </w:r>
            <w:r>
              <w:rPr>
                <w:rFonts w:hint="default" w:ascii="Times New Roman" w:hAnsi="Times New Roman" w:cs="Times New Roman"/>
                <w:sz w:val="21"/>
                <w:szCs w:val="21"/>
              </w:rPr>
              <w:t>cm/s＜K≤1×10</w:t>
            </w:r>
            <w:r>
              <w:rPr>
                <w:rFonts w:hint="default" w:ascii="Times New Roman" w:hAnsi="Times New Roman" w:cs="Times New Roman"/>
                <w:sz w:val="21"/>
                <w:szCs w:val="21"/>
                <w:vertAlign w:val="superscript"/>
              </w:rPr>
              <w:t>-4</w:t>
            </w:r>
            <w:r>
              <w:rPr>
                <w:rFonts w:hint="default" w:ascii="Times New Roman" w:hAnsi="Times New Roman" w:cs="Times New Roman"/>
                <w:sz w:val="21"/>
                <w:szCs w:val="21"/>
              </w:rPr>
              <w:t>cm/s，且分布连续稳定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D1</w:t>
            </w:r>
          </w:p>
        </w:tc>
        <w:tc>
          <w:tcPr>
            <w:tcW w:w="7286" w:type="dxa"/>
            <w:vAlign w:val="center"/>
          </w:tcPr>
          <w:p>
            <w:pPr>
              <w:jc w:val="left"/>
              <w:rPr>
                <w:rFonts w:hint="default" w:ascii="Times New Roman" w:hAnsi="Times New Roman" w:cs="Times New Roman"/>
                <w:sz w:val="21"/>
                <w:szCs w:val="21"/>
              </w:rPr>
            </w:pPr>
            <w:r>
              <w:rPr>
                <w:rFonts w:hint="default" w:ascii="Times New Roman" w:hAnsi="Times New Roman" w:cs="Times New Roman"/>
                <w:sz w:val="21"/>
                <w:szCs w:val="21"/>
              </w:rPr>
              <w:t>岩（土）层不满足上述“D2”和“D3”条件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8" w:type="dxa"/>
            <w:gridSpan w:val="2"/>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Mb：岩土层单层厚度；K：渗透系数</w:t>
            </w:r>
          </w:p>
        </w:tc>
      </w:tr>
    </w:tbl>
    <w:p>
      <w:pPr>
        <w:pStyle w:val="178"/>
        <w:keepNext w:val="0"/>
        <w:keepLines w:val="0"/>
        <w:pageBreakBefore w:val="0"/>
        <w:widowControl/>
        <w:numPr>
          <w:ilvl w:val="0"/>
          <w:numId w:val="7"/>
        </w:numPr>
        <w:kinsoku/>
        <w:wordWrap/>
        <w:overflowPunct/>
        <w:topLinePunct w:val="0"/>
        <w:autoSpaceDE/>
        <w:autoSpaceDN/>
        <w:bidi w:val="0"/>
        <w:adjustRightInd/>
        <w:snapToGrid/>
        <w:spacing w:before="157" w:beforeLines="50" w:afterLines="0" w:line="360" w:lineRule="auto"/>
        <w:ind w:left="0" w:leftChars="0" w:firstLine="0" w:firstLineChars="0"/>
        <w:textAlignment w:val="auto"/>
        <w:rPr>
          <w:rFonts w:hint="default" w:ascii="Times New Roman" w:hAnsi="Times New Roman" w:cs="Times New Roman"/>
          <w:b/>
        </w:rPr>
      </w:pPr>
      <w:r>
        <w:rPr>
          <w:rFonts w:hint="default" w:ascii="Times New Roman" w:hAnsi="Times New Roman" w:cs="Times New Roman"/>
          <w:b/>
        </w:rPr>
        <w:t>地下水环境敏感程度分级</w:t>
      </w:r>
    </w:p>
    <w:tbl>
      <w:tblPr>
        <w:tblStyle w:val="44"/>
        <w:tblW w:w="80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2309"/>
        <w:gridCol w:w="2309"/>
        <w:gridCol w:w="23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vMerge w:val="restart"/>
            <w:vAlign w:val="center"/>
          </w:tcPr>
          <w:p>
            <w:pPr>
              <w:pStyle w:val="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环境敏感目标</w:t>
            </w:r>
          </w:p>
        </w:tc>
        <w:tc>
          <w:tcPr>
            <w:tcW w:w="6928" w:type="dxa"/>
            <w:gridSpan w:val="3"/>
            <w:vAlign w:val="center"/>
          </w:tcPr>
          <w:p>
            <w:pPr>
              <w:pStyle w:val="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地下水功能敏感性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vMerge w:val="continue"/>
            <w:vAlign w:val="center"/>
          </w:tcPr>
          <w:p>
            <w:pPr>
              <w:pStyle w:val="136"/>
              <w:jc w:val="center"/>
              <w:rPr>
                <w:rFonts w:hint="default" w:ascii="Times New Roman" w:hAnsi="Times New Roman" w:eastAsia="宋体" w:cs="Times New Roman"/>
                <w:color w:val="auto"/>
                <w:sz w:val="21"/>
                <w:szCs w:val="21"/>
              </w:rPr>
            </w:pPr>
          </w:p>
        </w:tc>
        <w:tc>
          <w:tcPr>
            <w:tcW w:w="2309" w:type="dxa"/>
            <w:vAlign w:val="center"/>
          </w:tcPr>
          <w:p>
            <w:pPr>
              <w:pStyle w:val="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G1</w:t>
            </w:r>
          </w:p>
        </w:tc>
        <w:tc>
          <w:tcPr>
            <w:tcW w:w="2309" w:type="dxa"/>
            <w:vAlign w:val="center"/>
          </w:tcPr>
          <w:p>
            <w:pPr>
              <w:pStyle w:val="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G2</w:t>
            </w:r>
          </w:p>
        </w:tc>
        <w:tc>
          <w:tcPr>
            <w:tcW w:w="2310" w:type="dxa"/>
            <w:vAlign w:val="center"/>
          </w:tcPr>
          <w:p>
            <w:pPr>
              <w:pStyle w:val="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vAlign w:val="center"/>
          </w:tcPr>
          <w:p>
            <w:pPr>
              <w:pStyle w:val="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D1</w:t>
            </w:r>
          </w:p>
        </w:tc>
        <w:tc>
          <w:tcPr>
            <w:tcW w:w="2309" w:type="dxa"/>
            <w:tcBorders>
              <w:top w:val="single" w:color="auto" w:sz="4" w:space="0"/>
              <w:left w:val="single" w:color="auto" w:sz="4" w:space="0"/>
              <w:bottom w:val="single" w:color="auto" w:sz="4" w:space="0"/>
              <w:right w:val="single" w:color="auto" w:sz="4" w:space="0"/>
            </w:tcBorders>
            <w:vAlign w:val="center"/>
          </w:tcPr>
          <w:p>
            <w:pPr>
              <w:pStyle w:val="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E1</w:t>
            </w:r>
          </w:p>
        </w:tc>
        <w:tc>
          <w:tcPr>
            <w:tcW w:w="2309" w:type="dxa"/>
            <w:tcBorders>
              <w:top w:val="single" w:color="auto" w:sz="4" w:space="0"/>
              <w:left w:val="single" w:color="auto" w:sz="4" w:space="0"/>
              <w:bottom w:val="single" w:color="auto" w:sz="4" w:space="0"/>
              <w:right w:val="single" w:color="auto" w:sz="4" w:space="0"/>
            </w:tcBorders>
            <w:vAlign w:val="center"/>
          </w:tcPr>
          <w:p>
            <w:pPr>
              <w:pStyle w:val="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E1</w:t>
            </w:r>
          </w:p>
        </w:tc>
        <w:tc>
          <w:tcPr>
            <w:tcW w:w="2310" w:type="dxa"/>
            <w:tcBorders>
              <w:top w:val="single" w:color="auto" w:sz="4" w:space="0"/>
              <w:left w:val="single" w:color="auto" w:sz="4" w:space="0"/>
              <w:bottom w:val="single" w:color="auto" w:sz="4" w:space="0"/>
              <w:right w:val="single" w:color="auto" w:sz="4" w:space="0"/>
            </w:tcBorders>
            <w:vAlign w:val="center"/>
          </w:tcPr>
          <w:p>
            <w:pPr>
              <w:pStyle w:val="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E2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vAlign w:val="center"/>
          </w:tcPr>
          <w:p>
            <w:pPr>
              <w:pStyle w:val="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D2</w:t>
            </w:r>
          </w:p>
        </w:tc>
        <w:tc>
          <w:tcPr>
            <w:tcW w:w="2309" w:type="dxa"/>
            <w:tcBorders>
              <w:top w:val="single" w:color="auto" w:sz="4" w:space="0"/>
              <w:left w:val="single" w:color="auto" w:sz="4" w:space="0"/>
              <w:bottom w:val="single" w:color="auto" w:sz="4" w:space="0"/>
              <w:right w:val="single" w:color="auto" w:sz="4" w:space="0"/>
            </w:tcBorders>
            <w:vAlign w:val="center"/>
          </w:tcPr>
          <w:p>
            <w:pPr>
              <w:pStyle w:val="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E1</w:t>
            </w:r>
          </w:p>
        </w:tc>
        <w:tc>
          <w:tcPr>
            <w:tcW w:w="2309" w:type="dxa"/>
            <w:tcBorders>
              <w:top w:val="single" w:color="auto" w:sz="4" w:space="0"/>
              <w:left w:val="single" w:color="auto" w:sz="4" w:space="0"/>
              <w:bottom w:val="single" w:color="auto" w:sz="4" w:space="0"/>
              <w:right w:val="single" w:color="auto" w:sz="4" w:space="0"/>
            </w:tcBorders>
            <w:vAlign w:val="center"/>
          </w:tcPr>
          <w:p>
            <w:pPr>
              <w:pStyle w:val="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E2</w:t>
            </w:r>
          </w:p>
        </w:tc>
        <w:tc>
          <w:tcPr>
            <w:tcW w:w="2310" w:type="dxa"/>
            <w:tcBorders>
              <w:top w:val="single" w:color="auto" w:sz="4" w:space="0"/>
              <w:left w:val="single" w:color="auto" w:sz="4" w:space="0"/>
              <w:bottom w:val="single" w:color="auto" w:sz="4" w:space="0"/>
              <w:right w:val="single" w:color="auto" w:sz="4" w:space="0"/>
            </w:tcBorders>
            <w:vAlign w:val="center"/>
          </w:tcPr>
          <w:p>
            <w:pPr>
              <w:pStyle w:val="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E3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vAlign w:val="center"/>
          </w:tcPr>
          <w:p>
            <w:pPr>
              <w:pStyle w:val="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D3</w:t>
            </w:r>
          </w:p>
        </w:tc>
        <w:tc>
          <w:tcPr>
            <w:tcW w:w="2309" w:type="dxa"/>
            <w:tcBorders>
              <w:top w:val="single" w:color="auto" w:sz="4" w:space="0"/>
              <w:left w:val="single" w:color="auto" w:sz="4" w:space="0"/>
              <w:bottom w:val="single" w:color="auto" w:sz="4" w:space="0"/>
              <w:right w:val="single" w:color="auto" w:sz="4" w:space="0"/>
            </w:tcBorders>
            <w:vAlign w:val="center"/>
          </w:tcPr>
          <w:p>
            <w:pPr>
              <w:pStyle w:val="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E1</w:t>
            </w:r>
          </w:p>
        </w:tc>
        <w:tc>
          <w:tcPr>
            <w:tcW w:w="2309" w:type="dxa"/>
            <w:tcBorders>
              <w:top w:val="single" w:color="auto" w:sz="4" w:space="0"/>
              <w:left w:val="single" w:color="auto" w:sz="4" w:space="0"/>
              <w:bottom w:val="single" w:color="auto" w:sz="4" w:space="0"/>
              <w:right w:val="single" w:color="auto" w:sz="4" w:space="0"/>
            </w:tcBorders>
            <w:vAlign w:val="center"/>
          </w:tcPr>
          <w:p>
            <w:pPr>
              <w:pStyle w:val="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E2</w:t>
            </w:r>
          </w:p>
        </w:tc>
        <w:tc>
          <w:tcPr>
            <w:tcW w:w="2310" w:type="dxa"/>
            <w:tcBorders>
              <w:top w:val="single" w:color="auto" w:sz="4" w:space="0"/>
              <w:left w:val="single" w:color="auto" w:sz="4" w:space="0"/>
              <w:bottom w:val="single" w:color="auto" w:sz="4" w:space="0"/>
              <w:right w:val="single" w:color="auto" w:sz="4" w:space="0"/>
            </w:tcBorders>
            <w:shd w:val="clear" w:color="auto" w:fill="A5A5A5" w:themeFill="background1" w:themeFillShade="A6"/>
            <w:vAlign w:val="center"/>
          </w:tcPr>
          <w:p>
            <w:pPr>
              <w:pStyle w:val="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E3</w:t>
            </w:r>
          </w:p>
        </w:tc>
      </w:tr>
    </w:tbl>
    <w:p>
      <w:pPr>
        <w:pStyle w:val="64"/>
        <w:adjustRightInd w:val="0"/>
        <w:snapToGrid w:val="0"/>
        <w:spacing w:beforeLines="50" w:after="0"/>
        <w:jc w:val="left"/>
        <w:rPr>
          <w:rFonts w:hint="default" w:ascii="Times New Roman" w:hAnsi="Times New Roman" w:cs="Times New Roman"/>
        </w:rPr>
      </w:pPr>
      <w:r>
        <w:rPr>
          <w:rFonts w:hint="default" w:ascii="Times New Roman" w:hAnsi="Times New Roman" w:cs="Times New Roman"/>
        </w:rPr>
        <w:t>项目位于工业园区，不在饮用水源准保护区和以外的补给径流区、集中式饮用水水源以外的国家或地方政府设定的与地下水环境相关的其他保护区、为划定的准保护区的集中式饮用水水源，分散式饮用水水源地和特殊地下水资源保护区以外的分布区等其他未列入上述敏感分级的环境敏感区。本项目远离上述区域，经判定，地下水功能敏感性分区为不敏感G3；项目区域地下水含水层主要为松散第四系粉质黏土土层，水位埋深在现地面之下1.30m～8.20m之间，渗透系数在6.69×10</w:t>
      </w:r>
      <w:r>
        <w:rPr>
          <w:rFonts w:hint="default" w:ascii="Times New Roman" w:hAnsi="Times New Roman" w:cs="Times New Roman"/>
          <w:vertAlign w:val="superscript"/>
        </w:rPr>
        <w:t>-7</w:t>
      </w:r>
      <w:r>
        <w:rPr>
          <w:rFonts w:hint="default" w:ascii="Times New Roman" w:hAnsi="Times New Roman" w:cs="Times New Roman"/>
        </w:rPr>
        <w:t>～1.34×10</w:t>
      </w:r>
      <w:r>
        <w:rPr>
          <w:rFonts w:hint="default" w:ascii="Times New Roman" w:hAnsi="Times New Roman" w:cs="Times New Roman"/>
          <w:vertAlign w:val="superscript"/>
        </w:rPr>
        <w:t>-7</w:t>
      </w:r>
      <w:r>
        <w:rPr>
          <w:rFonts w:hint="default" w:ascii="Times New Roman" w:hAnsi="Times New Roman" w:cs="Times New Roman"/>
        </w:rPr>
        <w:t>cm/s之间，本项目包气带防污性能为D3；根据《建设项目环境风险评价技术导则》（HJ169－2018）附录 D 中地下水环境敏感程度分级，经判定地下水环境敏感程度分级为E3。</w:t>
      </w:r>
    </w:p>
    <w:p>
      <w:pPr>
        <w:spacing w:line="360" w:lineRule="auto"/>
        <w:ind w:firstLine="482"/>
        <w:rPr>
          <w:rFonts w:hint="default" w:ascii="Times New Roman" w:hAnsi="Times New Roman" w:cs="Times New Roman"/>
          <w:b w:val="0"/>
          <w:bCs/>
        </w:rPr>
      </w:pPr>
      <w:r>
        <w:rPr>
          <w:rFonts w:hint="default" w:ascii="Times New Roman" w:hAnsi="Times New Roman" w:cs="Times New Roman"/>
          <w:b w:val="0"/>
          <w:bCs/>
        </w:rPr>
        <w:t>4、环境敏感目标特征表</w:t>
      </w:r>
    </w:p>
    <w:p>
      <w:pPr>
        <w:spacing w:line="360" w:lineRule="auto"/>
        <w:ind w:firstLine="482"/>
        <w:rPr>
          <w:rFonts w:hint="default" w:ascii="Times New Roman" w:hAnsi="Times New Roman" w:cs="Times New Roman"/>
          <w:b/>
        </w:rPr>
      </w:pPr>
      <w:r>
        <w:rPr>
          <w:rFonts w:hint="default" w:ascii="Times New Roman" w:hAnsi="Times New Roman" w:cs="Times New Roman"/>
        </w:rPr>
        <w:t>根据导则附录D判断各要素的环境敏感程度等级，本项目环境敏感特征情况详见下表。</w:t>
      </w:r>
    </w:p>
    <w:p>
      <w:pPr>
        <w:pStyle w:val="178"/>
        <w:keepNext w:val="0"/>
        <w:keepLines w:val="0"/>
        <w:pageBreakBefore w:val="0"/>
        <w:widowControl/>
        <w:numPr>
          <w:ilvl w:val="0"/>
          <w:numId w:val="7"/>
        </w:numPr>
        <w:kinsoku/>
        <w:wordWrap/>
        <w:overflowPunct/>
        <w:topLinePunct w:val="0"/>
        <w:autoSpaceDE/>
        <w:autoSpaceDN/>
        <w:bidi w:val="0"/>
        <w:adjustRightInd/>
        <w:snapToGrid/>
        <w:spacing w:beforeLines="0" w:afterLines="0" w:line="360" w:lineRule="auto"/>
        <w:ind w:left="0" w:leftChars="0" w:firstLine="0" w:firstLineChars="0"/>
        <w:textAlignment w:val="auto"/>
        <w:rPr>
          <w:rFonts w:hint="default" w:ascii="Times New Roman" w:hAnsi="Times New Roman" w:cs="Times New Roman"/>
          <w:b/>
        </w:rPr>
      </w:pPr>
      <w:r>
        <w:rPr>
          <w:rFonts w:hint="default" w:ascii="Times New Roman" w:hAnsi="Times New Roman" w:cs="Times New Roman"/>
          <w:b/>
        </w:rPr>
        <w:t>建设项目环境敏感目标特征表</w:t>
      </w:r>
    </w:p>
    <w:tbl>
      <w:tblPr>
        <w:tblStyle w:val="44"/>
        <w:tblW w:w="5000" w:type="pct"/>
        <w:tblInd w:w="0" w:type="dxa"/>
        <w:tblLayout w:type="autofit"/>
        <w:tblCellMar>
          <w:top w:w="0" w:type="dxa"/>
          <w:left w:w="108" w:type="dxa"/>
          <w:bottom w:w="0" w:type="dxa"/>
          <w:right w:w="108" w:type="dxa"/>
        </w:tblCellMar>
      </w:tblPr>
      <w:tblGrid>
        <w:gridCol w:w="718"/>
        <w:gridCol w:w="757"/>
        <w:gridCol w:w="1371"/>
        <w:gridCol w:w="753"/>
        <w:gridCol w:w="308"/>
        <w:gridCol w:w="151"/>
        <w:gridCol w:w="1061"/>
        <w:gridCol w:w="153"/>
        <w:gridCol w:w="303"/>
        <w:gridCol w:w="759"/>
        <w:gridCol w:w="614"/>
        <w:gridCol w:w="751"/>
        <w:gridCol w:w="536"/>
        <w:gridCol w:w="882"/>
      </w:tblGrid>
      <w:tr>
        <w:trPr>
          <w:trHeight w:val="284" w:hRule="atLeast"/>
        </w:trPr>
        <w:tc>
          <w:tcPr>
            <w:tcW w:w="39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类别</w:t>
            </w:r>
          </w:p>
        </w:tc>
        <w:tc>
          <w:tcPr>
            <w:tcW w:w="4606" w:type="pct"/>
            <w:gridSpan w:val="13"/>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环境敏感特征</w:t>
            </w:r>
          </w:p>
        </w:tc>
      </w:tr>
      <w:tr>
        <w:tblPrEx>
          <w:tblCellMar>
            <w:top w:w="0" w:type="dxa"/>
            <w:left w:w="108" w:type="dxa"/>
            <w:bottom w:w="0" w:type="dxa"/>
            <w:right w:w="108" w:type="dxa"/>
          </w:tblCellMar>
        </w:tblPrEx>
        <w:trPr>
          <w:trHeight w:val="284" w:hRule="atLeast"/>
        </w:trPr>
        <w:tc>
          <w:tcPr>
            <w:tcW w:w="394"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环境空气</w:t>
            </w:r>
          </w:p>
        </w:tc>
        <w:tc>
          <w:tcPr>
            <w:tcW w:w="4606" w:type="pct"/>
            <w:gridSpan w:val="13"/>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厂址周边5km范围内</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序号</w:t>
            </w:r>
          </w:p>
        </w:tc>
        <w:tc>
          <w:tcPr>
            <w:tcW w:w="1334" w:type="pct"/>
            <w:gridSpan w:val="3"/>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敏感目标名称</w:t>
            </w:r>
          </w:p>
        </w:tc>
        <w:tc>
          <w:tcPr>
            <w:tcW w:w="749" w:type="pct"/>
            <w:gridSpan w:val="3"/>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相对方位</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距离/m</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属性</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人口数</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小东村</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S</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1770</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居住区</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120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2</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尹旗屯</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NW</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1385</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居住区</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200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3</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楚雄市思源实验学校</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W</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210</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学校</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750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4</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黄土坡</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W</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310</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居住区</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190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5</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阳光花园</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W</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205</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居住区</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800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6</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盛世舒苑</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W</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640</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居住区</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3000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7</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吴家</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W</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1760</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居住区</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180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8</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李家庵村</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W</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1520</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居住区</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900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9</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翁家屯</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NW</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690</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居住区</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500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10</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楚风苑小区</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NW</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940</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居住区</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5000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11</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玖龙国际</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NW</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1540</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居住区</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800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12</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朱瓜冲</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N</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1100</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居住区</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160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13</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沙溪冲</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N</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1300</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居住区</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140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14</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庄甸村</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NW</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1650</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居住区</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500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15</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蔡家湾</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NW</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1700</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居住区</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140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16</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罗刀凹</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N</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1510</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居住区</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60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17</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围墙村</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NE</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2420</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居住区</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80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18</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马藏郎</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SE</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3420</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居住区</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150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19</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河头村</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SE</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4130</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居住区</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20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20</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上尖山</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SE</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4560</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居住区</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30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21</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田房头</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SE</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3810</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居住区</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20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22</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刘家</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SE</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4560</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居住区</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100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23</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耳东屯</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SE</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2780</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居住区</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220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24</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大东村</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S</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2600</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居住区</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230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25</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孙家</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S</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2090</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居住区</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80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26</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龙潭洼</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NW</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2680</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居住区</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130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27</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富民村</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SW</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3450</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居住区</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550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28</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塔普</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S</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4050</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居住区</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60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29</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枣子园</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S</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4300</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居住区</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250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30</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富民下村</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SW</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4030</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居住区</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180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31</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黑泥坝</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SW</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2900</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居住区</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170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32</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董家</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SW</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2910</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居住区</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300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33</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杨旗屯</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SW</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3990</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居住区</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140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34</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海子坝</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SW</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4900</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居住区</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90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35</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下白庙村</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SW</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4260</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居住区</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230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36</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上白庙村</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SW</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4950</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居住区</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160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37</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上野马</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SW</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6010</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居住区</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70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38</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下野马</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SW</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5950</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居住区</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60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39</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白土塘</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SW</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4390</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居住区</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150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40</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白龙箐</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SW</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4900</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居住区</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160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41</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栗子园</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SW</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4860</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居住区</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2500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42</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州文化活动中心</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SW</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2660</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行政办公</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100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43</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金瑞小区</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W</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2810</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居住区</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1400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44</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珑曦苑</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NW</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2900</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居住区</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1200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45</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丽景花园</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NW</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3300</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居住区</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1500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46</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格林天城</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NW</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2420</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居住区</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900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47</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金康花园</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NW</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2940</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居住区</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1500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48</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上坪山</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NW</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2220</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居住区</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100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49</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下坪山</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NW</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2670</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居住区</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120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50</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盛兴园</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NW</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3650</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居住区</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1100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51</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罗马庄园</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NW</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3670</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居住区</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1500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52</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小河口</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NW</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4440</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居住区</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260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53</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谢家河</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NW</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3260</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居住区</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200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54</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山咀子</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NW</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3730</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居住区</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220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55</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程家坝</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NW</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4770</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居住区</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100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56</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黄家屯</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NW</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4380</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居住区</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150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57</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张家湾</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NW</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5170</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居住区</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170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58</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裴家庄</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NW</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5740</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居住区</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110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59</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谢家咀</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NW</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5830</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居住区</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90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60</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朝阳寺</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NW</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3920</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居住区</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150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61</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哨塆</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NW</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3060</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居住区</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350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62</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郭家箐</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NW</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3740</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居住区</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140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63</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车水哨</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NW</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4080</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居住区</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20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64</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张家</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NE</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2640</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居住区</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20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65</w:t>
            </w:r>
          </w:p>
        </w:tc>
        <w:tc>
          <w:tcPr>
            <w:tcW w:w="1334"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朱家冲</w:t>
            </w:r>
          </w:p>
        </w:tc>
        <w:tc>
          <w:tcPr>
            <w:tcW w:w="749" w:type="pct"/>
            <w:gridSpan w:val="3"/>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NE</w:t>
            </w:r>
          </w:p>
        </w:tc>
        <w:tc>
          <w:tcPr>
            <w:tcW w:w="5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2800</w:t>
            </w:r>
          </w:p>
        </w:tc>
        <w:tc>
          <w:tcPr>
            <w:tcW w:w="749"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居住区</w:t>
            </w:r>
          </w:p>
        </w:tc>
        <w:tc>
          <w:tcPr>
            <w:tcW w:w="777"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50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color w:val="FF0000"/>
                <w:kern w:val="0"/>
                <w:sz w:val="21"/>
                <w:szCs w:val="21"/>
              </w:rPr>
            </w:pPr>
          </w:p>
        </w:tc>
        <w:tc>
          <w:tcPr>
            <w:tcW w:w="4123" w:type="pct"/>
            <w:gridSpan w:val="12"/>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厂址周边500m范围内人口数小计</w:t>
            </w:r>
          </w:p>
        </w:tc>
        <w:tc>
          <w:tcPr>
            <w:tcW w:w="483"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1740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color w:val="FF0000"/>
                <w:kern w:val="0"/>
                <w:sz w:val="21"/>
                <w:szCs w:val="21"/>
              </w:rPr>
            </w:pPr>
          </w:p>
        </w:tc>
        <w:tc>
          <w:tcPr>
            <w:tcW w:w="4123" w:type="pct"/>
            <w:gridSpan w:val="12"/>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厂址周边5km范围内人口数小计</w:t>
            </w:r>
          </w:p>
        </w:tc>
        <w:tc>
          <w:tcPr>
            <w:tcW w:w="483"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30520</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color w:val="FF0000"/>
                <w:kern w:val="0"/>
                <w:sz w:val="21"/>
                <w:szCs w:val="21"/>
              </w:rPr>
            </w:pPr>
          </w:p>
        </w:tc>
        <w:tc>
          <w:tcPr>
            <w:tcW w:w="4123" w:type="pct"/>
            <w:gridSpan w:val="12"/>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b/>
                <w:bCs/>
                <w:kern w:val="0"/>
                <w:sz w:val="21"/>
                <w:szCs w:val="21"/>
              </w:rPr>
            </w:pPr>
            <w:r>
              <w:rPr>
                <w:rFonts w:hint="default" w:ascii="Times New Roman" w:hAnsi="Times New Roman" w:cs="Times New Roman"/>
                <w:b/>
                <w:bCs/>
                <w:kern w:val="0"/>
                <w:sz w:val="21"/>
                <w:szCs w:val="21"/>
              </w:rPr>
              <w:t>大气环境敏感程度E值</w:t>
            </w:r>
          </w:p>
        </w:tc>
        <w:tc>
          <w:tcPr>
            <w:tcW w:w="483"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b/>
                <w:bCs/>
                <w:kern w:val="0"/>
                <w:sz w:val="21"/>
                <w:szCs w:val="21"/>
              </w:rPr>
            </w:pPr>
            <w:r>
              <w:rPr>
                <w:rFonts w:hint="default" w:ascii="Times New Roman" w:hAnsi="Times New Roman" w:cs="Times New Roman"/>
                <w:b/>
                <w:bCs/>
                <w:kern w:val="0"/>
                <w:sz w:val="21"/>
                <w:szCs w:val="21"/>
              </w:rPr>
              <w:t>E1</w:t>
            </w:r>
          </w:p>
        </w:tc>
      </w:tr>
      <w:tr>
        <w:tblPrEx>
          <w:tblCellMar>
            <w:top w:w="0" w:type="dxa"/>
            <w:left w:w="108" w:type="dxa"/>
            <w:bottom w:w="0" w:type="dxa"/>
            <w:right w:w="108" w:type="dxa"/>
          </w:tblCellMar>
        </w:tblPrEx>
        <w:trPr>
          <w:trHeight w:val="284" w:hRule="atLeast"/>
        </w:trPr>
        <w:tc>
          <w:tcPr>
            <w:tcW w:w="394"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地表水</w:t>
            </w:r>
          </w:p>
        </w:tc>
        <w:tc>
          <w:tcPr>
            <w:tcW w:w="4606" w:type="pct"/>
            <w:gridSpan w:val="13"/>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受纳水体</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序号</w:t>
            </w:r>
          </w:p>
        </w:tc>
        <w:tc>
          <w:tcPr>
            <w:tcW w:w="1165" w:type="pct"/>
            <w:gridSpan w:val="2"/>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受纳水体名称</w:t>
            </w:r>
          </w:p>
        </w:tc>
        <w:tc>
          <w:tcPr>
            <w:tcW w:w="1837" w:type="pct"/>
            <w:gridSpan w:val="7"/>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排放点水域环境功能</w:t>
            </w:r>
          </w:p>
        </w:tc>
        <w:tc>
          <w:tcPr>
            <w:tcW w:w="1189" w:type="pct"/>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24h内流经范围/km</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w:t>
            </w:r>
          </w:p>
        </w:tc>
        <w:tc>
          <w:tcPr>
            <w:tcW w:w="1165" w:type="pct"/>
            <w:gridSpan w:val="2"/>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青龙河</w:t>
            </w:r>
          </w:p>
        </w:tc>
        <w:tc>
          <w:tcPr>
            <w:tcW w:w="1837" w:type="pct"/>
            <w:gridSpan w:val="7"/>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lang w:eastAsia="zh-CN"/>
              </w:rPr>
              <w:t>Ⅲ</w:t>
            </w:r>
            <w:r>
              <w:rPr>
                <w:rFonts w:hint="default" w:ascii="Times New Roman" w:hAnsi="Times New Roman" w:cs="Times New Roman"/>
                <w:kern w:val="0"/>
                <w:sz w:val="21"/>
                <w:szCs w:val="21"/>
              </w:rPr>
              <w:t>类</w:t>
            </w:r>
          </w:p>
        </w:tc>
        <w:tc>
          <w:tcPr>
            <w:tcW w:w="1189" w:type="pct"/>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其他</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2</w:t>
            </w:r>
          </w:p>
        </w:tc>
        <w:tc>
          <w:tcPr>
            <w:tcW w:w="1165" w:type="pct"/>
            <w:gridSpan w:val="2"/>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龙川江</w:t>
            </w:r>
          </w:p>
        </w:tc>
        <w:tc>
          <w:tcPr>
            <w:tcW w:w="1837" w:type="pct"/>
            <w:gridSpan w:val="7"/>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lang w:eastAsia="zh-CN"/>
              </w:rPr>
              <w:t>Ⅲ</w:t>
            </w:r>
            <w:r>
              <w:rPr>
                <w:rFonts w:hint="default" w:ascii="Times New Roman" w:hAnsi="Times New Roman" w:cs="Times New Roman"/>
                <w:kern w:val="0"/>
                <w:sz w:val="21"/>
                <w:szCs w:val="21"/>
              </w:rPr>
              <w:t>类</w:t>
            </w:r>
          </w:p>
        </w:tc>
        <w:tc>
          <w:tcPr>
            <w:tcW w:w="1189" w:type="pct"/>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其他</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606" w:type="pct"/>
            <w:gridSpan w:val="13"/>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内陆水体排放点下游10km范围内敏感目标</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序号</w:t>
            </w:r>
          </w:p>
        </w:tc>
        <w:tc>
          <w:tcPr>
            <w:tcW w:w="1165" w:type="pct"/>
            <w:gridSpan w:val="2"/>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敏感目标名称</w:t>
            </w:r>
          </w:p>
        </w:tc>
        <w:tc>
          <w:tcPr>
            <w:tcW w:w="1084" w:type="pct"/>
            <w:gridSpan w:val="5"/>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环境敏感特征</w:t>
            </w:r>
          </w:p>
        </w:tc>
        <w:tc>
          <w:tcPr>
            <w:tcW w:w="753"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水质目标</w:t>
            </w:r>
          </w:p>
        </w:tc>
        <w:tc>
          <w:tcPr>
            <w:tcW w:w="1189" w:type="pct"/>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与排放点距离/m</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 w:val="22"/>
              </w:rPr>
            </w:pPr>
            <w:r>
              <w:rPr>
                <w:rFonts w:hint="default" w:ascii="Times New Roman" w:hAnsi="Times New Roman" w:cs="Times New Roman"/>
                <w:kern w:val="0"/>
                <w:sz w:val="22"/>
              </w:rPr>
              <w:t>1</w:t>
            </w:r>
          </w:p>
        </w:tc>
        <w:tc>
          <w:tcPr>
            <w:tcW w:w="1165" w:type="pct"/>
            <w:gridSpan w:val="2"/>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无</w:t>
            </w:r>
          </w:p>
        </w:tc>
        <w:tc>
          <w:tcPr>
            <w:tcW w:w="1084" w:type="pct"/>
            <w:gridSpan w:val="5"/>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w:t>
            </w:r>
          </w:p>
        </w:tc>
        <w:tc>
          <w:tcPr>
            <w:tcW w:w="753"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w:t>
            </w:r>
          </w:p>
        </w:tc>
        <w:tc>
          <w:tcPr>
            <w:tcW w:w="1189" w:type="pct"/>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3417" w:type="pct"/>
            <w:gridSpan w:val="10"/>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b/>
                <w:bCs/>
                <w:kern w:val="0"/>
                <w:sz w:val="21"/>
                <w:szCs w:val="21"/>
              </w:rPr>
            </w:pPr>
            <w:r>
              <w:rPr>
                <w:rFonts w:hint="default" w:ascii="Times New Roman" w:hAnsi="Times New Roman" w:cs="Times New Roman"/>
                <w:b/>
                <w:bCs/>
                <w:kern w:val="0"/>
                <w:sz w:val="21"/>
                <w:szCs w:val="21"/>
              </w:rPr>
              <w:t>地表水环境敏感程度E值</w:t>
            </w:r>
          </w:p>
        </w:tc>
        <w:tc>
          <w:tcPr>
            <w:tcW w:w="1189" w:type="pct"/>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b/>
                <w:bCs/>
                <w:kern w:val="0"/>
                <w:sz w:val="21"/>
                <w:szCs w:val="21"/>
                <w:lang w:eastAsia="zh-CN"/>
              </w:rPr>
            </w:pPr>
            <w:r>
              <w:rPr>
                <w:rFonts w:hint="default" w:ascii="Times New Roman" w:hAnsi="Times New Roman" w:cs="Times New Roman"/>
                <w:b/>
                <w:bCs/>
                <w:kern w:val="0"/>
                <w:sz w:val="21"/>
                <w:szCs w:val="21"/>
              </w:rPr>
              <w:t>E</w:t>
            </w:r>
            <w:r>
              <w:rPr>
                <w:rFonts w:hint="default" w:ascii="Times New Roman" w:hAnsi="Times New Roman" w:cs="Times New Roman"/>
                <w:b/>
                <w:bCs/>
                <w:kern w:val="0"/>
                <w:sz w:val="21"/>
                <w:szCs w:val="21"/>
                <w:lang w:val="en-US" w:eastAsia="zh-CN"/>
              </w:rPr>
              <w:t>2</w:t>
            </w:r>
          </w:p>
        </w:tc>
      </w:tr>
      <w:tr>
        <w:tblPrEx>
          <w:tblCellMar>
            <w:top w:w="0" w:type="dxa"/>
            <w:left w:w="108" w:type="dxa"/>
            <w:bottom w:w="0" w:type="dxa"/>
            <w:right w:w="108" w:type="dxa"/>
          </w:tblCellMar>
        </w:tblPrEx>
        <w:trPr>
          <w:trHeight w:val="284" w:hRule="atLeast"/>
        </w:trPr>
        <w:tc>
          <w:tcPr>
            <w:tcW w:w="394"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地下水</w:t>
            </w:r>
          </w:p>
        </w:tc>
        <w:tc>
          <w:tcPr>
            <w:tcW w:w="415"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序号</w:t>
            </w:r>
          </w:p>
        </w:tc>
        <w:tc>
          <w:tcPr>
            <w:tcW w:w="752"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环境</w:t>
            </w:r>
          </w:p>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敏感区名称</w:t>
            </w:r>
          </w:p>
        </w:tc>
        <w:tc>
          <w:tcPr>
            <w:tcW w:w="665" w:type="pct"/>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环境</w:t>
            </w:r>
          </w:p>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敏感特征</w:t>
            </w:r>
          </w:p>
        </w:tc>
        <w:tc>
          <w:tcPr>
            <w:tcW w:w="582"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水质</w:t>
            </w:r>
          </w:p>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目标</w:t>
            </w:r>
          </w:p>
        </w:tc>
        <w:tc>
          <w:tcPr>
            <w:tcW w:w="1003" w:type="pct"/>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包气带防污性能</w:t>
            </w:r>
          </w:p>
        </w:tc>
        <w:tc>
          <w:tcPr>
            <w:tcW w:w="1189" w:type="pct"/>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与下游厂界距离/m</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color w:val="FF0000"/>
                <w:kern w:val="0"/>
                <w:sz w:val="21"/>
                <w:szCs w:val="21"/>
              </w:rPr>
            </w:pPr>
          </w:p>
        </w:tc>
        <w:tc>
          <w:tcPr>
            <w:tcW w:w="415"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w:t>
            </w:r>
          </w:p>
        </w:tc>
        <w:tc>
          <w:tcPr>
            <w:tcW w:w="752"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其他</w:t>
            </w:r>
          </w:p>
        </w:tc>
        <w:tc>
          <w:tcPr>
            <w:tcW w:w="665" w:type="pct"/>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其他</w:t>
            </w:r>
          </w:p>
        </w:tc>
        <w:tc>
          <w:tcPr>
            <w:tcW w:w="582"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III类</w:t>
            </w:r>
          </w:p>
        </w:tc>
        <w:tc>
          <w:tcPr>
            <w:tcW w:w="1003" w:type="pct"/>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K为1.34×10</w:t>
            </w:r>
            <w:r>
              <w:rPr>
                <w:rFonts w:hint="default" w:ascii="Times New Roman" w:hAnsi="Times New Roman" w:cs="Times New Roman"/>
                <w:kern w:val="0"/>
                <w:sz w:val="21"/>
                <w:szCs w:val="21"/>
                <w:vertAlign w:val="superscript"/>
              </w:rPr>
              <w:t>-6</w:t>
            </w:r>
          </w:p>
        </w:tc>
        <w:tc>
          <w:tcPr>
            <w:tcW w:w="1189" w:type="pct"/>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b/>
                <w:bCs/>
                <w:kern w:val="0"/>
                <w:sz w:val="13"/>
                <w:szCs w:val="13"/>
              </w:rPr>
            </w:pPr>
            <w:r>
              <w:rPr>
                <w:rFonts w:hint="default" w:ascii="Times New Roman" w:hAnsi="Times New Roman" w:cs="Times New Roman"/>
                <w:b/>
                <w:bCs/>
                <w:kern w:val="0"/>
                <w:sz w:val="13"/>
                <w:szCs w:val="13"/>
              </w:rPr>
              <w:t>-</w:t>
            </w:r>
          </w:p>
        </w:tc>
      </w:tr>
      <w:tr>
        <w:tblPrEx>
          <w:tblCellMar>
            <w:top w:w="0" w:type="dxa"/>
            <w:left w:w="108" w:type="dxa"/>
            <w:bottom w:w="0" w:type="dxa"/>
            <w:right w:w="108" w:type="dxa"/>
          </w:tblCellMar>
        </w:tblPrEx>
        <w:trPr>
          <w:trHeight w:val="284" w:hRule="atLeast"/>
        </w:trPr>
        <w:tc>
          <w:tcPr>
            <w:tcW w:w="394" w:type="pct"/>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color w:val="FF0000"/>
                <w:kern w:val="0"/>
                <w:sz w:val="21"/>
                <w:szCs w:val="21"/>
              </w:rPr>
            </w:pPr>
          </w:p>
        </w:tc>
        <w:tc>
          <w:tcPr>
            <w:tcW w:w="3417" w:type="pct"/>
            <w:gridSpan w:val="10"/>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b/>
                <w:bCs/>
                <w:kern w:val="0"/>
                <w:sz w:val="21"/>
                <w:szCs w:val="21"/>
              </w:rPr>
            </w:pPr>
            <w:r>
              <w:rPr>
                <w:rFonts w:hint="default" w:ascii="Times New Roman" w:hAnsi="Times New Roman" w:cs="Times New Roman"/>
                <w:b/>
                <w:bCs/>
                <w:kern w:val="0"/>
                <w:sz w:val="21"/>
                <w:szCs w:val="21"/>
              </w:rPr>
              <w:t>地下水环境敏感程度E值</w:t>
            </w:r>
          </w:p>
        </w:tc>
        <w:tc>
          <w:tcPr>
            <w:tcW w:w="1189" w:type="pct"/>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b/>
                <w:bCs/>
                <w:kern w:val="0"/>
                <w:sz w:val="21"/>
                <w:szCs w:val="21"/>
              </w:rPr>
            </w:pPr>
            <w:r>
              <w:rPr>
                <w:rFonts w:hint="default" w:ascii="Times New Roman" w:hAnsi="Times New Roman" w:cs="Times New Roman"/>
                <w:b/>
                <w:bCs/>
                <w:kern w:val="0"/>
                <w:sz w:val="21"/>
                <w:szCs w:val="21"/>
              </w:rPr>
              <w:t>E3</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textAlignment w:val="auto"/>
        <w:rPr>
          <w:rFonts w:hint="default" w:ascii="Times New Roman" w:hAnsi="Times New Roman" w:cs="Times New Roman"/>
          <w:b/>
          <w:bCs/>
        </w:rPr>
      </w:pPr>
      <w:bookmarkStart w:id="940" w:name="_Toc79144711"/>
      <w:r>
        <w:rPr>
          <w:rFonts w:hint="default" w:ascii="Times New Roman" w:hAnsi="Times New Roman" w:cs="Times New Roman"/>
          <w:b/>
          <w:bCs/>
          <w:lang w:val="en-US" w:eastAsia="zh-CN"/>
        </w:rPr>
        <w:t>三、</w:t>
      </w:r>
      <w:r>
        <w:rPr>
          <w:rFonts w:hint="default" w:ascii="Times New Roman" w:hAnsi="Times New Roman" w:cs="Times New Roman"/>
          <w:b/>
          <w:bCs/>
        </w:rPr>
        <w:t>各环境要素环境风险潜势分析结果</w:t>
      </w:r>
      <w:bookmarkEnd w:id="940"/>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根据建设项目涉及的物质和工艺系统的危险性及其所在地的环境敏感程度，结合事故情形下环境影响途径，对建设项目潜在环境危害程度进行概化分析，建设项目环境风险潜势划分表见下表。</w:t>
      </w:r>
    </w:p>
    <w:p>
      <w:pPr>
        <w:pStyle w:val="178"/>
        <w:keepNext w:val="0"/>
        <w:keepLines w:val="0"/>
        <w:pageBreakBefore w:val="0"/>
        <w:widowControl/>
        <w:numPr>
          <w:ilvl w:val="0"/>
          <w:numId w:val="7"/>
        </w:numPr>
        <w:kinsoku/>
        <w:wordWrap/>
        <w:overflowPunct/>
        <w:topLinePunct w:val="0"/>
        <w:autoSpaceDE/>
        <w:autoSpaceDN/>
        <w:bidi w:val="0"/>
        <w:adjustRightInd/>
        <w:snapToGrid/>
        <w:spacing w:beforeLines="0" w:afterLines="0" w:line="360" w:lineRule="auto"/>
        <w:ind w:left="0" w:leftChars="0" w:firstLine="0" w:firstLineChars="0"/>
        <w:textAlignment w:val="auto"/>
        <w:rPr>
          <w:rFonts w:hint="default" w:ascii="Times New Roman" w:hAnsi="Times New Roman" w:cs="Times New Roman"/>
          <w:b/>
        </w:rPr>
      </w:pPr>
      <w:r>
        <w:rPr>
          <w:rFonts w:hint="default" w:ascii="Times New Roman" w:hAnsi="Times New Roman" w:cs="Times New Roman"/>
          <w:b/>
        </w:rPr>
        <w:t>建设项目环境风险潜势划分表</w:t>
      </w:r>
    </w:p>
    <w:tbl>
      <w:tblPr>
        <w:tblStyle w:val="44"/>
        <w:tblW w:w="80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732"/>
        <w:gridCol w:w="1732"/>
        <w:gridCol w:w="1732"/>
        <w:gridCol w:w="1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vMerge w:val="restart"/>
            <w:vAlign w:val="center"/>
          </w:tcPr>
          <w:p>
            <w:pPr>
              <w:pStyle w:val="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环境敏感目标</w:t>
            </w:r>
          </w:p>
        </w:tc>
        <w:tc>
          <w:tcPr>
            <w:tcW w:w="6928" w:type="dxa"/>
            <w:gridSpan w:val="4"/>
            <w:vAlign w:val="center"/>
          </w:tcPr>
          <w:p>
            <w:pPr>
              <w:pStyle w:val="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危险物质及工艺系统危险性（P）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vMerge w:val="continue"/>
            <w:vAlign w:val="center"/>
          </w:tcPr>
          <w:p>
            <w:pPr>
              <w:pStyle w:val="136"/>
              <w:jc w:val="center"/>
              <w:rPr>
                <w:rFonts w:hint="default" w:ascii="Times New Roman" w:hAnsi="Times New Roman" w:eastAsia="宋体" w:cs="Times New Roman"/>
                <w:color w:val="auto"/>
                <w:sz w:val="21"/>
                <w:szCs w:val="21"/>
              </w:rPr>
            </w:pPr>
          </w:p>
        </w:tc>
        <w:tc>
          <w:tcPr>
            <w:tcW w:w="1732" w:type="dxa"/>
            <w:vAlign w:val="center"/>
          </w:tcPr>
          <w:p>
            <w:pPr>
              <w:pStyle w:val="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极高危害（P1）</w:t>
            </w:r>
          </w:p>
        </w:tc>
        <w:tc>
          <w:tcPr>
            <w:tcW w:w="1732" w:type="dxa"/>
            <w:vAlign w:val="center"/>
          </w:tcPr>
          <w:p>
            <w:pPr>
              <w:pStyle w:val="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高度危害（P2）</w:t>
            </w:r>
          </w:p>
        </w:tc>
        <w:tc>
          <w:tcPr>
            <w:tcW w:w="1732" w:type="dxa"/>
            <w:vAlign w:val="center"/>
          </w:tcPr>
          <w:p>
            <w:pPr>
              <w:pStyle w:val="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中度危害（P3）</w:t>
            </w:r>
          </w:p>
        </w:tc>
        <w:tc>
          <w:tcPr>
            <w:tcW w:w="1732" w:type="dxa"/>
            <w:tcBorders>
              <w:bottom w:val="single" w:color="auto" w:sz="4" w:space="0"/>
            </w:tcBorders>
            <w:vAlign w:val="center"/>
          </w:tcPr>
          <w:p>
            <w:pPr>
              <w:pStyle w:val="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轻度危害（P4）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vAlign w:val="center"/>
          </w:tcPr>
          <w:p>
            <w:pPr>
              <w:pStyle w:val="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E1</w:t>
            </w:r>
          </w:p>
        </w:tc>
        <w:tc>
          <w:tcPr>
            <w:tcW w:w="1732" w:type="dxa"/>
            <w:vAlign w:val="center"/>
          </w:tcPr>
          <w:p>
            <w:pPr>
              <w:pStyle w:val="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IV+</w:t>
            </w:r>
          </w:p>
        </w:tc>
        <w:tc>
          <w:tcPr>
            <w:tcW w:w="1732" w:type="dxa"/>
            <w:vAlign w:val="center"/>
          </w:tcPr>
          <w:p>
            <w:pPr>
              <w:pStyle w:val="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IV</w:t>
            </w:r>
          </w:p>
        </w:tc>
        <w:tc>
          <w:tcPr>
            <w:tcW w:w="1732" w:type="dxa"/>
            <w:vAlign w:val="center"/>
          </w:tcPr>
          <w:p>
            <w:pPr>
              <w:pStyle w:val="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III</w:t>
            </w:r>
          </w:p>
        </w:tc>
        <w:tc>
          <w:tcPr>
            <w:tcW w:w="1732" w:type="dxa"/>
            <w:shd w:val="clear" w:color="auto" w:fill="7F7F7F" w:themeFill="text1" w:themeFillTint="7F"/>
            <w:vAlign w:val="center"/>
          </w:tcPr>
          <w:p>
            <w:pPr>
              <w:pStyle w:val="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III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vAlign w:val="center"/>
          </w:tcPr>
          <w:p>
            <w:pPr>
              <w:pStyle w:val="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E2</w:t>
            </w:r>
          </w:p>
        </w:tc>
        <w:tc>
          <w:tcPr>
            <w:tcW w:w="1732" w:type="dxa"/>
            <w:vAlign w:val="center"/>
          </w:tcPr>
          <w:p>
            <w:pPr>
              <w:pStyle w:val="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IV</w:t>
            </w:r>
          </w:p>
        </w:tc>
        <w:tc>
          <w:tcPr>
            <w:tcW w:w="1732" w:type="dxa"/>
            <w:vAlign w:val="center"/>
          </w:tcPr>
          <w:p>
            <w:pPr>
              <w:pStyle w:val="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III</w:t>
            </w:r>
          </w:p>
        </w:tc>
        <w:tc>
          <w:tcPr>
            <w:tcW w:w="1732" w:type="dxa"/>
            <w:vAlign w:val="center"/>
          </w:tcPr>
          <w:p>
            <w:pPr>
              <w:pStyle w:val="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III</w:t>
            </w:r>
          </w:p>
        </w:tc>
        <w:tc>
          <w:tcPr>
            <w:tcW w:w="1732" w:type="dxa"/>
            <w:tcBorders>
              <w:bottom w:val="single" w:color="auto" w:sz="4" w:space="0"/>
            </w:tcBorders>
            <w:shd w:val="clear" w:color="auto" w:fill="7F7F7F" w:themeFill="text1" w:themeFillTint="7F"/>
            <w:vAlign w:val="center"/>
          </w:tcPr>
          <w:p>
            <w:pPr>
              <w:pStyle w:val="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vAlign w:val="center"/>
          </w:tcPr>
          <w:p>
            <w:pPr>
              <w:pStyle w:val="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E3</w:t>
            </w:r>
          </w:p>
        </w:tc>
        <w:tc>
          <w:tcPr>
            <w:tcW w:w="1732" w:type="dxa"/>
            <w:tcBorders>
              <w:bottom w:val="single" w:color="auto" w:sz="4" w:space="0"/>
            </w:tcBorders>
            <w:vAlign w:val="center"/>
          </w:tcPr>
          <w:p>
            <w:pPr>
              <w:pStyle w:val="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III</w:t>
            </w:r>
          </w:p>
        </w:tc>
        <w:tc>
          <w:tcPr>
            <w:tcW w:w="1732" w:type="dxa"/>
            <w:tcBorders>
              <w:bottom w:val="single" w:color="auto" w:sz="4" w:space="0"/>
            </w:tcBorders>
            <w:vAlign w:val="center"/>
          </w:tcPr>
          <w:p>
            <w:pPr>
              <w:pStyle w:val="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III</w:t>
            </w:r>
          </w:p>
        </w:tc>
        <w:tc>
          <w:tcPr>
            <w:tcW w:w="1732" w:type="dxa"/>
            <w:tcBorders>
              <w:bottom w:val="single" w:color="auto" w:sz="4" w:space="0"/>
            </w:tcBorders>
            <w:vAlign w:val="center"/>
          </w:tcPr>
          <w:p>
            <w:pPr>
              <w:pStyle w:val="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II</w:t>
            </w:r>
          </w:p>
        </w:tc>
        <w:tc>
          <w:tcPr>
            <w:tcW w:w="1732" w:type="dxa"/>
            <w:tcBorders>
              <w:bottom w:val="single" w:color="auto" w:sz="4" w:space="0"/>
            </w:tcBorders>
            <w:shd w:val="clear" w:color="auto" w:fill="7F7F7F" w:themeFill="text1" w:themeFillTint="7F"/>
            <w:vAlign w:val="center"/>
          </w:tcPr>
          <w:p>
            <w:pPr>
              <w:pStyle w:val="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62" w:type="dxa"/>
            <w:gridSpan w:val="5"/>
            <w:vAlign w:val="center"/>
          </w:tcPr>
          <w:p>
            <w:pPr>
              <w:pStyle w:val="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注：IV+为极高环境风险</w:t>
            </w:r>
          </w:p>
        </w:tc>
      </w:tr>
    </w:tbl>
    <w:p>
      <w:pPr>
        <w:pStyle w:val="136"/>
        <w:spacing w:beforeLines="50" w:line="360" w:lineRule="auto"/>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根据前文分析，本项目大气环境敏感程度为E1，地表水环境敏感程度为E</w:t>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rPr>
        <w:t>地下水环境敏感程度</w:t>
      </w:r>
      <w:r>
        <w:rPr>
          <w:rFonts w:hint="default" w:ascii="Times New Roman" w:hAnsi="Times New Roman" w:eastAsia="宋体" w:cs="Times New Roman"/>
          <w:color w:val="auto"/>
          <w:lang w:val="en-US" w:eastAsia="zh-CN"/>
        </w:rPr>
        <w:t>为E</w:t>
      </w:r>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lang w:val="en-US" w:eastAsia="zh-CN"/>
        </w:rPr>
        <w:t>，根据划分，本项目大气环境风险潜势为Ⅲ类，地表水</w:t>
      </w:r>
      <w:r>
        <w:rPr>
          <w:rFonts w:hint="default" w:ascii="Times New Roman" w:hAnsi="Times New Roman" w:eastAsia="宋体" w:cs="Times New Roman"/>
          <w:color w:val="auto"/>
          <w:lang w:val="en-US" w:eastAsia="zh-CN"/>
        </w:rPr>
        <w:t>环境风险潜势为</w:t>
      </w:r>
      <w:r>
        <w:rPr>
          <w:rFonts w:hint="default" w:ascii="Times New Roman" w:hAnsi="Times New Roman" w:eastAsia="宋体" w:cs="Times New Roman"/>
          <w:color w:val="auto"/>
          <w:lang w:val="en-US" w:eastAsia="zh-CN"/>
        </w:rPr>
        <w:t>Ⅱ</w:t>
      </w:r>
      <w:r>
        <w:rPr>
          <w:rFonts w:hint="default" w:ascii="Times New Roman" w:hAnsi="Times New Roman" w:eastAsia="宋体" w:cs="Times New Roman"/>
          <w:color w:val="auto"/>
          <w:lang w:val="en-US" w:eastAsia="zh-CN"/>
        </w:rPr>
        <w:t>类</w:t>
      </w:r>
      <w:r>
        <w:rPr>
          <w:rFonts w:hint="default" w:ascii="Times New Roman" w:hAnsi="Times New Roman" w:eastAsia="宋体" w:cs="Times New Roman"/>
          <w:color w:val="auto"/>
          <w:lang w:val="en-US" w:eastAsia="zh-CN"/>
        </w:rPr>
        <w:t>、地下水环境风险潜势为I类</w:t>
      </w:r>
      <w:r>
        <w:rPr>
          <w:rFonts w:hint="default" w:ascii="Times New Roman" w:hAnsi="Times New Roman" w:eastAsia="宋体" w:cs="Times New Roman"/>
          <w:color w:val="auto"/>
        </w:rPr>
        <w:t>。</w:t>
      </w:r>
    </w:p>
    <w:p>
      <w:pPr>
        <w:pStyle w:val="178"/>
        <w:keepNext w:val="0"/>
        <w:keepLines w:val="0"/>
        <w:pageBreakBefore w:val="0"/>
        <w:widowControl/>
        <w:numPr>
          <w:ilvl w:val="0"/>
          <w:numId w:val="7"/>
        </w:numPr>
        <w:kinsoku/>
        <w:wordWrap/>
        <w:overflowPunct/>
        <w:topLinePunct w:val="0"/>
        <w:autoSpaceDE/>
        <w:autoSpaceDN/>
        <w:bidi w:val="0"/>
        <w:adjustRightInd/>
        <w:snapToGrid/>
        <w:spacing w:beforeLines="0" w:afterLines="0" w:line="360" w:lineRule="auto"/>
        <w:ind w:left="0" w:leftChars="0" w:firstLine="0" w:firstLineChars="0"/>
        <w:textAlignment w:val="auto"/>
        <w:rPr>
          <w:rFonts w:hint="default" w:ascii="Times New Roman" w:hAnsi="Times New Roman" w:cs="Times New Roman"/>
          <w:b/>
        </w:rPr>
      </w:pPr>
      <w:r>
        <w:rPr>
          <w:rFonts w:hint="default" w:ascii="Times New Roman" w:hAnsi="Times New Roman" w:cs="Times New Roman"/>
          <w:b/>
        </w:rPr>
        <w:t>环境风险评价工作等级划分</w:t>
      </w:r>
    </w:p>
    <w:tbl>
      <w:tblPr>
        <w:tblStyle w:val="44"/>
        <w:tblW w:w="78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8"/>
        <w:gridCol w:w="1759"/>
        <w:gridCol w:w="1626"/>
        <w:gridCol w:w="1284"/>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8" w:type="dxa"/>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环境风险潜势</w:t>
            </w:r>
          </w:p>
        </w:tc>
        <w:tc>
          <w:tcPr>
            <w:tcW w:w="1759" w:type="dxa"/>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Ⅳ、Ⅳ</w:t>
            </w:r>
            <w:r>
              <w:rPr>
                <w:rFonts w:hint="default" w:ascii="Times New Roman" w:hAnsi="Times New Roman" w:cs="Times New Roman"/>
                <w:bCs/>
                <w:sz w:val="21"/>
                <w:szCs w:val="21"/>
                <w:vertAlign w:val="superscript"/>
              </w:rPr>
              <w:t>+</w:t>
            </w:r>
          </w:p>
        </w:tc>
        <w:tc>
          <w:tcPr>
            <w:tcW w:w="1626" w:type="dxa"/>
            <w:tcBorders>
              <w:bottom w:val="single" w:color="auto" w:sz="4" w:space="0"/>
            </w:tcBorders>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Ⅲ</w:t>
            </w:r>
          </w:p>
        </w:tc>
        <w:tc>
          <w:tcPr>
            <w:tcW w:w="1284" w:type="dxa"/>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Ⅱ</w:t>
            </w:r>
          </w:p>
        </w:tc>
        <w:tc>
          <w:tcPr>
            <w:tcW w:w="1559" w:type="dxa"/>
            <w:tcBorders>
              <w:bottom w:val="single" w:color="auto" w:sz="4" w:space="0"/>
            </w:tcBorders>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8" w:type="dxa"/>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评价工作等级</w:t>
            </w:r>
          </w:p>
        </w:tc>
        <w:tc>
          <w:tcPr>
            <w:tcW w:w="1759" w:type="dxa"/>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一</w:t>
            </w:r>
          </w:p>
        </w:tc>
        <w:tc>
          <w:tcPr>
            <w:tcW w:w="1626" w:type="dxa"/>
            <w:shd w:val="clear" w:color="auto" w:fill="7F7F7F" w:themeFill="text1" w:themeFillTint="7F"/>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二</w:t>
            </w:r>
          </w:p>
        </w:tc>
        <w:tc>
          <w:tcPr>
            <w:tcW w:w="1284" w:type="dxa"/>
            <w:shd w:val="clear" w:color="auto" w:fill="7F7F7F" w:themeFill="text1" w:themeFillTint="7F"/>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三</w:t>
            </w:r>
          </w:p>
        </w:tc>
        <w:tc>
          <w:tcPr>
            <w:tcW w:w="1559" w:type="dxa"/>
            <w:shd w:val="clear" w:color="auto" w:fill="7F7F7F" w:themeFill="text1" w:themeFillTint="7F"/>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简单分析</w:t>
            </w:r>
            <w:r>
              <w:rPr>
                <w:rFonts w:hint="default" w:ascii="Times New Roman" w:hAnsi="Times New Roman" w:cs="Times New Roman"/>
                <w:sz w:val="21"/>
                <w:szCs w:val="21"/>
                <w:vertAlign w:val="superscript"/>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76" w:type="dxa"/>
            <w:gridSpan w:val="5"/>
            <w:vAlign w:val="center"/>
          </w:tcPr>
          <w:p>
            <w:pPr>
              <w:adjustRightInd w:val="0"/>
              <w:snapToGrid w:val="0"/>
              <w:jc w:val="left"/>
              <w:rPr>
                <w:rFonts w:hint="default" w:ascii="Times New Roman" w:hAnsi="Times New Roman" w:cs="Times New Roman"/>
                <w:b/>
                <w:sz w:val="21"/>
                <w:szCs w:val="21"/>
              </w:rPr>
            </w:pPr>
            <w:r>
              <w:rPr>
                <w:rFonts w:hint="default" w:ascii="Times New Roman" w:hAnsi="Times New Roman" w:cs="Times New Roman"/>
                <w:sz w:val="21"/>
                <w:szCs w:val="21"/>
                <w:vertAlign w:val="superscript"/>
              </w:rPr>
              <w:t>a</w:t>
            </w:r>
            <w:r>
              <w:rPr>
                <w:rFonts w:hint="default" w:ascii="Times New Roman" w:hAnsi="Times New Roman" w:cs="Times New Roman"/>
                <w:sz w:val="21"/>
                <w:szCs w:val="21"/>
              </w:rPr>
              <w:t>是相对于详细评价工作内容而言，在描述危险物质、环境影响途径、环境危害后果、风险防范措施等方面给出定性的说明。见附录A。</w:t>
            </w:r>
          </w:p>
        </w:tc>
      </w:tr>
    </w:tbl>
    <w:p>
      <w:pPr>
        <w:pStyle w:val="136"/>
        <w:spacing w:beforeLines="50" w:line="360" w:lineRule="auto"/>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对照上表可知，本项目大气环境风险评价工作等级为二级；地表水</w:t>
      </w:r>
      <w:r>
        <w:rPr>
          <w:rFonts w:hint="default" w:ascii="Times New Roman" w:hAnsi="Times New Roman" w:eastAsia="宋体" w:cs="Times New Roman"/>
          <w:color w:val="auto"/>
          <w:lang w:eastAsia="zh-CN"/>
        </w:rPr>
        <w:t>环境风险评价工作等级为三级；</w:t>
      </w:r>
      <w:r>
        <w:rPr>
          <w:rFonts w:hint="default" w:ascii="Times New Roman" w:hAnsi="Times New Roman" w:eastAsia="宋体" w:cs="Times New Roman"/>
          <w:color w:val="auto"/>
        </w:rPr>
        <w:t>地下水环境风险评价工作等级为简单分析。</w:t>
      </w:r>
    </w:p>
    <w:p>
      <w:pPr>
        <w:spacing w:line="360" w:lineRule="auto"/>
        <w:ind w:firstLine="482"/>
        <w:rPr>
          <w:rFonts w:hint="default" w:ascii="Times New Roman" w:hAnsi="Times New Roman" w:cs="Times New Roman"/>
          <w:color w:val="FF0000"/>
        </w:rPr>
      </w:pPr>
      <w:r>
        <w:rPr>
          <w:rFonts w:hint="default" w:ascii="Times New Roman" w:hAnsi="Times New Roman" w:cs="Times New Roman"/>
          <w:color w:val="auto"/>
        </w:rPr>
        <w:t>大气环境风险评价范围为本项目厂界外5 km范围区域；</w:t>
      </w:r>
      <w:r>
        <w:rPr>
          <w:rFonts w:hint="default" w:ascii="Times New Roman" w:hAnsi="Times New Roman" w:cs="Times New Roman"/>
          <w:color w:val="auto"/>
          <w:lang w:eastAsia="zh-CN"/>
        </w:rPr>
        <w:t>地表水环境风险评价范围与地表水评价范围一致，为</w:t>
      </w:r>
      <w:r>
        <w:rPr>
          <w:rFonts w:hint="default" w:ascii="Times New Roman" w:hAnsi="Times New Roman" w:cs="Times New Roman"/>
          <w:bCs/>
          <w:caps/>
          <w:color w:val="auto"/>
          <w:spacing w:val="10"/>
          <w:szCs w:val="20"/>
        </w:rPr>
        <w:t>青龙河下富线断面至青龙河鹿城东路断面约3.2</w:t>
      </w:r>
      <w:r>
        <w:rPr>
          <w:rFonts w:hint="default" w:ascii="Times New Roman" w:hAnsi="Times New Roman" w:cs="Times New Roman"/>
          <w:color w:val="auto"/>
        </w:rPr>
        <w:t>km</w:t>
      </w:r>
      <w:r>
        <w:rPr>
          <w:rFonts w:hint="default" w:ascii="Times New Roman" w:hAnsi="Times New Roman" w:cs="Times New Roman"/>
          <w:bCs/>
          <w:caps/>
          <w:color w:val="auto"/>
          <w:spacing w:val="10"/>
          <w:szCs w:val="20"/>
        </w:rPr>
        <w:t>的区域</w:t>
      </w:r>
      <w:r>
        <w:rPr>
          <w:rFonts w:hint="default" w:ascii="Times New Roman" w:hAnsi="Times New Roman" w:cs="Times New Roman"/>
          <w:bCs/>
          <w:caps/>
          <w:color w:val="auto"/>
          <w:spacing w:val="10"/>
          <w:szCs w:val="20"/>
          <w:lang w:eastAsia="zh-CN"/>
        </w:rPr>
        <w:t>；</w:t>
      </w:r>
      <w:r>
        <w:rPr>
          <w:rFonts w:hint="default" w:ascii="Times New Roman" w:hAnsi="Times New Roman" w:cs="Times New Roman"/>
          <w:color w:val="auto"/>
        </w:rPr>
        <w:t>根据《建设项目环境风险评价技术导则》（HJ169－2018）附录A可知，地下水评价工作等级为简单分析，主要进行风险防范措施的可行</w:t>
      </w:r>
      <w:r>
        <w:rPr>
          <w:rFonts w:hint="default" w:ascii="Times New Roman" w:hAnsi="Times New Roman" w:cs="Times New Roman"/>
        </w:rPr>
        <w:t>性分析，不设置评价范围。</w:t>
      </w:r>
    </w:p>
    <w:p>
      <w:pPr>
        <w:pStyle w:val="6"/>
        <w:spacing w:before="0" w:after="0" w:line="360" w:lineRule="auto"/>
        <w:rPr>
          <w:rFonts w:hint="default" w:ascii="Times New Roman" w:hAnsi="Times New Roman" w:eastAsia="宋体" w:cs="Times New Roman"/>
          <w:color w:val="auto"/>
          <w:sz w:val="28"/>
          <w:szCs w:val="28"/>
          <w:lang w:val="en-US" w:eastAsia="zh-CN"/>
        </w:rPr>
      </w:pPr>
      <w:bookmarkStart w:id="941" w:name="_Toc6680"/>
      <w:r>
        <w:rPr>
          <w:rFonts w:hint="default" w:ascii="Times New Roman" w:hAnsi="Times New Roman" w:cs="Times New Roman"/>
          <w:color w:val="auto"/>
          <w:sz w:val="28"/>
          <w:szCs w:val="28"/>
          <w:lang w:val="en-US" w:eastAsia="zh-CN"/>
        </w:rPr>
        <w:t>5</w:t>
      </w:r>
      <w:r>
        <w:rPr>
          <w:rFonts w:hint="default" w:ascii="Times New Roman" w:hAnsi="Times New Roman" w:eastAsia="宋体" w:cs="Times New Roman"/>
          <w:color w:val="auto"/>
          <w:sz w:val="28"/>
          <w:szCs w:val="28"/>
          <w:lang w:val="en-US" w:eastAsia="zh-CN"/>
        </w:rPr>
        <w:t>.</w:t>
      </w:r>
      <w:r>
        <w:rPr>
          <w:rFonts w:hint="default" w:ascii="Times New Roman" w:hAnsi="Times New Roman" w:cs="Times New Roman"/>
          <w:color w:val="auto"/>
          <w:sz w:val="28"/>
          <w:szCs w:val="28"/>
          <w:lang w:val="en-US" w:eastAsia="zh-CN"/>
        </w:rPr>
        <w:t>3</w:t>
      </w:r>
      <w:r>
        <w:rPr>
          <w:rFonts w:hint="default" w:ascii="Times New Roman" w:hAnsi="Times New Roman" w:cs="Times New Roman"/>
          <w:color w:val="auto"/>
          <w:sz w:val="28"/>
          <w:szCs w:val="28"/>
          <w:lang w:val="en-US" w:eastAsia="zh-CN"/>
        </w:rPr>
        <w:t>.5</w:t>
      </w:r>
      <w:r>
        <w:rPr>
          <w:rFonts w:hint="default" w:ascii="Times New Roman" w:hAnsi="Times New Roman" w:eastAsia="宋体" w:cs="Times New Roman"/>
          <w:color w:val="auto"/>
          <w:sz w:val="28"/>
          <w:szCs w:val="28"/>
          <w:lang w:val="en-US" w:eastAsia="zh-CN"/>
        </w:rPr>
        <w:t>环境风险识别</w:t>
      </w:r>
      <w:bookmarkEnd w:id="941"/>
    </w:p>
    <w:p>
      <w:pPr>
        <w:pStyle w:val="136"/>
        <w:spacing w:line="360" w:lineRule="auto"/>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风险识别范围包括物质危险性识别、生产系统危险性识别和危险物质向环境转移的途径识别。本项目涉及的原辅材料、中间产物、副产物及产生的污染物，由于具有有毒、有害、易燃、易爆等多样性，且生产工艺控制、设备运行的复杂性，存在多种不同性质的潜在风险事故，可能造成的环境风险类型为泄漏、火灾和爆炸。</w:t>
      </w:r>
    </w:p>
    <w:p>
      <w:pPr>
        <w:pStyle w:val="136"/>
        <w:spacing w:line="360" w:lineRule="auto"/>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1、物质危险性识别</w:t>
      </w:r>
    </w:p>
    <w:p>
      <w:pPr>
        <w:pStyle w:val="136"/>
        <w:spacing w:line="360" w:lineRule="auto"/>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eastAsia="zh-CN"/>
        </w:rPr>
        <w:t>上文危险物质调查中已对项目涉及的</w:t>
      </w:r>
      <w:r>
        <w:rPr>
          <w:rFonts w:hint="default" w:ascii="Times New Roman" w:hAnsi="Times New Roman" w:eastAsia="宋体" w:cs="Times New Roman"/>
          <w:color w:val="auto"/>
        </w:rPr>
        <w:t>原辅材料、中间产物、副产物及产生的污染物</w:t>
      </w:r>
      <w:r>
        <w:rPr>
          <w:rFonts w:hint="default" w:ascii="Times New Roman" w:hAnsi="Times New Roman" w:eastAsia="宋体" w:cs="Times New Roman"/>
          <w:color w:val="auto"/>
          <w:lang w:eastAsia="zh-CN"/>
        </w:rPr>
        <w:t>进行了物质危险性识别，识别结果及危险物质的理化性质详见</w:t>
      </w:r>
      <w:r>
        <w:rPr>
          <w:rFonts w:hint="default" w:ascii="Times New Roman" w:hAnsi="Times New Roman" w:eastAsia="宋体" w:cs="Times New Roman"/>
          <w:color w:val="auto"/>
          <w:lang w:val="en-US" w:eastAsia="zh-CN"/>
        </w:rPr>
        <w:t>5.3.3章节</w:t>
      </w:r>
      <w:r>
        <w:rPr>
          <w:rFonts w:hint="default" w:ascii="Times New Roman" w:hAnsi="Times New Roman" w:eastAsia="宋体" w:cs="Times New Roman"/>
          <w:color w:val="auto"/>
          <w:lang w:eastAsia="zh-CN"/>
        </w:rPr>
        <w:t>。</w:t>
      </w:r>
    </w:p>
    <w:p>
      <w:pPr>
        <w:pStyle w:val="136"/>
        <w:spacing w:line="360" w:lineRule="auto"/>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2、生产系统危险性识别</w:t>
      </w:r>
    </w:p>
    <w:p>
      <w:pPr>
        <w:spacing w:line="360" w:lineRule="auto"/>
        <w:ind w:firstLine="482"/>
        <w:rPr>
          <w:rFonts w:hint="default" w:ascii="Times New Roman" w:hAnsi="Times New Roman" w:cs="Times New Roman"/>
          <w:color w:val="auto"/>
        </w:rPr>
      </w:pPr>
      <w:r>
        <w:rPr>
          <w:rFonts w:hint="default" w:ascii="Times New Roman" w:hAnsi="Times New Roman" w:cs="Times New Roman"/>
          <w:color w:val="auto"/>
        </w:rPr>
        <w:t>项目生产系统危险单元可分为存储设施、生产装置以及环保设施，风险的类型根据有毒有害物质放散起因，分为火灾、爆炸和泄漏三种类型。</w:t>
      </w:r>
      <w:r>
        <w:rPr>
          <w:rFonts w:hint="default" w:ascii="Times New Roman" w:hAnsi="Times New Roman" w:cs="Times New Roman"/>
          <w:color w:val="auto"/>
          <w:lang w:eastAsia="zh-CN"/>
        </w:rPr>
        <w:t>根据项目生产特点，</w:t>
      </w:r>
      <w:r>
        <w:rPr>
          <w:rFonts w:hint="default" w:ascii="Times New Roman" w:hAnsi="Times New Roman" w:cs="Times New Roman"/>
          <w:color w:val="auto"/>
        </w:rPr>
        <w:t>本</w:t>
      </w:r>
      <w:r>
        <w:rPr>
          <w:rFonts w:hint="default" w:ascii="Times New Roman" w:hAnsi="Times New Roman" w:cs="Times New Roman"/>
          <w:color w:val="auto"/>
          <w:lang w:eastAsia="zh-CN"/>
        </w:rPr>
        <w:t>项目的</w:t>
      </w:r>
      <w:r>
        <w:rPr>
          <w:rFonts w:hint="default" w:ascii="Times New Roman" w:hAnsi="Times New Roman" w:cs="Times New Roman"/>
          <w:color w:val="auto"/>
        </w:rPr>
        <w:t>风险源环境风险类型、转化为事故的触发因素以及可能的环境影响途径见下表。</w:t>
      </w:r>
    </w:p>
    <w:p>
      <w:pPr>
        <w:pStyle w:val="178"/>
        <w:keepNext w:val="0"/>
        <w:keepLines w:val="0"/>
        <w:pageBreakBefore w:val="0"/>
        <w:widowControl/>
        <w:numPr>
          <w:ilvl w:val="0"/>
          <w:numId w:val="7"/>
        </w:numPr>
        <w:kinsoku/>
        <w:wordWrap/>
        <w:overflowPunct/>
        <w:topLinePunct w:val="0"/>
        <w:autoSpaceDE/>
        <w:autoSpaceDN/>
        <w:bidi w:val="0"/>
        <w:adjustRightInd/>
        <w:snapToGrid/>
        <w:spacing w:beforeLines="0" w:afterLines="0" w:line="360" w:lineRule="auto"/>
        <w:ind w:left="0" w:leftChars="0" w:firstLine="0" w:firstLineChars="0"/>
        <w:textAlignment w:val="auto"/>
        <w:rPr>
          <w:rFonts w:hint="default" w:ascii="Times New Roman" w:hAnsi="Times New Roman" w:cs="Times New Roman"/>
          <w:b/>
          <w:color w:val="auto"/>
        </w:rPr>
      </w:pPr>
      <w:r>
        <w:rPr>
          <w:rFonts w:hint="default" w:ascii="Times New Roman" w:hAnsi="Times New Roman" w:cs="Times New Roman"/>
          <w:b/>
          <w:color w:val="auto"/>
        </w:rPr>
        <w:t>项目环境风险源识别表</w:t>
      </w:r>
    </w:p>
    <w:tbl>
      <w:tblPr>
        <w:tblStyle w:val="44"/>
        <w:tblW w:w="75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1" w:type="dxa"/>
          <w:left w:w="11" w:type="dxa"/>
          <w:bottom w:w="11" w:type="dxa"/>
          <w:right w:w="11" w:type="dxa"/>
        </w:tblCellMar>
      </w:tblPr>
      <w:tblGrid>
        <w:gridCol w:w="992"/>
        <w:gridCol w:w="1276"/>
        <w:gridCol w:w="992"/>
        <w:gridCol w:w="1378"/>
        <w:gridCol w:w="1060"/>
        <w:gridCol w:w="18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1" w:type="dxa"/>
            <w:bottom w:w="11" w:type="dxa"/>
            <w:right w:w="11" w:type="dxa"/>
          </w:tblCellMar>
        </w:tblPrEx>
        <w:trPr>
          <w:trHeight w:val="20" w:hRule="atLeast"/>
          <w:jc w:val="center"/>
        </w:trPr>
        <w:tc>
          <w:tcPr>
            <w:tcW w:w="992" w:type="dxa"/>
            <w:vAlign w:val="center"/>
          </w:tcPr>
          <w:p>
            <w:pPr>
              <w:widowControl/>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分布位置</w:t>
            </w:r>
          </w:p>
        </w:tc>
        <w:tc>
          <w:tcPr>
            <w:tcW w:w="1276" w:type="dxa"/>
            <w:vAlign w:val="center"/>
          </w:tcPr>
          <w:p>
            <w:pPr>
              <w:widowControl/>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危险单元</w:t>
            </w:r>
          </w:p>
        </w:tc>
        <w:tc>
          <w:tcPr>
            <w:tcW w:w="992" w:type="dxa"/>
            <w:vAlign w:val="center"/>
          </w:tcPr>
          <w:p>
            <w:pPr>
              <w:widowControl/>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危险物质</w:t>
            </w:r>
          </w:p>
        </w:tc>
        <w:tc>
          <w:tcPr>
            <w:tcW w:w="1378" w:type="dxa"/>
            <w:vAlign w:val="center"/>
          </w:tcPr>
          <w:p>
            <w:pPr>
              <w:widowControl/>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危险因素</w:t>
            </w:r>
          </w:p>
        </w:tc>
        <w:tc>
          <w:tcPr>
            <w:tcW w:w="1060" w:type="dxa"/>
            <w:vAlign w:val="center"/>
          </w:tcPr>
          <w:p>
            <w:pPr>
              <w:widowControl/>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环境影响途径</w:t>
            </w:r>
          </w:p>
        </w:tc>
        <w:tc>
          <w:tcPr>
            <w:tcW w:w="1813" w:type="dxa"/>
            <w:vAlign w:val="center"/>
          </w:tcPr>
          <w:p>
            <w:pPr>
              <w:widowControl/>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可能受影响的环境敏感目标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1" w:type="dxa"/>
            <w:bottom w:w="11" w:type="dxa"/>
            <w:right w:w="11" w:type="dxa"/>
          </w:tblCellMar>
        </w:tblPrEx>
        <w:trPr>
          <w:trHeight w:val="245" w:hRule="atLeast"/>
          <w:jc w:val="center"/>
        </w:trPr>
        <w:tc>
          <w:tcPr>
            <w:tcW w:w="992" w:type="dxa"/>
            <w:vMerge w:val="restart"/>
            <w:vAlign w:val="center"/>
          </w:tcPr>
          <w:p>
            <w:pPr>
              <w:widowControl/>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eastAsia="zh-CN"/>
              </w:rPr>
              <w:t>化学品库</w:t>
            </w:r>
          </w:p>
        </w:tc>
        <w:tc>
          <w:tcPr>
            <w:tcW w:w="1276" w:type="dxa"/>
            <w:vMerge w:val="restart"/>
            <w:vAlign w:val="center"/>
          </w:tcPr>
          <w:p>
            <w:pPr>
              <w:widowControl/>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储存设施</w:t>
            </w:r>
          </w:p>
        </w:tc>
        <w:tc>
          <w:tcPr>
            <w:tcW w:w="992" w:type="dxa"/>
            <w:vMerge w:val="restart"/>
            <w:vAlign w:val="center"/>
          </w:tcPr>
          <w:p>
            <w:pPr>
              <w:widowControl/>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工业酒精</w:t>
            </w:r>
          </w:p>
        </w:tc>
        <w:tc>
          <w:tcPr>
            <w:tcW w:w="1378" w:type="dxa"/>
            <w:vMerge w:val="restart"/>
            <w:vAlign w:val="center"/>
          </w:tcPr>
          <w:p>
            <w:pPr>
              <w:widowControl/>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泄漏</w:t>
            </w:r>
            <w:r>
              <w:rPr>
                <w:rFonts w:hint="default" w:ascii="Times New Roman" w:hAnsi="Times New Roman" w:cs="Times New Roman"/>
                <w:color w:val="auto"/>
                <w:sz w:val="21"/>
                <w:szCs w:val="21"/>
                <w:lang w:eastAsia="zh-CN"/>
              </w:rPr>
              <w:t>、火灾爆炸</w:t>
            </w:r>
          </w:p>
        </w:tc>
        <w:tc>
          <w:tcPr>
            <w:tcW w:w="1060" w:type="dxa"/>
            <w:vAlign w:val="center"/>
          </w:tcPr>
          <w:p>
            <w:pPr>
              <w:widowControl/>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大气</w:t>
            </w:r>
          </w:p>
        </w:tc>
        <w:tc>
          <w:tcPr>
            <w:tcW w:w="1813" w:type="dxa"/>
            <w:vAlign w:val="center"/>
          </w:tcPr>
          <w:p>
            <w:pPr>
              <w:pStyle w:val="167"/>
              <w:rPr>
                <w:rFonts w:hint="default" w:ascii="Times New Roman" w:hAnsi="Times New Roman" w:eastAsia="宋体" w:cs="Times New Roman"/>
                <w:color w:val="auto"/>
                <w:szCs w:val="21"/>
                <w:lang w:eastAsia="zh-CN"/>
              </w:rPr>
            </w:pPr>
            <w:r>
              <w:rPr>
                <w:rFonts w:hint="default" w:ascii="Times New Roman" w:hAnsi="Times New Roman" w:cs="Times New Roman"/>
                <w:color w:val="auto"/>
                <w:kern w:val="2"/>
                <w:szCs w:val="21"/>
                <w:lang w:val="en-US" w:eastAsia="zh-CN"/>
              </w:rPr>
              <w:t>周边居民点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1" w:type="dxa"/>
            <w:bottom w:w="11" w:type="dxa"/>
            <w:right w:w="11" w:type="dxa"/>
          </w:tblCellMar>
        </w:tblPrEx>
        <w:trPr>
          <w:trHeight w:val="244" w:hRule="atLeast"/>
          <w:jc w:val="center"/>
        </w:trPr>
        <w:tc>
          <w:tcPr>
            <w:tcW w:w="992" w:type="dxa"/>
            <w:vMerge w:val="continue"/>
            <w:vAlign w:val="center"/>
          </w:tcPr>
          <w:p>
            <w:pPr>
              <w:widowControl/>
              <w:snapToGrid w:val="0"/>
              <w:jc w:val="center"/>
              <w:rPr>
                <w:rFonts w:hint="default" w:ascii="Times New Roman" w:hAnsi="Times New Roman" w:cs="Times New Roman"/>
                <w:color w:val="auto"/>
                <w:sz w:val="21"/>
                <w:szCs w:val="21"/>
              </w:rPr>
            </w:pPr>
          </w:p>
        </w:tc>
        <w:tc>
          <w:tcPr>
            <w:tcW w:w="1276" w:type="dxa"/>
            <w:vMerge w:val="continue"/>
            <w:vAlign w:val="center"/>
          </w:tcPr>
          <w:p>
            <w:pPr>
              <w:widowControl/>
              <w:snapToGrid w:val="0"/>
              <w:jc w:val="center"/>
              <w:rPr>
                <w:rFonts w:hint="default" w:ascii="Times New Roman" w:hAnsi="Times New Roman" w:cs="Times New Roman"/>
                <w:color w:val="auto"/>
                <w:sz w:val="21"/>
                <w:szCs w:val="21"/>
              </w:rPr>
            </w:pPr>
          </w:p>
        </w:tc>
        <w:tc>
          <w:tcPr>
            <w:tcW w:w="992" w:type="dxa"/>
            <w:vMerge w:val="continue"/>
            <w:vAlign w:val="center"/>
          </w:tcPr>
          <w:p>
            <w:pPr>
              <w:widowControl/>
              <w:snapToGrid w:val="0"/>
              <w:jc w:val="center"/>
              <w:rPr>
                <w:rFonts w:hint="default" w:ascii="Times New Roman" w:hAnsi="Times New Roman" w:cs="Times New Roman"/>
                <w:color w:val="auto"/>
                <w:sz w:val="21"/>
                <w:szCs w:val="21"/>
              </w:rPr>
            </w:pPr>
          </w:p>
        </w:tc>
        <w:tc>
          <w:tcPr>
            <w:tcW w:w="1378" w:type="dxa"/>
            <w:vMerge w:val="continue"/>
            <w:vAlign w:val="center"/>
          </w:tcPr>
          <w:p>
            <w:pPr>
              <w:widowControl/>
              <w:snapToGrid w:val="0"/>
              <w:jc w:val="center"/>
              <w:rPr>
                <w:rFonts w:hint="default" w:ascii="Times New Roman" w:hAnsi="Times New Roman" w:cs="Times New Roman"/>
                <w:color w:val="auto"/>
                <w:sz w:val="21"/>
                <w:szCs w:val="21"/>
              </w:rPr>
            </w:pPr>
          </w:p>
        </w:tc>
        <w:tc>
          <w:tcPr>
            <w:tcW w:w="1060" w:type="dxa"/>
            <w:vAlign w:val="center"/>
          </w:tcPr>
          <w:p>
            <w:pPr>
              <w:widowControl/>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地表水</w:t>
            </w:r>
          </w:p>
        </w:tc>
        <w:tc>
          <w:tcPr>
            <w:tcW w:w="1813" w:type="dxa"/>
            <w:vAlign w:val="center"/>
          </w:tcPr>
          <w:p>
            <w:pPr>
              <w:pStyle w:val="167"/>
              <w:rPr>
                <w:rFonts w:hint="default" w:ascii="Times New Roman" w:hAnsi="Times New Roman" w:cs="Times New Roman"/>
                <w:color w:val="auto"/>
                <w:kern w:val="2"/>
                <w:szCs w:val="21"/>
              </w:rPr>
            </w:pPr>
            <w:r>
              <w:rPr>
                <w:rFonts w:hint="default" w:ascii="Times New Roman" w:hAnsi="Times New Roman" w:cs="Times New Roman"/>
                <w:color w:val="auto"/>
                <w:szCs w:val="21"/>
              </w:rPr>
              <w:t>青龙河、龙川江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1" w:type="dxa"/>
            <w:bottom w:w="11" w:type="dxa"/>
            <w:right w:w="11" w:type="dxa"/>
          </w:tblCellMar>
        </w:tblPrEx>
        <w:trPr>
          <w:trHeight w:val="244" w:hRule="atLeast"/>
          <w:jc w:val="center"/>
        </w:trPr>
        <w:tc>
          <w:tcPr>
            <w:tcW w:w="992" w:type="dxa"/>
            <w:vMerge w:val="continue"/>
            <w:vAlign w:val="center"/>
          </w:tcPr>
          <w:p>
            <w:pPr>
              <w:widowControl/>
              <w:snapToGrid w:val="0"/>
              <w:jc w:val="center"/>
              <w:rPr>
                <w:rFonts w:hint="default" w:ascii="Times New Roman" w:hAnsi="Times New Roman" w:cs="Times New Roman"/>
                <w:color w:val="auto"/>
                <w:sz w:val="21"/>
                <w:szCs w:val="21"/>
              </w:rPr>
            </w:pPr>
          </w:p>
        </w:tc>
        <w:tc>
          <w:tcPr>
            <w:tcW w:w="1276" w:type="dxa"/>
            <w:vMerge w:val="continue"/>
            <w:vAlign w:val="center"/>
          </w:tcPr>
          <w:p>
            <w:pPr>
              <w:widowControl/>
              <w:snapToGrid w:val="0"/>
              <w:jc w:val="center"/>
              <w:rPr>
                <w:rFonts w:hint="default" w:ascii="Times New Roman" w:hAnsi="Times New Roman" w:cs="Times New Roman"/>
                <w:color w:val="auto"/>
                <w:sz w:val="21"/>
                <w:szCs w:val="21"/>
              </w:rPr>
            </w:pPr>
          </w:p>
        </w:tc>
        <w:tc>
          <w:tcPr>
            <w:tcW w:w="992" w:type="dxa"/>
            <w:vMerge w:val="continue"/>
            <w:vAlign w:val="center"/>
          </w:tcPr>
          <w:p>
            <w:pPr>
              <w:widowControl/>
              <w:snapToGrid w:val="0"/>
              <w:jc w:val="center"/>
              <w:rPr>
                <w:rFonts w:hint="default" w:ascii="Times New Roman" w:hAnsi="Times New Roman" w:cs="Times New Roman"/>
                <w:color w:val="auto"/>
                <w:sz w:val="21"/>
                <w:szCs w:val="21"/>
              </w:rPr>
            </w:pPr>
          </w:p>
        </w:tc>
        <w:tc>
          <w:tcPr>
            <w:tcW w:w="1378" w:type="dxa"/>
            <w:vMerge w:val="continue"/>
            <w:vAlign w:val="center"/>
          </w:tcPr>
          <w:p>
            <w:pPr>
              <w:widowControl/>
              <w:snapToGrid w:val="0"/>
              <w:jc w:val="center"/>
              <w:rPr>
                <w:rFonts w:hint="default" w:ascii="Times New Roman" w:hAnsi="Times New Roman" w:cs="Times New Roman"/>
                <w:color w:val="auto"/>
                <w:sz w:val="21"/>
                <w:szCs w:val="21"/>
              </w:rPr>
            </w:pPr>
          </w:p>
        </w:tc>
        <w:tc>
          <w:tcPr>
            <w:tcW w:w="1060" w:type="dxa"/>
            <w:vAlign w:val="center"/>
          </w:tcPr>
          <w:p>
            <w:pPr>
              <w:widowControl/>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地下水</w:t>
            </w:r>
          </w:p>
        </w:tc>
        <w:tc>
          <w:tcPr>
            <w:tcW w:w="1813" w:type="dxa"/>
            <w:vAlign w:val="center"/>
          </w:tcPr>
          <w:p>
            <w:pPr>
              <w:pStyle w:val="167"/>
              <w:rPr>
                <w:rFonts w:hint="default" w:ascii="Times New Roman" w:hAnsi="Times New Roman" w:cs="Times New Roman"/>
                <w:color w:val="auto"/>
                <w:szCs w:val="21"/>
              </w:rPr>
            </w:pPr>
            <w:r>
              <w:rPr>
                <w:rFonts w:hint="default" w:ascii="Times New Roman" w:hAnsi="Times New Roman" w:cs="Times New Roman"/>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1" w:type="dxa"/>
            <w:bottom w:w="11" w:type="dxa"/>
            <w:right w:w="11" w:type="dxa"/>
          </w:tblCellMar>
        </w:tblPrEx>
        <w:trPr>
          <w:trHeight w:val="244" w:hRule="atLeast"/>
          <w:jc w:val="center"/>
        </w:trPr>
        <w:tc>
          <w:tcPr>
            <w:tcW w:w="992" w:type="dxa"/>
            <w:vMerge w:val="continue"/>
            <w:vAlign w:val="center"/>
          </w:tcPr>
          <w:p>
            <w:pPr>
              <w:widowControl/>
              <w:snapToGrid w:val="0"/>
              <w:jc w:val="center"/>
              <w:rPr>
                <w:rFonts w:hint="default" w:ascii="Times New Roman" w:hAnsi="Times New Roman" w:cs="Times New Roman"/>
                <w:color w:val="auto"/>
                <w:sz w:val="21"/>
                <w:szCs w:val="21"/>
              </w:rPr>
            </w:pPr>
          </w:p>
        </w:tc>
        <w:tc>
          <w:tcPr>
            <w:tcW w:w="1276" w:type="dxa"/>
            <w:vMerge w:val="continue"/>
            <w:vAlign w:val="center"/>
          </w:tcPr>
          <w:p>
            <w:pPr>
              <w:widowControl/>
              <w:snapToGrid w:val="0"/>
              <w:jc w:val="center"/>
              <w:rPr>
                <w:rFonts w:hint="default" w:ascii="Times New Roman" w:hAnsi="Times New Roman" w:cs="Times New Roman"/>
                <w:color w:val="auto"/>
                <w:sz w:val="21"/>
                <w:szCs w:val="21"/>
              </w:rPr>
            </w:pPr>
          </w:p>
        </w:tc>
        <w:tc>
          <w:tcPr>
            <w:tcW w:w="992" w:type="dxa"/>
            <w:vMerge w:val="continue"/>
            <w:vAlign w:val="center"/>
          </w:tcPr>
          <w:p>
            <w:pPr>
              <w:widowControl/>
              <w:snapToGrid w:val="0"/>
              <w:jc w:val="center"/>
              <w:rPr>
                <w:rFonts w:hint="default" w:ascii="Times New Roman" w:hAnsi="Times New Roman" w:cs="Times New Roman"/>
                <w:color w:val="auto"/>
                <w:sz w:val="21"/>
                <w:szCs w:val="21"/>
              </w:rPr>
            </w:pPr>
          </w:p>
        </w:tc>
        <w:tc>
          <w:tcPr>
            <w:tcW w:w="1378" w:type="dxa"/>
            <w:vMerge w:val="continue"/>
            <w:vAlign w:val="center"/>
          </w:tcPr>
          <w:p>
            <w:pPr>
              <w:widowControl/>
              <w:snapToGrid w:val="0"/>
              <w:jc w:val="center"/>
              <w:rPr>
                <w:rFonts w:hint="default" w:ascii="Times New Roman" w:hAnsi="Times New Roman" w:cs="Times New Roman"/>
                <w:color w:val="auto"/>
                <w:sz w:val="21"/>
                <w:szCs w:val="21"/>
              </w:rPr>
            </w:pPr>
          </w:p>
        </w:tc>
        <w:tc>
          <w:tcPr>
            <w:tcW w:w="1060" w:type="dxa"/>
            <w:vAlign w:val="center"/>
          </w:tcPr>
          <w:p>
            <w:pPr>
              <w:widowControl/>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土壤</w:t>
            </w:r>
          </w:p>
        </w:tc>
        <w:tc>
          <w:tcPr>
            <w:tcW w:w="1813" w:type="dxa"/>
            <w:vAlign w:val="center"/>
          </w:tcPr>
          <w:p>
            <w:pPr>
              <w:pStyle w:val="167"/>
              <w:rPr>
                <w:rFonts w:hint="default" w:ascii="Times New Roman" w:hAnsi="Times New Roman" w:cs="Times New Roman"/>
                <w:color w:val="auto"/>
                <w:szCs w:val="21"/>
              </w:rPr>
            </w:pPr>
            <w:r>
              <w:rPr>
                <w:rFonts w:hint="default" w:ascii="Times New Roman" w:hAnsi="Times New Roman" w:cs="Times New Roman"/>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1" w:type="dxa"/>
            <w:bottom w:w="11" w:type="dxa"/>
            <w:right w:w="11" w:type="dxa"/>
          </w:tblCellMar>
        </w:tblPrEx>
        <w:trPr>
          <w:trHeight w:val="244" w:hRule="atLeast"/>
          <w:jc w:val="center"/>
        </w:trPr>
        <w:tc>
          <w:tcPr>
            <w:tcW w:w="992" w:type="dxa"/>
            <w:vMerge w:val="continue"/>
            <w:vAlign w:val="center"/>
          </w:tcPr>
          <w:p>
            <w:pPr>
              <w:widowControl/>
              <w:snapToGrid w:val="0"/>
              <w:jc w:val="center"/>
              <w:rPr>
                <w:rFonts w:hint="default" w:ascii="Times New Roman" w:hAnsi="Times New Roman" w:eastAsia="宋体" w:cs="Times New Roman"/>
                <w:color w:val="auto"/>
                <w:sz w:val="21"/>
                <w:szCs w:val="21"/>
                <w:lang w:eastAsia="zh-CN"/>
              </w:rPr>
            </w:pPr>
            <w:bookmarkStart w:id="942" w:name="_Toc30685216"/>
          </w:p>
        </w:tc>
        <w:tc>
          <w:tcPr>
            <w:tcW w:w="1276" w:type="dxa"/>
            <w:vMerge w:val="continue"/>
            <w:vAlign w:val="center"/>
          </w:tcPr>
          <w:p>
            <w:pPr>
              <w:widowControl/>
              <w:snapToGrid w:val="0"/>
              <w:jc w:val="center"/>
              <w:rPr>
                <w:rFonts w:hint="default" w:ascii="Times New Roman" w:hAnsi="Times New Roman" w:eastAsia="宋体" w:cs="Times New Roman"/>
                <w:color w:val="auto"/>
                <w:sz w:val="21"/>
                <w:szCs w:val="21"/>
                <w:lang w:eastAsia="zh-CN"/>
              </w:rPr>
            </w:pPr>
          </w:p>
        </w:tc>
        <w:tc>
          <w:tcPr>
            <w:tcW w:w="992" w:type="dxa"/>
            <w:vMerge w:val="restart"/>
            <w:vAlign w:val="center"/>
          </w:tcPr>
          <w:p>
            <w:pPr>
              <w:widowControl/>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氟化物</w:t>
            </w:r>
          </w:p>
        </w:tc>
        <w:tc>
          <w:tcPr>
            <w:tcW w:w="1378" w:type="dxa"/>
            <w:vMerge w:val="restart"/>
            <w:vAlign w:val="center"/>
          </w:tcPr>
          <w:p>
            <w:pPr>
              <w:widowControl/>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泄漏</w:t>
            </w:r>
          </w:p>
        </w:tc>
        <w:tc>
          <w:tcPr>
            <w:tcW w:w="1060" w:type="dxa"/>
            <w:vAlign w:val="center"/>
          </w:tcPr>
          <w:p>
            <w:pPr>
              <w:widowControl/>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大气</w:t>
            </w:r>
          </w:p>
        </w:tc>
        <w:tc>
          <w:tcPr>
            <w:tcW w:w="1813" w:type="dxa"/>
            <w:vAlign w:val="center"/>
          </w:tcPr>
          <w:p>
            <w:pPr>
              <w:pStyle w:val="167"/>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2"/>
                <w:szCs w:val="21"/>
                <w:lang w:val="en-US" w:eastAsia="zh-CN"/>
              </w:rPr>
              <w:t>周边居民点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1" w:type="dxa"/>
            <w:bottom w:w="11" w:type="dxa"/>
            <w:right w:w="11" w:type="dxa"/>
          </w:tblCellMar>
        </w:tblPrEx>
        <w:trPr>
          <w:trHeight w:val="244" w:hRule="atLeast"/>
          <w:jc w:val="center"/>
        </w:trPr>
        <w:tc>
          <w:tcPr>
            <w:tcW w:w="992" w:type="dxa"/>
            <w:vMerge w:val="continue"/>
            <w:vAlign w:val="center"/>
          </w:tcPr>
          <w:p>
            <w:pPr>
              <w:widowControl/>
              <w:snapToGrid w:val="0"/>
              <w:jc w:val="center"/>
              <w:rPr>
                <w:rFonts w:hint="default" w:ascii="Times New Roman" w:hAnsi="Times New Roman" w:eastAsia="宋体" w:cs="Times New Roman"/>
                <w:color w:val="auto"/>
                <w:sz w:val="21"/>
                <w:szCs w:val="21"/>
                <w:lang w:eastAsia="zh-CN"/>
              </w:rPr>
            </w:pPr>
          </w:p>
        </w:tc>
        <w:tc>
          <w:tcPr>
            <w:tcW w:w="1276" w:type="dxa"/>
            <w:vMerge w:val="continue"/>
            <w:vAlign w:val="center"/>
          </w:tcPr>
          <w:p>
            <w:pPr>
              <w:widowControl/>
              <w:snapToGrid w:val="0"/>
              <w:jc w:val="center"/>
              <w:rPr>
                <w:rFonts w:hint="default" w:ascii="Times New Roman" w:hAnsi="Times New Roman" w:eastAsia="宋体" w:cs="Times New Roman"/>
                <w:color w:val="auto"/>
                <w:sz w:val="21"/>
                <w:szCs w:val="21"/>
                <w:lang w:eastAsia="zh-CN"/>
              </w:rPr>
            </w:pPr>
          </w:p>
        </w:tc>
        <w:tc>
          <w:tcPr>
            <w:tcW w:w="992" w:type="dxa"/>
            <w:vMerge w:val="continue"/>
            <w:vAlign w:val="center"/>
          </w:tcPr>
          <w:p>
            <w:pPr>
              <w:widowControl/>
              <w:snapToGrid w:val="0"/>
              <w:jc w:val="center"/>
              <w:rPr>
                <w:rFonts w:hint="default" w:ascii="Times New Roman" w:hAnsi="Times New Roman" w:cs="Times New Roman"/>
                <w:color w:val="auto"/>
                <w:sz w:val="21"/>
                <w:szCs w:val="21"/>
                <w:lang w:eastAsia="zh-CN"/>
              </w:rPr>
            </w:pPr>
          </w:p>
        </w:tc>
        <w:tc>
          <w:tcPr>
            <w:tcW w:w="1378" w:type="dxa"/>
            <w:vMerge w:val="continue"/>
            <w:vAlign w:val="center"/>
          </w:tcPr>
          <w:p>
            <w:pPr>
              <w:widowControl/>
              <w:snapToGrid w:val="0"/>
              <w:jc w:val="center"/>
              <w:rPr>
                <w:rFonts w:hint="default" w:ascii="Times New Roman" w:hAnsi="Times New Roman" w:cs="Times New Roman"/>
                <w:color w:val="auto"/>
                <w:sz w:val="21"/>
                <w:szCs w:val="21"/>
                <w:lang w:eastAsia="zh-CN"/>
              </w:rPr>
            </w:pPr>
          </w:p>
        </w:tc>
        <w:tc>
          <w:tcPr>
            <w:tcW w:w="1060" w:type="dxa"/>
            <w:vAlign w:val="center"/>
          </w:tcPr>
          <w:p>
            <w:pPr>
              <w:widowControl/>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地表水</w:t>
            </w:r>
          </w:p>
        </w:tc>
        <w:tc>
          <w:tcPr>
            <w:tcW w:w="1813" w:type="dxa"/>
            <w:vAlign w:val="center"/>
          </w:tcPr>
          <w:p>
            <w:pPr>
              <w:pStyle w:val="167"/>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青龙河、龙川江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1" w:type="dxa"/>
            <w:bottom w:w="11" w:type="dxa"/>
            <w:right w:w="11" w:type="dxa"/>
          </w:tblCellMar>
        </w:tblPrEx>
        <w:trPr>
          <w:trHeight w:val="244" w:hRule="atLeast"/>
          <w:jc w:val="center"/>
        </w:trPr>
        <w:tc>
          <w:tcPr>
            <w:tcW w:w="992" w:type="dxa"/>
            <w:vMerge w:val="continue"/>
            <w:vAlign w:val="center"/>
          </w:tcPr>
          <w:p>
            <w:pPr>
              <w:widowControl/>
              <w:snapToGrid w:val="0"/>
              <w:jc w:val="center"/>
              <w:rPr>
                <w:rFonts w:hint="default" w:ascii="Times New Roman" w:hAnsi="Times New Roman" w:eastAsia="宋体" w:cs="Times New Roman"/>
                <w:color w:val="auto"/>
                <w:sz w:val="21"/>
                <w:szCs w:val="21"/>
                <w:lang w:eastAsia="zh-CN"/>
              </w:rPr>
            </w:pPr>
          </w:p>
        </w:tc>
        <w:tc>
          <w:tcPr>
            <w:tcW w:w="1276" w:type="dxa"/>
            <w:vMerge w:val="continue"/>
            <w:vAlign w:val="center"/>
          </w:tcPr>
          <w:p>
            <w:pPr>
              <w:widowControl/>
              <w:snapToGrid w:val="0"/>
              <w:jc w:val="center"/>
              <w:rPr>
                <w:rFonts w:hint="default" w:ascii="Times New Roman" w:hAnsi="Times New Roman" w:eastAsia="宋体" w:cs="Times New Roman"/>
                <w:color w:val="auto"/>
                <w:sz w:val="21"/>
                <w:szCs w:val="21"/>
                <w:lang w:eastAsia="zh-CN"/>
              </w:rPr>
            </w:pPr>
          </w:p>
        </w:tc>
        <w:tc>
          <w:tcPr>
            <w:tcW w:w="992" w:type="dxa"/>
            <w:vMerge w:val="continue"/>
            <w:vAlign w:val="center"/>
          </w:tcPr>
          <w:p>
            <w:pPr>
              <w:widowControl/>
              <w:snapToGrid w:val="0"/>
              <w:jc w:val="center"/>
              <w:rPr>
                <w:rFonts w:hint="default" w:ascii="Times New Roman" w:hAnsi="Times New Roman" w:cs="Times New Roman"/>
                <w:color w:val="auto"/>
                <w:sz w:val="21"/>
                <w:szCs w:val="21"/>
                <w:lang w:eastAsia="zh-CN"/>
              </w:rPr>
            </w:pPr>
          </w:p>
        </w:tc>
        <w:tc>
          <w:tcPr>
            <w:tcW w:w="1378" w:type="dxa"/>
            <w:vMerge w:val="continue"/>
            <w:vAlign w:val="center"/>
          </w:tcPr>
          <w:p>
            <w:pPr>
              <w:widowControl/>
              <w:snapToGrid w:val="0"/>
              <w:jc w:val="center"/>
              <w:rPr>
                <w:rFonts w:hint="default" w:ascii="Times New Roman" w:hAnsi="Times New Roman" w:cs="Times New Roman"/>
                <w:color w:val="auto"/>
                <w:sz w:val="21"/>
                <w:szCs w:val="21"/>
                <w:lang w:eastAsia="zh-CN"/>
              </w:rPr>
            </w:pPr>
          </w:p>
        </w:tc>
        <w:tc>
          <w:tcPr>
            <w:tcW w:w="1060" w:type="dxa"/>
            <w:vAlign w:val="center"/>
          </w:tcPr>
          <w:p>
            <w:pPr>
              <w:widowControl/>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地下水</w:t>
            </w:r>
          </w:p>
        </w:tc>
        <w:tc>
          <w:tcPr>
            <w:tcW w:w="1813" w:type="dxa"/>
            <w:vAlign w:val="center"/>
          </w:tcPr>
          <w:p>
            <w:pPr>
              <w:pStyle w:val="167"/>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1" w:type="dxa"/>
            <w:bottom w:w="11" w:type="dxa"/>
            <w:right w:w="11" w:type="dxa"/>
          </w:tblCellMar>
        </w:tblPrEx>
        <w:trPr>
          <w:trHeight w:val="244" w:hRule="atLeast"/>
          <w:jc w:val="center"/>
        </w:trPr>
        <w:tc>
          <w:tcPr>
            <w:tcW w:w="992" w:type="dxa"/>
            <w:vMerge w:val="continue"/>
            <w:vAlign w:val="center"/>
          </w:tcPr>
          <w:p>
            <w:pPr>
              <w:widowControl/>
              <w:snapToGrid w:val="0"/>
              <w:jc w:val="center"/>
              <w:rPr>
                <w:rFonts w:hint="default" w:ascii="Times New Roman" w:hAnsi="Times New Roman" w:eastAsia="宋体" w:cs="Times New Roman"/>
                <w:color w:val="auto"/>
                <w:sz w:val="21"/>
                <w:szCs w:val="21"/>
                <w:lang w:eastAsia="zh-CN"/>
              </w:rPr>
            </w:pPr>
          </w:p>
        </w:tc>
        <w:tc>
          <w:tcPr>
            <w:tcW w:w="1276" w:type="dxa"/>
            <w:vMerge w:val="continue"/>
            <w:vAlign w:val="center"/>
          </w:tcPr>
          <w:p>
            <w:pPr>
              <w:widowControl/>
              <w:snapToGrid w:val="0"/>
              <w:jc w:val="center"/>
              <w:rPr>
                <w:rFonts w:hint="default" w:ascii="Times New Roman" w:hAnsi="Times New Roman" w:eastAsia="宋体" w:cs="Times New Roman"/>
                <w:color w:val="auto"/>
                <w:sz w:val="21"/>
                <w:szCs w:val="21"/>
                <w:lang w:eastAsia="zh-CN"/>
              </w:rPr>
            </w:pPr>
          </w:p>
        </w:tc>
        <w:tc>
          <w:tcPr>
            <w:tcW w:w="992" w:type="dxa"/>
            <w:vMerge w:val="continue"/>
            <w:vAlign w:val="center"/>
          </w:tcPr>
          <w:p>
            <w:pPr>
              <w:widowControl/>
              <w:snapToGrid w:val="0"/>
              <w:jc w:val="center"/>
              <w:rPr>
                <w:rFonts w:hint="default" w:ascii="Times New Roman" w:hAnsi="Times New Roman" w:cs="Times New Roman"/>
                <w:color w:val="auto"/>
                <w:sz w:val="21"/>
                <w:szCs w:val="21"/>
                <w:lang w:eastAsia="zh-CN"/>
              </w:rPr>
            </w:pPr>
          </w:p>
        </w:tc>
        <w:tc>
          <w:tcPr>
            <w:tcW w:w="1378" w:type="dxa"/>
            <w:vMerge w:val="continue"/>
            <w:vAlign w:val="center"/>
          </w:tcPr>
          <w:p>
            <w:pPr>
              <w:widowControl/>
              <w:snapToGrid w:val="0"/>
              <w:jc w:val="center"/>
              <w:rPr>
                <w:rFonts w:hint="default" w:ascii="Times New Roman" w:hAnsi="Times New Roman" w:cs="Times New Roman"/>
                <w:color w:val="auto"/>
                <w:sz w:val="21"/>
                <w:szCs w:val="21"/>
                <w:lang w:eastAsia="zh-CN"/>
              </w:rPr>
            </w:pPr>
          </w:p>
        </w:tc>
        <w:tc>
          <w:tcPr>
            <w:tcW w:w="1060" w:type="dxa"/>
            <w:vAlign w:val="center"/>
          </w:tcPr>
          <w:p>
            <w:pPr>
              <w:widowControl/>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土壤</w:t>
            </w:r>
          </w:p>
        </w:tc>
        <w:tc>
          <w:tcPr>
            <w:tcW w:w="1813" w:type="dxa"/>
            <w:vAlign w:val="center"/>
          </w:tcPr>
          <w:p>
            <w:pPr>
              <w:pStyle w:val="167"/>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1" w:type="dxa"/>
            <w:bottom w:w="11" w:type="dxa"/>
            <w:right w:w="11" w:type="dxa"/>
          </w:tblCellMar>
        </w:tblPrEx>
        <w:trPr>
          <w:trHeight w:val="244" w:hRule="atLeast"/>
          <w:jc w:val="center"/>
        </w:trPr>
        <w:tc>
          <w:tcPr>
            <w:tcW w:w="992" w:type="dxa"/>
            <w:vMerge w:val="continue"/>
            <w:vAlign w:val="center"/>
          </w:tcPr>
          <w:p>
            <w:pPr>
              <w:widowControl/>
              <w:snapToGrid w:val="0"/>
              <w:jc w:val="center"/>
              <w:rPr>
                <w:rFonts w:hint="default" w:ascii="Times New Roman" w:hAnsi="Times New Roman" w:cs="Times New Roman"/>
                <w:color w:val="auto"/>
                <w:sz w:val="21"/>
                <w:szCs w:val="21"/>
              </w:rPr>
            </w:pPr>
          </w:p>
        </w:tc>
        <w:tc>
          <w:tcPr>
            <w:tcW w:w="1276" w:type="dxa"/>
            <w:vMerge w:val="continue"/>
            <w:vAlign w:val="center"/>
          </w:tcPr>
          <w:p>
            <w:pPr>
              <w:widowControl/>
              <w:snapToGrid w:val="0"/>
              <w:jc w:val="center"/>
              <w:rPr>
                <w:rFonts w:hint="default" w:ascii="Times New Roman" w:hAnsi="Times New Roman" w:cs="Times New Roman"/>
                <w:color w:val="auto"/>
                <w:sz w:val="21"/>
                <w:szCs w:val="21"/>
              </w:rPr>
            </w:pPr>
          </w:p>
        </w:tc>
        <w:tc>
          <w:tcPr>
            <w:tcW w:w="992" w:type="dxa"/>
            <w:vMerge w:val="restart"/>
            <w:vAlign w:val="center"/>
          </w:tcPr>
          <w:p>
            <w:pPr>
              <w:widowControl/>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盐酸</w:t>
            </w:r>
          </w:p>
        </w:tc>
        <w:tc>
          <w:tcPr>
            <w:tcW w:w="1378" w:type="dxa"/>
            <w:vMerge w:val="restart"/>
            <w:vAlign w:val="center"/>
          </w:tcPr>
          <w:p>
            <w:pPr>
              <w:widowControl/>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泄漏</w:t>
            </w:r>
          </w:p>
        </w:tc>
        <w:tc>
          <w:tcPr>
            <w:tcW w:w="1060" w:type="dxa"/>
            <w:vAlign w:val="center"/>
          </w:tcPr>
          <w:p>
            <w:pPr>
              <w:widowControl/>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eastAsia="zh-CN"/>
              </w:rPr>
              <w:t>大气</w:t>
            </w:r>
          </w:p>
        </w:tc>
        <w:tc>
          <w:tcPr>
            <w:tcW w:w="1813" w:type="dxa"/>
            <w:vAlign w:val="center"/>
          </w:tcPr>
          <w:p>
            <w:pPr>
              <w:pStyle w:val="167"/>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2"/>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1" w:type="dxa"/>
            <w:bottom w:w="11" w:type="dxa"/>
            <w:right w:w="11" w:type="dxa"/>
          </w:tblCellMar>
        </w:tblPrEx>
        <w:trPr>
          <w:trHeight w:val="244" w:hRule="atLeast"/>
          <w:jc w:val="center"/>
        </w:trPr>
        <w:tc>
          <w:tcPr>
            <w:tcW w:w="992" w:type="dxa"/>
            <w:vMerge w:val="continue"/>
            <w:vAlign w:val="center"/>
          </w:tcPr>
          <w:p>
            <w:pPr>
              <w:widowControl/>
              <w:snapToGrid w:val="0"/>
              <w:jc w:val="center"/>
              <w:rPr>
                <w:rFonts w:hint="default" w:ascii="Times New Roman" w:hAnsi="Times New Roman" w:cs="Times New Roman"/>
                <w:color w:val="auto"/>
                <w:sz w:val="21"/>
                <w:szCs w:val="21"/>
              </w:rPr>
            </w:pPr>
          </w:p>
        </w:tc>
        <w:tc>
          <w:tcPr>
            <w:tcW w:w="1276" w:type="dxa"/>
            <w:vMerge w:val="continue"/>
            <w:vAlign w:val="center"/>
          </w:tcPr>
          <w:p>
            <w:pPr>
              <w:widowControl/>
              <w:snapToGrid w:val="0"/>
              <w:jc w:val="center"/>
              <w:rPr>
                <w:rFonts w:hint="default" w:ascii="Times New Roman" w:hAnsi="Times New Roman" w:cs="Times New Roman"/>
                <w:color w:val="auto"/>
                <w:sz w:val="21"/>
                <w:szCs w:val="21"/>
              </w:rPr>
            </w:pPr>
          </w:p>
        </w:tc>
        <w:tc>
          <w:tcPr>
            <w:tcW w:w="992" w:type="dxa"/>
            <w:vMerge w:val="continue"/>
            <w:vAlign w:val="center"/>
          </w:tcPr>
          <w:p>
            <w:pPr>
              <w:widowControl/>
              <w:snapToGrid w:val="0"/>
              <w:jc w:val="center"/>
              <w:rPr>
                <w:rFonts w:hint="default" w:ascii="Times New Roman" w:hAnsi="Times New Roman" w:cs="Times New Roman"/>
                <w:color w:val="auto"/>
                <w:sz w:val="21"/>
                <w:szCs w:val="21"/>
                <w:lang w:eastAsia="zh-CN"/>
              </w:rPr>
            </w:pPr>
          </w:p>
        </w:tc>
        <w:tc>
          <w:tcPr>
            <w:tcW w:w="1378" w:type="dxa"/>
            <w:vMerge w:val="continue"/>
            <w:vAlign w:val="center"/>
          </w:tcPr>
          <w:p>
            <w:pPr>
              <w:widowControl/>
              <w:snapToGrid w:val="0"/>
              <w:jc w:val="center"/>
              <w:rPr>
                <w:rFonts w:hint="default" w:ascii="Times New Roman" w:hAnsi="Times New Roman" w:cs="Times New Roman"/>
                <w:color w:val="auto"/>
                <w:sz w:val="21"/>
                <w:szCs w:val="21"/>
              </w:rPr>
            </w:pPr>
          </w:p>
        </w:tc>
        <w:tc>
          <w:tcPr>
            <w:tcW w:w="1060" w:type="dxa"/>
            <w:vAlign w:val="center"/>
          </w:tcPr>
          <w:p>
            <w:pPr>
              <w:widowControl/>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地表水</w:t>
            </w:r>
          </w:p>
        </w:tc>
        <w:tc>
          <w:tcPr>
            <w:tcW w:w="1813" w:type="dxa"/>
            <w:vAlign w:val="center"/>
          </w:tcPr>
          <w:p>
            <w:pPr>
              <w:pStyle w:val="167"/>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青龙河、龙川江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1" w:type="dxa"/>
            <w:bottom w:w="11" w:type="dxa"/>
            <w:right w:w="11" w:type="dxa"/>
          </w:tblCellMar>
        </w:tblPrEx>
        <w:trPr>
          <w:trHeight w:val="244" w:hRule="atLeast"/>
          <w:jc w:val="center"/>
        </w:trPr>
        <w:tc>
          <w:tcPr>
            <w:tcW w:w="992" w:type="dxa"/>
            <w:vMerge w:val="continue"/>
            <w:vAlign w:val="center"/>
          </w:tcPr>
          <w:p>
            <w:pPr>
              <w:widowControl/>
              <w:snapToGrid w:val="0"/>
              <w:jc w:val="center"/>
              <w:rPr>
                <w:rFonts w:hint="default" w:ascii="Times New Roman" w:hAnsi="Times New Roman" w:cs="Times New Roman"/>
                <w:color w:val="auto"/>
                <w:sz w:val="21"/>
                <w:szCs w:val="21"/>
              </w:rPr>
            </w:pPr>
          </w:p>
        </w:tc>
        <w:tc>
          <w:tcPr>
            <w:tcW w:w="1276" w:type="dxa"/>
            <w:vMerge w:val="continue"/>
            <w:vAlign w:val="center"/>
          </w:tcPr>
          <w:p>
            <w:pPr>
              <w:widowControl/>
              <w:snapToGrid w:val="0"/>
              <w:jc w:val="center"/>
              <w:rPr>
                <w:rFonts w:hint="default" w:ascii="Times New Roman" w:hAnsi="Times New Roman" w:cs="Times New Roman"/>
                <w:color w:val="auto"/>
                <w:sz w:val="21"/>
                <w:szCs w:val="21"/>
              </w:rPr>
            </w:pPr>
          </w:p>
        </w:tc>
        <w:tc>
          <w:tcPr>
            <w:tcW w:w="992" w:type="dxa"/>
            <w:vMerge w:val="continue"/>
            <w:vAlign w:val="center"/>
          </w:tcPr>
          <w:p>
            <w:pPr>
              <w:widowControl/>
              <w:snapToGrid w:val="0"/>
              <w:jc w:val="center"/>
              <w:rPr>
                <w:rFonts w:hint="default" w:ascii="Times New Roman" w:hAnsi="Times New Roman" w:cs="Times New Roman"/>
                <w:color w:val="auto"/>
                <w:sz w:val="21"/>
                <w:szCs w:val="21"/>
                <w:lang w:eastAsia="zh-CN"/>
              </w:rPr>
            </w:pPr>
          </w:p>
        </w:tc>
        <w:tc>
          <w:tcPr>
            <w:tcW w:w="1378" w:type="dxa"/>
            <w:vMerge w:val="continue"/>
            <w:vAlign w:val="center"/>
          </w:tcPr>
          <w:p>
            <w:pPr>
              <w:widowControl/>
              <w:snapToGrid w:val="0"/>
              <w:jc w:val="center"/>
              <w:rPr>
                <w:rFonts w:hint="default" w:ascii="Times New Roman" w:hAnsi="Times New Roman" w:cs="Times New Roman"/>
                <w:color w:val="auto"/>
                <w:sz w:val="21"/>
                <w:szCs w:val="21"/>
              </w:rPr>
            </w:pPr>
          </w:p>
        </w:tc>
        <w:tc>
          <w:tcPr>
            <w:tcW w:w="1060" w:type="dxa"/>
            <w:vAlign w:val="center"/>
          </w:tcPr>
          <w:p>
            <w:pPr>
              <w:widowControl/>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地下水</w:t>
            </w:r>
          </w:p>
        </w:tc>
        <w:tc>
          <w:tcPr>
            <w:tcW w:w="1813" w:type="dxa"/>
            <w:vAlign w:val="center"/>
          </w:tcPr>
          <w:p>
            <w:pPr>
              <w:pStyle w:val="167"/>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1" w:type="dxa"/>
            <w:bottom w:w="11" w:type="dxa"/>
            <w:right w:w="11" w:type="dxa"/>
          </w:tblCellMar>
        </w:tblPrEx>
        <w:trPr>
          <w:trHeight w:val="244" w:hRule="atLeast"/>
          <w:jc w:val="center"/>
        </w:trPr>
        <w:tc>
          <w:tcPr>
            <w:tcW w:w="992" w:type="dxa"/>
            <w:vMerge w:val="continue"/>
            <w:vAlign w:val="center"/>
          </w:tcPr>
          <w:p>
            <w:pPr>
              <w:widowControl/>
              <w:snapToGrid w:val="0"/>
              <w:jc w:val="center"/>
              <w:rPr>
                <w:rFonts w:hint="default" w:ascii="Times New Roman" w:hAnsi="Times New Roman" w:cs="Times New Roman"/>
                <w:color w:val="auto"/>
                <w:sz w:val="21"/>
                <w:szCs w:val="21"/>
              </w:rPr>
            </w:pPr>
          </w:p>
        </w:tc>
        <w:tc>
          <w:tcPr>
            <w:tcW w:w="1276" w:type="dxa"/>
            <w:vMerge w:val="continue"/>
            <w:vAlign w:val="center"/>
          </w:tcPr>
          <w:p>
            <w:pPr>
              <w:widowControl/>
              <w:snapToGrid w:val="0"/>
              <w:jc w:val="center"/>
              <w:rPr>
                <w:rFonts w:hint="default" w:ascii="Times New Roman" w:hAnsi="Times New Roman" w:cs="Times New Roman"/>
                <w:color w:val="auto"/>
                <w:sz w:val="21"/>
                <w:szCs w:val="21"/>
              </w:rPr>
            </w:pPr>
          </w:p>
        </w:tc>
        <w:tc>
          <w:tcPr>
            <w:tcW w:w="992" w:type="dxa"/>
            <w:vMerge w:val="continue"/>
            <w:vAlign w:val="center"/>
          </w:tcPr>
          <w:p>
            <w:pPr>
              <w:widowControl/>
              <w:snapToGrid w:val="0"/>
              <w:jc w:val="center"/>
              <w:rPr>
                <w:rFonts w:hint="default" w:ascii="Times New Roman" w:hAnsi="Times New Roman" w:cs="Times New Roman"/>
                <w:color w:val="auto"/>
                <w:sz w:val="21"/>
                <w:szCs w:val="21"/>
                <w:lang w:eastAsia="zh-CN"/>
              </w:rPr>
            </w:pPr>
          </w:p>
        </w:tc>
        <w:tc>
          <w:tcPr>
            <w:tcW w:w="1378" w:type="dxa"/>
            <w:vMerge w:val="continue"/>
            <w:vAlign w:val="center"/>
          </w:tcPr>
          <w:p>
            <w:pPr>
              <w:widowControl/>
              <w:snapToGrid w:val="0"/>
              <w:jc w:val="center"/>
              <w:rPr>
                <w:rFonts w:hint="default" w:ascii="Times New Roman" w:hAnsi="Times New Roman" w:cs="Times New Roman"/>
                <w:color w:val="auto"/>
                <w:sz w:val="21"/>
                <w:szCs w:val="21"/>
              </w:rPr>
            </w:pPr>
          </w:p>
        </w:tc>
        <w:tc>
          <w:tcPr>
            <w:tcW w:w="1060" w:type="dxa"/>
            <w:vAlign w:val="center"/>
          </w:tcPr>
          <w:p>
            <w:pPr>
              <w:widowControl/>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土壤</w:t>
            </w:r>
          </w:p>
        </w:tc>
        <w:tc>
          <w:tcPr>
            <w:tcW w:w="1813" w:type="dxa"/>
            <w:vAlign w:val="center"/>
          </w:tcPr>
          <w:p>
            <w:pPr>
              <w:pStyle w:val="167"/>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Cs w:val="21"/>
              </w:rPr>
              <w:t>/</w:t>
            </w:r>
          </w:p>
        </w:tc>
      </w:tr>
    </w:tbl>
    <w:p>
      <w:pPr>
        <w:pStyle w:val="6"/>
        <w:keepNext/>
        <w:keepLines/>
        <w:pageBreakBefore w:val="0"/>
        <w:widowControl w:val="0"/>
        <w:kinsoku/>
        <w:wordWrap/>
        <w:overflowPunct/>
        <w:topLinePunct w:val="0"/>
        <w:autoSpaceDE/>
        <w:autoSpaceDN/>
        <w:bidi w:val="0"/>
        <w:adjustRightInd/>
        <w:snapToGrid/>
        <w:spacing w:before="157" w:beforeLines="50" w:after="0" w:line="360" w:lineRule="auto"/>
        <w:textAlignment w:val="auto"/>
        <w:rPr>
          <w:rFonts w:hint="default" w:ascii="Times New Roman" w:hAnsi="Times New Roman" w:eastAsia="宋体" w:cs="Times New Roman"/>
          <w:color w:val="auto"/>
          <w:sz w:val="28"/>
          <w:szCs w:val="28"/>
          <w:lang w:val="en-US" w:eastAsia="zh-CN"/>
        </w:rPr>
      </w:pPr>
      <w:bookmarkStart w:id="943" w:name="_Toc16723"/>
      <w:bookmarkStart w:id="944" w:name="_Toc79144715"/>
      <w:r>
        <w:rPr>
          <w:rFonts w:hint="default" w:ascii="Times New Roman" w:hAnsi="Times New Roman" w:cs="Times New Roman"/>
          <w:color w:val="auto"/>
          <w:sz w:val="28"/>
          <w:szCs w:val="28"/>
          <w:lang w:val="en-US" w:eastAsia="zh-CN"/>
        </w:rPr>
        <w:t>5.3.6</w:t>
      </w:r>
      <w:r>
        <w:rPr>
          <w:rFonts w:hint="default" w:ascii="Times New Roman" w:hAnsi="Times New Roman" w:eastAsia="宋体" w:cs="Times New Roman"/>
          <w:color w:val="auto"/>
          <w:sz w:val="28"/>
          <w:szCs w:val="28"/>
          <w:lang w:val="en-US" w:eastAsia="zh-CN"/>
        </w:rPr>
        <w:t>风险事故情形分析</w:t>
      </w:r>
      <w:bookmarkEnd w:id="943"/>
      <w:bookmarkEnd w:id="944"/>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在风险识别的基础上，选择对环境影响较大的并具有代表性的事故类型，设定为风险事故情形。</w:t>
      </w:r>
    </w:p>
    <w:p>
      <w:pPr>
        <w:spacing w:line="360" w:lineRule="auto"/>
        <w:ind w:firstLine="482" w:firstLineChars="200"/>
        <w:rPr>
          <w:rFonts w:hint="default" w:ascii="Times New Roman" w:hAnsi="Times New Roman" w:cs="Times New Roman"/>
          <w:b/>
          <w:bCs/>
          <w:color w:val="auto"/>
        </w:rPr>
      </w:pPr>
      <w:bookmarkStart w:id="945" w:name="_Toc79144716"/>
      <w:r>
        <w:rPr>
          <w:rFonts w:hint="default" w:ascii="Times New Roman" w:hAnsi="Times New Roman" w:cs="Times New Roman"/>
          <w:b/>
          <w:bCs/>
          <w:color w:val="auto"/>
          <w:lang w:eastAsia="zh-CN"/>
        </w:rPr>
        <w:t>一、</w:t>
      </w:r>
      <w:r>
        <w:rPr>
          <w:rFonts w:hint="default" w:ascii="Times New Roman" w:hAnsi="Times New Roman" w:cs="Times New Roman"/>
          <w:b/>
          <w:bCs/>
          <w:color w:val="auto"/>
        </w:rPr>
        <w:t>事故统计分析</w:t>
      </w:r>
      <w:bookmarkEnd w:id="945"/>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根据风险识别结果可知，从原辅材料输送到产品合成，各生产单元大多具有泄漏、火灾、爆炸等潜在危险性，造成事故隐患的因素很多。根据中石化总公司编制的《石油化工典型事故汇编》，在1983～1993年间的774例典型事故中，国内石化企业四大行业炼油、化工、化肥、化纤的生产装置事故发生率占全行业比例分别为37.85%、16.02%、8.65%、9.04%，事故原因统计见下表。由下表可知，阀门、管线泄漏是主要事故原因，占35.1%，其次为设备故障和操作失误，分别占18.2%和15.6%。</w:t>
      </w:r>
    </w:p>
    <w:p>
      <w:pPr>
        <w:pStyle w:val="178"/>
        <w:keepNext w:val="0"/>
        <w:keepLines w:val="0"/>
        <w:pageBreakBefore w:val="0"/>
        <w:widowControl/>
        <w:numPr>
          <w:ilvl w:val="0"/>
          <w:numId w:val="7"/>
        </w:numPr>
        <w:kinsoku/>
        <w:wordWrap/>
        <w:overflowPunct/>
        <w:topLinePunct w:val="0"/>
        <w:autoSpaceDE/>
        <w:autoSpaceDN/>
        <w:bidi w:val="0"/>
        <w:adjustRightInd/>
        <w:snapToGrid/>
        <w:spacing w:beforeLines="0" w:afterLines="0" w:line="360" w:lineRule="auto"/>
        <w:ind w:left="0" w:leftChars="0" w:firstLine="0" w:firstLineChars="0"/>
        <w:textAlignment w:val="auto"/>
        <w:rPr>
          <w:rFonts w:hint="default" w:ascii="Times New Roman" w:hAnsi="Times New Roman" w:cs="Times New Roman"/>
          <w:b/>
        </w:rPr>
      </w:pPr>
      <w:r>
        <w:rPr>
          <w:rFonts w:hint="default" w:ascii="Times New Roman" w:hAnsi="Times New Roman" w:cs="Times New Roman"/>
          <w:b/>
        </w:rPr>
        <w:t>行业一般事故原因统计</w:t>
      </w:r>
    </w:p>
    <w:tbl>
      <w:tblPr>
        <w:tblStyle w:val="4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124"/>
        <w:gridCol w:w="4764"/>
        <w:gridCol w:w="30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31" w:type="pct"/>
            <w:shd w:val="clear" w:color="auto" w:fill="auto"/>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序号</w:t>
            </w:r>
          </w:p>
        </w:tc>
        <w:tc>
          <w:tcPr>
            <w:tcW w:w="2673" w:type="pct"/>
            <w:shd w:val="clear" w:color="auto" w:fill="auto"/>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事故原因</w:t>
            </w:r>
          </w:p>
        </w:tc>
        <w:tc>
          <w:tcPr>
            <w:tcW w:w="1696" w:type="pct"/>
            <w:shd w:val="clear" w:color="auto" w:fill="auto"/>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31" w:type="pct"/>
            <w:shd w:val="clear" w:color="auto" w:fill="auto"/>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1</w:t>
            </w:r>
          </w:p>
        </w:tc>
        <w:tc>
          <w:tcPr>
            <w:tcW w:w="2673" w:type="pct"/>
            <w:shd w:val="clear" w:color="auto" w:fill="auto"/>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阀门管线泄漏</w:t>
            </w:r>
          </w:p>
        </w:tc>
        <w:tc>
          <w:tcPr>
            <w:tcW w:w="1696" w:type="pct"/>
            <w:shd w:val="clear" w:color="auto" w:fill="auto"/>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35.1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31" w:type="pct"/>
            <w:shd w:val="clear" w:color="auto" w:fill="auto"/>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2</w:t>
            </w:r>
          </w:p>
        </w:tc>
        <w:tc>
          <w:tcPr>
            <w:tcW w:w="2673" w:type="pct"/>
            <w:shd w:val="clear" w:color="auto" w:fill="auto"/>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泵、设备故障</w:t>
            </w:r>
          </w:p>
        </w:tc>
        <w:tc>
          <w:tcPr>
            <w:tcW w:w="1696" w:type="pct"/>
            <w:shd w:val="clear" w:color="auto" w:fill="auto"/>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18.2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631" w:type="pct"/>
            <w:shd w:val="clear" w:color="auto" w:fill="auto"/>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3</w:t>
            </w:r>
          </w:p>
        </w:tc>
        <w:tc>
          <w:tcPr>
            <w:tcW w:w="2673" w:type="pct"/>
            <w:shd w:val="clear" w:color="auto" w:fill="auto"/>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操作失误</w:t>
            </w:r>
          </w:p>
        </w:tc>
        <w:tc>
          <w:tcPr>
            <w:tcW w:w="1696" w:type="pct"/>
            <w:shd w:val="clear" w:color="auto" w:fill="auto"/>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15.6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631" w:type="pct"/>
            <w:shd w:val="clear" w:color="auto" w:fill="auto"/>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4</w:t>
            </w:r>
          </w:p>
        </w:tc>
        <w:tc>
          <w:tcPr>
            <w:tcW w:w="2673" w:type="pct"/>
            <w:shd w:val="clear" w:color="auto" w:fill="auto"/>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仪表、电器失灵</w:t>
            </w:r>
          </w:p>
        </w:tc>
        <w:tc>
          <w:tcPr>
            <w:tcW w:w="1696" w:type="pct"/>
            <w:shd w:val="clear" w:color="auto" w:fill="auto"/>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631" w:type="pct"/>
            <w:shd w:val="clear" w:color="auto" w:fill="auto"/>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5</w:t>
            </w:r>
          </w:p>
        </w:tc>
        <w:tc>
          <w:tcPr>
            <w:tcW w:w="2673" w:type="pct"/>
            <w:shd w:val="clear" w:color="auto" w:fill="auto"/>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突沸、反应失控</w:t>
            </w:r>
          </w:p>
        </w:tc>
        <w:tc>
          <w:tcPr>
            <w:tcW w:w="1696" w:type="pct"/>
            <w:shd w:val="clear" w:color="auto" w:fill="auto"/>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631" w:type="pct"/>
            <w:shd w:val="clear" w:color="auto" w:fill="auto"/>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6</w:t>
            </w:r>
          </w:p>
        </w:tc>
        <w:tc>
          <w:tcPr>
            <w:tcW w:w="2673" w:type="pct"/>
            <w:shd w:val="clear" w:color="auto" w:fill="auto"/>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雷击、自然灾害</w:t>
            </w:r>
          </w:p>
        </w:tc>
        <w:tc>
          <w:tcPr>
            <w:tcW w:w="1696" w:type="pct"/>
            <w:shd w:val="clear" w:color="auto" w:fill="auto"/>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8.2</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textAlignment w:val="auto"/>
        <w:rPr>
          <w:rFonts w:hint="default" w:ascii="Times New Roman" w:hAnsi="Times New Roman" w:cs="Times New Roman"/>
          <w:b/>
          <w:bCs/>
          <w:color w:val="auto"/>
          <w:lang w:eastAsia="zh-CN"/>
        </w:rPr>
      </w:pPr>
      <w:bookmarkStart w:id="946" w:name="_Toc12488064"/>
      <w:bookmarkStart w:id="947" w:name="_Toc79144717"/>
      <w:bookmarkStart w:id="948" w:name="_Toc69115009"/>
      <w:r>
        <w:rPr>
          <w:rFonts w:hint="default" w:ascii="Times New Roman" w:hAnsi="Times New Roman" w:cs="Times New Roman"/>
          <w:b/>
          <w:bCs/>
          <w:color w:val="auto"/>
          <w:lang w:eastAsia="zh-CN"/>
        </w:rPr>
        <w:t>二、风险事故情形设定</w:t>
      </w:r>
      <w:bookmarkEnd w:id="946"/>
      <w:bookmarkEnd w:id="947"/>
      <w:bookmarkEnd w:id="948"/>
    </w:p>
    <w:p>
      <w:pPr>
        <w:spacing w:line="360" w:lineRule="auto"/>
        <w:ind w:firstLine="480" w:firstLineChars="200"/>
        <w:rPr>
          <w:rFonts w:hint="default" w:ascii="Times New Roman" w:hAnsi="Times New Roman" w:cs="Times New Roman"/>
          <w:b w:val="0"/>
          <w:bCs/>
        </w:rPr>
      </w:pPr>
      <w:r>
        <w:rPr>
          <w:rFonts w:hint="default" w:ascii="Times New Roman" w:hAnsi="Times New Roman" w:cs="Times New Roman"/>
          <w:b w:val="0"/>
          <w:bCs/>
        </w:rPr>
        <w:t>1、事故概率</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本项目泄漏事故类型包括容器、管道、泵体、压缩机、装卸臂和装卸软管的泄漏和破裂等。国内外较常用的泄漏频率如见下表。</w:t>
      </w:r>
    </w:p>
    <w:p>
      <w:pPr>
        <w:pStyle w:val="178"/>
        <w:keepNext w:val="0"/>
        <w:keepLines w:val="0"/>
        <w:pageBreakBefore w:val="0"/>
        <w:widowControl/>
        <w:numPr>
          <w:ilvl w:val="0"/>
          <w:numId w:val="7"/>
        </w:numPr>
        <w:kinsoku/>
        <w:wordWrap/>
        <w:overflowPunct/>
        <w:topLinePunct w:val="0"/>
        <w:autoSpaceDE/>
        <w:autoSpaceDN/>
        <w:bidi w:val="0"/>
        <w:adjustRightInd/>
        <w:snapToGrid/>
        <w:spacing w:beforeLines="0" w:afterLines="0" w:line="360" w:lineRule="auto"/>
        <w:ind w:left="0" w:leftChars="0" w:firstLine="0" w:firstLineChars="0"/>
        <w:textAlignment w:val="auto"/>
        <w:rPr>
          <w:rFonts w:hint="default" w:ascii="Times New Roman" w:hAnsi="Times New Roman" w:cs="Times New Roman"/>
          <w:b/>
        </w:rPr>
      </w:pPr>
      <w:r>
        <w:rPr>
          <w:rFonts w:hint="default" w:ascii="Times New Roman" w:hAnsi="Times New Roman" w:cs="Times New Roman"/>
          <w:b/>
        </w:rPr>
        <w:t>常用设备泄漏频率一览表</w:t>
      </w:r>
    </w:p>
    <w:tbl>
      <w:tblPr>
        <w:tblStyle w:val="4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32"/>
        <w:gridCol w:w="3910"/>
        <w:gridCol w:w="20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trPr>
        <w:tc>
          <w:tcPr>
            <w:tcW w:w="1645" w:type="pct"/>
            <w:shd w:val="clear" w:color="auto" w:fill="auto"/>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部件类型</w:t>
            </w:r>
          </w:p>
        </w:tc>
        <w:tc>
          <w:tcPr>
            <w:tcW w:w="2194" w:type="pct"/>
            <w:shd w:val="clear" w:color="auto" w:fill="auto"/>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泄漏模式</w:t>
            </w:r>
          </w:p>
        </w:tc>
        <w:tc>
          <w:tcPr>
            <w:tcW w:w="1161" w:type="pct"/>
            <w:shd w:val="clear" w:color="auto" w:fill="auto"/>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泄漏频率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645" w:type="pct"/>
            <w:vMerge w:val="restart"/>
            <w:shd w:val="clear" w:color="auto" w:fill="auto"/>
            <w:vAlign w:val="center"/>
          </w:tcPr>
          <w:p>
            <w:pPr>
              <w:pStyle w:val="167"/>
              <w:rPr>
                <w:rFonts w:hint="default" w:ascii="Times New Roman" w:hAnsi="Times New Roman" w:cs="Times New Roman"/>
                <w:color w:val="auto"/>
              </w:rPr>
            </w:pPr>
            <w:r>
              <w:rPr>
                <w:rFonts w:hint="default" w:ascii="Times New Roman" w:hAnsi="Times New Roman" w:cs="Times New Roman"/>
                <w:color w:val="auto"/>
                <w:spacing w:val="5"/>
              </w:rPr>
              <w:t>反应器</w:t>
            </w:r>
            <w:r>
              <w:rPr>
                <w:rFonts w:hint="default" w:ascii="Times New Roman" w:hAnsi="Times New Roman" w:eastAsia="Times New Roman" w:cs="Times New Roman"/>
                <w:color w:val="auto"/>
                <w:spacing w:val="5"/>
              </w:rPr>
              <w:t>/</w:t>
            </w:r>
            <w:r>
              <w:rPr>
                <w:rFonts w:hint="default" w:ascii="Times New Roman" w:hAnsi="Times New Roman" w:cs="Times New Roman"/>
                <w:color w:val="auto"/>
                <w:spacing w:val="5"/>
              </w:rPr>
              <w:t>工艺储罐</w:t>
            </w:r>
            <w:r>
              <w:rPr>
                <w:rFonts w:hint="default" w:ascii="Times New Roman" w:hAnsi="Times New Roman" w:eastAsia="Times New Roman" w:cs="Times New Roman"/>
                <w:color w:val="auto"/>
                <w:spacing w:val="5"/>
              </w:rPr>
              <w:t>/</w:t>
            </w:r>
            <w:r>
              <w:rPr>
                <w:rFonts w:hint="default" w:ascii="Times New Roman" w:hAnsi="Times New Roman" w:cs="Times New Roman"/>
                <w:color w:val="auto"/>
                <w:spacing w:val="5"/>
              </w:rPr>
              <w:t>气体储罐</w:t>
            </w:r>
            <w:r>
              <w:rPr>
                <w:rFonts w:hint="default" w:ascii="Times New Roman" w:hAnsi="Times New Roman" w:eastAsia="Times New Roman" w:cs="Times New Roman"/>
                <w:color w:val="auto"/>
                <w:spacing w:val="5"/>
              </w:rPr>
              <w:t>/</w:t>
            </w:r>
            <w:r>
              <w:rPr>
                <w:rFonts w:hint="default" w:ascii="Times New Roman" w:hAnsi="Times New Roman" w:cs="Times New Roman"/>
                <w:color w:val="auto"/>
                <w:spacing w:val="3"/>
              </w:rPr>
              <w:t>塔器</w:t>
            </w:r>
          </w:p>
        </w:tc>
        <w:tc>
          <w:tcPr>
            <w:tcW w:w="2194" w:type="pct"/>
            <w:shd w:val="clear" w:color="auto" w:fill="auto"/>
            <w:vAlign w:val="center"/>
          </w:tcPr>
          <w:p>
            <w:pPr>
              <w:pStyle w:val="167"/>
              <w:rPr>
                <w:rFonts w:hint="default" w:ascii="Times New Roman" w:hAnsi="Times New Roman" w:cs="Times New Roman"/>
                <w:color w:val="auto"/>
              </w:rPr>
            </w:pPr>
            <w:r>
              <w:rPr>
                <w:rFonts w:hint="default" w:ascii="Times New Roman" w:hAnsi="Times New Roman" w:cs="Times New Roman"/>
                <w:color w:val="auto"/>
                <w:spacing w:val="4"/>
              </w:rPr>
              <w:t>泄漏孔径为</w:t>
            </w:r>
            <w:r>
              <w:rPr>
                <w:rFonts w:hint="default" w:ascii="Times New Roman" w:hAnsi="Times New Roman" w:eastAsia="Times New Roman" w:cs="Times New Roman"/>
                <w:color w:val="auto"/>
              </w:rPr>
              <w:t>10mm</w:t>
            </w:r>
            <w:r>
              <w:rPr>
                <w:rFonts w:hint="default" w:ascii="Times New Roman" w:hAnsi="Times New Roman" w:cs="Times New Roman"/>
                <w:color w:val="auto"/>
                <w:spacing w:val="3"/>
              </w:rPr>
              <w:t>孔径</w:t>
            </w:r>
          </w:p>
        </w:tc>
        <w:tc>
          <w:tcPr>
            <w:tcW w:w="1161" w:type="pct"/>
            <w:shd w:val="clear" w:color="auto" w:fill="auto"/>
            <w:vAlign w:val="center"/>
          </w:tcPr>
          <w:p>
            <w:pPr>
              <w:pStyle w:val="167"/>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1.00×</w:t>
            </w:r>
            <w:r>
              <w:rPr>
                <w:rFonts w:hint="default" w:ascii="Times New Roman" w:hAnsi="Times New Roman" w:eastAsia="Times New Roman" w:cs="Times New Roman"/>
                <w:color w:val="auto"/>
                <w:spacing w:val="3"/>
              </w:rPr>
              <w:t>10</w:t>
            </w:r>
            <w:r>
              <w:rPr>
                <w:rFonts w:hint="default" w:ascii="Times New Roman" w:hAnsi="Times New Roman" w:eastAsia="Times New Roman" w:cs="Times New Roman"/>
                <w:color w:val="auto"/>
                <w:spacing w:val="3"/>
                <w:position w:val="10"/>
                <w:sz w:val="14"/>
                <w:szCs w:val="14"/>
              </w:rPr>
              <w:t>-4</w:t>
            </w:r>
            <w:r>
              <w:rPr>
                <w:rFonts w:hint="default" w:ascii="Times New Roman" w:hAnsi="Times New Roman" w:eastAsia="Times New Roman" w:cs="Times New Roman"/>
                <w:color w:val="auto"/>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trPr>
        <w:tc>
          <w:tcPr>
            <w:tcW w:w="1645" w:type="pct"/>
            <w:vMerge w:val="continue"/>
            <w:shd w:val="clear" w:color="auto" w:fill="auto"/>
            <w:vAlign w:val="center"/>
          </w:tcPr>
          <w:p>
            <w:pPr>
              <w:pStyle w:val="167"/>
              <w:rPr>
                <w:rFonts w:hint="default" w:ascii="Times New Roman" w:hAnsi="Times New Roman" w:cs="Times New Roman"/>
                <w:color w:val="auto"/>
                <w:spacing w:val="5"/>
              </w:rPr>
            </w:pPr>
          </w:p>
        </w:tc>
        <w:tc>
          <w:tcPr>
            <w:tcW w:w="2194" w:type="pct"/>
            <w:shd w:val="clear" w:color="auto" w:fill="auto"/>
            <w:vAlign w:val="center"/>
          </w:tcPr>
          <w:p>
            <w:pPr>
              <w:pStyle w:val="167"/>
              <w:rPr>
                <w:rFonts w:hint="default" w:ascii="Times New Roman" w:hAnsi="Times New Roman" w:cs="Times New Roman"/>
                <w:color w:val="auto"/>
                <w:spacing w:val="4"/>
              </w:rPr>
            </w:pPr>
            <w:r>
              <w:rPr>
                <w:rFonts w:hint="default" w:ascii="Times New Roman" w:hAnsi="Times New Roman" w:eastAsia="Times New Roman" w:cs="Times New Roman"/>
                <w:color w:val="auto"/>
              </w:rPr>
              <w:t>10min</w:t>
            </w:r>
            <w:r>
              <w:rPr>
                <w:rFonts w:hint="default" w:ascii="Times New Roman" w:hAnsi="Times New Roman" w:cs="Times New Roman"/>
                <w:color w:val="auto"/>
              </w:rPr>
              <w:t>内储罐泄漏完</w:t>
            </w:r>
          </w:p>
        </w:tc>
        <w:tc>
          <w:tcPr>
            <w:tcW w:w="1161" w:type="pct"/>
            <w:shd w:val="clear" w:color="auto" w:fill="auto"/>
            <w:vAlign w:val="center"/>
          </w:tcPr>
          <w:p>
            <w:pPr>
              <w:pStyle w:val="167"/>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5.00×</w:t>
            </w:r>
            <w:r>
              <w:rPr>
                <w:rFonts w:hint="default" w:ascii="Times New Roman" w:hAnsi="Times New Roman" w:eastAsia="Times New Roman" w:cs="Times New Roman"/>
                <w:color w:val="auto"/>
                <w:spacing w:val="3"/>
              </w:rPr>
              <w:t>10</w:t>
            </w:r>
            <w:r>
              <w:rPr>
                <w:rFonts w:hint="default" w:ascii="Times New Roman" w:hAnsi="Times New Roman" w:eastAsia="Times New Roman" w:cs="Times New Roman"/>
                <w:color w:val="auto"/>
                <w:spacing w:val="3"/>
                <w:position w:val="10"/>
                <w:sz w:val="14"/>
                <w:szCs w:val="14"/>
              </w:rPr>
              <w:t>-6</w:t>
            </w:r>
            <w:r>
              <w:rPr>
                <w:rFonts w:hint="default" w:ascii="Times New Roman" w:hAnsi="Times New Roman" w:eastAsia="Times New Roman" w:cs="Times New Roman"/>
                <w:color w:val="auto"/>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645" w:type="pct"/>
            <w:vMerge w:val="continue"/>
            <w:shd w:val="clear" w:color="auto" w:fill="auto"/>
            <w:vAlign w:val="center"/>
          </w:tcPr>
          <w:p>
            <w:pPr>
              <w:pStyle w:val="167"/>
              <w:rPr>
                <w:rFonts w:hint="default" w:ascii="Times New Roman" w:hAnsi="Times New Roman" w:cs="Times New Roman"/>
                <w:color w:val="auto"/>
                <w:spacing w:val="5"/>
              </w:rPr>
            </w:pPr>
          </w:p>
        </w:tc>
        <w:tc>
          <w:tcPr>
            <w:tcW w:w="2194" w:type="pct"/>
            <w:shd w:val="clear" w:color="auto" w:fill="auto"/>
            <w:vAlign w:val="center"/>
          </w:tcPr>
          <w:p>
            <w:pPr>
              <w:pStyle w:val="167"/>
              <w:rPr>
                <w:rFonts w:hint="default" w:ascii="Times New Roman" w:hAnsi="Times New Roman" w:cs="Times New Roman"/>
                <w:color w:val="auto"/>
                <w:spacing w:val="4"/>
              </w:rPr>
            </w:pPr>
            <w:r>
              <w:rPr>
                <w:rFonts w:hint="default" w:ascii="Times New Roman" w:hAnsi="Times New Roman" w:cs="Times New Roman"/>
                <w:color w:val="auto"/>
              </w:rPr>
              <w:t>储罐全破裂</w:t>
            </w:r>
          </w:p>
        </w:tc>
        <w:tc>
          <w:tcPr>
            <w:tcW w:w="1161" w:type="pct"/>
            <w:shd w:val="clear" w:color="auto" w:fill="auto"/>
            <w:vAlign w:val="center"/>
          </w:tcPr>
          <w:p>
            <w:pPr>
              <w:pStyle w:val="167"/>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5.00×</w:t>
            </w:r>
            <w:r>
              <w:rPr>
                <w:rFonts w:hint="default" w:ascii="Times New Roman" w:hAnsi="Times New Roman" w:eastAsia="Times New Roman" w:cs="Times New Roman"/>
                <w:color w:val="auto"/>
                <w:spacing w:val="3"/>
              </w:rPr>
              <w:t>10</w:t>
            </w:r>
            <w:r>
              <w:rPr>
                <w:rFonts w:hint="default" w:ascii="Times New Roman" w:hAnsi="Times New Roman" w:eastAsia="Times New Roman" w:cs="Times New Roman"/>
                <w:color w:val="auto"/>
                <w:spacing w:val="3"/>
                <w:position w:val="10"/>
                <w:sz w:val="14"/>
                <w:szCs w:val="14"/>
              </w:rPr>
              <w:t>-6</w:t>
            </w:r>
            <w:r>
              <w:rPr>
                <w:rFonts w:hint="default" w:ascii="Times New Roman" w:hAnsi="Times New Roman" w:eastAsia="Times New Roman" w:cs="Times New Roman"/>
                <w:color w:val="auto"/>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645" w:type="pct"/>
            <w:vMerge w:val="restart"/>
            <w:shd w:val="clear" w:color="auto" w:fill="auto"/>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常压单包容储罐</w:t>
            </w:r>
          </w:p>
        </w:tc>
        <w:tc>
          <w:tcPr>
            <w:tcW w:w="2194" w:type="pct"/>
            <w:shd w:val="clear" w:color="auto" w:fill="auto"/>
            <w:vAlign w:val="center"/>
          </w:tcPr>
          <w:p>
            <w:pPr>
              <w:pStyle w:val="167"/>
              <w:rPr>
                <w:rFonts w:hint="default" w:ascii="Times New Roman" w:hAnsi="Times New Roman" w:cs="Times New Roman"/>
                <w:color w:val="auto"/>
              </w:rPr>
            </w:pPr>
            <w:r>
              <w:rPr>
                <w:rFonts w:hint="default" w:ascii="Times New Roman" w:hAnsi="Times New Roman" w:cs="Times New Roman"/>
                <w:color w:val="auto"/>
                <w:spacing w:val="4"/>
              </w:rPr>
              <w:t>泄漏孔径为</w:t>
            </w:r>
            <w:r>
              <w:rPr>
                <w:rFonts w:hint="default" w:ascii="Times New Roman" w:hAnsi="Times New Roman" w:eastAsia="Times New Roman" w:cs="Times New Roman"/>
                <w:color w:val="auto"/>
              </w:rPr>
              <w:t>10mm</w:t>
            </w:r>
            <w:r>
              <w:rPr>
                <w:rFonts w:hint="default" w:ascii="Times New Roman" w:hAnsi="Times New Roman" w:cs="Times New Roman"/>
                <w:color w:val="auto"/>
                <w:spacing w:val="3"/>
              </w:rPr>
              <w:t>孔径</w:t>
            </w:r>
          </w:p>
        </w:tc>
        <w:tc>
          <w:tcPr>
            <w:tcW w:w="1161" w:type="pct"/>
            <w:shd w:val="clear" w:color="auto" w:fill="auto"/>
            <w:vAlign w:val="center"/>
          </w:tcPr>
          <w:p>
            <w:pPr>
              <w:pStyle w:val="167"/>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1.00×</w:t>
            </w:r>
            <w:r>
              <w:rPr>
                <w:rFonts w:hint="default" w:ascii="Times New Roman" w:hAnsi="Times New Roman" w:eastAsia="Times New Roman" w:cs="Times New Roman"/>
                <w:color w:val="auto"/>
                <w:spacing w:val="3"/>
              </w:rPr>
              <w:t>10</w:t>
            </w:r>
            <w:r>
              <w:rPr>
                <w:rFonts w:hint="default" w:ascii="Times New Roman" w:hAnsi="Times New Roman" w:eastAsia="Times New Roman" w:cs="Times New Roman"/>
                <w:color w:val="auto"/>
                <w:spacing w:val="3"/>
                <w:position w:val="10"/>
                <w:sz w:val="14"/>
                <w:szCs w:val="14"/>
              </w:rPr>
              <w:t>-4</w:t>
            </w:r>
            <w:r>
              <w:rPr>
                <w:rFonts w:hint="default" w:ascii="Times New Roman" w:hAnsi="Times New Roman" w:eastAsia="Times New Roman" w:cs="Times New Roman"/>
                <w:color w:val="auto"/>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645" w:type="pct"/>
            <w:vMerge w:val="continue"/>
            <w:shd w:val="clear" w:color="auto" w:fill="auto"/>
            <w:vAlign w:val="center"/>
          </w:tcPr>
          <w:p>
            <w:pPr>
              <w:pStyle w:val="167"/>
              <w:rPr>
                <w:rFonts w:hint="default" w:ascii="Times New Roman" w:hAnsi="Times New Roman" w:cs="Times New Roman"/>
                <w:color w:val="auto"/>
              </w:rPr>
            </w:pPr>
          </w:p>
        </w:tc>
        <w:tc>
          <w:tcPr>
            <w:tcW w:w="2194" w:type="pct"/>
            <w:shd w:val="clear" w:color="auto" w:fill="auto"/>
            <w:vAlign w:val="center"/>
          </w:tcPr>
          <w:p>
            <w:pPr>
              <w:pStyle w:val="167"/>
              <w:rPr>
                <w:rFonts w:hint="default" w:ascii="Times New Roman" w:hAnsi="Times New Roman" w:cs="Times New Roman"/>
                <w:color w:val="auto"/>
              </w:rPr>
            </w:pPr>
            <w:r>
              <w:rPr>
                <w:rFonts w:hint="default" w:ascii="Times New Roman" w:hAnsi="Times New Roman" w:eastAsia="Times New Roman" w:cs="Times New Roman"/>
                <w:color w:val="auto"/>
              </w:rPr>
              <w:t>10min</w:t>
            </w:r>
            <w:r>
              <w:rPr>
                <w:rFonts w:hint="default" w:ascii="Times New Roman" w:hAnsi="Times New Roman" w:cs="Times New Roman"/>
                <w:color w:val="auto"/>
              </w:rPr>
              <w:t>内储罐泄漏完</w:t>
            </w:r>
          </w:p>
        </w:tc>
        <w:tc>
          <w:tcPr>
            <w:tcW w:w="1161" w:type="pct"/>
            <w:shd w:val="clear" w:color="auto" w:fill="auto"/>
            <w:vAlign w:val="center"/>
          </w:tcPr>
          <w:p>
            <w:pPr>
              <w:pStyle w:val="167"/>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5.00×</w:t>
            </w:r>
            <w:r>
              <w:rPr>
                <w:rFonts w:hint="default" w:ascii="Times New Roman" w:hAnsi="Times New Roman" w:eastAsia="Times New Roman" w:cs="Times New Roman"/>
                <w:color w:val="auto"/>
                <w:spacing w:val="3"/>
              </w:rPr>
              <w:t>10</w:t>
            </w:r>
            <w:r>
              <w:rPr>
                <w:rFonts w:hint="default" w:ascii="Times New Roman" w:hAnsi="Times New Roman" w:eastAsia="Times New Roman" w:cs="Times New Roman"/>
                <w:color w:val="auto"/>
                <w:spacing w:val="3"/>
                <w:position w:val="10"/>
                <w:sz w:val="14"/>
                <w:szCs w:val="14"/>
              </w:rPr>
              <w:t>-6</w:t>
            </w:r>
            <w:r>
              <w:rPr>
                <w:rFonts w:hint="default" w:ascii="Times New Roman" w:hAnsi="Times New Roman" w:eastAsia="Times New Roman" w:cs="Times New Roman"/>
                <w:color w:val="auto"/>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645" w:type="pct"/>
            <w:vMerge w:val="continue"/>
            <w:shd w:val="clear" w:color="auto" w:fill="auto"/>
            <w:vAlign w:val="center"/>
          </w:tcPr>
          <w:p>
            <w:pPr>
              <w:pStyle w:val="167"/>
              <w:rPr>
                <w:rFonts w:hint="default" w:ascii="Times New Roman" w:hAnsi="Times New Roman" w:cs="Times New Roman"/>
                <w:color w:val="auto"/>
              </w:rPr>
            </w:pPr>
          </w:p>
        </w:tc>
        <w:tc>
          <w:tcPr>
            <w:tcW w:w="2194" w:type="pct"/>
            <w:shd w:val="clear" w:color="auto" w:fill="auto"/>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储罐全破裂</w:t>
            </w:r>
          </w:p>
        </w:tc>
        <w:tc>
          <w:tcPr>
            <w:tcW w:w="1161" w:type="pct"/>
            <w:shd w:val="clear" w:color="auto" w:fill="auto"/>
            <w:vAlign w:val="center"/>
          </w:tcPr>
          <w:p>
            <w:pPr>
              <w:pStyle w:val="167"/>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5.00×</w:t>
            </w:r>
            <w:r>
              <w:rPr>
                <w:rFonts w:hint="default" w:ascii="Times New Roman" w:hAnsi="Times New Roman" w:eastAsia="Times New Roman" w:cs="Times New Roman"/>
                <w:color w:val="auto"/>
                <w:spacing w:val="3"/>
              </w:rPr>
              <w:t>10</w:t>
            </w:r>
            <w:r>
              <w:rPr>
                <w:rFonts w:hint="default" w:ascii="Times New Roman" w:hAnsi="Times New Roman" w:eastAsia="Times New Roman" w:cs="Times New Roman"/>
                <w:color w:val="auto"/>
                <w:spacing w:val="3"/>
                <w:position w:val="10"/>
                <w:sz w:val="14"/>
                <w:szCs w:val="14"/>
              </w:rPr>
              <w:t>-6</w:t>
            </w:r>
            <w:r>
              <w:rPr>
                <w:rFonts w:hint="default" w:ascii="Times New Roman" w:hAnsi="Times New Roman" w:eastAsia="Times New Roman" w:cs="Times New Roman"/>
                <w:color w:val="auto"/>
                <w:spacing w:val="3"/>
              </w:rPr>
              <w:t>/</w:t>
            </w:r>
            <w:r>
              <w:rPr>
                <w:rFonts w:hint="default" w:ascii="Times New Roman" w:hAnsi="Times New Roman" w:eastAsia="Times New Roman" w:cs="Times New Roman"/>
                <w:color w:val="auto"/>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645" w:type="pct"/>
            <w:vMerge w:val="restart"/>
            <w:shd w:val="clear" w:color="auto" w:fill="auto"/>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常压双包容储罐</w:t>
            </w:r>
          </w:p>
        </w:tc>
        <w:tc>
          <w:tcPr>
            <w:tcW w:w="2194" w:type="pct"/>
            <w:shd w:val="clear" w:color="auto" w:fill="auto"/>
            <w:vAlign w:val="center"/>
          </w:tcPr>
          <w:p>
            <w:pPr>
              <w:pStyle w:val="167"/>
              <w:rPr>
                <w:rFonts w:hint="default" w:ascii="Times New Roman" w:hAnsi="Times New Roman" w:cs="Times New Roman"/>
                <w:color w:val="auto"/>
              </w:rPr>
            </w:pPr>
            <w:r>
              <w:rPr>
                <w:rFonts w:hint="default" w:ascii="Times New Roman" w:hAnsi="Times New Roman" w:cs="Times New Roman"/>
                <w:color w:val="auto"/>
                <w:spacing w:val="4"/>
              </w:rPr>
              <w:t>泄漏孔径为</w:t>
            </w:r>
            <w:r>
              <w:rPr>
                <w:rFonts w:hint="default" w:ascii="Times New Roman" w:hAnsi="Times New Roman" w:eastAsia="Times New Roman" w:cs="Times New Roman"/>
                <w:color w:val="auto"/>
              </w:rPr>
              <w:t>10mm</w:t>
            </w:r>
            <w:r>
              <w:rPr>
                <w:rFonts w:hint="default" w:ascii="Times New Roman" w:hAnsi="Times New Roman" w:cs="Times New Roman"/>
                <w:color w:val="auto"/>
                <w:spacing w:val="3"/>
              </w:rPr>
              <w:t>孔径</w:t>
            </w:r>
          </w:p>
        </w:tc>
        <w:tc>
          <w:tcPr>
            <w:tcW w:w="1161" w:type="pct"/>
            <w:shd w:val="clear" w:color="auto" w:fill="auto"/>
            <w:vAlign w:val="center"/>
          </w:tcPr>
          <w:p>
            <w:pPr>
              <w:pStyle w:val="167"/>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1.00×</w:t>
            </w:r>
            <w:r>
              <w:rPr>
                <w:rFonts w:hint="default" w:ascii="Times New Roman" w:hAnsi="Times New Roman" w:eastAsia="Times New Roman" w:cs="Times New Roman"/>
                <w:color w:val="auto"/>
                <w:spacing w:val="3"/>
              </w:rPr>
              <w:t>10</w:t>
            </w:r>
            <w:r>
              <w:rPr>
                <w:rFonts w:hint="default" w:ascii="Times New Roman" w:hAnsi="Times New Roman" w:eastAsia="Times New Roman" w:cs="Times New Roman"/>
                <w:color w:val="auto"/>
                <w:spacing w:val="3"/>
                <w:position w:val="10"/>
                <w:sz w:val="14"/>
                <w:szCs w:val="14"/>
              </w:rPr>
              <w:t>-4</w:t>
            </w:r>
            <w:r>
              <w:rPr>
                <w:rFonts w:hint="default" w:ascii="Times New Roman" w:hAnsi="Times New Roman" w:eastAsia="Times New Roman" w:cs="Times New Roman"/>
                <w:color w:val="auto"/>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645" w:type="pct"/>
            <w:vMerge w:val="continue"/>
            <w:shd w:val="clear" w:color="auto" w:fill="auto"/>
            <w:vAlign w:val="center"/>
          </w:tcPr>
          <w:p>
            <w:pPr>
              <w:pStyle w:val="167"/>
              <w:rPr>
                <w:rFonts w:hint="default" w:ascii="Times New Roman" w:hAnsi="Times New Roman" w:cs="Times New Roman"/>
                <w:color w:val="auto"/>
              </w:rPr>
            </w:pPr>
          </w:p>
        </w:tc>
        <w:tc>
          <w:tcPr>
            <w:tcW w:w="2194" w:type="pct"/>
            <w:shd w:val="clear" w:color="auto" w:fill="auto"/>
            <w:vAlign w:val="center"/>
          </w:tcPr>
          <w:p>
            <w:pPr>
              <w:pStyle w:val="167"/>
              <w:rPr>
                <w:rFonts w:hint="default" w:ascii="Times New Roman" w:hAnsi="Times New Roman" w:cs="Times New Roman"/>
                <w:color w:val="auto"/>
              </w:rPr>
            </w:pPr>
            <w:r>
              <w:rPr>
                <w:rFonts w:hint="default" w:ascii="Times New Roman" w:hAnsi="Times New Roman" w:eastAsia="Times New Roman" w:cs="Times New Roman"/>
                <w:color w:val="auto"/>
              </w:rPr>
              <w:t>10min</w:t>
            </w:r>
            <w:r>
              <w:rPr>
                <w:rFonts w:hint="default" w:ascii="Times New Roman" w:hAnsi="Times New Roman" w:cs="Times New Roman"/>
                <w:color w:val="auto"/>
              </w:rPr>
              <w:t>内储罐泄漏完</w:t>
            </w:r>
          </w:p>
        </w:tc>
        <w:tc>
          <w:tcPr>
            <w:tcW w:w="1161" w:type="pct"/>
            <w:shd w:val="clear" w:color="auto" w:fill="auto"/>
            <w:vAlign w:val="center"/>
          </w:tcPr>
          <w:p>
            <w:pPr>
              <w:pStyle w:val="167"/>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1.25×</w:t>
            </w:r>
            <w:r>
              <w:rPr>
                <w:rFonts w:hint="default" w:ascii="Times New Roman" w:hAnsi="Times New Roman" w:eastAsia="Times New Roman" w:cs="Times New Roman"/>
                <w:color w:val="auto"/>
                <w:spacing w:val="3"/>
              </w:rPr>
              <w:t>10</w:t>
            </w:r>
            <w:r>
              <w:rPr>
                <w:rFonts w:hint="default" w:ascii="Times New Roman" w:hAnsi="Times New Roman" w:eastAsia="Times New Roman" w:cs="Times New Roman"/>
                <w:color w:val="auto"/>
                <w:spacing w:val="3"/>
                <w:position w:val="10"/>
                <w:sz w:val="14"/>
                <w:szCs w:val="14"/>
              </w:rPr>
              <w:t>-8</w:t>
            </w:r>
            <w:r>
              <w:rPr>
                <w:rFonts w:hint="default" w:ascii="Times New Roman" w:hAnsi="Times New Roman" w:eastAsia="Times New Roman" w:cs="Times New Roman"/>
                <w:color w:val="auto"/>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645" w:type="pct"/>
            <w:vMerge w:val="continue"/>
            <w:shd w:val="clear" w:color="auto" w:fill="auto"/>
            <w:vAlign w:val="center"/>
          </w:tcPr>
          <w:p>
            <w:pPr>
              <w:pStyle w:val="167"/>
              <w:rPr>
                <w:rFonts w:hint="default" w:ascii="Times New Roman" w:hAnsi="Times New Roman" w:cs="Times New Roman"/>
                <w:color w:val="auto"/>
              </w:rPr>
            </w:pPr>
          </w:p>
        </w:tc>
        <w:tc>
          <w:tcPr>
            <w:tcW w:w="2194" w:type="pct"/>
            <w:shd w:val="clear" w:color="auto" w:fill="auto"/>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储罐全破裂</w:t>
            </w:r>
          </w:p>
        </w:tc>
        <w:tc>
          <w:tcPr>
            <w:tcW w:w="1161" w:type="pct"/>
            <w:shd w:val="clear" w:color="auto" w:fill="auto"/>
            <w:vAlign w:val="center"/>
          </w:tcPr>
          <w:p>
            <w:pPr>
              <w:pStyle w:val="167"/>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1.25×</w:t>
            </w:r>
            <w:r>
              <w:rPr>
                <w:rFonts w:hint="default" w:ascii="Times New Roman" w:hAnsi="Times New Roman" w:eastAsia="Times New Roman" w:cs="Times New Roman"/>
                <w:color w:val="auto"/>
                <w:spacing w:val="3"/>
              </w:rPr>
              <w:t>10</w:t>
            </w:r>
            <w:r>
              <w:rPr>
                <w:rFonts w:hint="default" w:ascii="Times New Roman" w:hAnsi="Times New Roman" w:eastAsia="Times New Roman" w:cs="Times New Roman"/>
                <w:color w:val="auto"/>
                <w:spacing w:val="3"/>
                <w:position w:val="10"/>
                <w:sz w:val="14"/>
                <w:szCs w:val="14"/>
              </w:rPr>
              <w:t>-8</w:t>
            </w:r>
            <w:r>
              <w:rPr>
                <w:rFonts w:hint="default" w:ascii="Times New Roman" w:hAnsi="Times New Roman" w:eastAsia="Times New Roman" w:cs="Times New Roman"/>
                <w:color w:val="auto"/>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645" w:type="pct"/>
            <w:shd w:val="clear" w:color="auto" w:fill="auto"/>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常压全包容储罐</w:t>
            </w:r>
          </w:p>
        </w:tc>
        <w:tc>
          <w:tcPr>
            <w:tcW w:w="2194" w:type="pct"/>
            <w:shd w:val="clear" w:color="auto" w:fill="auto"/>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储罐全破裂</w:t>
            </w:r>
          </w:p>
        </w:tc>
        <w:tc>
          <w:tcPr>
            <w:tcW w:w="1161" w:type="pct"/>
            <w:shd w:val="clear" w:color="auto" w:fill="auto"/>
            <w:vAlign w:val="center"/>
          </w:tcPr>
          <w:p>
            <w:pPr>
              <w:pStyle w:val="167"/>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1.00×</w:t>
            </w:r>
            <w:r>
              <w:rPr>
                <w:rFonts w:hint="default" w:ascii="Times New Roman" w:hAnsi="Times New Roman" w:eastAsia="Times New Roman" w:cs="Times New Roman"/>
                <w:color w:val="auto"/>
                <w:spacing w:val="3"/>
              </w:rPr>
              <w:t>10</w:t>
            </w:r>
            <w:r>
              <w:rPr>
                <w:rFonts w:hint="default" w:ascii="Times New Roman" w:hAnsi="Times New Roman" w:eastAsia="Times New Roman" w:cs="Times New Roman"/>
                <w:color w:val="auto"/>
                <w:spacing w:val="3"/>
                <w:position w:val="10"/>
                <w:sz w:val="14"/>
                <w:szCs w:val="14"/>
              </w:rPr>
              <w:t>-8</w:t>
            </w:r>
            <w:r>
              <w:rPr>
                <w:rFonts w:hint="default" w:ascii="Times New Roman" w:hAnsi="Times New Roman" w:eastAsia="Times New Roman" w:cs="Times New Roman"/>
                <w:color w:val="auto"/>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645" w:type="pct"/>
            <w:shd w:val="clear" w:color="auto" w:fill="auto"/>
            <w:vAlign w:val="center"/>
          </w:tcPr>
          <w:p>
            <w:pPr>
              <w:pStyle w:val="167"/>
              <w:rPr>
                <w:rFonts w:hint="default" w:ascii="Times New Roman" w:hAnsi="Times New Roman" w:cs="Times New Roman"/>
                <w:color w:val="auto"/>
              </w:rPr>
            </w:pPr>
            <w:r>
              <w:rPr>
                <w:rFonts w:hint="default" w:ascii="Times New Roman" w:hAnsi="Times New Roman" w:cs="Times New Roman"/>
                <w:color w:val="auto"/>
                <w:spacing w:val="2"/>
              </w:rPr>
              <w:t>内径</w:t>
            </w:r>
            <w:r>
              <w:rPr>
                <w:rFonts w:hint="default" w:ascii="Times New Roman" w:hAnsi="Times New Roman" w:eastAsia="Times New Roman" w:cs="Times New Roman"/>
                <w:color w:val="auto"/>
                <w:spacing w:val="2"/>
              </w:rPr>
              <w:t>≤75mm</w:t>
            </w:r>
            <w:r>
              <w:rPr>
                <w:rFonts w:hint="default" w:ascii="Times New Roman" w:hAnsi="Times New Roman" w:cs="Times New Roman"/>
                <w:color w:val="auto"/>
              </w:rPr>
              <w:t>的管道</w:t>
            </w:r>
          </w:p>
        </w:tc>
        <w:tc>
          <w:tcPr>
            <w:tcW w:w="2194" w:type="pct"/>
            <w:shd w:val="clear" w:color="auto" w:fill="auto"/>
            <w:vAlign w:val="center"/>
          </w:tcPr>
          <w:p>
            <w:pPr>
              <w:pStyle w:val="167"/>
              <w:rPr>
                <w:rFonts w:hint="default" w:ascii="Times New Roman" w:hAnsi="Times New Roman" w:cs="Times New Roman"/>
                <w:color w:val="auto"/>
              </w:rPr>
            </w:pPr>
            <w:r>
              <w:rPr>
                <w:rFonts w:hint="default" w:ascii="Times New Roman" w:hAnsi="Times New Roman" w:cs="Times New Roman"/>
                <w:color w:val="auto"/>
                <w:spacing w:val="4"/>
              </w:rPr>
              <w:t>泄漏孔径为</w:t>
            </w:r>
            <w:r>
              <w:rPr>
                <w:rFonts w:hint="default" w:ascii="Times New Roman" w:hAnsi="Times New Roman" w:eastAsia="Times New Roman" w:cs="Times New Roman"/>
                <w:color w:val="auto"/>
                <w:spacing w:val="2"/>
              </w:rPr>
              <w:t>10%</w:t>
            </w:r>
            <w:r>
              <w:rPr>
                <w:rFonts w:hint="default" w:ascii="Times New Roman" w:hAnsi="Times New Roman" w:cs="Times New Roman"/>
                <w:color w:val="auto"/>
                <w:spacing w:val="2"/>
              </w:rPr>
              <w:t>孔径</w:t>
            </w:r>
          </w:p>
          <w:p>
            <w:pPr>
              <w:pStyle w:val="167"/>
              <w:rPr>
                <w:rFonts w:hint="default" w:ascii="Times New Roman" w:hAnsi="Times New Roman" w:cs="Times New Roman"/>
                <w:color w:val="auto"/>
              </w:rPr>
            </w:pPr>
            <w:r>
              <w:rPr>
                <w:rFonts w:hint="default" w:ascii="Times New Roman" w:hAnsi="Times New Roman" w:cs="Times New Roman"/>
                <w:color w:val="auto"/>
              </w:rPr>
              <w:t>全管径泄漏</w:t>
            </w:r>
          </w:p>
        </w:tc>
        <w:tc>
          <w:tcPr>
            <w:tcW w:w="1161" w:type="pct"/>
            <w:shd w:val="clear" w:color="auto" w:fill="auto"/>
            <w:vAlign w:val="center"/>
          </w:tcPr>
          <w:p>
            <w:pPr>
              <w:pStyle w:val="167"/>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5.00×</w:t>
            </w:r>
            <w:r>
              <w:rPr>
                <w:rFonts w:hint="default" w:ascii="Times New Roman" w:hAnsi="Times New Roman" w:eastAsia="Times New Roman" w:cs="Times New Roman"/>
                <w:color w:val="auto"/>
                <w:spacing w:val="3"/>
              </w:rPr>
              <w:t>10</w:t>
            </w:r>
            <w:r>
              <w:rPr>
                <w:rFonts w:hint="default" w:ascii="Times New Roman" w:hAnsi="Times New Roman" w:eastAsia="Times New Roman" w:cs="Times New Roman"/>
                <w:color w:val="auto"/>
                <w:spacing w:val="3"/>
                <w:position w:val="10"/>
                <w:sz w:val="14"/>
                <w:szCs w:val="14"/>
              </w:rPr>
              <w:t>-6</w:t>
            </w:r>
            <w:r>
              <w:rPr>
                <w:rFonts w:hint="default" w:ascii="Times New Roman" w:hAnsi="Times New Roman" w:eastAsia="Times New Roman" w:cs="Times New Roman"/>
                <w:color w:val="auto"/>
                <w:spacing w:val="-3"/>
              </w:rPr>
              <w:t>/m·a</w:t>
            </w:r>
          </w:p>
          <w:p>
            <w:pPr>
              <w:pStyle w:val="167"/>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1.00×</w:t>
            </w:r>
            <w:r>
              <w:rPr>
                <w:rFonts w:hint="default" w:ascii="Times New Roman" w:hAnsi="Times New Roman" w:eastAsia="Times New Roman" w:cs="Times New Roman"/>
                <w:color w:val="auto"/>
                <w:spacing w:val="3"/>
              </w:rPr>
              <w:t>10</w:t>
            </w:r>
            <w:r>
              <w:rPr>
                <w:rFonts w:hint="default" w:ascii="Times New Roman" w:hAnsi="Times New Roman" w:eastAsia="Times New Roman" w:cs="Times New Roman"/>
                <w:color w:val="auto"/>
                <w:spacing w:val="3"/>
                <w:position w:val="10"/>
                <w:sz w:val="14"/>
                <w:szCs w:val="14"/>
              </w:rPr>
              <w:t>-6</w:t>
            </w:r>
            <w:r>
              <w:rPr>
                <w:rFonts w:hint="default" w:ascii="Times New Roman" w:hAnsi="Times New Roman" w:eastAsia="Times New Roman" w:cs="Times New Roman"/>
                <w:color w:val="auto"/>
                <w:spacing w:val="-3"/>
              </w:rPr>
              <w:t>/m·a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645" w:type="pct"/>
            <w:shd w:val="clear" w:color="auto" w:fill="auto"/>
            <w:vAlign w:val="center"/>
          </w:tcPr>
          <w:p>
            <w:pPr>
              <w:pStyle w:val="167"/>
              <w:rPr>
                <w:rFonts w:hint="default" w:ascii="Times New Roman" w:hAnsi="Times New Roman" w:cs="Times New Roman"/>
                <w:color w:val="auto"/>
              </w:rPr>
            </w:pPr>
            <w:r>
              <w:rPr>
                <w:rFonts w:hint="default" w:ascii="Times New Roman" w:hAnsi="Times New Roman" w:eastAsia="Times New Roman" w:cs="Times New Roman"/>
                <w:color w:val="auto"/>
                <w:spacing w:val="2"/>
              </w:rPr>
              <w:t>75mm&lt;</w:t>
            </w:r>
            <w:r>
              <w:rPr>
                <w:rFonts w:hint="default" w:ascii="Times New Roman" w:hAnsi="Times New Roman" w:cs="Times New Roman"/>
                <w:color w:val="auto"/>
                <w:spacing w:val="2"/>
              </w:rPr>
              <w:t>内径</w:t>
            </w:r>
            <w:r>
              <w:rPr>
                <w:rFonts w:hint="default" w:ascii="Times New Roman" w:hAnsi="Times New Roman" w:eastAsia="Times New Roman" w:cs="Times New Roman"/>
                <w:color w:val="auto"/>
                <w:spacing w:val="2"/>
              </w:rPr>
              <w:t>≤150mm</w:t>
            </w:r>
            <w:r>
              <w:rPr>
                <w:rFonts w:hint="default" w:ascii="Times New Roman" w:hAnsi="Times New Roman" w:cs="Times New Roman"/>
                <w:color w:val="auto"/>
              </w:rPr>
              <w:t>的管道</w:t>
            </w:r>
          </w:p>
        </w:tc>
        <w:tc>
          <w:tcPr>
            <w:tcW w:w="2194" w:type="pct"/>
            <w:shd w:val="clear" w:color="auto" w:fill="auto"/>
            <w:vAlign w:val="center"/>
          </w:tcPr>
          <w:p>
            <w:pPr>
              <w:pStyle w:val="167"/>
              <w:rPr>
                <w:rFonts w:hint="default" w:ascii="Times New Roman" w:hAnsi="Times New Roman" w:cs="Times New Roman"/>
                <w:color w:val="auto"/>
              </w:rPr>
            </w:pPr>
            <w:r>
              <w:rPr>
                <w:rFonts w:hint="default" w:ascii="Times New Roman" w:hAnsi="Times New Roman" w:cs="Times New Roman"/>
                <w:color w:val="auto"/>
                <w:spacing w:val="4"/>
              </w:rPr>
              <w:t>泄漏孔径为</w:t>
            </w:r>
            <w:r>
              <w:rPr>
                <w:rFonts w:hint="default" w:ascii="Times New Roman" w:hAnsi="Times New Roman" w:eastAsia="Times New Roman" w:cs="Times New Roman"/>
                <w:color w:val="auto"/>
                <w:spacing w:val="2"/>
              </w:rPr>
              <w:t>10%</w:t>
            </w:r>
            <w:r>
              <w:rPr>
                <w:rFonts w:hint="default" w:ascii="Times New Roman" w:hAnsi="Times New Roman" w:cs="Times New Roman"/>
                <w:color w:val="auto"/>
                <w:spacing w:val="2"/>
              </w:rPr>
              <w:t>孔径</w:t>
            </w:r>
          </w:p>
          <w:p>
            <w:pPr>
              <w:pStyle w:val="167"/>
              <w:rPr>
                <w:rFonts w:hint="default" w:ascii="Times New Roman" w:hAnsi="Times New Roman" w:cs="Times New Roman"/>
                <w:color w:val="auto"/>
              </w:rPr>
            </w:pPr>
            <w:r>
              <w:rPr>
                <w:rFonts w:hint="default" w:ascii="Times New Roman" w:hAnsi="Times New Roman" w:cs="Times New Roman"/>
                <w:color w:val="auto"/>
              </w:rPr>
              <w:t>全管径泄漏</w:t>
            </w:r>
          </w:p>
        </w:tc>
        <w:tc>
          <w:tcPr>
            <w:tcW w:w="1161" w:type="pct"/>
            <w:shd w:val="clear" w:color="auto" w:fill="auto"/>
            <w:vAlign w:val="center"/>
          </w:tcPr>
          <w:p>
            <w:pPr>
              <w:pStyle w:val="167"/>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2.00×</w:t>
            </w:r>
            <w:r>
              <w:rPr>
                <w:rFonts w:hint="default" w:ascii="Times New Roman" w:hAnsi="Times New Roman" w:eastAsia="Times New Roman" w:cs="Times New Roman"/>
                <w:color w:val="auto"/>
                <w:spacing w:val="3"/>
              </w:rPr>
              <w:t>10</w:t>
            </w:r>
            <w:r>
              <w:rPr>
                <w:rFonts w:hint="default" w:ascii="Times New Roman" w:hAnsi="Times New Roman" w:eastAsia="Times New Roman" w:cs="Times New Roman"/>
                <w:color w:val="auto"/>
                <w:spacing w:val="3"/>
                <w:position w:val="10"/>
                <w:sz w:val="14"/>
                <w:szCs w:val="14"/>
              </w:rPr>
              <w:t>-6</w:t>
            </w:r>
            <w:r>
              <w:rPr>
                <w:rFonts w:hint="default" w:ascii="Times New Roman" w:hAnsi="Times New Roman" w:eastAsia="Times New Roman" w:cs="Times New Roman"/>
                <w:color w:val="auto"/>
                <w:spacing w:val="-3"/>
              </w:rPr>
              <w:t>/m·a</w:t>
            </w:r>
          </w:p>
          <w:p>
            <w:pPr>
              <w:pStyle w:val="167"/>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3.00×</w:t>
            </w:r>
            <w:r>
              <w:rPr>
                <w:rFonts w:hint="default" w:ascii="Times New Roman" w:hAnsi="Times New Roman" w:eastAsia="Times New Roman" w:cs="Times New Roman"/>
                <w:color w:val="auto"/>
                <w:spacing w:val="3"/>
              </w:rPr>
              <w:t>10</w:t>
            </w:r>
            <w:r>
              <w:rPr>
                <w:rFonts w:hint="default" w:ascii="Times New Roman" w:hAnsi="Times New Roman" w:eastAsia="Times New Roman" w:cs="Times New Roman"/>
                <w:color w:val="auto"/>
                <w:spacing w:val="3"/>
                <w:position w:val="10"/>
                <w:sz w:val="14"/>
                <w:szCs w:val="14"/>
              </w:rPr>
              <w:t>-7</w:t>
            </w:r>
            <w:r>
              <w:rPr>
                <w:rFonts w:hint="default" w:ascii="Times New Roman" w:hAnsi="Times New Roman" w:eastAsia="Times New Roman" w:cs="Times New Roman"/>
                <w:color w:val="auto"/>
                <w:spacing w:val="-3"/>
              </w:rPr>
              <w:t>/m·a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645" w:type="pct"/>
            <w:vMerge w:val="restart"/>
            <w:shd w:val="clear" w:color="auto" w:fill="auto"/>
            <w:vAlign w:val="center"/>
          </w:tcPr>
          <w:p>
            <w:pPr>
              <w:pStyle w:val="167"/>
              <w:rPr>
                <w:rFonts w:hint="default" w:ascii="Times New Roman" w:hAnsi="Times New Roman" w:cs="Times New Roman"/>
                <w:color w:val="auto"/>
              </w:rPr>
            </w:pPr>
            <w:r>
              <w:rPr>
                <w:rFonts w:hint="default" w:ascii="Times New Roman" w:hAnsi="Times New Roman" w:cs="Times New Roman"/>
                <w:color w:val="auto"/>
                <w:spacing w:val="3"/>
              </w:rPr>
              <w:t>内径＞</w:t>
            </w:r>
            <w:r>
              <w:rPr>
                <w:rFonts w:hint="default" w:ascii="Times New Roman" w:hAnsi="Times New Roman" w:eastAsia="Times New Roman" w:cs="Times New Roman"/>
                <w:color w:val="auto"/>
                <w:spacing w:val="3"/>
              </w:rPr>
              <w:t>150mm</w:t>
            </w:r>
            <w:r>
              <w:rPr>
                <w:rFonts w:hint="default" w:ascii="Times New Roman" w:hAnsi="Times New Roman" w:cs="Times New Roman"/>
                <w:color w:val="auto"/>
              </w:rPr>
              <w:t>的管道</w:t>
            </w:r>
          </w:p>
        </w:tc>
        <w:tc>
          <w:tcPr>
            <w:tcW w:w="2194" w:type="pct"/>
            <w:shd w:val="clear" w:color="auto" w:fill="auto"/>
            <w:vAlign w:val="center"/>
          </w:tcPr>
          <w:p>
            <w:pPr>
              <w:pStyle w:val="167"/>
              <w:rPr>
                <w:rFonts w:hint="default" w:ascii="Times New Roman" w:hAnsi="Times New Roman" w:cs="Times New Roman"/>
                <w:color w:val="auto"/>
              </w:rPr>
            </w:pPr>
            <w:r>
              <w:rPr>
                <w:rFonts w:hint="default" w:ascii="Times New Roman" w:hAnsi="Times New Roman" w:cs="Times New Roman"/>
                <w:color w:val="auto"/>
                <w:spacing w:val="4"/>
              </w:rPr>
              <w:t>泄漏孔径为</w:t>
            </w:r>
            <w:r>
              <w:rPr>
                <w:rFonts w:hint="default" w:ascii="Times New Roman" w:hAnsi="Times New Roman" w:eastAsia="Times New Roman" w:cs="Times New Roman"/>
                <w:color w:val="auto"/>
                <w:spacing w:val="3"/>
              </w:rPr>
              <w:t>10%</w:t>
            </w:r>
            <w:r>
              <w:rPr>
                <w:rFonts w:hint="default" w:ascii="Times New Roman" w:hAnsi="Times New Roman" w:cs="Times New Roman"/>
                <w:color w:val="auto"/>
                <w:spacing w:val="3"/>
              </w:rPr>
              <w:t>孔径（最大</w:t>
            </w:r>
            <w:r>
              <w:rPr>
                <w:rFonts w:hint="default" w:ascii="Times New Roman" w:hAnsi="Times New Roman" w:eastAsia="Times New Roman" w:cs="Times New Roman"/>
                <w:color w:val="auto"/>
              </w:rPr>
              <w:t>50mm</w:t>
            </w:r>
            <w:r>
              <w:rPr>
                <w:rFonts w:hint="default" w:ascii="Times New Roman" w:hAnsi="Times New Roman" w:cs="Times New Roman"/>
                <w:color w:val="auto"/>
              </w:rPr>
              <w:t>）</w:t>
            </w:r>
          </w:p>
        </w:tc>
        <w:tc>
          <w:tcPr>
            <w:tcW w:w="1161" w:type="pct"/>
            <w:shd w:val="clear" w:color="auto" w:fill="auto"/>
            <w:vAlign w:val="center"/>
          </w:tcPr>
          <w:p>
            <w:pPr>
              <w:pStyle w:val="167"/>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2.40×</w:t>
            </w:r>
            <w:r>
              <w:rPr>
                <w:rFonts w:hint="default" w:ascii="Times New Roman" w:hAnsi="Times New Roman" w:eastAsia="Times New Roman" w:cs="Times New Roman"/>
                <w:color w:val="auto"/>
                <w:spacing w:val="3"/>
              </w:rPr>
              <w:t>10</w:t>
            </w:r>
            <w:r>
              <w:rPr>
                <w:rFonts w:hint="default" w:ascii="Times New Roman" w:hAnsi="Times New Roman" w:eastAsia="Times New Roman" w:cs="Times New Roman"/>
                <w:color w:val="auto"/>
                <w:spacing w:val="3"/>
                <w:position w:val="10"/>
                <w:sz w:val="14"/>
                <w:szCs w:val="14"/>
              </w:rPr>
              <w:t>-6</w:t>
            </w:r>
            <w:r>
              <w:rPr>
                <w:rFonts w:hint="default" w:ascii="Times New Roman" w:hAnsi="Times New Roman" w:eastAsia="Times New Roman" w:cs="Times New Roman"/>
                <w:color w:val="auto"/>
              </w:rPr>
              <w:t>/m·a*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645" w:type="pct"/>
            <w:vMerge w:val="continue"/>
            <w:shd w:val="clear" w:color="auto" w:fill="auto"/>
            <w:vAlign w:val="center"/>
          </w:tcPr>
          <w:p>
            <w:pPr>
              <w:pStyle w:val="167"/>
              <w:rPr>
                <w:rFonts w:hint="default" w:ascii="Times New Roman" w:hAnsi="Times New Roman" w:cs="Times New Roman"/>
                <w:color w:val="auto"/>
                <w:spacing w:val="3"/>
              </w:rPr>
            </w:pPr>
          </w:p>
        </w:tc>
        <w:tc>
          <w:tcPr>
            <w:tcW w:w="2194" w:type="pct"/>
            <w:shd w:val="clear" w:color="auto" w:fill="auto"/>
            <w:vAlign w:val="center"/>
          </w:tcPr>
          <w:p>
            <w:pPr>
              <w:pStyle w:val="167"/>
              <w:rPr>
                <w:rFonts w:hint="default" w:ascii="Times New Roman" w:hAnsi="Times New Roman" w:cs="Times New Roman"/>
                <w:color w:val="auto"/>
                <w:spacing w:val="4"/>
              </w:rPr>
            </w:pPr>
            <w:r>
              <w:rPr>
                <w:rFonts w:hint="default" w:ascii="Times New Roman" w:hAnsi="Times New Roman" w:cs="Times New Roman"/>
                <w:color w:val="auto"/>
              </w:rPr>
              <w:t>全管径泄漏</w:t>
            </w:r>
          </w:p>
        </w:tc>
        <w:tc>
          <w:tcPr>
            <w:tcW w:w="1161" w:type="pct"/>
            <w:shd w:val="clear" w:color="auto" w:fill="auto"/>
            <w:vAlign w:val="center"/>
          </w:tcPr>
          <w:p>
            <w:pPr>
              <w:pStyle w:val="167"/>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1.00×</w:t>
            </w:r>
            <w:r>
              <w:rPr>
                <w:rFonts w:hint="default" w:ascii="Times New Roman" w:hAnsi="Times New Roman" w:eastAsia="Times New Roman" w:cs="Times New Roman"/>
                <w:color w:val="auto"/>
                <w:spacing w:val="3"/>
              </w:rPr>
              <w:t>10</w:t>
            </w:r>
            <w:r>
              <w:rPr>
                <w:rFonts w:hint="default" w:ascii="Times New Roman" w:hAnsi="Times New Roman" w:eastAsia="Times New Roman" w:cs="Times New Roman"/>
                <w:color w:val="auto"/>
                <w:spacing w:val="3"/>
                <w:position w:val="10"/>
                <w:sz w:val="14"/>
                <w:szCs w:val="14"/>
              </w:rPr>
              <w:t>-7</w:t>
            </w:r>
            <w:r>
              <w:rPr>
                <w:rFonts w:hint="default" w:ascii="Times New Roman" w:hAnsi="Times New Roman" w:eastAsia="Times New Roman" w:cs="Times New Roman"/>
                <w:color w:val="auto"/>
                <w:spacing w:val="-3"/>
              </w:rPr>
              <w:t>/m·a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645" w:type="pct"/>
            <w:vMerge w:val="restart"/>
            <w:shd w:val="clear" w:color="auto" w:fill="auto"/>
            <w:vAlign w:val="center"/>
          </w:tcPr>
          <w:p>
            <w:pPr>
              <w:pStyle w:val="167"/>
              <w:rPr>
                <w:rFonts w:hint="default" w:ascii="Times New Roman" w:hAnsi="Times New Roman" w:cs="Times New Roman"/>
                <w:color w:val="auto"/>
                <w:spacing w:val="3"/>
              </w:rPr>
            </w:pPr>
            <w:r>
              <w:rPr>
                <w:rFonts w:hint="default" w:ascii="Times New Roman" w:hAnsi="Times New Roman" w:cs="Times New Roman"/>
                <w:color w:val="auto"/>
              </w:rPr>
              <w:t>泵体和压缩机</w:t>
            </w:r>
          </w:p>
        </w:tc>
        <w:tc>
          <w:tcPr>
            <w:tcW w:w="2194" w:type="pct"/>
            <w:shd w:val="clear" w:color="auto" w:fill="auto"/>
            <w:vAlign w:val="center"/>
          </w:tcPr>
          <w:p>
            <w:pPr>
              <w:pStyle w:val="167"/>
              <w:rPr>
                <w:rFonts w:hint="default" w:ascii="Times New Roman" w:hAnsi="Times New Roman" w:cs="Times New Roman"/>
                <w:color w:val="auto"/>
              </w:rPr>
            </w:pPr>
            <w:r>
              <w:rPr>
                <w:rFonts w:hint="default" w:ascii="Times New Roman" w:hAnsi="Times New Roman" w:cs="Times New Roman"/>
                <w:color w:val="auto"/>
                <w:spacing w:val="5"/>
              </w:rPr>
              <w:t>泵体和压缩机最大连接管</w:t>
            </w:r>
            <w:r>
              <w:rPr>
                <w:rFonts w:hint="default" w:ascii="Times New Roman" w:hAnsi="Times New Roman" w:cs="Times New Roman"/>
                <w:color w:val="auto"/>
                <w:spacing w:val="4"/>
              </w:rPr>
              <w:t>泄漏孔径为</w:t>
            </w:r>
            <w:r>
              <w:rPr>
                <w:rFonts w:hint="default" w:ascii="Times New Roman" w:hAnsi="Times New Roman" w:eastAsia="Times New Roman" w:cs="Times New Roman"/>
                <w:color w:val="auto"/>
                <w:spacing w:val="3"/>
              </w:rPr>
              <w:t>10%</w:t>
            </w:r>
            <w:r>
              <w:rPr>
                <w:rFonts w:hint="default" w:ascii="Times New Roman" w:hAnsi="Times New Roman" w:cs="Times New Roman"/>
                <w:color w:val="auto"/>
                <w:spacing w:val="3"/>
              </w:rPr>
              <w:t>孔径（最大</w:t>
            </w:r>
            <w:r>
              <w:rPr>
                <w:rFonts w:hint="default" w:ascii="Times New Roman" w:hAnsi="Times New Roman" w:eastAsia="Times New Roman" w:cs="Times New Roman"/>
                <w:color w:val="auto"/>
              </w:rPr>
              <w:t>50mm</w:t>
            </w:r>
            <w:r>
              <w:rPr>
                <w:rFonts w:hint="default" w:ascii="Times New Roman" w:hAnsi="Times New Roman" w:cs="Times New Roman"/>
                <w:color w:val="auto"/>
              </w:rPr>
              <w:t>）</w:t>
            </w:r>
          </w:p>
        </w:tc>
        <w:tc>
          <w:tcPr>
            <w:tcW w:w="1161" w:type="pct"/>
            <w:shd w:val="clear" w:color="auto" w:fill="auto"/>
            <w:vAlign w:val="center"/>
          </w:tcPr>
          <w:p>
            <w:pPr>
              <w:pStyle w:val="167"/>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5.00×</w:t>
            </w:r>
            <w:r>
              <w:rPr>
                <w:rFonts w:hint="default" w:ascii="Times New Roman" w:hAnsi="Times New Roman" w:eastAsia="Times New Roman" w:cs="Times New Roman"/>
                <w:color w:val="auto"/>
                <w:spacing w:val="3"/>
              </w:rPr>
              <w:t>10</w:t>
            </w:r>
            <w:r>
              <w:rPr>
                <w:rFonts w:hint="default" w:ascii="Times New Roman" w:hAnsi="Times New Roman" w:eastAsia="Times New Roman" w:cs="Times New Roman"/>
                <w:color w:val="auto"/>
                <w:spacing w:val="3"/>
                <w:position w:val="10"/>
                <w:sz w:val="14"/>
                <w:szCs w:val="14"/>
              </w:rPr>
              <w:t>-4</w:t>
            </w:r>
            <w:r>
              <w:rPr>
                <w:rFonts w:hint="default" w:ascii="Times New Roman" w:hAnsi="Times New Roman" w:eastAsia="Times New Roman" w:cs="Times New Roman"/>
                <w:color w:val="auto"/>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645" w:type="pct"/>
            <w:vMerge w:val="continue"/>
            <w:shd w:val="clear" w:color="auto" w:fill="auto"/>
            <w:vAlign w:val="center"/>
          </w:tcPr>
          <w:p>
            <w:pPr>
              <w:pStyle w:val="167"/>
              <w:rPr>
                <w:rFonts w:hint="default" w:ascii="Times New Roman" w:hAnsi="Times New Roman" w:cs="Times New Roman"/>
                <w:color w:val="auto"/>
                <w:spacing w:val="3"/>
              </w:rPr>
            </w:pPr>
          </w:p>
        </w:tc>
        <w:tc>
          <w:tcPr>
            <w:tcW w:w="2194" w:type="pct"/>
            <w:shd w:val="clear" w:color="auto" w:fill="auto"/>
            <w:vAlign w:val="center"/>
          </w:tcPr>
          <w:p>
            <w:pPr>
              <w:pStyle w:val="167"/>
              <w:rPr>
                <w:rFonts w:hint="default" w:ascii="Times New Roman" w:hAnsi="Times New Roman" w:cs="Times New Roman"/>
                <w:color w:val="auto"/>
              </w:rPr>
            </w:pPr>
            <w:r>
              <w:rPr>
                <w:rFonts w:hint="default" w:ascii="Times New Roman" w:hAnsi="Times New Roman" w:cs="Times New Roman"/>
                <w:color w:val="auto"/>
                <w:spacing w:val="5"/>
              </w:rPr>
              <w:t>泵体和压缩机最大连接管</w:t>
            </w:r>
            <w:r>
              <w:rPr>
                <w:rFonts w:hint="default" w:ascii="Times New Roman" w:hAnsi="Times New Roman" w:cs="Times New Roman"/>
                <w:color w:val="auto"/>
              </w:rPr>
              <w:t>全管径泄漏</w:t>
            </w:r>
          </w:p>
        </w:tc>
        <w:tc>
          <w:tcPr>
            <w:tcW w:w="1161" w:type="pct"/>
            <w:shd w:val="clear" w:color="auto" w:fill="auto"/>
            <w:vAlign w:val="center"/>
          </w:tcPr>
          <w:p>
            <w:pPr>
              <w:pStyle w:val="167"/>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1.00×</w:t>
            </w:r>
            <w:r>
              <w:rPr>
                <w:rFonts w:hint="default" w:ascii="Times New Roman" w:hAnsi="Times New Roman" w:eastAsia="Times New Roman" w:cs="Times New Roman"/>
                <w:color w:val="auto"/>
                <w:spacing w:val="3"/>
              </w:rPr>
              <w:t>10</w:t>
            </w:r>
            <w:r>
              <w:rPr>
                <w:rFonts w:hint="default" w:ascii="Times New Roman" w:hAnsi="Times New Roman" w:eastAsia="Times New Roman" w:cs="Times New Roman"/>
                <w:color w:val="auto"/>
                <w:spacing w:val="3"/>
                <w:position w:val="10"/>
                <w:sz w:val="14"/>
                <w:szCs w:val="14"/>
              </w:rPr>
              <w:t>-4</w:t>
            </w:r>
            <w:r>
              <w:rPr>
                <w:rFonts w:hint="default" w:ascii="Times New Roman" w:hAnsi="Times New Roman" w:eastAsia="Times New Roman" w:cs="Times New Roman"/>
                <w:color w:val="auto"/>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645" w:type="pct"/>
            <w:vMerge w:val="restart"/>
            <w:shd w:val="clear" w:color="auto" w:fill="auto"/>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装卸臂</w:t>
            </w:r>
          </w:p>
        </w:tc>
        <w:tc>
          <w:tcPr>
            <w:tcW w:w="2194" w:type="pct"/>
            <w:shd w:val="clear" w:color="auto" w:fill="auto"/>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装卸臂连接管</w:t>
            </w:r>
            <w:r>
              <w:rPr>
                <w:rFonts w:hint="default" w:ascii="Times New Roman" w:hAnsi="Times New Roman" w:cs="Times New Roman"/>
                <w:color w:val="auto"/>
                <w:spacing w:val="4"/>
              </w:rPr>
              <w:t>泄漏孔径为</w:t>
            </w:r>
            <w:r>
              <w:rPr>
                <w:rFonts w:hint="default" w:ascii="Times New Roman" w:hAnsi="Times New Roman" w:eastAsia="Times New Roman" w:cs="Times New Roman"/>
                <w:color w:val="auto"/>
                <w:spacing w:val="3"/>
              </w:rPr>
              <w:t>10%</w:t>
            </w:r>
            <w:r>
              <w:rPr>
                <w:rFonts w:hint="default" w:ascii="Times New Roman" w:hAnsi="Times New Roman" w:cs="Times New Roman"/>
                <w:color w:val="auto"/>
                <w:spacing w:val="3"/>
              </w:rPr>
              <w:t>孔径（最大</w:t>
            </w:r>
            <w:r>
              <w:rPr>
                <w:rFonts w:hint="default" w:ascii="Times New Roman" w:hAnsi="Times New Roman" w:eastAsia="Times New Roman" w:cs="Times New Roman"/>
                <w:color w:val="auto"/>
              </w:rPr>
              <w:t>50mm</w:t>
            </w:r>
            <w:r>
              <w:rPr>
                <w:rFonts w:hint="default" w:ascii="Times New Roman" w:hAnsi="Times New Roman" w:cs="Times New Roman"/>
                <w:color w:val="auto"/>
              </w:rPr>
              <w:t>）</w:t>
            </w:r>
          </w:p>
        </w:tc>
        <w:tc>
          <w:tcPr>
            <w:tcW w:w="1161" w:type="pct"/>
            <w:shd w:val="clear" w:color="auto" w:fill="auto"/>
            <w:vAlign w:val="center"/>
          </w:tcPr>
          <w:p>
            <w:pPr>
              <w:pStyle w:val="167"/>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3.00×</w:t>
            </w:r>
            <w:r>
              <w:rPr>
                <w:rFonts w:hint="default" w:ascii="Times New Roman" w:hAnsi="Times New Roman" w:eastAsia="Times New Roman" w:cs="Times New Roman"/>
                <w:color w:val="auto"/>
                <w:spacing w:val="3"/>
              </w:rPr>
              <w:t>10</w:t>
            </w:r>
            <w:r>
              <w:rPr>
                <w:rFonts w:hint="default" w:ascii="Times New Roman" w:hAnsi="Times New Roman" w:eastAsia="Times New Roman" w:cs="Times New Roman"/>
                <w:color w:val="auto"/>
                <w:spacing w:val="3"/>
                <w:position w:val="10"/>
                <w:sz w:val="14"/>
                <w:szCs w:val="14"/>
              </w:rPr>
              <w:t>-7</w:t>
            </w:r>
            <w:r>
              <w:rPr>
                <w:rFonts w:hint="default" w:ascii="Times New Roman" w:hAnsi="Times New Roman" w:eastAsia="Times New Roman" w:cs="Times New Roman"/>
                <w:color w:val="auto"/>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645" w:type="pct"/>
            <w:vMerge w:val="continue"/>
            <w:shd w:val="clear" w:color="auto" w:fill="auto"/>
            <w:vAlign w:val="center"/>
          </w:tcPr>
          <w:p>
            <w:pPr>
              <w:pStyle w:val="167"/>
              <w:rPr>
                <w:rFonts w:hint="default" w:ascii="Times New Roman" w:hAnsi="Times New Roman" w:cs="Times New Roman"/>
                <w:color w:val="auto"/>
              </w:rPr>
            </w:pPr>
          </w:p>
        </w:tc>
        <w:tc>
          <w:tcPr>
            <w:tcW w:w="2194" w:type="pct"/>
            <w:shd w:val="clear" w:color="auto" w:fill="auto"/>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装卸臂全管径泄漏</w:t>
            </w:r>
          </w:p>
        </w:tc>
        <w:tc>
          <w:tcPr>
            <w:tcW w:w="1161" w:type="pct"/>
            <w:shd w:val="clear" w:color="auto" w:fill="auto"/>
            <w:vAlign w:val="center"/>
          </w:tcPr>
          <w:p>
            <w:pPr>
              <w:pStyle w:val="167"/>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3.00×</w:t>
            </w:r>
            <w:r>
              <w:rPr>
                <w:rFonts w:hint="default" w:ascii="Times New Roman" w:hAnsi="Times New Roman" w:eastAsia="Times New Roman" w:cs="Times New Roman"/>
                <w:color w:val="auto"/>
                <w:spacing w:val="3"/>
              </w:rPr>
              <w:t>10</w:t>
            </w:r>
            <w:r>
              <w:rPr>
                <w:rFonts w:hint="default" w:ascii="Times New Roman" w:hAnsi="Times New Roman" w:eastAsia="Times New Roman" w:cs="Times New Roman"/>
                <w:color w:val="auto"/>
                <w:spacing w:val="3"/>
                <w:position w:val="10"/>
                <w:sz w:val="14"/>
                <w:szCs w:val="14"/>
              </w:rPr>
              <w:t>-8</w:t>
            </w:r>
            <w:r>
              <w:rPr>
                <w:rFonts w:hint="default" w:ascii="Times New Roman" w:hAnsi="Times New Roman" w:eastAsia="Times New Roman" w:cs="Times New Roman"/>
                <w:color w:val="auto"/>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645" w:type="pct"/>
            <w:vMerge w:val="restart"/>
            <w:shd w:val="clear" w:color="auto" w:fill="auto"/>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装卸软管</w:t>
            </w:r>
          </w:p>
        </w:tc>
        <w:tc>
          <w:tcPr>
            <w:tcW w:w="2194" w:type="pct"/>
            <w:shd w:val="clear" w:color="auto" w:fill="auto"/>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装卸软管连接管</w:t>
            </w:r>
            <w:r>
              <w:rPr>
                <w:rFonts w:hint="default" w:ascii="Times New Roman" w:hAnsi="Times New Roman" w:cs="Times New Roman"/>
                <w:color w:val="auto"/>
                <w:spacing w:val="4"/>
              </w:rPr>
              <w:t>泄漏孔径为</w:t>
            </w:r>
            <w:r>
              <w:rPr>
                <w:rFonts w:hint="default" w:ascii="Times New Roman" w:hAnsi="Times New Roman" w:eastAsia="Times New Roman" w:cs="Times New Roman"/>
                <w:color w:val="auto"/>
                <w:spacing w:val="3"/>
              </w:rPr>
              <w:t>10%</w:t>
            </w:r>
            <w:r>
              <w:rPr>
                <w:rFonts w:hint="default" w:ascii="Times New Roman" w:hAnsi="Times New Roman" w:cs="Times New Roman"/>
                <w:color w:val="auto"/>
                <w:spacing w:val="3"/>
              </w:rPr>
              <w:t>孔径（最大</w:t>
            </w:r>
            <w:r>
              <w:rPr>
                <w:rFonts w:hint="default" w:ascii="Times New Roman" w:hAnsi="Times New Roman" w:eastAsia="Times New Roman" w:cs="Times New Roman"/>
                <w:color w:val="auto"/>
              </w:rPr>
              <w:t>50mm</w:t>
            </w:r>
            <w:r>
              <w:rPr>
                <w:rFonts w:hint="default" w:ascii="Times New Roman" w:hAnsi="Times New Roman" w:cs="Times New Roman"/>
                <w:color w:val="auto"/>
              </w:rPr>
              <w:t>）</w:t>
            </w:r>
          </w:p>
        </w:tc>
        <w:tc>
          <w:tcPr>
            <w:tcW w:w="1161" w:type="pct"/>
            <w:shd w:val="clear" w:color="auto" w:fill="auto"/>
            <w:vAlign w:val="center"/>
          </w:tcPr>
          <w:p>
            <w:pPr>
              <w:pStyle w:val="167"/>
              <w:rPr>
                <w:rFonts w:hint="default" w:ascii="Times New Roman" w:hAnsi="Times New Roman" w:cs="Times New Roman"/>
                <w:color w:val="auto"/>
              </w:rPr>
            </w:pPr>
            <w:r>
              <w:rPr>
                <w:rFonts w:hint="default" w:ascii="Times New Roman" w:hAnsi="Times New Roman" w:eastAsia="Times New Roman" w:cs="Times New Roman"/>
                <w:color w:val="auto"/>
              </w:rPr>
              <w:t>4.00×</w:t>
            </w:r>
            <w:r>
              <w:rPr>
                <w:rFonts w:hint="default" w:ascii="Times New Roman" w:hAnsi="Times New Roman" w:eastAsia="Times New Roman" w:cs="Times New Roman"/>
                <w:color w:val="auto"/>
                <w:spacing w:val="3"/>
              </w:rPr>
              <w:t>10</w:t>
            </w:r>
            <w:r>
              <w:rPr>
                <w:rFonts w:hint="default" w:ascii="Times New Roman" w:hAnsi="Times New Roman" w:eastAsia="Times New Roman" w:cs="Times New Roman"/>
                <w:color w:val="auto"/>
                <w:spacing w:val="3"/>
                <w:position w:val="10"/>
                <w:sz w:val="14"/>
                <w:szCs w:val="14"/>
              </w:rPr>
              <w:t>-5</w:t>
            </w:r>
            <w:r>
              <w:rPr>
                <w:rFonts w:hint="default" w:ascii="Times New Roman" w:hAnsi="Times New Roman" w:eastAsia="Times New Roman" w:cs="Times New Roman"/>
                <w:color w:val="auto"/>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645" w:type="pct"/>
            <w:vMerge w:val="continue"/>
            <w:shd w:val="clear" w:color="auto" w:fill="auto"/>
            <w:vAlign w:val="center"/>
          </w:tcPr>
          <w:p>
            <w:pPr>
              <w:pStyle w:val="167"/>
              <w:rPr>
                <w:rFonts w:hint="default" w:ascii="Times New Roman" w:hAnsi="Times New Roman" w:cs="Times New Roman"/>
                <w:color w:val="auto"/>
              </w:rPr>
            </w:pPr>
          </w:p>
        </w:tc>
        <w:tc>
          <w:tcPr>
            <w:tcW w:w="2194" w:type="pct"/>
            <w:shd w:val="clear" w:color="auto" w:fill="auto"/>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装卸软管全管径泄漏</w:t>
            </w:r>
          </w:p>
        </w:tc>
        <w:tc>
          <w:tcPr>
            <w:tcW w:w="1161" w:type="pct"/>
            <w:shd w:val="clear" w:color="auto" w:fill="auto"/>
            <w:vAlign w:val="center"/>
          </w:tcPr>
          <w:p>
            <w:pPr>
              <w:pStyle w:val="167"/>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4.00×</w:t>
            </w:r>
            <w:r>
              <w:rPr>
                <w:rFonts w:hint="default" w:ascii="Times New Roman" w:hAnsi="Times New Roman" w:eastAsia="Times New Roman" w:cs="Times New Roman"/>
                <w:color w:val="auto"/>
                <w:spacing w:val="3"/>
              </w:rPr>
              <w:t>10</w:t>
            </w:r>
            <w:r>
              <w:rPr>
                <w:rFonts w:hint="default" w:ascii="Times New Roman" w:hAnsi="Times New Roman" w:eastAsia="Times New Roman" w:cs="Times New Roman"/>
                <w:color w:val="auto"/>
                <w:spacing w:val="3"/>
                <w:position w:val="10"/>
                <w:sz w:val="14"/>
                <w:szCs w:val="14"/>
              </w:rPr>
              <w:t>-6</w:t>
            </w:r>
            <w:r>
              <w:rPr>
                <w:rFonts w:hint="default" w:ascii="Times New Roman" w:hAnsi="Times New Roman" w:eastAsia="Times New Roman" w:cs="Times New Roman"/>
                <w:color w:val="auto"/>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5000" w:type="pct"/>
            <w:gridSpan w:val="3"/>
            <w:shd w:val="clear" w:color="auto" w:fill="auto"/>
            <w:vAlign w:val="center"/>
          </w:tcPr>
          <w:p>
            <w:pPr>
              <w:pStyle w:val="167"/>
              <w:rPr>
                <w:rFonts w:hint="default" w:ascii="Times New Roman" w:hAnsi="Times New Roman" w:cs="Times New Roman"/>
                <w:color w:val="auto"/>
              </w:rPr>
            </w:pPr>
            <w:r>
              <w:rPr>
                <w:rFonts w:hint="default" w:ascii="Times New Roman" w:hAnsi="Times New Roman" w:cs="Times New Roman"/>
                <w:color w:val="auto"/>
                <w:spacing w:val="-3"/>
                <w:szCs w:val="21"/>
              </w:rPr>
              <w:t>注：以上数据来源于荷兰</w:t>
            </w:r>
            <w:r>
              <w:rPr>
                <w:rFonts w:hint="default" w:ascii="Times New Roman" w:hAnsi="Times New Roman" w:cs="Times New Roman"/>
                <w:color w:val="auto"/>
                <w:szCs w:val="21"/>
              </w:rPr>
              <w:t>TNO</w:t>
            </w:r>
            <w:r>
              <w:rPr>
                <w:rFonts w:hint="default" w:ascii="Times New Roman" w:hAnsi="Times New Roman" w:cs="Times New Roman"/>
                <w:color w:val="auto"/>
                <w:spacing w:val="-3"/>
                <w:szCs w:val="21"/>
              </w:rPr>
              <w:t>紫皮书（Guidelines</w:t>
            </w:r>
            <w:r>
              <w:rPr>
                <w:rFonts w:hint="default" w:ascii="Times New Roman" w:hAnsi="Times New Roman" w:cs="Times New Roman"/>
                <w:color w:val="auto"/>
                <w:szCs w:val="21"/>
              </w:rPr>
              <w:t>for</w:t>
            </w:r>
            <w:r>
              <w:rPr>
                <w:rFonts w:hint="default" w:ascii="Times New Roman" w:hAnsi="Times New Roman" w:cs="Times New Roman"/>
                <w:color w:val="auto"/>
                <w:spacing w:val="-3"/>
                <w:szCs w:val="21"/>
              </w:rPr>
              <w:t>Quantitative）以及</w:t>
            </w:r>
            <w:r>
              <w:rPr>
                <w:rFonts w:hint="default" w:ascii="Times New Roman" w:hAnsi="Times New Roman" w:cs="Times New Roman"/>
                <w:color w:val="auto"/>
                <w:szCs w:val="21"/>
              </w:rPr>
              <w:t>Reference</w:t>
            </w:r>
            <w:r>
              <w:rPr>
                <w:rFonts w:hint="default" w:ascii="Times New Roman" w:hAnsi="Times New Roman" w:cs="Times New Roman"/>
                <w:color w:val="auto"/>
                <w:spacing w:val="2"/>
                <w:szCs w:val="21"/>
              </w:rPr>
              <w:t>ManualBevi</w:t>
            </w:r>
            <w:r>
              <w:rPr>
                <w:rFonts w:hint="default" w:ascii="Times New Roman" w:hAnsi="Times New Roman" w:cs="Times New Roman"/>
                <w:color w:val="auto"/>
                <w:szCs w:val="21"/>
              </w:rPr>
              <w:t>Risk</w:t>
            </w:r>
            <w:r>
              <w:rPr>
                <w:rFonts w:hint="default" w:ascii="Times New Roman" w:hAnsi="Times New Roman" w:cs="Times New Roman"/>
                <w:color w:val="auto"/>
                <w:spacing w:val="8"/>
                <w:szCs w:val="21"/>
              </w:rPr>
              <w:t>Assessments；*来源于国际油气协会</w:t>
            </w:r>
            <w:r>
              <w:rPr>
                <w:rFonts w:hint="default" w:ascii="Times New Roman" w:hAnsi="Times New Roman" w:cs="Times New Roman"/>
                <w:color w:val="auto"/>
                <w:spacing w:val="2"/>
                <w:szCs w:val="21"/>
              </w:rPr>
              <w:t>InternationalAssociation</w:t>
            </w:r>
            <w:r>
              <w:rPr>
                <w:rFonts w:hint="default" w:ascii="Times New Roman" w:hAnsi="Times New Roman" w:cs="Times New Roman"/>
                <w:color w:val="auto"/>
                <w:szCs w:val="21"/>
              </w:rPr>
              <w:t>of</w:t>
            </w:r>
            <w:r>
              <w:rPr>
                <w:rFonts w:hint="default" w:ascii="Times New Roman" w:hAnsi="Times New Roman" w:cs="Times New Roman"/>
                <w:color w:val="auto"/>
                <w:spacing w:val="2"/>
                <w:szCs w:val="21"/>
              </w:rPr>
              <w:t>Oil</w:t>
            </w:r>
            <w:r>
              <w:rPr>
                <w:rFonts w:hint="default" w:ascii="Times New Roman" w:hAnsi="Times New Roman" w:cs="Times New Roman"/>
                <w:color w:val="auto"/>
                <w:szCs w:val="21"/>
              </w:rPr>
              <w:t>&amp;Gas</w:t>
            </w:r>
            <w:r>
              <w:rPr>
                <w:rFonts w:hint="default" w:ascii="Times New Roman" w:hAnsi="Times New Roman" w:cs="Times New Roman"/>
                <w:color w:val="auto"/>
                <w:spacing w:val="2"/>
                <w:szCs w:val="21"/>
              </w:rPr>
              <w:t>Producers</w:t>
            </w:r>
            <w:r>
              <w:rPr>
                <w:rFonts w:hint="default" w:ascii="Times New Roman" w:hAnsi="Times New Roman" w:cs="Times New Roman"/>
                <w:color w:val="auto"/>
                <w:spacing w:val="4"/>
                <w:szCs w:val="21"/>
              </w:rPr>
              <w:t>发布的</w:t>
            </w:r>
            <w:r>
              <w:rPr>
                <w:rFonts w:hint="default" w:ascii="Times New Roman" w:hAnsi="Times New Roman" w:cs="Times New Roman"/>
                <w:color w:val="auto"/>
                <w:szCs w:val="21"/>
              </w:rPr>
              <w:t>Risk</w:t>
            </w:r>
            <w:r>
              <w:rPr>
                <w:rFonts w:hint="default" w:ascii="Times New Roman" w:hAnsi="Times New Roman" w:cs="Times New Roman"/>
                <w:color w:val="auto"/>
                <w:spacing w:val="2"/>
                <w:szCs w:val="21"/>
              </w:rPr>
              <w:t>Assessment</w:t>
            </w:r>
            <w:r>
              <w:rPr>
                <w:rFonts w:hint="default" w:ascii="Times New Roman" w:hAnsi="Times New Roman" w:cs="Times New Roman"/>
                <w:color w:val="auto"/>
                <w:szCs w:val="21"/>
              </w:rPr>
              <w:t>DataDirectory</w:t>
            </w:r>
            <w:r>
              <w:rPr>
                <w:rFonts w:hint="default" w:ascii="Times New Roman" w:hAnsi="Times New Roman" w:cs="Times New Roman"/>
                <w:color w:val="auto"/>
                <w:spacing w:val="2"/>
                <w:szCs w:val="21"/>
              </w:rPr>
              <w:t>(2010,3)。</w:t>
            </w:r>
          </w:p>
        </w:tc>
      </w:tr>
    </w:tbl>
    <w:p>
      <w:pPr>
        <w:spacing w:beforeLines="50" w:line="360" w:lineRule="auto"/>
        <w:ind w:firstLine="480" w:firstLineChars="200"/>
        <w:rPr>
          <w:rFonts w:hint="default" w:ascii="Times New Roman" w:hAnsi="Times New Roman" w:cs="Times New Roman"/>
        </w:rPr>
      </w:pPr>
      <w:r>
        <w:rPr>
          <w:rFonts w:hint="default" w:ascii="Times New Roman" w:hAnsi="Times New Roman" w:cs="Times New Roman"/>
        </w:rPr>
        <w:t>一般情况下，发生频率小于10</w:t>
      </w:r>
      <w:r>
        <w:rPr>
          <w:rFonts w:hint="default" w:ascii="Times New Roman" w:hAnsi="Times New Roman" w:cs="Times New Roman"/>
          <w:vertAlign w:val="superscript"/>
        </w:rPr>
        <w:t>-6</w:t>
      </w:r>
      <w:r>
        <w:rPr>
          <w:rFonts w:hint="default" w:ascii="Times New Roman" w:hAnsi="Times New Roman" w:cs="Times New Roman"/>
        </w:rPr>
        <w:t>/年的事件是极小概率事件，可作为代表性事故中的最大可信事故设定的参考。因此，本项目最大可信事故情形的设定原则如下：</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（1）内径≤75mm的管道发生全管径泄漏、泵体和压缩机全管径泄漏、装卸软管全管径泄漏的频率均大于或等于1.00×10</w:t>
      </w:r>
      <w:r>
        <w:rPr>
          <w:rFonts w:hint="default" w:ascii="Times New Roman" w:hAnsi="Times New Roman" w:cs="Times New Roman"/>
          <w:vertAlign w:val="superscript"/>
        </w:rPr>
        <w:t>-6</w:t>
      </w:r>
      <w:r>
        <w:rPr>
          <w:rFonts w:hint="default" w:ascii="Times New Roman" w:hAnsi="Times New Roman" w:cs="Times New Roman"/>
        </w:rPr>
        <w:t>/a，可作为最大可信事故情形；</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（2）内径＞75mm的管道全管径泄漏的频率小于3.00×10</w:t>
      </w:r>
      <w:r>
        <w:rPr>
          <w:rFonts w:hint="default" w:ascii="Times New Roman" w:hAnsi="Times New Roman" w:cs="Times New Roman"/>
          <w:vertAlign w:val="superscript"/>
        </w:rPr>
        <w:t>-7</w:t>
      </w:r>
      <w:r>
        <w:rPr>
          <w:rFonts w:hint="default" w:ascii="Times New Roman" w:hAnsi="Times New Roman" w:cs="Times New Roman"/>
        </w:rPr>
        <w:t>/a，为小概率事件，因此内径＞75mm的管道选用10%孔径（最大50mm）泄漏作为最大可信事故情形。</w:t>
      </w:r>
    </w:p>
    <w:p>
      <w:pPr>
        <w:spacing w:line="360" w:lineRule="auto"/>
        <w:ind w:firstLine="480" w:firstLineChars="200"/>
        <w:rPr>
          <w:rFonts w:hint="default" w:ascii="Times New Roman" w:hAnsi="Times New Roman" w:cs="Times New Roman"/>
          <w:b w:val="0"/>
          <w:bCs/>
        </w:rPr>
      </w:pPr>
      <w:r>
        <w:rPr>
          <w:rFonts w:hint="default" w:ascii="Times New Roman" w:hAnsi="Times New Roman" w:cs="Times New Roman"/>
          <w:b w:val="0"/>
          <w:bCs/>
        </w:rPr>
        <w:t>2、最大可信事故情形设定</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根据项目物质危险性识别、生产系统危险性识别以及事故资料统计分析，氢氟酸是本项目涉及的物料中危险性最高的物质，应作为事故防范的重点。本项目环境风险评价设定最大可信事故情形如下：按照1个400L氢氟酸桶发生泄漏，氟化氢挥发到大气环境。</w:t>
      </w:r>
      <w:r>
        <w:rPr>
          <w:rFonts w:hint="default" w:ascii="Times New Roman" w:hAnsi="Times New Roman" w:cs="Times New Roman"/>
          <w:snapToGrid w:val="0"/>
          <w:kern w:val="0"/>
          <w:lang w:val="zh-CN"/>
        </w:rPr>
        <w:t>本评价假设有一只氢氟酸桶发生破裂或损坏导致液态氢氟酸泄漏，计算氟化氢吸热挥发后形成的氟化氢气团在空气中飘移、扩散的范围、浓度。</w:t>
      </w:r>
    </w:p>
    <w:p>
      <w:pPr>
        <w:spacing w:line="360" w:lineRule="auto"/>
        <w:ind w:firstLine="482" w:firstLineChars="200"/>
        <w:rPr>
          <w:rFonts w:hint="default" w:ascii="Times New Roman" w:hAnsi="Times New Roman" w:cs="Times New Roman"/>
          <w:b/>
          <w:bCs/>
          <w:color w:val="auto"/>
          <w:lang w:eastAsia="zh-CN"/>
        </w:rPr>
      </w:pPr>
      <w:bookmarkStart w:id="949" w:name="_Toc79144718"/>
      <w:r>
        <w:rPr>
          <w:rFonts w:hint="default" w:ascii="Times New Roman" w:hAnsi="Times New Roman" w:cs="Times New Roman"/>
          <w:b/>
          <w:bCs/>
          <w:color w:val="auto"/>
          <w:lang w:eastAsia="zh-CN"/>
        </w:rPr>
        <w:t>三、源项分析</w:t>
      </w:r>
      <w:bookmarkEnd w:id="949"/>
    </w:p>
    <w:p>
      <w:pPr>
        <w:spacing w:line="360" w:lineRule="auto"/>
        <w:ind w:firstLine="482"/>
        <w:rPr>
          <w:rFonts w:hint="default" w:ascii="Times New Roman" w:hAnsi="Times New Roman" w:cs="Times New Roman"/>
        </w:rPr>
      </w:pPr>
      <w:r>
        <w:rPr>
          <w:rFonts w:hint="default" w:ascii="Times New Roman" w:hAnsi="Times New Roman" w:cs="Times New Roman"/>
        </w:rPr>
        <w:t>氟化氢酸雾产生量按照《环境统计手册》中酸洗工艺酸液蒸发量的计算公式进行计算：</w:t>
      </w:r>
    </w:p>
    <w:p>
      <w:pPr>
        <w:spacing w:line="360" w:lineRule="auto"/>
        <w:jc w:val="center"/>
        <w:rPr>
          <w:rFonts w:hint="default" w:ascii="Times New Roman" w:hAnsi="Times New Roman" w:cs="Times New Roman"/>
        </w:rPr>
      </w:pPr>
      <w:r>
        <w:rPr>
          <w:rFonts w:hint="default" w:ascii="Times New Roman" w:hAnsi="Times New Roman" w:cs="Times New Roman"/>
        </w:rPr>
        <w:t>Gz=M(0.000352+0.000786U)*PF</w:t>
      </w:r>
    </w:p>
    <w:p>
      <w:pPr>
        <w:spacing w:line="360" w:lineRule="auto"/>
        <w:ind w:firstLine="482"/>
        <w:rPr>
          <w:rFonts w:hint="default" w:ascii="Times New Roman" w:hAnsi="Times New Roman" w:cs="Times New Roman"/>
        </w:rPr>
      </w:pPr>
      <w:r>
        <w:rPr>
          <w:rFonts w:hint="default" w:ascii="Times New Roman" w:hAnsi="Times New Roman" w:cs="Times New Roman"/>
        </w:rPr>
        <w:t>式中：Gz—液体的蒸发量，kg/h；</w:t>
      </w:r>
    </w:p>
    <w:p>
      <w:pPr>
        <w:spacing w:line="360" w:lineRule="auto"/>
        <w:ind w:firstLine="1200" w:firstLineChars="500"/>
        <w:rPr>
          <w:rFonts w:hint="default" w:ascii="Times New Roman" w:hAnsi="Times New Roman" w:cs="Times New Roman"/>
        </w:rPr>
      </w:pPr>
      <w:r>
        <w:rPr>
          <w:rFonts w:hint="default" w:ascii="Times New Roman" w:hAnsi="Times New Roman" w:cs="Times New Roman"/>
        </w:rPr>
        <w:t>M—液体的相对分子量，g/mol，HF取20；</w:t>
      </w:r>
    </w:p>
    <w:p>
      <w:pPr>
        <w:spacing w:line="360" w:lineRule="auto"/>
        <w:ind w:firstLine="1200" w:firstLineChars="500"/>
        <w:rPr>
          <w:rFonts w:hint="default" w:ascii="Times New Roman" w:hAnsi="Times New Roman" w:cs="Times New Roman"/>
        </w:rPr>
      </w:pPr>
      <w:r>
        <w:rPr>
          <w:rFonts w:hint="default" w:ascii="Times New Roman" w:hAnsi="Times New Roman" w:cs="Times New Roman"/>
        </w:rPr>
        <w:t>U—蒸发液体表面上的空气流速，m/s，一般取0.2-0.5，本项目取0.5；</w:t>
      </w:r>
    </w:p>
    <w:p>
      <w:pPr>
        <w:spacing w:line="360" w:lineRule="auto"/>
        <w:ind w:firstLine="1200" w:firstLineChars="500"/>
        <w:rPr>
          <w:rFonts w:hint="default" w:ascii="Times New Roman" w:hAnsi="Times New Roman" w:cs="Times New Roman"/>
        </w:rPr>
      </w:pPr>
      <w:r>
        <w:rPr>
          <w:rFonts w:hint="default" w:ascii="Times New Roman" w:hAnsi="Times New Roman" w:cs="Times New Roman"/>
        </w:rPr>
        <w:t>P—相应于液体温度下的空气中的蒸汽分压力，mmHg；温度为25</w:t>
      </w:r>
      <w:r>
        <w:rPr>
          <w:rFonts w:hint="default" w:ascii="Times New Roman" w:hAnsi="Times New Roman" w:cs="Times New Roman"/>
        </w:rPr>
        <w:t>℃</w:t>
      </w:r>
      <w:r>
        <w:rPr>
          <w:rFonts w:hint="default" w:ascii="Times New Roman" w:hAnsi="Times New Roman" w:cs="Times New Roman"/>
        </w:rPr>
        <w:t>，HF（浓度49%）P=20mmHg；</w:t>
      </w:r>
    </w:p>
    <w:p>
      <w:pPr>
        <w:spacing w:line="360" w:lineRule="auto"/>
        <w:ind w:firstLine="1200" w:firstLineChars="500"/>
        <w:rPr>
          <w:rFonts w:hint="default" w:ascii="Times New Roman" w:hAnsi="Times New Roman" w:cs="Times New Roman"/>
        </w:rPr>
      </w:pPr>
      <w:r>
        <w:rPr>
          <w:rFonts w:hint="default" w:ascii="Times New Roman" w:hAnsi="Times New Roman" w:cs="Times New Roman"/>
        </w:rPr>
        <w:t>F—液体蒸发面表面积，m</w:t>
      </w:r>
      <w:r>
        <w:rPr>
          <w:rFonts w:hint="default" w:ascii="Times New Roman" w:hAnsi="Times New Roman" w:cs="Times New Roman"/>
          <w:vertAlign w:val="superscript"/>
        </w:rPr>
        <w:t>2</w:t>
      </w:r>
      <w:r>
        <w:rPr>
          <w:rFonts w:hint="default" w:ascii="Times New Roman" w:hAnsi="Times New Roman" w:cs="Times New Roman"/>
        </w:rPr>
        <w:t>，取值5m</w:t>
      </w:r>
      <w:r>
        <w:rPr>
          <w:rFonts w:hint="default" w:ascii="Times New Roman" w:hAnsi="Times New Roman" w:cs="Times New Roman"/>
          <w:vertAlign w:val="superscript"/>
        </w:rPr>
        <w:t>2</w:t>
      </w:r>
      <w:r>
        <w:rPr>
          <w:rFonts w:hint="default" w:ascii="Times New Roman" w:hAnsi="Times New Roman" w:cs="Times New Roman"/>
        </w:rPr>
        <w:t>。</w:t>
      </w:r>
    </w:p>
    <w:p>
      <w:pPr>
        <w:spacing w:line="360" w:lineRule="auto"/>
        <w:ind w:firstLine="482"/>
        <w:rPr>
          <w:rFonts w:hint="default" w:ascii="Times New Roman" w:hAnsi="Times New Roman" w:cs="Times New Roman"/>
        </w:rPr>
      </w:pPr>
      <w:r>
        <w:rPr>
          <w:rFonts w:hint="default" w:ascii="Times New Roman" w:hAnsi="Times New Roman" w:cs="Times New Roman"/>
          <w:snapToGrid w:val="0"/>
          <w:kern w:val="0"/>
        </w:rPr>
        <w:t>根据上式计算可知，氟化氢挥发量为1.49kg/h，评价假设泄漏1h后发现并采用碱进行中和处置，其泄漏时间为1h，挥发进入环境空气中量为1.49kg。</w:t>
      </w:r>
    </w:p>
    <w:p>
      <w:pPr>
        <w:pStyle w:val="6"/>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sz w:val="28"/>
          <w:szCs w:val="28"/>
        </w:rPr>
      </w:pPr>
      <w:bookmarkStart w:id="950" w:name="_Toc31868"/>
      <w:bookmarkStart w:id="951" w:name="_Toc69115011"/>
      <w:bookmarkStart w:id="952" w:name="_Toc79144719"/>
      <w:r>
        <w:rPr>
          <w:rFonts w:hint="default" w:ascii="Times New Roman" w:hAnsi="Times New Roman" w:eastAsia="宋体" w:cs="Times New Roman"/>
          <w:sz w:val="28"/>
          <w:szCs w:val="28"/>
          <w:lang w:val="en-US" w:eastAsia="zh-CN"/>
        </w:rPr>
        <w:t>5.3.7</w:t>
      </w:r>
      <w:r>
        <w:rPr>
          <w:rFonts w:hint="default" w:ascii="Times New Roman" w:hAnsi="Times New Roman" w:eastAsia="宋体" w:cs="Times New Roman"/>
          <w:sz w:val="28"/>
          <w:szCs w:val="28"/>
        </w:rPr>
        <w:t xml:space="preserve"> </w:t>
      </w:r>
      <w:r>
        <w:rPr>
          <w:rFonts w:hint="default" w:ascii="Times New Roman" w:hAnsi="Times New Roman" w:eastAsia="宋体" w:cs="Times New Roman"/>
          <w:color w:val="auto"/>
          <w:sz w:val="28"/>
          <w:szCs w:val="28"/>
          <w:lang w:val="en-US" w:eastAsia="zh-CN"/>
        </w:rPr>
        <w:t>环境</w:t>
      </w:r>
      <w:r>
        <w:rPr>
          <w:rFonts w:hint="default" w:ascii="Times New Roman" w:hAnsi="Times New Roman" w:eastAsia="宋体" w:cs="Times New Roman"/>
          <w:sz w:val="28"/>
          <w:szCs w:val="28"/>
        </w:rPr>
        <w:t>风险预测与评价</w:t>
      </w:r>
      <w:bookmarkEnd w:id="950"/>
      <w:bookmarkEnd w:id="951"/>
      <w:bookmarkEnd w:id="952"/>
    </w:p>
    <w:p>
      <w:pPr>
        <w:spacing w:line="360" w:lineRule="auto"/>
        <w:ind w:firstLine="482" w:firstLineChars="200"/>
        <w:rPr>
          <w:rFonts w:hint="default" w:ascii="Times New Roman" w:hAnsi="Times New Roman" w:cs="Times New Roman"/>
          <w:b/>
          <w:bCs/>
          <w:szCs w:val="28"/>
        </w:rPr>
      </w:pPr>
      <w:bookmarkStart w:id="953" w:name="_Toc69115012"/>
      <w:bookmarkStart w:id="954" w:name="_Toc79144720"/>
      <w:r>
        <w:rPr>
          <w:rFonts w:hint="default" w:ascii="Times New Roman" w:hAnsi="Times New Roman" w:cs="Times New Roman"/>
          <w:b/>
          <w:bCs/>
          <w:szCs w:val="28"/>
          <w:lang w:eastAsia="zh-CN"/>
        </w:rPr>
        <w:t>一、</w:t>
      </w:r>
      <w:r>
        <w:rPr>
          <w:rFonts w:hint="default" w:ascii="Times New Roman" w:hAnsi="Times New Roman" w:cs="Times New Roman"/>
          <w:b/>
          <w:bCs/>
          <w:szCs w:val="28"/>
        </w:rPr>
        <w:t>大气环境风险事故预测与评价</w:t>
      </w:r>
      <w:bookmarkEnd w:id="953"/>
      <w:bookmarkEnd w:id="954"/>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本项目事故状态下在大气中扩散的有毒有害物质为HF。</w:t>
      </w:r>
    </w:p>
    <w:p>
      <w:pPr>
        <w:spacing w:line="360" w:lineRule="auto"/>
        <w:ind w:firstLine="480" w:firstLineChars="200"/>
        <w:rPr>
          <w:rFonts w:hint="default" w:ascii="Times New Roman" w:hAnsi="Times New Roman" w:cs="Times New Roman"/>
          <w:b w:val="0"/>
          <w:bCs/>
        </w:rPr>
      </w:pPr>
      <w:r>
        <w:rPr>
          <w:rFonts w:hint="default" w:ascii="Times New Roman" w:hAnsi="Times New Roman" w:cs="Times New Roman"/>
          <w:b w:val="0"/>
          <w:bCs/>
        </w:rPr>
        <w:t>1、预测模型筛选</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（1）理查德森数R</w:t>
      </w:r>
      <w:r>
        <w:rPr>
          <w:rFonts w:hint="default" w:ascii="Times New Roman" w:hAnsi="Times New Roman" w:cs="Times New Roman"/>
          <w:vertAlign w:val="subscript"/>
        </w:rPr>
        <w:t>i</w:t>
      </w:r>
      <w:r>
        <w:rPr>
          <w:rFonts w:hint="default" w:ascii="Times New Roman" w:hAnsi="Times New Roman" w:cs="Times New Roman"/>
        </w:rPr>
        <w:t>计算</w:t>
      </w:r>
    </w:p>
    <w:p>
      <w:pPr>
        <w:spacing w:line="360" w:lineRule="auto"/>
        <w:rPr>
          <w:rFonts w:hint="default" w:ascii="Times New Roman" w:hAnsi="Times New Roman" w:cs="Times New Roman"/>
        </w:rPr>
      </w:pPr>
      <w:r>
        <w:rPr>
          <w:rFonts w:hint="default" w:ascii="Times New Roman" w:hAnsi="Times New Roman" w:cs="Times New Roman"/>
        </w:rPr>
        <w:drawing>
          <wp:inline distT="0" distB="0" distL="0" distR="0">
            <wp:extent cx="5274945" cy="2299335"/>
            <wp:effectExtent l="0" t="0" r="1905"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34" cstate="print"/>
                    <a:srcRect/>
                    <a:stretch>
                      <a:fillRect/>
                    </a:stretch>
                  </pic:blipFill>
                  <pic:spPr>
                    <a:xfrm>
                      <a:off x="0" y="0"/>
                      <a:ext cx="5274945" cy="2299335"/>
                    </a:xfrm>
                    <a:prstGeom prst="rect">
                      <a:avLst/>
                    </a:prstGeom>
                    <a:noFill/>
                    <a:ln w="9525">
                      <a:noFill/>
                      <a:miter lim="800000"/>
                      <a:headEnd/>
                      <a:tailEnd/>
                    </a:ln>
                  </pic:spPr>
                </pic:pic>
              </a:graphicData>
            </a:graphic>
          </wp:inline>
        </w:drawing>
      </w:r>
    </w:p>
    <w:p>
      <w:pPr>
        <w:spacing w:line="360" w:lineRule="auto"/>
        <w:rPr>
          <w:rFonts w:hint="default" w:ascii="Times New Roman" w:hAnsi="Times New Roman" w:cs="Times New Roman"/>
        </w:rPr>
      </w:pPr>
      <w:r>
        <w:rPr>
          <w:rFonts w:hint="default" w:ascii="Times New Roman" w:hAnsi="Times New Roman" w:cs="Times New Roman"/>
        </w:rPr>
        <w:drawing>
          <wp:inline distT="0" distB="0" distL="0" distR="0">
            <wp:extent cx="5267960" cy="688975"/>
            <wp:effectExtent l="0" t="0" r="8890" b="1587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35" cstate="print"/>
                    <a:srcRect/>
                    <a:stretch>
                      <a:fillRect/>
                    </a:stretch>
                  </pic:blipFill>
                  <pic:spPr>
                    <a:xfrm>
                      <a:off x="0" y="0"/>
                      <a:ext cx="5267960" cy="688975"/>
                    </a:xfrm>
                    <a:prstGeom prst="rect">
                      <a:avLst/>
                    </a:prstGeom>
                    <a:noFill/>
                    <a:ln w="9525">
                      <a:noFill/>
                      <a:miter lim="800000"/>
                      <a:headEnd/>
                      <a:tailEnd/>
                    </a:ln>
                  </pic:spPr>
                </pic:pic>
              </a:graphicData>
            </a:graphic>
          </wp:inline>
        </w:drawing>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判定连续排放还是瞬时排放，可以通过对比排放时间T</w:t>
      </w:r>
      <w:r>
        <w:rPr>
          <w:rFonts w:hint="default" w:ascii="Times New Roman" w:hAnsi="Times New Roman" w:cs="Times New Roman"/>
          <w:vertAlign w:val="subscript"/>
        </w:rPr>
        <w:t>d</w:t>
      </w:r>
      <w:r>
        <w:rPr>
          <w:rFonts w:hint="default" w:ascii="Times New Roman" w:hAnsi="Times New Roman" w:cs="Times New Roman"/>
        </w:rPr>
        <w:t>和污染物到达最近的受体点（网格点或敏感点）的时间T确定。</w:t>
      </w:r>
    </w:p>
    <w:p>
      <w:pPr>
        <w:spacing w:line="360" w:lineRule="auto"/>
        <w:rPr>
          <w:rFonts w:hint="default" w:ascii="Times New Roman" w:hAnsi="Times New Roman" w:cs="Times New Roman"/>
        </w:rPr>
      </w:pPr>
      <w:r>
        <w:rPr>
          <w:rFonts w:hint="default" w:ascii="Times New Roman" w:hAnsi="Times New Roman" w:cs="Times New Roman"/>
        </w:rPr>
        <w:drawing>
          <wp:inline distT="0" distB="0" distL="0" distR="0">
            <wp:extent cx="5267960" cy="989330"/>
            <wp:effectExtent l="0" t="0" r="8890" b="127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36" cstate="print"/>
                    <a:srcRect/>
                    <a:stretch>
                      <a:fillRect/>
                    </a:stretch>
                  </pic:blipFill>
                  <pic:spPr>
                    <a:xfrm>
                      <a:off x="0" y="0"/>
                      <a:ext cx="5267960" cy="989330"/>
                    </a:xfrm>
                    <a:prstGeom prst="rect">
                      <a:avLst/>
                    </a:prstGeom>
                    <a:noFill/>
                    <a:ln w="9525">
                      <a:noFill/>
                      <a:miter lim="800000"/>
                      <a:headEnd/>
                      <a:tailEnd/>
                    </a:ln>
                  </pic:spPr>
                </pic:pic>
              </a:graphicData>
            </a:graphic>
          </wp:inline>
        </w:drawing>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本项目情景假设排放时间T</w:t>
      </w:r>
      <w:r>
        <w:rPr>
          <w:rFonts w:hint="default" w:ascii="Times New Roman" w:hAnsi="Times New Roman" w:cs="Times New Roman"/>
          <w:vertAlign w:val="subscript"/>
        </w:rPr>
        <w:t>d</w:t>
      </w:r>
      <w:r>
        <w:rPr>
          <w:rFonts w:hint="default" w:ascii="Times New Roman" w:hAnsi="Times New Roman" w:cs="Times New Roman"/>
        </w:rPr>
        <w:t>为60min，项目最近的大气保护目标为项目西侧210m处的楚雄市思源学校，项目区域常年平均风速为2.03m/s。经计算T=103.4s（1.72min），T</w:t>
      </w:r>
      <w:r>
        <w:rPr>
          <w:rFonts w:hint="default" w:ascii="Times New Roman" w:hAnsi="Times New Roman" w:cs="Times New Roman"/>
          <w:vertAlign w:val="subscript"/>
        </w:rPr>
        <w:t>d</w:t>
      </w:r>
      <w:r>
        <w:rPr>
          <w:rFonts w:hint="default" w:ascii="Times New Roman" w:hAnsi="Times New Roman" w:cs="Times New Roman"/>
        </w:rPr>
        <w:t>＞T，可认为为连续排放。</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HF进入大气中的初始密度0.7kg/m</w:t>
      </w:r>
      <w:r>
        <w:rPr>
          <w:rFonts w:hint="default" w:ascii="Times New Roman" w:hAnsi="Times New Roman" w:cs="Times New Roman"/>
          <w:vertAlign w:val="superscript"/>
        </w:rPr>
        <w:t>3</w:t>
      </w:r>
      <w:r>
        <w:rPr>
          <w:rFonts w:hint="default" w:ascii="Times New Roman" w:hAnsi="Times New Roman" w:cs="Times New Roman"/>
        </w:rPr>
        <w:t>，环境空气密度为1.29kg/m</w:t>
      </w:r>
      <w:r>
        <w:rPr>
          <w:rFonts w:hint="default" w:ascii="Times New Roman" w:hAnsi="Times New Roman" w:cs="Times New Roman"/>
          <w:vertAlign w:val="superscript"/>
        </w:rPr>
        <w:t>3</w:t>
      </w:r>
      <w:r>
        <w:rPr>
          <w:rFonts w:hint="default" w:ascii="Times New Roman" w:hAnsi="Times New Roman" w:cs="Times New Roman"/>
        </w:rPr>
        <w:t>，连续排放烟羽的排放速率为0.0004kg/s，初始源直径按5m计，则HF的理查德森数为0.050。</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（2）模型筛选结果</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根据上文计算，HF的理查德森数R</w:t>
      </w:r>
      <w:r>
        <w:rPr>
          <w:rFonts w:hint="default" w:ascii="Times New Roman" w:hAnsi="Times New Roman" w:cs="Times New Roman"/>
          <w:vertAlign w:val="subscript"/>
        </w:rPr>
        <w:t>i</w:t>
      </w:r>
      <w:r>
        <w:rPr>
          <w:rFonts w:hint="default" w:ascii="Times New Roman" w:hAnsi="Times New Roman" w:cs="Times New Roman"/>
        </w:rPr>
        <w:t>&lt;1/6，HF为轻质气体，选择《建设项目环境风险评价技术导则》（HJ169-2018）附录G推荐的AFTOX模型进行大气风险预测。</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AFTOX模型适用于平坦地形下中质气体和轻质气体排放以及液池蒸发气体的扩散模拟，可模拟连续排放和瞬时排放，液体或气体，地面源或高架源，点源或面源的指定位置浓度，下风向最大浓度及其位置等，可满足本次评价需求。</w:t>
      </w:r>
    </w:p>
    <w:p>
      <w:pPr>
        <w:spacing w:line="360" w:lineRule="auto"/>
        <w:ind w:firstLine="480" w:firstLineChars="200"/>
        <w:rPr>
          <w:rFonts w:hint="default" w:ascii="Times New Roman" w:hAnsi="Times New Roman" w:cs="Times New Roman"/>
          <w:b w:val="0"/>
          <w:bCs/>
        </w:rPr>
      </w:pPr>
      <w:r>
        <w:rPr>
          <w:rFonts w:hint="default" w:ascii="Times New Roman" w:hAnsi="Times New Roman" w:cs="Times New Roman"/>
          <w:b w:val="0"/>
          <w:bCs/>
        </w:rPr>
        <w:t>2、预测范围和计算点</w:t>
      </w:r>
    </w:p>
    <w:p>
      <w:pPr>
        <w:spacing w:line="360" w:lineRule="auto"/>
        <w:ind w:firstLine="482"/>
        <w:rPr>
          <w:rFonts w:hint="default" w:ascii="Times New Roman" w:hAnsi="Times New Roman" w:cs="Times New Roman"/>
        </w:rPr>
      </w:pPr>
      <w:r>
        <w:rPr>
          <w:rFonts w:hint="default" w:ascii="Times New Roman" w:hAnsi="Times New Roman" w:cs="Times New Roman"/>
        </w:rPr>
        <w:t>（1）预测范围为预测物质浓度达到评价标准时的最大影响范围，二级评价项目不低于5km，因此评价预测范围为5km。</w:t>
      </w:r>
    </w:p>
    <w:p>
      <w:pPr>
        <w:spacing w:line="360" w:lineRule="auto"/>
        <w:ind w:firstLine="482"/>
        <w:rPr>
          <w:rFonts w:hint="default" w:ascii="Times New Roman" w:hAnsi="Times New Roman" w:cs="Times New Roman"/>
        </w:rPr>
      </w:pPr>
      <w:r>
        <w:rPr>
          <w:rFonts w:hint="default" w:ascii="Times New Roman" w:hAnsi="Times New Roman" w:cs="Times New Roman"/>
        </w:rPr>
        <w:t>（2）本次评价计算时布点评价范围内预测网格点取正北方（N）为Y轴正方向，取清洗车间为坐标原点（0，0），预测网格点厂界500m范围内为50m×50m的等间距网格，500m范围外为100×100m的等间距网格。</w:t>
      </w:r>
    </w:p>
    <w:p>
      <w:pPr>
        <w:spacing w:line="360" w:lineRule="auto"/>
        <w:ind w:firstLine="480" w:firstLineChars="200"/>
        <w:rPr>
          <w:rFonts w:hint="default" w:ascii="Times New Roman" w:hAnsi="Times New Roman" w:cs="Times New Roman"/>
          <w:b w:val="0"/>
          <w:bCs/>
        </w:rPr>
      </w:pPr>
      <w:r>
        <w:rPr>
          <w:rFonts w:hint="default" w:ascii="Times New Roman" w:hAnsi="Times New Roman" w:cs="Times New Roman"/>
          <w:b w:val="0"/>
          <w:bCs/>
        </w:rPr>
        <w:t>3、预测模型主要参数</w:t>
      </w:r>
    </w:p>
    <w:p>
      <w:pPr>
        <w:widowControl/>
        <w:spacing w:line="360" w:lineRule="auto"/>
        <w:ind w:firstLine="480" w:firstLineChars="200"/>
        <w:jc w:val="left"/>
        <w:rPr>
          <w:rFonts w:hint="default" w:ascii="Times New Roman" w:hAnsi="Times New Roman" w:cs="Times New Roman"/>
          <w:b/>
        </w:rPr>
      </w:pPr>
      <w:r>
        <w:rPr>
          <w:rFonts w:hint="default" w:ascii="Times New Roman" w:hAnsi="Times New Roman" w:cs="Times New Roman"/>
        </w:rPr>
        <w:t>根据《建设项目环境风险评价技术导则》（HJ169-2018），二级评价需选取最不利气象条件进行后果预测。最不利条件取F类稳定度，1.5m/s风速，温度25</w:t>
      </w:r>
      <w:r>
        <w:rPr>
          <w:rFonts w:hint="default" w:ascii="Times New Roman" w:hAnsi="Times New Roman" w:cs="Times New Roman"/>
        </w:rPr>
        <w:t>℃</w:t>
      </w:r>
      <w:r>
        <w:rPr>
          <w:rFonts w:hint="default" w:ascii="Times New Roman" w:hAnsi="Times New Roman" w:cs="Times New Roman"/>
        </w:rPr>
        <w:t>，相对湿度50%。</w:t>
      </w:r>
    </w:p>
    <w:p>
      <w:pPr>
        <w:pStyle w:val="178"/>
        <w:keepNext w:val="0"/>
        <w:keepLines w:val="0"/>
        <w:pageBreakBefore w:val="0"/>
        <w:widowControl/>
        <w:numPr>
          <w:ilvl w:val="0"/>
          <w:numId w:val="7"/>
        </w:numPr>
        <w:kinsoku/>
        <w:wordWrap/>
        <w:overflowPunct/>
        <w:topLinePunct w:val="0"/>
        <w:autoSpaceDE/>
        <w:autoSpaceDN/>
        <w:bidi w:val="0"/>
        <w:adjustRightInd/>
        <w:snapToGrid/>
        <w:spacing w:beforeLines="0" w:afterLines="0" w:line="360" w:lineRule="auto"/>
        <w:ind w:left="0" w:leftChars="0" w:firstLine="0" w:firstLineChars="0"/>
        <w:textAlignment w:val="auto"/>
        <w:rPr>
          <w:rFonts w:hint="default" w:ascii="Times New Roman" w:hAnsi="Times New Roman" w:cs="Times New Roman"/>
          <w:b/>
        </w:rPr>
      </w:pPr>
      <w:r>
        <w:rPr>
          <w:rFonts w:hint="default" w:ascii="Times New Roman" w:hAnsi="Times New Roman" w:cs="Times New Roman"/>
          <w:b/>
        </w:rPr>
        <w:t>大气风险预测模型主要参数表</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50"/>
        <w:gridCol w:w="1715"/>
        <w:gridCol w:w="39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0"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类型类型</w:t>
            </w:r>
          </w:p>
        </w:tc>
        <w:tc>
          <w:tcPr>
            <w:tcW w:w="1715"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选项</w:t>
            </w:r>
          </w:p>
        </w:tc>
        <w:tc>
          <w:tcPr>
            <w:tcW w:w="3971"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0" w:type="dxa"/>
            <w:vMerge w:val="restar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基本情况</w:t>
            </w:r>
          </w:p>
        </w:tc>
        <w:tc>
          <w:tcPr>
            <w:tcW w:w="1715"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事故源坐标</w:t>
            </w:r>
          </w:p>
        </w:tc>
        <w:tc>
          <w:tcPr>
            <w:tcW w:w="3971"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东经101.605932，北纬25.0271596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0" w:type="dxa"/>
            <w:vMerge w:val="continue"/>
            <w:vAlign w:val="center"/>
          </w:tcPr>
          <w:p>
            <w:pPr>
              <w:jc w:val="center"/>
              <w:rPr>
                <w:rFonts w:hint="default" w:ascii="Times New Roman" w:hAnsi="Times New Roman" w:cs="Times New Roman"/>
                <w:sz w:val="21"/>
                <w:szCs w:val="21"/>
              </w:rPr>
            </w:pPr>
          </w:p>
        </w:tc>
        <w:tc>
          <w:tcPr>
            <w:tcW w:w="1715"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事故源高程</w:t>
            </w:r>
          </w:p>
        </w:tc>
        <w:tc>
          <w:tcPr>
            <w:tcW w:w="3971"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1867m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0" w:type="dxa"/>
            <w:vMerge w:val="continue"/>
            <w:vAlign w:val="center"/>
          </w:tcPr>
          <w:p>
            <w:pPr>
              <w:jc w:val="center"/>
              <w:rPr>
                <w:rFonts w:hint="default" w:ascii="Times New Roman" w:hAnsi="Times New Roman" w:cs="Times New Roman"/>
                <w:sz w:val="21"/>
                <w:szCs w:val="21"/>
              </w:rPr>
            </w:pPr>
          </w:p>
        </w:tc>
        <w:tc>
          <w:tcPr>
            <w:tcW w:w="1715"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事故源类型</w:t>
            </w:r>
          </w:p>
        </w:tc>
        <w:tc>
          <w:tcPr>
            <w:tcW w:w="3971"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泄漏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0" w:type="dxa"/>
            <w:vMerge w:val="restar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气象参数</w:t>
            </w:r>
          </w:p>
        </w:tc>
        <w:tc>
          <w:tcPr>
            <w:tcW w:w="1715"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气象条件类型</w:t>
            </w:r>
          </w:p>
        </w:tc>
        <w:tc>
          <w:tcPr>
            <w:tcW w:w="3971"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最不利气象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0" w:type="dxa"/>
            <w:vMerge w:val="continue"/>
            <w:vAlign w:val="center"/>
          </w:tcPr>
          <w:p>
            <w:pPr>
              <w:jc w:val="center"/>
              <w:rPr>
                <w:rFonts w:hint="default" w:ascii="Times New Roman" w:hAnsi="Times New Roman" w:cs="Times New Roman"/>
                <w:sz w:val="21"/>
                <w:szCs w:val="21"/>
              </w:rPr>
            </w:pPr>
          </w:p>
        </w:tc>
        <w:tc>
          <w:tcPr>
            <w:tcW w:w="1715"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风速（m/s）</w:t>
            </w:r>
          </w:p>
        </w:tc>
        <w:tc>
          <w:tcPr>
            <w:tcW w:w="3971"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0" w:type="dxa"/>
            <w:vMerge w:val="continue"/>
            <w:vAlign w:val="center"/>
          </w:tcPr>
          <w:p>
            <w:pPr>
              <w:jc w:val="center"/>
              <w:rPr>
                <w:rFonts w:hint="default" w:ascii="Times New Roman" w:hAnsi="Times New Roman" w:cs="Times New Roman"/>
                <w:sz w:val="21"/>
                <w:szCs w:val="21"/>
              </w:rPr>
            </w:pPr>
          </w:p>
        </w:tc>
        <w:tc>
          <w:tcPr>
            <w:tcW w:w="1715"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环境温度</w:t>
            </w:r>
            <w:r>
              <w:rPr>
                <w:rFonts w:hint="default" w:ascii="Times New Roman" w:hAnsi="Times New Roman" w:cs="Times New Roman"/>
                <w:sz w:val="21"/>
                <w:szCs w:val="21"/>
              </w:rPr>
              <w:t>℃</w:t>
            </w:r>
          </w:p>
        </w:tc>
        <w:tc>
          <w:tcPr>
            <w:tcW w:w="3971"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0" w:type="dxa"/>
            <w:vMerge w:val="continue"/>
            <w:vAlign w:val="center"/>
          </w:tcPr>
          <w:p>
            <w:pPr>
              <w:jc w:val="center"/>
              <w:rPr>
                <w:rFonts w:hint="default" w:ascii="Times New Roman" w:hAnsi="Times New Roman" w:cs="Times New Roman"/>
                <w:sz w:val="21"/>
                <w:szCs w:val="21"/>
              </w:rPr>
            </w:pPr>
          </w:p>
        </w:tc>
        <w:tc>
          <w:tcPr>
            <w:tcW w:w="1715"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相对湿度%</w:t>
            </w:r>
          </w:p>
        </w:tc>
        <w:tc>
          <w:tcPr>
            <w:tcW w:w="3971"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0" w:type="dxa"/>
            <w:vMerge w:val="continue"/>
            <w:vAlign w:val="center"/>
          </w:tcPr>
          <w:p>
            <w:pPr>
              <w:jc w:val="center"/>
              <w:rPr>
                <w:rFonts w:hint="default" w:ascii="Times New Roman" w:hAnsi="Times New Roman" w:cs="Times New Roman"/>
                <w:sz w:val="21"/>
                <w:szCs w:val="21"/>
              </w:rPr>
            </w:pPr>
          </w:p>
        </w:tc>
        <w:tc>
          <w:tcPr>
            <w:tcW w:w="1715"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稳定度</w:t>
            </w:r>
          </w:p>
        </w:tc>
        <w:tc>
          <w:tcPr>
            <w:tcW w:w="3971"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0" w:type="dxa"/>
            <w:vMerge w:val="restar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其他参数</w:t>
            </w:r>
          </w:p>
        </w:tc>
        <w:tc>
          <w:tcPr>
            <w:tcW w:w="1715"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地表粗糙度</w:t>
            </w:r>
          </w:p>
        </w:tc>
        <w:tc>
          <w:tcPr>
            <w:tcW w:w="3971"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0" w:type="dxa"/>
            <w:vMerge w:val="continue"/>
            <w:vAlign w:val="center"/>
          </w:tcPr>
          <w:p>
            <w:pPr>
              <w:jc w:val="center"/>
              <w:rPr>
                <w:rFonts w:hint="default" w:ascii="Times New Roman" w:hAnsi="Times New Roman" w:cs="Times New Roman"/>
                <w:sz w:val="21"/>
                <w:szCs w:val="21"/>
              </w:rPr>
            </w:pPr>
          </w:p>
        </w:tc>
        <w:tc>
          <w:tcPr>
            <w:tcW w:w="1715"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地形条件</w:t>
            </w:r>
          </w:p>
        </w:tc>
        <w:tc>
          <w:tcPr>
            <w:tcW w:w="3971"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平坦地形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0" w:type="dxa"/>
            <w:vMerge w:val="continue"/>
            <w:vAlign w:val="center"/>
          </w:tcPr>
          <w:p>
            <w:pPr>
              <w:jc w:val="center"/>
              <w:rPr>
                <w:rFonts w:hint="default" w:ascii="Times New Roman" w:hAnsi="Times New Roman" w:cs="Times New Roman"/>
                <w:sz w:val="21"/>
                <w:szCs w:val="21"/>
              </w:rPr>
            </w:pPr>
          </w:p>
        </w:tc>
        <w:tc>
          <w:tcPr>
            <w:tcW w:w="1715"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是否考虑地形</w:t>
            </w:r>
          </w:p>
        </w:tc>
        <w:tc>
          <w:tcPr>
            <w:tcW w:w="3971"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0" w:type="dxa"/>
            <w:vMerge w:val="continue"/>
            <w:vAlign w:val="center"/>
          </w:tcPr>
          <w:p>
            <w:pPr>
              <w:jc w:val="center"/>
              <w:rPr>
                <w:rFonts w:hint="default" w:ascii="Times New Roman" w:hAnsi="Times New Roman" w:cs="Times New Roman"/>
                <w:sz w:val="21"/>
                <w:szCs w:val="21"/>
              </w:rPr>
            </w:pPr>
          </w:p>
        </w:tc>
        <w:tc>
          <w:tcPr>
            <w:tcW w:w="1715"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地形数据精度</w:t>
            </w:r>
          </w:p>
        </w:tc>
        <w:tc>
          <w:tcPr>
            <w:tcW w:w="3971"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90m</w:t>
            </w:r>
          </w:p>
        </w:tc>
      </w:tr>
    </w:tbl>
    <w:p>
      <w:pPr>
        <w:spacing w:beforeLines="50" w:line="360" w:lineRule="auto"/>
        <w:ind w:firstLine="480" w:firstLineChars="200"/>
        <w:rPr>
          <w:rFonts w:hint="default" w:ascii="Times New Roman" w:hAnsi="Times New Roman" w:cs="Times New Roman"/>
          <w:b w:val="0"/>
          <w:bCs/>
        </w:rPr>
      </w:pPr>
      <w:r>
        <w:rPr>
          <w:rFonts w:hint="default" w:ascii="Times New Roman" w:hAnsi="Times New Roman" w:cs="Times New Roman"/>
          <w:b w:val="0"/>
          <w:bCs/>
        </w:rPr>
        <w:t>4、大气毒性终点浓度值选取</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大气毒性终点浓度即预测评价标准，分为1、2级。其中1级为当大气中危险物质浓度低于该限制时，绝大多数人员暴露1h不会对生命造成威胁，当超过该限值时，有可能对人群造成生命威胁；2级为当大气中危险物质浓度低于该限值时，暴露1h不会对人体造成不可逆的伤害，或出现的症状一般不会损伤该个体采取有效防护措施的能力。本次评价危险物质的大气毒性终点浓度值选取如下：</w:t>
      </w:r>
    </w:p>
    <w:p>
      <w:pPr>
        <w:pStyle w:val="178"/>
        <w:keepNext w:val="0"/>
        <w:keepLines w:val="0"/>
        <w:pageBreakBefore w:val="0"/>
        <w:widowControl/>
        <w:numPr>
          <w:ilvl w:val="0"/>
          <w:numId w:val="7"/>
        </w:numPr>
        <w:kinsoku/>
        <w:wordWrap/>
        <w:overflowPunct/>
        <w:topLinePunct w:val="0"/>
        <w:autoSpaceDE/>
        <w:autoSpaceDN/>
        <w:bidi w:val="0"/>
        <w:adjustRightInd/>
        <w:snapToGrid/>
        <w:spacing w:beforeLines="0" w:afterLines="0" w:line="360" w:lineRule="auto"/>
        <w:ind w:left="0" w:leftChars="0" w:firstLine="0" w:firstLineChars="0"/>
        <w:textAlignment w:val="auto"/>
        <w:rPr>
          <w:rFonts w:hint="default" w:ascii="Times New Roman" w:hAnsi="Times New Roman" w:cs="Times New Roman"/>
          <w:b/>
        </w:rPr>
      </w:pPr>
      <w:r>
        <w:rPr>
          <w:rFonts w:hint="default" w:ascii="Times New Roman" w:hAnsi="Times New Roman" w:cs="Times New Roman"/>
          <w:b/>
        </w:rPr>
        <w:t>大气风险预测模型主要参数表</w:t>
      </w:r>
    </w:p>
    <w:tbl>
      <w:tblPr>
        <w:tblStyle w:val="44"/>
        <w:tblW w:w="80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5"/>
        <w:gridCol w:w="1505"/>
        <w:gridCol w:w="2693"/>
        <w:gridCol w:w="2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5"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危险物质</w:t>
            </w:r>
          </w:p>
        </w:tc>
        <w:tc>
          <w:tcPr>
            <w:tcW w:w="1505"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CAS号</w:t>
            </w:r>
          </w:p>
        </w:tc>
        <w:tc>
          <w:tcPr>
            <w:tcW w:w="2693"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毒性终点浓度-1（mg/m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c>
          <w:tcPr>
            <w:tcW w:w="2693"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毒性终点浓度-2（mg/m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5"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HF</w:t>
            </w:r>
          </w:p>
        </w:tc>
        <w:tc>
          <w:tcPr>
            <w:tcW w:w="1505"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7664-39-3</w:t>
            </w:r>
          </w:p>
        </w:tc>
        <w:tc>
          <w:tcPr>
            <w:tcW w:w="2693"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36</w:t>
            </w:r>
          </w:p>
        </w:tc>
        <w:tc>
          <w:tcPr>
            <w:tcW w:w="2693"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20</w:t>
            </w:r>
          </w:p>
        </w:tc>
      </w:tr>
    </w:tbl>
    <w:p>
      <w:pPr>
        <w:spacing w:beforeLines="50" w:line="360" w:lineRule="auto"/>
        <w:ind w:firstLine="480" w:firstLineChars="200"/>
        <w:rPr>
          <w:rFonts w:hint="default" w:ascii="Times New Roman" w:hAnsi="Times New Roman" w:cs="Times New Roman"/>
          <w:b w:val="0"/>
          <w:bCs/>
        </w:rPr>
      </w:pPr>
      <w:r>
        <w:rPr>
          <w:rFonts w:hint="default" w:ascii="Times New Roman" w:hAnsi="Times New Roman" w:cs="Times New Roman"/>
          <w:b w:val="0"/>
          <w:bCs/>
        </w:rPr>
        <w:t>5、预测内容</w:t>
      </w:r>
    </w:p>
    <w:p>
      <w:pPr>
        <w:spacing w:line="360" w:lineRule="auto"/>
        <w:ind w:firstLine="482"/>
        <w:rPr>
          <w:rFonts w:hint="default" w:ascii="Times New Roman" w:hAnsi="Times New Roman" w:cs="Times New Roman"/>
        </w:rPr>
      </w:pPr>
      <w:r>
        <w:rPr>
          <w:rFonts w:hint="default" w:ascii="Times New Roman" w:hAnsi="Times New Roman" w:cs="Times New Roman"/>
        </w:rPr>
        <w:t>（1）下风向不同距离处有毒有害物质的最大浓度，以及预测浓度达到不同毒性终点浓度的最大影响范围。</w:t>
      </w:r>
    </w:p>
    <w:p>
      <w:pPr>
        <w:spacing w:line="360" w:lineRule="auto"/>
        <w:ind w:firstLine="482"/>
        <w:rPr>
          <w:rFonts w:hint="default" w:ascii="Times New Roman" w:hAnsi="Times New Roman" w:cs="Times New Roman"/>
        </w:rPr>
      </w:pPr>
      <w:r>
        <w:rPr>
          <w:rFonts w:hint="default" w:ascii="Times New Roman" w:hAnsi="Times New Roman" w:cs="Times New Roman"/>
        </w:rPr>
        <w:t>（2）各关心点的有毒有害物质浓度随时间变化情况，以及关心点的预测浓度超过评价标准时对应的时刻和持续时间。</w:t>
      </w:r>
    </w:p>
    <w:p>
      <w:pPr>
        <w:spacing w:line="360" w:lineRule="auto"/>
        <w:ind w:firstLine="480" w:firstLineChars="200"/>
        <w:rPr>
          <w:rFonts w:hint="default" w:ascii="Times New Roman" w:hAnsi="Times New Roman" w:cs="Times New Roman"/>
          <w:b w:val="0"/>
          <w:bCs/>
        </w:rPr>
      </w:pPr>
      <w:r>
        <w:rPr>
          <w:rFonts w:hint="default" w:ascii="Times New Roman" w:hAnsi="Times New Roman" w:cs="Times New Roman"/>
          <w:b w:val="0"/>
          <w:bCs/>
        </w:rPr>
        <w:t>6、预测结果</w:t>
      </w:r>
    </w:p>
    <w:p>
      <w:pPr>
        <w:pStyle w:val="178"/>
        <w:keepNext w:val="0"/>
        <w:keepLines w:val="0"/>
        <w:pageBreakBefore w:val="0"/>
        <w:widowControl/>
        <w:numPr>
          <w:ilvl w:val="0"/>
          <w:numId w:val="7"/>
        </w:numPr>
        <w:kinsoku/>
        <w:wordWrap/>
        <w:overflowPunct/>
        <w:topLinePunct w:val="0"/>
        <w:autoSpaceDE/>
        <w:autoSpaceDN/>
        <w:bidi w:val="0"/>
        <w:adjustRightInd/>
        <w:snapToGrid/>
        <w:spacing w:beforeLines="0" w:afterLines="0" w:line="360" w:lineRule="auto"/>
        <w:ind w:left="0" w:leftChars="0" w:firstLine="0" w:firstLineChars="0"/>
        <w:textAlignment w:val="auto"/>
        <w:rPr>
          <w:rFonts w:hint="default" w:ascii="Times New Roman" w:hAnsi="Times New Roman" w:cs="Times New Roman"/>
          <w:b/>
        </w:rPr>
      </w:pPr>
      <w:r>
        <w:rPr>
          <w:rFonts w:hint="default" w:ascii="Times New Roman" w:hAnsi="Times New Roman" w:cs="Times New Roman"/>
          <w:b/>
        </w:rPr>
        <w:t>F稳定度下氟化氢风险预测对应阀值一览表</w:t>
      </w:r>
    </w:p>
    <w:tbl>
      <w:tblPr>
        <w:tblStyle w:val="44"/>
        <w:tblW w:w="5000" w:type="pct"/>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autofit"/>
        <w:tblCellMar>
          <w:top w:w="15" w:type="dxa"/>
          <w:left w:w="15" w:type="dxa"/>
          <w:bottom w:w="15" w:type="dxa"/>
          <w:right w:w="15" w:type="dxa"/>
        </w:tblCellMar>
      </w:tblPr>
      <w:tblGrid>
        <w:gridCol w:w="1793"/>
        <w:gridCol w:w="1370"/>
        <w:gridCol w:w="1520"/>
        <w:gridCol w:w="1679"/>
        <w:gridCol w:w="2569"/>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1004" w:type="pct"/>
            <w:shd w:val="clear" w:color="auto" w:fill="auto"/>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阈值 (mg/m</w:t>
            </w:r>
            <w:r>
              <w:rPr>
                <w:rFonts w:hint="default" w:ascii="Times New Roman" w:hAnsi="Times New Roman" w:cs="Times New Roman"/>
                <w:color w:val="auto"/>
                <w:vertAlign w:val="superscript"/>
              </w:rPr>
              <w:t>3</w:t>
            </w:r>
            <w:r>
              <w:rPr>
                <w:rFonts w:hint="default" w:ascii="Times New Roman" w:hAnsi="Times New Roman" w:cs="Times New Roman"/>
                <w:color w:val="auto"/>
              </w:rPr>
              <w:t>)</w:t>
            </w:r>
          </w:p>
        </w:tc>
        <w:tc>
          <w:tcPr>
            <w:tcW w:w="767" w:type="pct"/>
            <w:shd w:val="clear" w:color="auto" w:fill="auto"/>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X起点(m)</w:t>
            </w:r>
          </w:p>
        </w:tc>
        <w:tc>
          <w:tcPr>
            <w:tcW w:w="851" w:type="pct"/>
            <w:shd w:val="clear" w:color="auto" w:fill="auto"/>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 xml:space="preserve"> X终点(m)</w:t>
            </w:r>
          </w:p>
        </w:tc>
        <w:tc>
          <w:tcPr>
            <w:tcW w:w="940" w:type="pct"/>
            <w:shd w:val="clear" w:color="auto" w:fill="auto"/>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 xml:space="preserve">最大半宽(m) </w:t>
            </w:r>
          </w:p>
        </w:tc>
        <w:tc>
          <w:tcPr>
            <w:tcW w:w="1438" w:type="pct"/>
            <w:shd w:val="clear" w:color="auto" w:fill="auto"/>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最大半宽对应X(m)</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1004" w:type="pct"/>
            <w:shd w:val="clear" w:color="auto" w:fill="auto"/>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20</w:t>
            </w:r>
          </w:p>
        </w:tc>
        <w:tc>
          <w:tcPr>
            <w:tcW w:w="767" w:type="pct"/>
            <w:shd w:val="clear" w:color="auto" w:fill="auto"/>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10</w:t>
            </w:r>
          </w:p>
        </w:tc>
        <w:tc>
          <w:tcPr>
            <w:tcW w:w="851" w:type="pct"/>
            <w:shd w:val="clear" w:color="auto" w:fill="auto"/>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34</w:t>
            </w:r>
          </w:p>
        </w:tc>
        <w:tc>
          <w:tcPr>
            <w:tcW w:w="940" w:type="pct"/>
            <w:shd w:val="clear" w:color="auto" w:fill="auto"/>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0</w:t>
            </w:r>
          </w:p>
        </w:tc>
        <w:tc>
          <w:tcPr>
            <w:tcW w:w="1438" w:type="pct"/>
            <w:shd w:val="clear" w:color="auto" w:fill="auto"/>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10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1004" w:type="pct"/>
            <w:shd w:val="clear" w:color="auto" w:fill="auto"/>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36</w:t>
            </w:r>
          </w:p>
        </w:tc>
        <w:tc>
          <w:tcPr>
            <w:tcW w:w="767" w:type="pct"/>
            <w:shd w:val="clear" w:color="auto" w:fill="auto"/>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10</w:t>
            </w:r>
          </w:p>
        </w:tc>
        <w:tc>
          <w:tcPr>
            <w:tcW w:w="851" w:type="pct"/>
            <w:shd w:val="clear" w:color="auto" w:fill="auto"/>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23</w:t>
            </w:r>
          </w:p>
        </w:tc>
        <w:tc>
          <w:tcPr>
            <w:tcW w:w="940" w:type="pct"/>
            <w:shd w:val="clear" w:color="auto" w:fill="auto"/>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0</w:t>
            </w:r>
          </w:p>
        </w:tc>
        <w:tc>
          <w:tcPr>
            <w:tcW w:w="1438" w:type="pct"/>
            <w:shd w:val="clear" w:color="auto" w:fill="auto"/>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10</w:t>
            </w:r>
          </w:p>
        </w:tc>
      </w:tr>
    </w:tbl>
    <w:p>
      <w:pPr>
        <w:adjustRightInd w:val="0"/>
        <w:spacing w:line="360" w:lineRule="auto"/>
        <w:jc w:val="center"/>
        <w:rPr>
          <w:rFonts w:hint="default" w:ascii="Times New Roman" w:hAnsi="Times New Roman" w:cs="Times New Roman"/>
          <w:color w:val="FF0000"/>
        </w:rPr>
      </w:pPr>
      <w:r>
        <w:rPr>
          <w:rFonts w:hint="default" w:ascii="Times New Roman" w:hAnsi="Times New Roman" w:cs="Times New Roman"/>
          <w:color w:val="FF0000"/>
        </w:rPr>
        <w:drawing>
          <wp:inline distT="0" distB="0" distL="0" distR="0">
            <wp:extent cx="4947920" cy="5815965"/>
            <wp:effectExtent l="0" t="0" r="5080" b="1333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noChangeArrowheads="1"/>
                    </pic:cNvPicPr>
                  </pic:nvPicPr>
                  <pic:blipFill>
                    <a:blip r:embed="rId37" cstate="print"/>
                    <a:srcRect/>
                    <a:stretch>
                      <a:fillRect/>
                    </a:stretch>
                  </pic:blipFill>
                  <pic:spPr>
                    <a:xfrm>
                      <a:off x="0" y="0"/>
                      <a:ext cx="4948333" cy="5816009"/>
                    </a:xfrm>
                    <a:prstGeom prst="rect">
                      <a:avLst/>
                    </a:prstGeom>
                    <a:noFill/>
                    <a:ln w="9525">
                      <a:noFill/>
                      <a:miter lim="800000"/>
                      <a:headEnd/>
                      <a:tailEnd/>
                    </a:ln>
                  </pic:spPr>
                </pic:pic>
              </a:graphicData>
            </a:graphic>
          </wp:inline>
        </w:drawing>
      </w:r>
    </w:p>
    <w:p>
      <w:pPr>
        <w:pStyle w:val="178"/>
        <w:spacing w:beforeLines="0" w:afterLines="0" w:line="360" w:lineRule="auto"/>
        <w:outlineLvl w:val="9"/>
        <w:rPr>
          <w:rFonts w:hint="default" w:ascii="Times New Roman" w:hAnsi="Times New Roman" w:cs="Times New Roman"/>
        </w:rPr>
      </w:pPr>
      <w:r>
        <w:rPr>
          <w:rFonts w:hint="default" w:ascii="Times New Roman" w:hAnsi="Times New Roman" w:cs="Times New Roman"/>
        </w:rPr>
        <w:t>图</w:t>
      </w:r>
      <w:r>
        <w:rPr>
          <w:rFonts w:hint="default" w:ascii="Times New Roman" w:hAnsi="Times New Roman" w:cs="Times New Roman"/>
          <w:lang w:val="en-US" w:eastAsia="zh-CN"/>
        </w:rPr>
        <w:t>5</w:t>
      </w:r>
      <w:r>
        <w:rPr>
          <w:rFonts w:hint="default" w:ascii="Times New Roman" w:hAnsi="Times New Roman" w:cs="Times New Roman"/>
        </w:rPr>
        <w:t>-</w:t>
      </w:r>
      <w:r>
        <w:rPr>
          <w:rFonts w:hint="default" w:ascii="Times New Roman" w:hAnsi="Times New Roman" w:cs="Times New Roman"/>
          <w:lang w:val="en-US" w:eastAsia="zh-CN"/>
        </w:rPr>
        <w:t>4</w:t>
      </w:r>
      <w:r>
        <w:rPr>
          <w:rFonts w:hint="default" w:ascii="Times New Roman" w:hAnsi="Times New Roman" w:cs="Times New Roman"/>
        </w:rPr>
        <w:t xml:space="preserve">  F稳定度下氟化氢毒性终点浓度-2的最大影响范围图</w:t>
      </w:r>
    </w:p>
    <w:p>
      <w:pPr>
        <w:pStyle w:val="178"/>
        <w:keepNext w:val="0"/>
        <w:keepLines w:val="0"/>
        <w:pageBreakBefore w:val="0"/>
        <w:widowControl/>
        <w:numPr>
          <w:ilvl w:val="0"/>
          <w:numId w:val="7"/>
        </w:numPr>
        <w:kinsoku/>
        <w:wordWrap/>
        <w:overflowPunct/>
        <w:topLinePunct w:val="0"/>
        <w:autoSpaceDE/>
        <w:autoSpaceDN/>
        <w:bidi w:val="0"/>
        <w:adjustRightInd/>
        <w:snapToGrid/>
        <w:spacing w:beforeLines="0" w:afterLines="0" w:line="360" w:lineRule="auto"/>
        <w:ind w:left="0" w:leftChars="0" w:firstLine="0" w:firstLineChars="0"/>
        <w:textAlignment w:val="auto"/>
        <w:rPr>
          <w:rFonts w:hint="default" w:ascii="Times New Roman" w:hAnsi="Times New Roman" w:cs="Times New Roman"/>
          <w:b/>
        </w:rPr>
      </w:pPr>
      <w:r>
        <w:rPr>
          <w:rFonts w:hint="default" w:ascii="Times New Roman" w:hAnsi="Times New Roman" w:cs="Times New Roman"/>
          <w:b/>
        </w:rPr>
        <w:t>F稳定度下氟化氢泄漏风险预测下风向最大浓度结果一览表</w:t>
      </w:r>
    </w:p>
    <w:tbl>
      <w:tblPr>
        <w:tblStyle w:val="44"/>
        <w:tblW w:w="8237" w:type="dxa"/>
        <w:jc w:val="center"/>
        <w:tblLayout w:type="fixed"/>
        <w:tblCellMar>
          <w:top w:w="0" w:type="dxa"/>
          <w:left w:w="108" w:type="dxa"/>
          <w:bottom w:w="0" w:type="dxa"/>
          <w:right w:w="108" w:type="dxa"/>
        </w:tblCellMar>
      </w:tblPr>
      <w:tblGrid>
        <w:gridCol w:w="940"/>
        <w:gridCol w:w="1485"/>
        <w:gridCol w:w="1559"/>
        <w:gridCol w:w="1159"/>
        <w:gridCol w:w="1483"/>
        <w:gridCol w:w="1611"/>
      </w:tblGrid>
      <w:tr>
        <w:tblPrEx>
          <w:tblCellMar>
            <w:top w:w="0" w:type="dxa"/>
            <w:left w:w="108" w:type="dxa"/>
            <w:bottom w:w="0" w:type="dxa"/>
            <w:right w:w="108" w:type="dxa"/>
          </w:tblCellMar>
        </w:tblPrEx>
        <w:trPr>
          <w:cantSplit/>
          <w:trHeight w:val="284" w:hRule="atLeast"/>
          <w:jc w:val="center"/>
        </w:trPr>
        <w:tc>
          <w:tcPr>
            <w:tcW w:w="940"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181"/>
              <w:spacing w:line="240" w:lineRule="auto"/>
              <w:ind w:firstLine="0" w:firstLineChars="0"/>
              <w:rPr>
                <w:rFonts w:hint="default" w:ascii="Times New Roman" w:hAnsi="Times New Roman" w:cs="Times New Roman"/>
                <w:sz w:val="21"/>
              </w:rPr>
            </w:pPr>
            <w:r>
              <w:rPr>
                <w:rFonts w:hint="default" w:ascii="Times New Roman" w:hAnsi="Times New Roman" w:cs="Times New Roman"/>
                <w:sz w:val="21"/>
              </w:rPr>
              <w:t>距离(m)</w:t>
            </w:r>
          </w:p>
        </w:tc>
        <w:tc>
          <w:tcPr>
            <w:tcW w:w="1485" w:type="dxa"/>
            <w:tcBorders>
              <w:top w:val="single" w:color="auto" w:sz="4" w:space="0"/>
              <w:left w:val="nil"/>
              <w:bottom w:val="single" w:color="auto" w:sz="4" w:space="0"/>
              <w:right w:val="single" w:color="auto" w:sz="4" w:space="0"/>
            </w:tcBorders>
            <w:shd w:val="clear" w:color="auto" w:fill="auto"/>
            <w:noWrap/>
            <w:vAlign w:val="center"/>
          </w:tcPr>
          <w:p>
            <w:pPr>
              <w:pStyle w:val="181"/>
              <w:spacing w:line="240" w:lineRule="auto"/>
              <w:ind w:firstLine="0" w:firstLineChars="0"/>
              <w:rPr>
                <w:rFonts w:hint="default" w:ascii="Times New Roman" w:hAnsi="Times New Roman" w:cs="Times New Roman"/>
                <w:sz w:val="21"/>
              </w:rPr>
            </w:pPr>
            <w:r>
              <w:rPr>
                <w:rFonts w:hint="default" w:ascii="Times New Roman" w:hAnsi="Times New Roman" w:cs="Times New Roman"/>
                <w:sz w:val="21"/>
              </w:rPr>
              <w:t>浓度出现时间(min)</w:t>
            </w:r>
          </w:p>
        </w:tc>
        <w:tc>
          <w:tcPr>
            <w:tcW w:w="1559" w:type="dxa"/>
            <w:tcBorders>
              <w:top w:val="single" w:color="auto" w:sz="4" w:space="0"/>
              <w:left w:val="nil"/>
              <w:bottom w:val="single" w:color="auto" w:sz="4" w:space="0"/>
              <w:right w:val="single" w:color="auto" w:sz="4" w:space="0"/>
            </w:tcBorders>
            <w:shd w:val="clear" w:color="auto" w:fill="auto"/>
            <w:noWrap/>
            <w:vAlign w:val="center"/>
          </w:tcPr>
          <w:p>
            <w:pPr>
              <w:pStyle w:val="181"/>
              <w:spacing w:line="240" w:lineRule="auto"/>
              <w:ind w:firstLine="0" w:firstLineChars="0"/>
              <w:rPr>
                <w:rFonts w:hint="default" w:ascii="Times New Roman" w:hAnsi="Times New Roman" w:cs="Times New Roman"/>
                <w:sz w:val="21"/>
              </w:rPr>
            </w:pPr>
            <w:r>
              <w:rPr>
                <w:rFonts w:hint="default" w:ascii="Times New Roman" w:hAnsi="Times New Roman" w:cs="Times New Roman"/>
                <w:sz w:val="21"/>
              </w:rPr>
              <w:t>高峰浓度(mg/m</w:t>
            </w:r>
            <w:r>
              <w:rPr>
                <w:rFonts w:hint="default" w:ascii="Times New Roman" w:hAnsi="Times New Roman" w:cs="Times New Roman"/>
                <w:sz w:val="21"/>
                <w:vertAlign w:val="superscript"/>
              </w:rPr>
              <w:t>3</w:t>
            </w:r>
            <w:r>
              <w:rPr>
                <w:rFonts w:hint="default" w:ascii="Times New Roman" w:hAnsi="Times New Roman" w:cs="Times New Roman"/>
                <w:sz w:val="21"/>
              </w:rPr>
              <w:t>)</w:t>
            </w:r>
          </w:p>
        </w:tc>
        <w:tc>
          <w:tcPr>
            <w:tcW w:w="1159" w:type="dxa"/>
            <w:tcBorders>
              <w:top w:val="single" w:color="auto" w:sz="4" w:space="0"/>
              <w:left w:val="nil"/>
              <w:bottom w:val="single" w:color="auto" w:sz="4" w:space="0"/>
              <w:right w:val="single" w:color="auto" w:sz="4" w:space="0"/>
            </w:tcBorders>
            <w:shd w:val="clear" w:color="auto" w:fill="auto"/>
            <w:noWrap/>
            <w:vAlign w:val="center"/>
          </w:tcPr>
          <w:p>
            <w:pPr>
              <w:pStyle w:val="181"/>
              <w:spacing w:line="240" w:lineRule="auto"/>
              <w:ind w:firstLine="0" w:firstLineChars="0"/>
              <w:rPr>
                <w:rFonts w:hint="default" w:ascii="Times New Roman" w:hAnsi="Times New Roman" w:cs="Times New Roman"/>
                <w:sz w:val="21"/>
              </w:rPr>
            </w:pPr>
            <w:r>
              <w:rPr>
                <w:rFonts w:hint="default" w:ascii="Times New Roman" w:hAnsi="Times New Roman" w:cs="Times New Roman"/>
                <w:sz w:val="21"/>
              </w:rPr>
              <w:t>距离(m)</w:t>
            </w:r>
          </w:p>
        </w:tc>
        <w:tc>
          <w:tcPr>
            <w:tcW w:w="1483" w:type="dxa"/>
            <w:tcBorders>
              <w:top w:val="single" w:color="auto" w:sz="4" w:space="0"/>
              <w:left w:val="nil"/>
              <w:bottom w:val="single" w:color="auto" w:sz="4" w:space="0"/>
              <w:right w:val="single" w:color="auto" w:sz="4" w:space="0"/>
            </w:tcBorders>
            <w:shd w:val="clear" w:color="auto" w:fill="auto"/>
            <w:noWrap/>
            <w:vAlign w:val="center"/>
          </w:tcPr>
          <w:p>
            <w:pPr>
              <w:pStyle w:val="181"/>
              <w:spacing w:line="240" w:lineRule="auto"/>
              <w:ind w:firstLine="0" w:firstLineChars="0"/>
              <w:rPr>
                <w:rFonts w:hint="default" w:ascii="Times New Roman" w:hAnsi="Times New Roman" w:cs="Times New Roman"/>
                <w:sz w:val="21"/>
              </w:rPr>
            </w:pPr>
            <w:r>
              <w:rPr>
                <w:rFonts w:hint="default" w:ascii="Times New Roman" w:hAnsi="Times New Roman" w:cs="Times New Roman"/>
                <w:sz w:val="21"/>
              </w:rPr>
              <w:t>浓度出现时间(min)</w:t>
            </w:r>
          </w:p>
        </w:tc>
        <w:tc>
          <w:tcPr>
            <w:tcW w:w="1611" w:type="dxa"/>
            <w:tcBorders>
              <w:top w:val="single" w:color="auto" w:sz="4" w:space="0"/>
              <w:left w:val="nil"/>
              <w:bottom w:val="single" w:color="auto" w:sz="4" w:space="0"/>
              <w:right w:val="single" w:color="auto" w:sz="4" w:space="0"/>
            </w:tcBorders>
            <w:shd w:val="clear" w:color="auto" w:fill="auto"/>
            <w:noWrap/>
            <w:vAlign w:val="center"/>
          </w:tcPr>
          <w:p>
            <w:pPr>
              <w:pStyle w:val="181"/>
              <w:spacing w:line="240" w:lineRule="auto"/>
              <w:ind w:firstLine="0" w:firstLineChars="0"/>
              <w:rPr>
                <w:rFonts w:hint="default" w:ascii="Times New Roman" w:hAnsi="Times New Roman" w:cs="Times New Roman"/>
                <w:sz w:val="21"/>
              </w:rPr>
            </w:pPr>
            <w:r>
              <w:rPr>
                <w:rFonts w:hint="default" w:ascii="Times New Roman" w:hAnsi="Times New Roman" w:cs="Times New Roman"/>
                <w:sz w:val="21"/>
              </w:rPr>
              <w:t>高峰浓度(mg/m</w:t>
            </w:r>
            <w:r>
              <w:rPr>
                <w:rFonts w:hint="default" w:ascii="Times New Roman" w:hAnsi="Times New Roman" w:cs="Times New Roman"/>
                <w:sz w:val="21"/>
                <w:vertAlign w:val="superscript"/>
              </w:rPr>
              <w:t>3</w:t>
            </w:r>
            <w:r>
              <w:rPr>
                <w:rFonts w:hint="default" w:ascii="Times New Roman" w:hAnsi="Times New Roman" w:cs="Times New Roman"/>
                <w:sz w:val="21"/>
              </w:rPr>
              <w:t>)</w:t>
            </w:r>
          </w:p>
        </w:tc>
      </w:tr>
      <w:tr>
        <w:tblPrEx>
          <w:tblCellMar>
            <w:top w:w="0" w:type="dxa"/>
            <w:left w:w="108" w:type="dxa"/>
            <w:bottom w:w="0" w:type="dxa"/>
            <w:right w:w="108" w:type="dxa"/>
          </w:tblCellMar>
        </w:tblPrEx>
        <w:trPr>
          <w:cantSplit/>
          <w:trHeight w:val="284" w:hRule="atLeast"/>
          <w:jc w:val="center"/>
        </w:trPr>
        <w:tc>
          <w:tcPr>
            <w:tcW w:w="940" w:type="dxa"/>
            <w:tcBorders>
              <w:top w:val="nil"/>
              <w:left w:val="single" w:color="auto" w:sz="4" w:space="0"/>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10</w:t>
            </w:r>
          </w:p>
        </w:tc>
        <w:tc>
          <w:tcPr>
            <w:tcW w:w="1485"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0.11</w:t>
            </w:r>
          </w:p>
        </w:tc>
        <w:tc>
          <w:tcPr>
            <w:tcW w:w="1559"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128.83</w:t>
            </w:r>
          </w:p>
        </w:tc>
        <w:tc>
          <w:tcPr>
            <w:tcW w:w="1159"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2510</w:t>
            </w:r>
          </w:p>
        </w:tc>
        <w:tc>
          <w:tcPr>
            <w:tcW w:w="1483"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27.89</w:t>
            </w:r>
          </w:p>
        </w:tc>
        <w:tc>
          <w:tcPr>
            <w:tcW w:w="1611"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0.04</w:t>
            </w:r>
          </w:p>
        </w:tc>
      </w:tr>
      <w:tr>
        <w:tblPrEx>
          <w:tblCellMar>
            <w:top w:w="0" w:type="dxa"/>
            <w:left w:w="108" w:type="dxa"/>
            <w:bottom w:w="0" w:type="dxa"/>
            <w:right w:w="108" w:type="dxa"/>
          </w:tblCellMar>
        </w:tblPrEx>
        <w:trPr>
          <w:cantSplit/>
          <w:trHeight w:val="284" w:hRule="atLeast"/>
          <w:jc w:val="center"/>
        </w:trPr>
        <w:tc>
          <w:tcPr>
            <w:tcW w:w="940" w:type="dxa"/>
            <w:tcBorders>
              <w:top w:val="nil"/>
              <w:left w:val="single" w:color="auto" w:sz="4" w:space="0"/>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60</w:t>
            </w:r>
          </w:p>
        </w:tc>
        <w:tc>
          <w:tcPr>
            <w:tcW w:w="1485"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0.67</w:t>
            </w:r>
          </w:p>
        </w:tc>
        <w:tc>
          <w:tcPr>
            <w:tcW w:w="1559"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8.79</w:t>
            </w:r>
          </w:p>
        </w:tc>
        <w:tc>
          <w:tcPr>
            <w:tcW w:w="1159"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2560</w:t>
            </w:r>
          </w:p>
        </w:tc>
        <w:tc>
          <w:tcPr>
            <w:tcW w:w="1483"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28.44</w:t>
            </w:r>
          </w:p>
        </w:tc>
        <w:tc>
          <w:tcPr>
            <w:tcW w:w="1611"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0.04</w:t>
            </w:r>
          </w:p>
        </w:tc>
      </w:tr>
      <w:tr>
        <w:tblPrEx>
          <w:tblCellMar>
            <w:top w:w="0" w:type="dxa"/>
            <w:left w:w="108" w:type="dxa"/>
            <w:bottom w:w="0" w:type="dxa"/>
            <w:right w:w="108" w:type="dxa"/>
          </w:tblCellMar>
        </w:tblPrEx>
        <w:trPr>
          <w:cantSplit/>
          <w:trHeight w:val="284" w:hRule="atLeast"/>
          <w:jc w:val="center"/>
        </w:trPr>
        <w:tc>
          <w:tcPr>
            <w:tcW w:w="940" w:type="dxa"/>
            <w:tcBorders>
              <w:top w:val="nil"/>
              <w:left w:val="single" w:color="auto" w:sz="4" w:space="0"/>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110</w:t>
            </w:r>
          </w:p>
        </w:tc>
        <w:tc>
          <w:tcPr>
            <w:tcW w:w="1485"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1.22</w:t>
            </w:r>
          </w:p>
        </w:tc>
        <w:tc>
          <w:tcPr>
            <w:tcW w:w="1559"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4.17</w:t>
            </w:r>
          </w:p>
        </w:tc>
        <w:tc>
          <w:tcPr>
            <w:tcW w:w="1159"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2610</w:t>
            </w:r>
          </w:p>
        </w:tc>
        <w:tc>
          <w:tcPr>
            <w:tcW w:w="1483"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29.00</w:t>
            </w:r>
          </w:p>
        </w:tc>
        <w:tc>
          <w:tcPr>
            <w:tcW w:w="1611"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0.04</w:t>
            </w:r>
          </w:p>
        </w:tc>
      </w:tr>
      <w:tr>
        <w:tblPrEx>
          <w:tblCellMar>
            <w:top w:w="0" w:type="dxa"/>
            <w:left w:w="108" w:type="dxa"/>
            <w:bottom w:w="0" w:type="dxa"/>
            <w:right w:w="108" w:type="dxa"/>
          </w:tblCellMar>
        </w:tblPrEx>
        <w:trPr>
          <w:cantSplit/>
          <w:trHeight w:val="284" w:hRule="atLeast"/>
          <w:jc w:val="center"/>
        </w:trPr>
        <w:tc>
          <w:tcPr>
            <w:tcW w:w="940" w:type="dxa"/>
            <w:tcBorders>
              <w:top w:val="nil"/>
              <w:left w:val="single" w:color="auto" w:sz="4" w:space="0"/>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160</w:t>
            </w:r>
          </w:p>
        </w:tc>
        <w:tc>
          <w:tcPr>
            <w:tcW w:w="1485"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1.78</w:t>
            </w:r>
          </w:p>
        </w:tc>
        <w:tc>
          <w:tcPr>
            <w:tcW w:w="1559"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2.56</w:t>
            </w:r>
          </w:p>
        </w:tc>
        <w:tc>
          <w:tcPr>
            <w:tcW w:w="1159"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2660</w:t>
            </w:r>
          </w:p>
        </w:tc>
        <w:tc>
          <w:tcPr>
            <w:tcW w:w="1483"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29.56</w:t>
            </w:r>
          </w:p>
        </w:tc>
        <w:tc>
          <w:tcPr>
            <w:tcW w:w="1611"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0.04</w:t>
            </w:r>
          </w:p>
        </w:tc>
      </w:tr>
      <w:tr>
        <w:tblPrEx>
          <w:tblCellMar>
            <w:top w:w="0" w:type="dxa"/>
            <w:left w:w="108" w:type="dxa"/>
            <w:bottom w:w="0" w:type="dxa"/>
            <w:right w:w="108" w:type="dxa"/>
          </w:tblCellMar>
        </w:tblPrEx>
        <w:trPr>
          <w:cantSplit/>
          <w:trHeight w:val="284" w:hRule="atLeast"/>
          <w:jc w:val="center"/>
        </w:trPr>
        <w:tc>
          <w:tcPr>
            <w:tcW w:w="940" w:type="dxa"/>
            <w:tcBorders>
              <w:top w:val="nil"/>
              <w:left w:val="single" w:color="auto" w:sz="4" w:space="0"/>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210</w:t>
            </w:r>
          </w:p>
        </w:tc>
        <w:tc>
          <w:tcPr>
            <w:tcW w:w="1485"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2.33</w:t>
            </w:r>
          </w:p>
        </w:tc>
        <w:tc>
          <w:tcPr>
            <w:tcW w:w="1559"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1.74</w:t>
            </w:r>
          </w:p>
        </w:tc>
        <w:tc>
          <w:tcPr>
            <w:tcW w:w="1159"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2710</w:t>
            </w:r>
          </w:p>
        </w:tc>
        <w:tc>
          <w:tcPr>
            <w:tcW w:w="1483"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30.11</w:t>
            </w:r>
          </w:p>
        </w:tc>
        <w:tc>
          <w:tcPr>
            <w:tcW w:w="1611"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0.03</w:t>
            </w:r>
          </w:p>
        </w:tc>
      </w:tr>
      <w:tr>
        <w:tblPrEx>
          <w:tblCellMar>
            <w:top w:w="0" w:type="dxa"/>
            <w:left w:w="108" w:type="dxa"/>
            <w:bottom w:w="0" w:type="dxa"/>
            <w:right w:w="108" w:type="dxa"/>
          </w:tblCellMar>
        </w:tblPrEx>
        <w:trPr>
          <w:cantSplit/>
          <w:trHeight w:val="284" w:hRule="atLeast"/>
          <w:jc w:val="center"/>
        </w:trPr>
        <w:tc>
          <w:tcPr>
            <w:tcW w:w="940" w:type="dxa"/>
            <w:tcBorders>
              <w:top w:val="nil"/>
              <w:left w:val="single" w:color="auto" w:sz="4" w:space="0"/>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260</w:t>
            </w:r>
          </w:p>
        </w:tc>
        <w:tc>
          <w:tcPr>
            <w:tcW w:w="1485"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2.89</w:t>
            </w:r>
          </w:p>
        </w:tc>
        <w:tc>
          <w:tcPr>
            <w:tcW w:w="1559"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1.27</w:t>
            </w:r>
          </w:p>
        </w:tc>
        <w:tc>
          <w:tcPr>
            <w:tcW w:w="1159"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2760</w:t>
            </w:r>
          </w:p>
        </w:tc>
        <w:tc>
          <w:tcPr>
            <w:tcW w:w="1483"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30.67</w:t>
            </w:r>
          </w:p>
        </w:tc>
        <w:tc>
          <w:tcPr>
            <w:tcW w:w="1611"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0.03</w:t>
            </w:r>
          </w:p>
        </w:tc>
      </w:tr>
      <w:tr>
        <w:tblPrEx>
          <w:tblCellMar>
            <w:top w:w="0" w:type="dxa"/>
            <w:left w:w="108" w:type="dxa"/>
            <w:bottom w:w="0" w:type="dxa"/>
            <w:right w:w="108" w:type="dxa"/>
          </w:tblCellMar>
        </w:tblPrEx>
        <w:trPr>
          <w:cantSplit/>
          <w:trHeight w:val="284" w:hRule="atLeast"/>
          <w:jc w:val="center"/>
        </w:trPr>
        <w:tc>
          <w:tcPr>
            <w:tcW w:w="940" w:type="dxa"/>
            <w:tcBorders>
              <w:top w:val="nil"/>
              <w:left w:val="single" w:color="auto" w:sz="4" w:space="0"/>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310</w:t>
            </w:r>
          </w:p>
        </w:tc>
        <w:tc>
          <w:tcPr>
            <w:tcW w:w="1485"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3.44</w:t>
            </w:r>
          </w:p>
        </w:tc>
        <w:tc>
          <w:tcPr>
            <w:tcW w:w="1559"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0.97</w:t>
            </w:r>
          </w:p>
        </w:tc>
        <w:tc>
          <w:tcPr>
            <w:tcW w:w="1159"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2810</w:t>
            </w:r>
          </w:p>
        </w:tc>
        <w:tc>
          <w:tcPr>
            <w:tcW w:w="1483"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31.22</w:t>
            </w:r>
          </w:p>
        </w:tc>
        <w:tc>
          <w:tcPr>
            <w:tcW w:w="1611"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0.03</w:t>
            </w:r>
          </w:p>
        </w:tc>
      </w:tr>
      <w:tr>
        <w:tblPrEx>
          <w:tblCellMar>
            <w:top w:w="0" w:type="dxa"/>
            <w:left w:w="108" w:type="dxa"/>
            <w:bottom w:w="0" w:type="dxa"/>
            <w:right w:w="108" w:type="dxa"/>
          </w:tblCellMar>
        </w:tblPrEx>
        <w:trPr>
          <w:cantSplit/>
          <w:trHeight w:val="284" w:hRule="atLeast"/>
          <w:jc w:val="center"/>
        </w:trPr>
        <w:tc>
          <w:tcPr>
            <w:tcW w:w="940" w:type="dxa"/>
            <w:tcBorders>
              <w:top w:val="nil"/>
              <w:left w:val="single" w:color="auto" w:sz="4" w:space="0"/>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360</w:t>
            </w:r>
          </w:p>
        </w:tc>
        <w:tc>
          <w:tcPr>
            <w:tcW w:w="1485"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4.00</w:t>
            </w:r>
          </w:p>
        </w:tc>
        <w:tc>
          <w:tcPr>
            <w:tcW w:w="1559"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0.77</w:t>
            </w:r>
          </w:p>
        </w:tc>
        <w:tc>
          <w:tcPr>
            <w:tcW w:w="1159"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2860</w:t>
            </w:r>
          </w:p>
        </w:tc>
        <w:tc>
          <w:tcPr>
            <w:tcW w:w="1483"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31.78</w:t>
            </w:r>
          </w:p>
        </w:tc>
        <w:tc>
          <w:tcPr>
            <w:tcW w:w="1611"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0.03</w:t>
            </w:r>
          </w:p>
        </w:tc>
      </w:tr>
      <w:tr>
        <w:tblPrEx>
          <w:tblCellMar>
            <w:top w:w="0" w:type="dxa"/>
            <w:left w:w="108" w:type="dxa"/>
            <w:bottom w:w="0" w:type="dxa"/>
            <w:right w:w="108" w:type="dxa"/>
          </w:tblCellMar>
        </w:tblPrEx>
        <w:trPr>
          <w:cantSplit/>
          <w:trHeight w:val="284" w:hRule="atLeast"/>
          <w:jc w:val="center"/>
        </w:trPr>
        <w:tc>
          <w:tcPr>
            <w:tcW w:w="940" w:type="dxa"/>
            <w:tcBorders>
              <w:top w:val="nil"/>
              <w:left w:val="single" w:color="auto" w:sz="4" w:space="0"/>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410</w:t>
            </w:r>
          </w:p>
        </w:tc>
        <w:tc>
          <w:tcPr>
            <w:tcW w:w="1485"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4.56</w:t>
            </w:r>
          </w:p>
        </w:tc>
        <w:tc>
          <w:tcPr>
            <w:tcW w:w="1559"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0.63</w:t>
            </w:r>
          </w:p>
        </w:tc>
        <w:tc>
          <w:tcPr>
            <w:tcW w:w="1159"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2910</w:t>
            </w:r>
          </w:p>
        </w:tc>
        <w:tc>
          <w:tcPr>
            <w:tcW w:w="1483"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32.33</w:t>
            </w:r>
          </w:p>
        </w:tc>
        <w:tc>
          <w:tcPr>
            <w:tcW w:w="1611"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0.03</w:t>
            </w:r>
          </w:p>
        </w:tc>
      </w:tr>
      <w:tr>
        <w:tblPrEx>
          <w:tblCellMar>
            <w:top w:w="0" w:type="dxa"/>
            <w:left w:w="108" w:type="dxa"/>
            <w:bottom w:w="0" w:type="dxa"/>
            <w:right w:w="108" w:type="dxa"/>
          </w:tblCellMar>
        </w:tblPrEx>
        <w:trPr>
          <w:cantSplit/>
          <w:trHeight w:val="284" w:hRule="atLeast"/>
          <w:jc w:val="center"/>
        </w:trPr>
        <w:tc>
          <w:tcPr>
            <w:tcW w:w="940" w:type="dxa"/>
            <w:tcBorders>
              <w:top w:val="nil"/>
              <w:left w:val="single" w:color="auto" w:sz="4" w:space="0"/>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460</w:t>
            </w:r>
          </w:p>
        </w:tc>
        <w:tc>
          <w:tcPr>
            <w:tcW w:w="1485"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5.11</w:t>
            </w:r>
          </w:p>
        </w:tc>
        <w:tc>
          <w:tcPr>
            <w:tcW w:w="1559"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0.52</w:t>
            </w:r>
          </w:p>
        </w:tc>
        <w:tc>
          <w:tcPr>
            <w:tcW w:w="1159"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2960</w:t>
            </w:r>
          </w:p>
        </w:tc>
        <w:tc>
          <w:tcPr>
            <w:tcW w:w="1483"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32.89</w:t>
            </w:r>
          </w:p>
        </w:tc>
        <w:tc>
          <w:tcPr>
            <w:tcW w:w="1611"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0.03</w:t>
            </w:r>
          </w:p>
        </w:tc>
      </w:tr>
      <w:tr>
        <w:tblPrEx>
          <w:tblCellMar>
            <w:top w:w="0" w:type="dxa"/>
            <w:left w:w="108" w:type="dxa"/>
            <w:bottom w:w="0" w:type="dxa"/>
            <w:right w:w="108" w:type="dxa"/>
          </w:tblCellMar>
        </w:tblPrEx>
        <w:trPr>
          <w:cantSplit/>
          <w:trHeight w:val="284" w:hRule="atLeast"/>
          <w:jc w:val="center"/>
        </w:trPr>
        <w:tc>
          <w:tcPr>
            <w:tcW w:w="940" w:type="dxa"/>
            <w:tcBorders>
              <w:top w:val="nil"/>
              <w:left w:val="single" w:color="auto" w:sz="4" w:space="0"/>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510</w:t>
            </w:r>
          </w:p>
        </w:tc>
        <w:tc>
          <w:tcPr>
            <w:tcW w:w="1485"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5.67</w:t>
            </w:r>
          </w:p>
        </w:tc>
        <w:tc>
          <w:tcPr>
            <w:tcW w:w="1559"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0.44</w:t>
            </w:r>
          </w:p>
        </w:tc>
        <w:tc>
          <w:tcPr>
            <w:tcW w:w="1159"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3010</w:t>
            </w:r>
          </w:p>
        </w:tc>
        <w:tc>
          <w:tcPr>
            <w:tcW w:w="1483"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33.44</w:t>
            </w:r>
          </w:p>
        </w:tc>
        <w:tc>
          <w:tcPr>
            <w:tcW w:w="1611"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0.03</w:t>
            </w:r>
          </w:p>
        </w:tc>
      </w:tr>
      <w:tr>
        <w:tblPrEx>
          <w:tblCellMar>
            <w:top w:w="0" w:type="dxa"/>
            <w:left w:w="108" w:type="dxa"/>
            <w:bottom w:w="0" w:type="dxa"/>
            <w:right w:w="108" w:type="dxa"/>
          </w:tblCellMar>
        </w:tblPrEx>
        <w:trPr>
          <w:cantSplit/>
          <w:trHeight w:val="284" w:hRule="atLeast"/>
          <w:jc w:val="center"/>
        </w:trPr>
        <w:tc>
          <w:tcPr>
            <w:tcW w:w="940" w:type="dxa"/>
            <w:tcBorders>
              <w:top w:val="nil"/>
              <w:left w:val="single" w:color="auto" w:sz="4" w:space="0"/>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560</w:t>
            </w:r>
          </w:p>
        </w:tc>
        <w:tc>
          <w:tcPr>
            <w:tcW w:w="1485"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6.22</w:t>
            </w:r>
          </w:p>
        </w:tc>
        <w:tc>
          <w:tcPr>
            <w:tcW w:w="1559"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0.38</w:t>
            </w:r>
          </w:p>
        </w:tc>
        <w:tc>
          <w:tcPr>
            <w:tcW w:w="1159"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3060</w:t>
            </w:r>
          </w:p>
        </w:tc>
        <w:tc>
          <w:tcPr>
            <w:tcW w:w="1483"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34.00</w:t>
            </w:r>
          </w:p>
        </w:tc>
        <w:tc>
          <w:tcPr>
            <w:tcW w:w="1611"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0.03</w:t>
            </w:r>
          </w:p>
        </w:tc>
      </w:tr>
      <w:tr>
        <w:tblPrEx>
          <w:tblCellMar>
            <w:top w:w="0" w:type="dxa"/>
            <w:left w:w="108" w:type="dxa"/>
            <w:bottom w:w="0" w:type="dxa"/>
            <w:right w:w="108" w:type="dxa"/>
          </w:tblCellMar>
        </w:tblPrEx>
        <w:trPr>
          <w:cantSplit/>
          <w:trHeight w:val="284" w:hRule="atLeast"/>
          <w:jc w:val="center"/>
        </w:trPr>
        <w:tc>
          <w:tcPr>
            <w:tcW w:w="940" w:type="dxa"/>
            <w:tcBorders>
              <w:top w:val="nil"/>
              <w:left w:val="single" w:color="auto" w:sz="4" w:space="0"/>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610</w:t>
            </w:r>
          </w:p>
        </w:tc>
        <w:tc>
          <w:tcPr>
            <w:tcW w:w="1485"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6.78</w:t>
            </w:r>
          </w:p>
        </w:tc>
        <w:tc>
          <w:tcPr>
            <w:tcW w:w="1559"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0.33</w:t>
            </w:r>
          </w:p>
        </w:tc>
        <w:tc>
          <w:tcPr>
            <w:tcW w:w="1159"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3110</w:t>
            </w:r>
          </w:p>
        </w:tc>
        <w:tc>
          <w:tcPr>
            <w:tcW w:w="1483"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34.56</w:t>
            </w:r>
          </w:p>
        </w:tc>
        <w:tc>
          <w:tcPr>
            <w:tcW w:w="1611"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0.03</w:t>
            </w:r>
          </w:p>
        </w:tc>
      </w:tr>
      <w:tr>
        <w:tblPrEx>
          <w:tblCellMar>
            <w:top w:w="0" w:type="dxa"/>
            <w:left w:w="108" w:type="dxa"/>
            <w:bottom w:w="0" w:type="dxa"/>
            <w:right w:w="108" w:type="dxa"/>
          </w:tblCellMar>
        </w:tblPrEx>
        <w:trPr>
          <w:cantSplit/>
          <w:trHeight w:val="284" w:hRule="atLeast"/>
          <w:jc w:val="center"/>
        </w:trPr>
        <w:tc>
          <w:tcPr>
            <w:tcW w:w="940" w:type="dxa"/>
            <w:tcBorders>
              <w:top w:val="nil"/>
              <w:left w:val="single" w:color="auto" w:sz="4" w:space="0"/>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660</w:t>
            </w:r>
          </w:p>
        </w:tc>
        <w:tc>
          <w:tcPr>
            <w:tcW w:w="1485"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7.33</w:t>
            </w:r>
          </w:p>
        </w:tc>
        <w:tc>
          <w:tcPr>
            <w:tcW w:w="1559"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0.29</w:t>
            </w:r>
          </w:p>
        </w:tc>
        <w:tc>
          <w:tcPr>
            <w:tcW w:w="1159"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3160</w:t>
            </w:r>
          </w:p>
        </w:tc>
        <w:tc>
          <w:tcPr>
            <w:tcW w:w="1483"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35.11</w:t>
            </w:r>
          </w:p>
        </w:tc>
        <w:tc>
          <w:tcPr>
            <w:tcW w:w="1611"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0.03</w:t>
            </w:r>
          </w:p>
        </w:tc>
      </w:tr>
      <w:tr>
        <w:tblPrEx>
          <w:tblCellMar>
            <w:top w:w="0" w:type="dxa"/>
            <w:left w:w="108" w:type="dxa"/>
            <w:bottom w:w="0" w:type="dxa"/>
            <w:right w:w="108" w:type="dxa"/>
          </w:tblCellMar>
        </w:tblPrEx>
        <w:trPr>
          <w:cantSplit/>
          <w:trHeight w:val="284" w:hRule="atLeast"/>
          <w:jc w:val="center"/>
        </w:trPr>
        <w:tc>
          <w:tcPr>
            <w:tcW w:w="940" w:type="dxa"/>
            <w:tcBorders>
              <w:top w:val="nil"/>
              <w:left w:val="single" w:color="auto" w:sz="4" w:space="0"/>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710</w:t>
            </w:r>
          </w:p>
        </w:tc>
        <w:tc>
          <w:tcPr>
            <w:tcW w:w="1485"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7.89</w:t>
            </w:r>
          </w:p>
        </w:tc>
        <w:tc>
          <w:tcPr>
            <w:tcW w:w="1559"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0.26</w:t>
            </w:r>
          </w:p>
        </w:tc>
        <w:tc>
          <w:tcPr>
            <w:tcW w:w="1159"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3210</w:t>
            </w:r>
          </w:p>
        </w:tc>
        <w:tc>
          <w:tcPr>
            <w:tcW w:w="1483"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35.67</w:t>
            </w:r>
          </w:p>
        </w:tc>
        <w:tc>
          <w:tcPr>
            <w:tcW w:w="1611"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0.03</w:t>
            </w:r>
          </w:p>
        </w:tc>
      </w:tr>
      <w:tr>
        <w:tblPrEx>
          <w:tblCellMar>
            <w:top w:w="0" w:type="dxa"/>
            <w:left w:w="108" w:type="dxa"/>
            <w:bottom w:w="0" w:type="dxa"/>
            <w:right w:w="108" w:type="dxa"/>
          </w:tblCellMar>
        </w:tblPrEx>
        <w:trPr>
          <w:cantSplit/>
          <w:trHeight w:val="284" w:hRule="atLeast"/>
          <w:jc w:val="center"/>
        </w:trPr>
        <w:tc>
          <w:tcPr>
            <w:tcW w:w="940" w:type="dxa"/>
            <w:tcBorders>
              <w:top w:val="nil"/>
              <w:left w:val="single" w:color="auto" w:sz="4" w:space="0"/>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760</w:t>
            </w:r>
          </w:p>
        </w:tc>
        <w:tc>
          <w:tcPr>
            <w:tcW w:w="1485"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8.44</w:t>
            </w:r>
          </w:p>
        </w:tc>
        <w:tc>
          <w:tcPr>
            <w:tcW w:w="1559"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0.23</w:t>
            </w:r>
          </w:p>
        </w:tc>
        <w:tc>
          <w:tcPr>
            <w:tcW w:w="1159"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3260</w:t>
            </w:r>
          </w:p>
        </w:tc>
        <w:tc>
          <w:tcPr>
            <w:tcW w:w="1483"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36.22</w:t>
            </w:r>
          </w:p>
        </w:tc>
        <w:tc>
          <w:tcPr>
            <w:tcW w:w="1611"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0.03</w:t>
            </w:r>
          </w:p>
        </w:tc>
      </w:tr>
      <w:tr>
        <w:tblPrEx>
          <w:tblCellMar>
            <w:top w:w="0" w:type="dxa"/>
            <w:left w:w="108" w:type="dxa"/>
            <w:bottom w:w="0" w:type="dxa"/>
            <w:right w:w="108" w:type="dxa"/>
          </w:tblCellMar>
        </w:tblPrEx>
        <w:trPr>
          <w:cantSplit/>
          <w:trHeight w:val="284" w:hRule="atLeast"/>
          <w:jc w:val="center"/>
        </w:trPr>
        <w:tc>
          <w:tcPr>
            <w:tcW w:w="940" w:type="dxa"/>
            <w:tcBorders>
              <w:top w:val="nil"/>
              <w:left w:val="single" w:color="auto" w:sz="4" w:space="0"/>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810</w:t>
            </w:r>
          </w:p>
        </w:tc>
        <w:tc>
          <w:tcPr>
            <w:tcW w:w="1485"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9.00</w:t>
            </w:r>
          </w:p>
        </w:tc>
        <w:tc>
          <w:tcPr>
            <w:tcW w:w="1559"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0.21</w:t>
            </w:r>
          </w:p>
        </w:tc>
        <w:tc>
          <w:tcPr>
            <w:tcW w:w="1159"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3310</w:t>
            </w:r>
          </w:p>
        </w:tc>
        <w:tc>
          <w:tcPr>
            <w:tcW w:w="1483"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36.78</w:t>
            </w:r>
          </w:p>
        </w:tc>
        <w:tc>
          <w:tcPr>
            <w:tcW w:w="1611"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0.03</w:t>
            </w:r>
          </w:p>
        </w:tc>
      </w:tr>
      <w:tr>
        <w:tblPrEx>
          <w:tblCellMar>
            <w:top w:w="0" w:type="dxa"/>
            <w:left w:w="108" w:type="dxa"/>
            <w:bottom w:w="0" w:type="dxa"/>
            <w:right w:w="108" w:type="dxa"/>
          </w:tblCellMar>
        </w:tblPrEx>
        <w:trPr>
          <w:cantSplit/>
          <w:trHeight w:val="284" w:hRule="atLeast"/>
          <w:jc w:val="center"/>
        </w:trPr>
        <w:tc>
          <w:tcPr>
            <w:tcW w:w="940" w:type="dxa"/>
            <w:tcBorders>
              <w:top w:val="nil"/>
              <w:left w:val="single" w:color="auto" w:sz="4" w:space="0"/>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860</w:t>
            </w:r>
          </w:p>
        </w:tc>
        <w:tc>
          <w:tcPr>
            <w:tcW w:w="1485"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9.56</w:t>
            </w:r>
          </w:p>
        </w:tc>
        <w:tc>
          <w:tcPr>
            <w:tcW w:w="1559"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0.19</w:t>
            </w:r>
          </w:p>
        </w:tc>
        <w:tc>
          <w:tcPr>
            <w:tcW w:w="1159"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3360</w:t>
            </w:r>
          </w:p>
        </w:tc>
        <w:tc>
          <w:tcPr>
            <w:tcW w:w="1483"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37.33</w:t>
            </w:r>
          </w:p>
        </w:tc>
        <w:tc>
          <w:tcPr>
            <w:tcW w:w="1611"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0.03</w:t>
            </w:r>
          </w:p>
        </w:tc>
      </w:tr>
      <w:tr>
        <w:tblPrEx>
          <w:tblCellMar>
            <w:top w:w="0" w:type="dxa"/>
            <w:left w:w="108" w:type="dxa"/>
            <w:bottom w:w="0" w:type="dxa"/>
            <w:right w:w="108" w:type="dxa"/>
          </w:tblCellMar>
        </w:tblPrEx>
        <w:trPr>
          <w:cantSplit/>
          <w:trHeight w:val="284" w:hRule="atLeast"/>
          <w:jc w:val="center"/>
        </w:trPr>
        <w:tc>
          <w:tcPr>
            <w:tcW w:w="940" w:type="dxa"/>
            <w:tcBorders>
              <w:top w:val="nil"/>
              <w:left w:val="single" w:color="auto" w:sz="4" w:space="0"/>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910</w:t>
            </w:r>
          </w:p>
        </w:tc>
        <w:tc>
          <w:tcPr>
            <w:tcW w:w="1485"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10.11</w:t>
            </w:r>
          </w:p>
        </w:tc>
        <w:tc>
          <w:tcPr>
            <w:tcW w:w="1559"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0.17</w:t>
            </w:r>
          </w:p>
        </w:tc>
        <w:tc>
          <w:tcPr>
            <w:tcW w:w="1159"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3410</w:t>
            </w:r>
          </w:p>
        </w:tc>
        <w:tc>
          <w:tcPr>
            <w:tcW w:w="1483"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37.89</w:t>
            </w:r>
          </w:p>
        </w:tc>
        <w:tc>
          <w:tcPr>
            <w:tcW w:w="1611"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0.03</w:t>
            </w:r>
          </w:p>
        </w:tc>
      </w:tr>
      <w:tr>
        <w:tblPrEx>
          <w:tblCellMar>
            <w:top w:w="0" w:type="dxa"/>
            <w:left w:w="108" w:type="dxa"/>
            <w:bottom w:w="0" w:type="dxa"/>
            <w:right w:w="108" w:type="dxa"/>
          </w:tblCellMar>
        </w:tblPrEx>
        <w:trPr>
          <w:cantSplit/>
          <w:trHeight w:val="284" w:hRule="atLeast"/>
          <w:jc w:val="center"/>
        </w:trPr>
        <w:tc>
          <w:tcPr>
            <w:tcW w:w="940" w:type="dxa"/>
            <w:tcBorders>
              <w:top w:val="nil"/>
              <w:left w:val="single" w:color="auto" w:sz="4" w:space="0"/>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960</w:t>
            </w:r>
          </w:p>
        </w:tc>
        <w:tc>
          <w:tcPr>
            <w:tcW w:w="1485"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10.67</w:t>
            </w:r>
          </w:p>
        </w:tc>
        <w:tc>
          <w:tcPr>
            <w:tcW w:w="1559"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0.16</w:t>
            </w:r>
          </w:p>
        </w:tc>
        <w:tc>
          <w:tcPr>
            <w:tcW w:w="1159"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3460</w:t>
            </w:r>
          </w:p>
        </w:tc>
        <w:tc>
          <w:tcPr>
            <w:tcW w:w="1483"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38.44</w:t>
            </w:r>
          </w:p>
        </w:tc>
        <w:tc>
          <w:tcPr>
            <w:tcW w:w="1611"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0.03</w:t>
            </w:r>
          </w:p>
        </w:tc>
      </w:tr>
      <w:tr>
        <w:tblPrEx>
          <w:tblCellMar>
            <w:top w:w="0" w:type="dxa"/>
            <w:left w:w="108" w:type="dxa"/>
            <w:bottom w:w="0" w:type="dxa"/>
            <w:right w:w="108" w:type="dxa"/>
          </w:tblCellMar>
        </w:tblPrEx>
        <w:trPr>
          <w:cantSplit/>
          <w:trHeight w:val="284" w:hRule="atLeast"/>
          <w:jc w:val="center"/>
        </w:trPr>
        <w:tc>
          <w:tcPr>
            <w:tcW w:w="940" w:type="dxa"/>
            <w:tcBorders>
              <w:top w:val="nil"/>
              <w:left w:val="single" w:color="auto" w:sz="4" w:space="0"/>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1010</w:t>
            </w:r>
          </w:p>
        </w:tc>
        <w:tc>
          <w:tcPr>
            <w:tcW w:w="1485"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11.22</w:t>
            </w:r>
          </w:p>
        </w:tc>
        <w:tc>
          <w:tcPr>
            <w:tcW w:w="1559"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0.14</w:t>
            </w:r>
          </w:p>
        </w:tc>
        <w:tc>
          <w:tcPr>
            <w:tcW w:w="1159"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3510</w:t>
            </w:r>
          </w:p>
        </w:tc>
        <w:tc>
          <w:tcPr>
            <w:tcW w:w="1483"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39.00</w:t>
            </w:r>
          </w:p>
        </w:tc>
        <w:tc>
          <w:tcPr>
            <w:tcW w:w="1611"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0.02</w:t>
            </w:r>
          </w:p>
        </w:tc>
      </w:tr>
      <w:tr>
        <w:tblPrEx>
          <w:tblCellMar>
            <w:top w:w="0" w:type="dxa"/>
            <w:left w:w="108" w:type="dxa"/>
            <w:bottom w:w="0" w:type="dxa"/>
            <w:right w:w="108" w:type="dxa"/>
          </w:tblCellMar>
        </w:tblPrEx>
        <w:trPr>
          <w:cantSplit/>
          <w:trHeight w:val="284" w:hRule="atLeast"/>
          <w:jc w:val="center"/>
        </w:trPr>
        <w:tc>
          <w:tcPr>
            <w:tcW w:w="940" w:type="dxa"/>
            <w:tcBorders>
              <w:top w:val="nil"/>
              <w:left w:val="single" w:color="auto" w:sz="4" w:space="0"/>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1060</w:t>
            </w:r>
          </w:p>
        </w:tc>
        <w:tc>
          <w:tcPr>
            <w:tcW w:w="1485"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11.78</w:t>
            </w:r>
          </w:p>
        </w:tc>
        <w:tc>
          <w:tcPr>
            <w:tcW w:w="1559"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0.13</w:t>
            </w:r>
          </w:p>
        </w:tc>
        <w:tc>
          <w:tcPr>
            <w:tcW w:w="1159"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3560</w:t>
            </w:r>
          </w:p>
        </w:tc>
        <w:tc>
          <w:tcPr>
            <w:tcW w:w="1483"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39.56</w:t>
            </w:r>
          </w:p>
        </w:tc>
        <w:tc>
          <w:tcPr>
            <w:tcW w:w="1611"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0.02</w:t>
            </w:r>
          </w:p>
        </w:tc>
      </w:tr>
      <w:tr>
        <w:tblPrEx>
          <w:tblCellMar>
            <w:top w:w="0" w:type="dxa"/>
            <w:left w:w="108" w:type="dxa"/>
            <w:bottom w:w="0" w:type="dxa"/>
            <w:right w:w="108" w:type="dxa"/>
          </w:tblCellMar>
        </w:tblPrEx>
        <w:trPr>
          <w:cantSplit/>
          <w:trHeight w:val="284" w:hRule="atLeast"/>
          <w:jc w:val="center"/>
        </w:trPr>
        <w:tc>
          <w:tcPr>
            <w:tcW w:w="940" w:type="dxa"/>
            <w:tcBorders>
              <w:top w:val="nil"/>
              <w:left w:val="single" w:color="auto" w:sz="4" w:space="0"/>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1110</w:t>
            </w:r>
          </w:p>
        </w:tc>
        <w:tc>
          <w:tcPr>
            <w:tcW w:w="1485"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12.33</w:t>
            </w:r>
          </w:p>
        </w:tc>
        <w:tc>
          <w:tcPr>
            <w:tcW w:w="1559"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0.12</w:t>
            </w:r>
          </w:p>
        </w:tc>
        <w:tc>
          <w:tcPr>
            <w:tcW w:w="1159"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3610</w:t>
            </w:r>
          </w:p>
        </w:tc>
        <w:tc>
          <w:tcPr>
            <w:tcW w:w="1483"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40.11</w:t>
            </w:r>
          </w:p>
        </w:tc>
        <w:tc>
          <w:tcPr>
            <w:tcW w:w="1611"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0.02</w:t>
            </w:r>
          </w:p>
        </w:tc>
      </w:tr>
      <w:tr>
        <w:tblPrEx>
          <w:tblCellMar>
            <w:top w:w="0" w:type="dxa"/>
            <w:left w:w="108" w:type="dxa"/>
            <w:bottom w:w="0" w:type="dxa"/>
            <w:right w:w="108" w:type="dxa"/>
          </w:tblCellMar>
        </w:tblPrEx>
        <w:trPr>
          <w:cantSplit/>
          <w:trHeight w:val="284" w:hRule="atLeast"/>
          <w:jc w:val="center"/>
        </w:trPr>
        <w:tc>
          <w:tcPr>
            <w:tcW w:w="940" w:type="dxa"/>
            <w:tcBorders>
              <w:top w:val="nil"/>
              <w:left w:val="single" w:color="auto" w:sz="4" w:space="0"/>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1160</w:t>
            </w:r>
          </w:p>
        </w:tc>
        <w:tc>
          <w:tcPr>
            <w:tcW w:w="1485"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12.89</w:t>
            </w:r>
          </w:p>
        </w:tc>
        <w:tc>
          <w:tcPr>
            <w:tcW w:w="1559"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0.12</w:t>
            </w:r>
          </w:p>
        </w:tc>
        <w:tc>
          <w:tcPr>
            <w:tcW w:w="1159"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3660</w:t>
            </w:r>
          </w:p>
        </w:tc>
        <w:tc>
          <w:tcPr>
            <w:tcW w:w="1483"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40.67</w:t>
            </w:r>
          </w:p>
        </w:tc>
        <w:tc>
          <w:tcPr>
            <w:tcW w:w="1611"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0.02</w:t>
            </w:r>
          </w:p>
        </w:tc>
      </w:tr>
      <w:tr>
        <w:tblPrEx>
          <w:tblCellMar>
            <w:top w:w="0" w:type="dxa"/>
            <w:left w:w="108" w:type="dxa"/>
            <w:bottom w:w="0" w:type="dxa"/>
            <w:right w:w="108" w:type="dxa"/>
          </w:tblCellMar>
        </w:tblPrEx>
        <w:trPr>
          <w:cantSplit/>
          <w:trHeight w:val="284" w:hRule="atLeast"/>
          <w:jc w:val="center"/>
        </w:trPr>
        <w:tc>
          <w:tcPr>
            <w:tcW w:w="940" w:type="dxa"/>
            <w:tcBorders>
              <w:top w:val="nil"/>
              <w:left w:val="single" w:color="auto" w:sz="4" w:space="0"/>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1210</w:t>
            </w:r>
          </w:p>
        </w:tc>
        <w:tc>
          <w:tcPr>
            <w:tcW w:w="1485"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13.44</w:t>
            </w:r>
          </w:p>
        </w:tc>
        <w:tc>
          <w:tcPr>
            <w:tcW w:w="1559"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0.11</w:t>
            </w:r>
          </w:p>
        </w:tc>
        <w:tc>
          <w:tcPr>
            <w:tcW w:w="1159"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3710</w:t>
            </w:r>
          </w:p>
        </w:tc>
        <w:tc>
          <w:tcPr>
            <w:tcW w:w="1483"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41.22</w:t>
            </w:r>
          </w:p>
        </w:tc>
        <w:tc>
          <w:tcPr>
            <w:tcW w:w="1611"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0.02</w:t>
            </w:r>
          </w:p>
        </w:tc>
      </w:tr>
      <w:tr>
        <w:tblPrEx>
          <w:tblCellMar>
            <w:top w:w="0" w:type="dxa"/>
            <w:left w:w="108" w:type="dxa"/>
            <w:bottom w:w="0" w:type="dxa"/>
            <w:right w:w="108" w:type="dxa"/>
          </w:tblCellMar>
        </w:tblPrEx>
        <w:trPr>
          <w:cantSplit/>
          <w:trHeight w:val="284" w:hRule="atLeast"/>
          <w:jc w:val="center"/>
        </w:trPr>
        <w:tc>
          <w:tcPr>
            <w:tcW w:w="940" w:type="dxa"/>
            <w:tcBorders>
              <w:top w:val="nil"/>
              <w:left w:val="single" w:color="auto" w:sz="4" w:space="0"/>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1260</w:t>
            </w:r>
          </w:p>
        </w:tc>
        <w:tc>
          <w:tcPr>
            <w:tcW w:w="1485"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14.00</w:t>
            </w:r>
          </w:p>
        </w:tc>
        <w:tc>
          <w:tcPr>
            <w:tcW w:w="1559"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0.10</w:t>
            </w:r>
          </w:p>
        </w:tc>
        <w:tc>
          <w:tcPr>
            <w:tcW w:w="1159"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3760</w:t>
            </w:r>
          </w:p>
        </w:tc>
        <w:tc>
          <w:tcPr>
            <w:tcW w:w="1483"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41.78</w:t>
            </w:r>
          </w:p>
        </w:tc>
        <w:tc>
          <w:tcPr>
            <w:tcW w:w="1611"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0.02</w:t>
            </w:r>
          </w:p>
        </w:tc>
      </w:tr>
      <w:tr>
        <w:tblPrEx>
          <w:tblCellMar>
            <w:top w:w="0" w:type="dxa"/>
            <w:left w:w="108" w:type="dxa"/>
            <w:bottom w:w="0" w:type="dxa"/>
            <w:right w:w="108" w:type="dxa"/>
          </w:tblCellMar>
        </w:tblPrEx>
        <w:trPr>
          <w:cantSplit/>
          <w:trHeight w:val="284" w:hRule="atLeast"/>
          <w:jc w:val="center"/>
        </w:trPr>
        <w:tc>
          <w:tcPr>
            <w:tcW w:w="940" w:type="dxa"/>
            <w:tcBorders>
              <w:top w:val="nil"/>
              <w:left w:val="single" w:color="auto" w:sz="4" w:space="0"/>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1310</w:t>
            </w:r>
          </w:p>
        </w:tc>
        <w:tc>
          <w:tcPr>
            <w:tcW w:w="1485"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14.56</w:t>
            </w:r>
          </w:p>
        </w:tc>
        <w:tc>
          <w:tcPr>
            <w:tcW w:w="1559"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0.09</w:t>
            </w:r>
          </w:p>
        </w:tc>
        <w:tc>
          <w:tcPr>
            <w:tcW w:w="1159"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3810</w:t>
            </w:r>
          </w:p>
        </w:tc>
        <w:tc>
          <w:tcPr>
            <w:tcW w:w="1483"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42.33</w:t>
            </w:r>
          </w:p>
        </w:tc>
        <w:tc>
          <w:tcPr>
            <w:tcW w:w="1611"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0.02</w:t>
            </w:r>
          </w:p>
        </w:tc>
      </w:tr>
      <w:tr>
        <w:tblPrEx>
          <w:tblCellMar>
            <w:top w:w="0" w:type="dxa"/>
            <w:left w:w="108" w:type="dxa"/>
            <w:bottom w:w="0" w:type="dxa"/>
            <w:right w:w="108" w:type="dxa"/>
          </w:tblCellMar>
        </w:tblPrEx>
        <w:trPr>
          <w:cantSplit/>
          <w:trHeight w:val="284" w:hRule="atLeast"/>
          <w:jc w:val="center"/>
        </w:trPr>
        <w:tc>
          <w:tcPr>
            <w:tcW w:w="940" w:type="dxa"/>
            <w:tcBorders>
              <w:top w:val="nil"/>
              <w:left w:val="single" w:color="auto" w:sz="4" w:space="0"/>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1360</w:t>
            </w:r>
          </w:p>
        </w:tc>
        <w:tc>
          <w:tcPr>
            <w:tcW w:w="1485"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15.11</w:t>
            </w:r>
          </w:p>
        </w:tc>
        <w:tc>
          <w:tcPr>
            <w:tcW w:w="1559"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0.09</w:t>
            </w:r>
          </w:p>
        </w:tc>
        <w:tc>
          <w:tcPr>
            <w:tcW w:w="1159"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3860</w:t>
            </w:r>
          </w:p>
        </w:tc>
        <w:tc>
          <w:tcPr>
            <w:tcW w:w="1483"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42.89</w:t>
            </w:r>
          </w:p>
        </w:tc>
        <w:tc>
          <w:tcPr>
            <w:tcW w:w="1611"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0.02</w:t>
            </w:r>
          </w:p>
        </w:tc>
      </w:tr>
      <w:tr>
        <w:tblPrEx>
          <w:tblCellMar>
            <w:top w:w="0" w:type="dxa"/>
            <w:left w:w="108" w:type="dxa"/>
            <w:bottom w:w="0" w:type="dxa"/>
            <w:right w:w="108" w:type="dxa"/>
          </w:tblCellMar>
        </w:tblPrEx>
        <w:trPr>
          <w:cantSplit/>
          <w:trHeight w:val="284" w:hRule="atLeast"/>
          <w:jc w:val="center"/>
        </w:trPr>
        <w:tc>
          <w:tcPr>
            <w:tcW w:w="940" w:type="dxa"/>
            <w:tcBorders>
              <w:top w:val="nil"/>
              <w:left w:val="single" w:color="auto" w:sz="4" w:space="0"/>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1410</w:t>
            </w:r>
          </w:p>
        </w:tc>
        <w:tc>
          <w:tcPr>
            <w:tcW w:w="1485"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15.67</w:t>
            </w:r>
          </w:p>
        </w:tc>
        <w:tc>
          <w:tcPr>
            <w:tcW w:w="1559"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0.08</w:t>
            </w:r>
          </w:p>
        </w:tc>
        <w:tc>
          <w:tcPr>
            <w:tcW w:w="1159"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3910</w:t>
            </w:r>
          </w:p>
        </w:tc>
        <w:tc>
          <w:tcPr>
            <w:tcW w:w="1483"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43.44</w:t>
            </w:r>
          </w:p>
        </w:tc>
        <w:tc>
          <w:tcPr>
            <w:tcW w:w="1611"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0.02</w:t>
            </w:r>
          </w:p>
        </w:tc>
      </w:tr>
      <w:tr>
        <w:tblPrEx>
          <w:tblCellMar>
            <w:top w:w="0" w:type="dxa"/>
            <w:left w:w="108" w:type="dxa"/>
            <w:bottom w:w="0" w:type="dxa"/>
            <w:right w:w="108" w:type="dxa"/>
          </w:tblCellMar>
        </w:tblPrEx>
        <w:trPr>
          <w:cantSplit/>
          <w:trHeight w:val="284" w:hRule="atLeast"/>
          <w:jc w:val="center"/>
        </w:trPr>
        <w:tc>
          <w:tcPr>
            <w:tcW w:w="940" w:type="dxa"/>
            <w:tcBorders>
              <w:top w:val="nil"/>
              <w:left w:val="single" w:color="auto" w:sz="4" w:space="0"/>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1460</w:t>
            </w:r>
          </w:p>
        </w:tc>
        <w:tc>
          <w:tcPr>
            <w:tcW w:w="1485"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16.22</w:t>
            </w:r>
          </w:p>
        </w:tc>
        <w:tc>
          <w:tcPr>
            <w:tcW w:w="1559"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0.08</w:t>
            </w:r>
          </w:p>
        </w:tc>
        <w:tc>
          <w:tcPr>
            <w:tcW w:w="1159"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3960</w:t>
            </w:r>
          </w:p>
        </w:tc>
        <w:tc>
          <w:tcPr>
            <w:tcW w:w="1483"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44.00</w:t>
            </w:r>
          </w:p>
        </w:tc>
        <w:tc>
          <w:tcPr>
            <w:tcW w:w="1611"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0.02</w:t>
            </w:r>
          </w:p>
        </w:tc>
      </w:tr>
      <w:tr>
        <w:tblPrEx>
          <w:tblCellMar>
            <w:top w:w="0" w:type="dxa"/>
            <w:left w:w="108" w:type="dxa"/>
            <w:bottom w:w="0" w:type="dxa"/>
            <w:right w:w="108" w:type="dxa"/>
          </w:tblCellMar>
        </w:tblPrEx>
        <w:trPr>
          <w:cantSplit/>
          <w:trHeight w:val="284" w:hRule="atLeast"/>
          <w:jc w:val="center"/>
        </w:trPr>
        <w:tc>
          <w:tcPr>
            <w:tcW w:w="940" w:type="dxa"/>
            <w:tcBorders>
              <w:top w:val="nil"/>
              <w:left w:val="single" w:color="auto" w:sz="4" w:space="0"/>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1510</w:t>
            </w:r>
          </w:p>
        </w:tc>
        <w:tc>
          <w:tcPr>
            <w:tcW w:w="1485"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16.78</w:t>
            </w:r>
          </w:p>
        </w:tc>
        <w:tc>
          <w:tcPr>
            <w:tcW w:w="1559"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0.08</w:t>
            </w:r>
          </w:p>
        </w:tc>
        <w:tc>
          <w:tcPr>
            <w:tcW w:w="1159"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4010</w:t>
            </w:r>
          </w:p>
        </w:tc>
        <w:tc>
          <w:tcPr>
            <w:tcW w:w="1483"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44.56</w:t>
            </w:r>
          </w:p>
        </w:tc>
        <w:tc>
          <w:tcPr>
            <w:tcW w:w="1611"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0.02</w:t>
            </w:r>
          </w:p>
        </w:tc>
      </w:tr>
      <w:tr>
        <w:tblPrEx>
          <w:tblCellMar>
            <w:top w:w="0" w:type="dxa"/>
            <w:left w:w="108" w:type="dxa"/>
            <w:bottom w:w="0" w:type="dxa"/>
            <w:right w:w="108" w:type="dxa"/>
          </w:tblCellMar>
        </w:tblPrEx>
        <w:trPr>
          <w:cantSplit/>
          <w:trHeight w:val="284" w:hRule="atLeast"/>
          <w:jc w:val="center"/>
        </w:trPr>
        <w:tc>
          <w:tcPr>
            <w:tcW w:w="940" w:type="dxa"/>
            <w:tcBorders>
              <w:top w:val="nil"/>
              <w:left w:val="single" w:color="auto" w:sz="4" w:space="0"/>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1560</w:t>
            </w:r>
          </w:p>
        </w:tc>
        <w:tc>
          <w:tcPr>
            <w:tcW w:w="1485"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17.33</w:t>
            </w:r>
          </w:p>
        </w:tc>
        <w:tc>
          <w:tcPr>
            <w:tcW w:w="1559"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0.07</w:t>
            </w:r>
          </w:p>
        </w:tc>
        <w:tc>
          <w:tcPr>
            <w:tcW w:w="1159"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4060</w:t>
            </w:r>
          </w:p>
        </w:tc>
        <w:tc>
          <w:tcPr>
            <w:tcW w:w="1483"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45.11</w:t>
            </w:r>
          </w:p>
        </w:tc>
        <w:tc>
          <w:tcPr>
            <w:tcW w:w="1611"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0.02</w:t>
            </w:r>
          </w:p>
        </w:tc>
      </w:tr>
      <w:tr>
        <w:tblPrEx>
          <w:tblCellMar>
            <w:top w:w="0" w:type="dxa"/>
            <w:left w:w="108" w:type="dxa"/>
            <w:bottom w:w="0" w:type="dxa"/>
            <w:right w:w="108" w:type="dxa"/>
          </w:tblCellMar>
        </w:tblPrEx>
        <w:trPr>
          <w:cantSplit/>
          <w:trHeight w:val="284" w:hRule="atLeast"/>
          <w:jc w:val="center"/>
        </w:trPr>
        <w:tc>
          <w:tcPr>
            <w:tcW w:w="940" w:type="dxa"/>
            <w:tcBorders>
              <w:top w:val="nil"/>
              <w:left w:val="single" w:color="auto" w:sz="4" w:space="0"/>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1610</w:t>
            </w:r>
          </w:p>
        </w:tc>
        <w:tc>
          <w:tcPr>
            <w:tcW w:w="1485"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17.89</w:t>
            </w:r>
          </w:p>
        </w:tc>
        <w:tc>
          <w:tcPr>
            <w:tcW w:w="1559"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0.07</w:t>
            </w:r>
          </w:p>
        </w:tc>
        <w:tc>
          <w:tcPr>
            <w:tcW w:w="1159"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4110</w:t>
            </w:r>
          </w:p>
        </w:tc>
        <w:tc>
          <w:tcPr>
            <w:tcW w:w="1483"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45.67</w:t>
            </w:r>
          </w:p>
        </w:tc>
        <w:tc>
          <w:tcPr>
            <w:tcW w:w="1611"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0.02</w:t>
            </w:r>
          </w:p>
        </w:tc>
      </w:tr>
      <w:tr>
        <w:tblPrEx>
          <w:tblCellMar>
            <w:top w:w="0" w:type="dxa"/>
            <w:left w:w="108" w:type="dxa"/>
            <w:bottom w:w="0" w:type="dxa"/>
            <w:right w:w="108" w:type="dxa"/>
          </w:tblCellMar>
        </w:tblPrEx>
        <w:trPr>
          <w:cantSplit/>
          <w:trHeight w:val="284" w:hRule="atLeast"/>
          <w:jc w:val="center"/>
        </w:trPr>
        <w:tc>
          <w:tcPr>
            <w:tcW w:w="940" w:type="dxa"/>
            <w:tcBorders>
              <w:top w:val="nil"/>
              <w:left w:val="single" w:color="auto" w:sz="4" w:space="0"/>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1660</w:t>
            </w:r>
          </w:p>
        </w:tc>
        <w:tc>
          <w:tcPr>
            <w:tcW w:w="1485"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18.44</w:t>
            </w:r>
          </w:p>
        </w:tc>
        <w:tc>
          <w:tcPr>
            <w:tcW w:w="1559"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0.07</w:t>
            </w:r>
          </w:p>
        </w:tc>
        <w:tc>
          <w:tcPr>
            <w:tcW w:w="1159"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4160</w:t>
            </w:r>
          </w:p>
        </w:tc>
        <w:tc>
          <w:tcPr>
            <w:tcW w:w="1483"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46.22</w:t>
            </w:r>
          </w:p>
        </w:tc>
        <w:tc>
          <w:tcPr>
            <w:tcW w:w="1611"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0.02</w:t>
            </w:r>
          </w:p>
        </w:tc>
      </w:tr>
      <w:tr>
        <w:tblPrEx>
          <w:tblCellMar>
            <w:top w:w="0" w:type="dxa"/>
            <w:left w:w="108" w:type="dxa"/>
            <w:bottom w:w="0" w:type="dxa"/>
            <w:right w:w="108" w:type="dxa"/>
          </w:tblCellMar>
        </w:tblPrEx>
        <w:trPr>
          <w:cantSplit/>
          <w:trHeight w:val="284" w:hRule="atLeast"/>
          <w:jc w:val="center"/>
        </w:trPr>
        <w:tc>
          <w:tcPr>
            <w:tcW w:w="940" w:type="dxa"/>
            <w:tcBorders>
              <w:top w:val="nil"/>
              <w:left w:val="single" w:color="auto" w:sz="4" w:space="0"/>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1710</w:t>
            </w:r>
          </w:p>
        </w:tc>
        <w:tc>
          <w:tcPr>
            <w:tcW w:w="1485"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19.00</w:t>
            </w:r>
          </w:p>
        </w:tc>
        <w:tc>
          <w:tcPr>
            <w:tcW w:w="1559"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0.06</w:t>
            </w:r>
          </w:p>
        </w:tc>
        <w:tc>
          <w:tcPr>
            <w:tcW w:w="1159"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4210</w:t>
            </w:r>
          </w:p>
        </w:tc>
        <w:tc>
          <w:tcPr>
            <w:tcW w:w="1483"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46.78</w:t>
            </w:r>
          </w:p>
        </w:tc>
        <w:tc>
          <w:tcPr>
            <w:tcW w:w="1611"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0.02</w:t>
            </w:r>
          </w:p>
        </w:tc>
      </w:tr>
      <w:tr>
        <w:tblPrEx>
          <w:tblCellMar>
            <w:top w:w="0" w:type="dxa"/>
            <w:left w:w="108" w:type="dxa"/>
            <w:bottom w:w="0" w:type="dxa"/>
            <w:right w:w="108" w:type="dxa"/>
          </w:tblCellMar>
        </w:tblPrEx>
        <w:trPr>
          <w:cantSplit/>
          <w:trHeight w:val="284" w:hRule="atLeast"/>
          <w:jc w:val="center"/>
        </w:trPr>
        <w:tc>
          <w:tcPr>
            <w:tcW w:w="940" w:type="dxa"/>
            <w:tcBorders>
              <w:top w:val="nil"/>
              <w:left w:val="single" w:color="auto" w:sz="4" w:space="0"/>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1760</w:t>
            </w:r>
          </w:p>
        </w:tc>
        <w:tc>
          <w:tcPr>
            <w:tcW w:w="1485"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19.56</w:t>
            </w:r>
          </w:p>
        </w:tc>
        <w:tc>
          <w:tcPr>
            <w:tcW w:w="1559"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0.06</w:t>
            </w:r>
          </w:p>
        </w:tc>
        <w:tc>
          <w:tcPr>
            <w:tcW w:w="1159"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4260</w:t>
            </w:r>
          </w:p>
        </w:tc>
        <w:tc>
          <w:tcPr>
            <w:tcW w:w="1483"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47.33</w:t>
            </w:r>
          </w:p>
        </w:tc>
        <w:tc>
          <w:tcPr>
            <w:tcW w:w="1611"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0.02</w:t>
            </w:r>
          </w:p>
        </w:tc>
      </w:tr>
      <w:tr>
        <w:tblPrEx>
          <w:tblCellMar>
            <w:top w:w="0" w:type="dxa"/>
            <w:left w:w="108" w:type="dxa"/>
            <w:bottom w:w="0" w:type="dxa"/>
            <w:right w:w="108" w:type="dxa"/>
          </w:tblCellMar>
        </w:tblPrEx>
        <w:trPr>
          <w:cantSplit/>
          <w:trHeight w:val="284" w:hRule="atLeast"/>
          <w:jc w:val="center"/>
        </w:trPr>
        <w:tc>
          <w:tcPr>
            <w:tcW w:w="940" w:type="dxa"/>
            <w:tcBorders>
              <w:top w:val="nil"/>
              <w:left w:val="single" w:color="auto" w:sz="4" w:space="0"/>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1810</w:t>
            </w:r>
          </w:p>
        </w:tc>
        <w:tc>
          <w:tcPr>
            <w:tcW w:w="1485"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20.11</w:t>
            </w:r>
          </w:p>
        </w:tc>
        <w:tc>
          <w:tcPr>
            <w:tcW w:w="1559"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0.06</w:t>
            </w:r>
          </w:p>
        </w:tc>
        <w:tc>
          <w:tcPr>
            <w:tcW w:w="1159"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4310</w:t>
            </w:r>
          </w:p>
        </w:tc>
        <w:tc>
          <w:tcPr>
            <w:tcW w:w="1483"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47.89</w:t>
            </w:r>
          </w:p>
        </w:tc>
        <w:tc>
          <w:tcPr>
            <w:tcW w:w="1611"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0.02</w:t>
            </w:r>
          </w:p>
        </w:tc>
      </w:tr>
      <w:tr>
        <w:tblPrEx>
          <w:tblCellMar>
            <w:top w:w="0" w:type="dxa"/>
            <w:left w:w="108" w:type="dxa"/>
            <w:bottom w:w="0" w:type="dxa"/>
            <w:right w:w="108" w:type="dxa"/>
          </w:tblCellMar>
        </w:tblPrEx>
        <w:trPr>
          <w:cantSplit/>
          <w:trHeight w:val="284" w:hRule="atLeast"/>
          <w:jc w:val="center"/>
        </w:trPr>
        <w:tc>
          <w:tcPr>
            <w:tcW w:w="940" w:type="dxa"/>
            <w:tcBorders>
              <w:top w:val="nil"/>
              <w:left w:val="single" w:color="auto" w:sz="4" w:space="0"/>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1860</w:t>
            </w:r>
          </w:p>
        </w:tc>
        <w:tc>
          <w:tcPr>
            <w:tcW w:w="1485"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20.67</w:t>
            </w:r>
          </w:p>
        </w:tc>
        <w:tc>
          <w:tcPr>
            <w:tcW w:w="1559"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0.06</w:t>
            </w:r>
          </w:p>
        </w:tc>
        <w:tc>
          <w:tcPr>
            <w:tcW w:w="1159"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4360</w:t>
            </w:r>
          </w:p>
        </w:tc>
        <w:tc>
          <w:tcPr>
            <w:tcW w:w="1483"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48.44</w:t>
            </w:r>
          </w:p>
        </w:tc>
        <w:tc>
          <w:tcPr>
            <w:tcW w:w="1611"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0.02</w:t>
            </w:r>
          </w:p>
        </w:tc>
      </w:tr>
      <w:tr>
        <w:tblPrEx>
          <w:tblCellMar>
            <w:top w:w="0" w:type="dxa"/>
            <w:left w:w="108" w:type="dxa"/>
            <w:bottom w:w="0" w:type="dxa"/>
            <w:right w:w="108" w:type="dxa"/>
          </w:tblCellMar>
        </w:tblPrEx>
        <w:trPr>
          <w:cantSplit/>
          <w:trHeight w:val="284" w:hRule="atLeast"/>
          <w:jc w:val="center"/>
        </w:trPr>
        <w:tc>
          <w:tcPr>
            <w:tcW w:w="940" w:type="dxa"/>
            <w:tcBorders>
              <w:top w:val="nil"/>
              <w:left w:val="single" w:color="auto" w:sz="4" w:space="0"/>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1910</w:t>
            </w:r>
          </w:p>
        </w:tc>
        <w:tc>
          <w:tcPr>
            <w:tcW w:w="1485"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21.22</w:t>
            </w:r>
          </w:p>
        </w:tc>
        <w:tc>
          <w:tcPr>
            <w:tcW w:w="1559"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0.06</w:t>
            </w:r>
          </w:p>
        </w:tc>
        <w:tc>
          <w:tcPr>
            <w:tcW w:w="1159"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4410</w:t>
            </w:r>
          </w:p>
        </w:tc>
        <w:tc>
          <w:tcPr>
            <w:tcW w:w="1483"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49.00</w:t>
            </w:r>
          </w:p>
        </w:tc>
        <w:tc>
          <w:tcPr>
            <w:tcW w:w="1611"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0.02</w:t>
            </w:r>
          </w:p>
        </w:tc>
      </w:tr>
      <w:tr>
        <w:tblPrEx>
          <w:tblCellMar>
            <w:top w:w="0" w:type="dxa"/>
            <w:left w:w="108" w:type="dxa"/>
            <w:bottom w:w="0" w:type="dxa"/>
            <w:right w:w="108" w:type="dxa"/>
          </w:tblCellMar>
        </w:tblPrEx>
        <w:trPr>
          <w:cantSplit/>
          <w:trHeight w:val="284" w:hRule="atLeast"/>
          <w:jc w:val="center"/>
        </w:trPr>
        <w:tc>
          <w:tcPr>
            <w:tcW w:w="940" w:type="dxa"/>
            <w:tcBorders>
              <w:top w:val="nil"/>
              <w:left w:val="single" w:color="auto" w:sz="4" w:space="0"/>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1960</w:t>
            </w:r>
          </w:p>
        </w:tc>
        <w:tc>
          <w:tcPr>
            <w:tcW w:w="1485"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21.78</w:t>
            </w:r>
          </w:p>
        </w:tc>
        <w:tc>
          <w:tcPr>
            <w:tcW w:w="1559"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0.05</w:t>
            </w:r>
          </w:p>
        </w:tc>
        <w:tc>
          <w:tcPr>
            <w:tcW w:w="1159"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4460</w:t>
            </w:r>
          </w:p>
        </w:tc>
        <w:tc>
          <w:tcPr>
            <w:tcW w:w="1483"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49.56</w:t>
            </w:r>
          </w:p>
        </w:tc>
        <w:tc>
          <w:tcPr>
            <w:tcW w:w="1611"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0.02</w:t>
            </w:r>
          </w:p>
        </w:tc>
      </w:tr>
      <w:tr>
        <w:tblPrEx>
          <w:tblCellMar>
            <w:top w:w="0" w:type="dxa"/>
            <w:left w:w="108" w:type="dxa"/>
            <w:bottom w:w="0" w:type="dxa"/>
            <w:right w:w="108" w:type="dxa"/>
          </w:tblCellMar>
        </w:tblPrEx>
        <w:trPr>
          <w:cantSplit/>
          <w:trHeight w:val="284" w:hRule="atLeast"/>
          <w:jc w:val="center"/>
        </w:trPr>
        <w:tc>
          <w:tcPr>
            <w:tcW w:w="940" w:type="dxa"/>
            <w:tcBorders>
              <w:top w:val="nil"/>
              <w:left w:val="single" w:color="auto" w:sz="4" w:space="0"/>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2010</w:t>
            </w:r>
          </w:p>
        </w:tc>
        <w:tc>
          <w:tcPr>
            <w:tcW w:w="1485"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22.33</w:t>
            </w:r>
          </w:p>
        </w:tc>
        <w:tc>
          <w:tcPr>
            <w:tcW w:w="1559"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0.05</w:t>
            </w:r>
          </w:p>
        </w:tc>
        <w:tc>
          <w:tcPr>
            <w:tcW w:w="1159"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4510</w:t>
            </w:r>
          </w:p>
        </w:tc>
        <w:tc>
          <w:tcPr>
            <w:tcW w:w="1483"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50.11</w:t>
            </w:r>
          </w:p>
        </w:tc>
        <w:tc>
          <w:tcPr>
            <w:tcW w:w="1611"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0.02</w:t>
            </w:r>
          </w:p>
        </w:tc>
      </w:tr>
      <w:tr>
        <w:tblPrEx>
          <w:tblCellMar>
            <w:top w:w="0" w:type="dxa"/>
            <w:left w:w="108" w:type="dxa"/>
            <w:bottom w:w="0" w:type="dxa"/>
            <w:right w:w="108" w:type="dxa"/>
          </w:tblCellMar>
        </w:tblPrEx>
        <w:trPr>
          <w:cantSplit/>
          <w:trHeight w:val="284" w:hRule="atLeast"/>
          <w:jc w:val="center"/>
        </w:trPr>
        <w:tc>
          <w:tcPr>
            <w:tcW w:w="940" w:type="dxa"/>
            <w:tcBorders>
              <w:top w:val="nil"/>
              <w:left w:val="single" w:color="auto" w:sz="4" w:space="0"/>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2060</w:t>
            </w:r>
          </w:p>
        </w:tc>
        <w:tc>
          <w:tcPr>
            <w:tcW w:w="1485"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22.89</w:t>
            </w:r>
          </w:p>
        </w:tc>
        <w:tc>
          <w:tcPr>
            <w:tcW w:w="1559"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0.05</w:t>
            </w:r>
          </w:p>
        </w:tc>
        <w:tc>
          <w:tcPr>
            <w:tcW w:w="1159"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4560</w:t>
            </w:r>
          </w:p>
        </w:tc>
        <w:tc>
          <w:tcPr>
            <w:tcW w:w="1483"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50.67</w:t>
            </w:r>
          </w:p>
        </w:tc>
        <w:tc>
          <w:tcPr>
            <w:tcW w:w="1611"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0.02</w:t>
            </w:r>
          </w:p>
        </w:tc>
      </w:tr>
      <w:tr>
        <w:tblPrEx>
          <w:tblCellMar>
            <w:top w:w="0" w:type="dxa"/>
            <w:left w:w="108" w:type="dxa"/>
            <w:bottom w:w="0" w:type="dxa"/>
            <w:right w:w="108" w:type="dxa"/>
          </w:tblCellMar>
        </w:tblPrEx>
        <w:trPr>
          <w:cantSplit/>
          <w:trHeight w:val="284" w:hRule="atLeast"/>
          <w:jc w:val="center"/>
        </w:trPr>
        <w:tc>
          <w:tcPr>
            <w:tcW w:w="940" w:type="dxa"/>
            <w:tcBorders>
              <w:top w:val="nil"/>
              <w:left w:val="single" w:color="auto" w:sz="4" w:space="0"/>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2110</w:t>
            </w:r>
          </w:p>
        </w:tc>
        <w:tc>
          <w:tcPr>
            <w:tcW w:w="1485"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23.44</w:t>
            </w:r>
          </w:p>
        </w:tc>
        <w:tc>
          <w:tcPr>
            <w:tcW w:w="1559"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0.05</w:t>
            </w:r>
          </w:p>
        </w:tc>
        <w:tc>
          <w:tcPr>
            <w:tcW w:w="1159"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4610</w:t>
            </w:r>
          </w:p>
        </w:tc>
        <w:tc>
          <w:tcPr>
            <w:tcW w:w="1483"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51.22</w:t>
            </w:r>
          </w:p>
        </w:tc>
        <w:tc>
          <w:tcPr>
            <w:tcW w:w="1611"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0.02</w:t>
            </w:r>
          </w:p>
        </w:tc>
      </w:tr>
      <w:tr>
        <w:tblPrEx>
          <w:tblCellMar>
            <w:top w:w="0" w:type="dxa"/>
            <w:left w:w="108" w:type="dxa"/>
            <w:bottom w:w="0" w:type="dxa"/>
            <w:right w:w="108" w:type="dxa"/>
          </w:tblCellMar>
        </w:tblPrEx>
        <w:trPr>
          <w:cantSplit/>
          <w:trHeight w:val="284" w:hRule="atLeast"/>
          <w:jc w:val="center"/>
        </w:trPr>
        <w:tc>
          <w:tcPr>
            <w:tcW w:w="940" w:type="dxa"/>
            <w:tcBorders>
              <w:top w:val="nil"/>
              <w:left w:val="single" w:color="auto" w:sz="4" w:space="0"/>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2160</w:t>
            </w:r>
          </w:p>
        </w:tc>
        <w:tc>
          <w:tcPr>
            <w:tcW w:w="1485"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24.00</w:t>
            </w:r>
          </w:p>
        </w:tc>
        <w:tc>
          <w:tcPr>
            <w:tcW w:w="1559"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0.05</w:t>
            </w:r>
          </w:p>
        </w:tc>
        <w:tc>
          <w:tcPr>
            <w:tcW w:w="1159"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4660</w:t>
            </w:r>
          </w:p>
        </w:tc>
        <w:tc>
          <w:tcPr>
            <w:tcW w:w="1483"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51.78</w:t>
            </w:r>
          </w:p>
        </w:tc>
        <w:tc>
          <w:tcPr>
            <w:tcW w:w="1611"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0.02</w:t>
            </w:r>
          </w:p>
        </w:tc>
      </w:tr>
      <w:tr>
        <w:tblPrEx>
          <w:tblCellMar>
            <w:top w:w="0" w:type="dxa"/>
            <w:left w:w="108" w:type="dxa"/>
            <w:bottom w:w="0" w:type="dxa"/>
            <w:right w:w="108" w:type="dxa"/>
          </w:tblCellMar>
        </w:tblPrEx>
        <w:trPr>
          <w:cantSplit/>
          <w:trHeight w:val="284" w:hRule="atLeast"/>
          <w:jc w:val="center"/>
        </w:trPr>
        <w:tc>
          <w:tcPr>
            <w:tcW w:w="940" w:type="dxa"/>
            <w:tcBorders>
              <w:top w:val="nil"/>
              <w:left w:val="single" w:color="auto" w:sz="4" w:space="0"/>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2210</w:t>
            </w:r>
          </w:p>
        </w:tc>
        <w:tc>
          <w:tcPr>
            <w:tcW w:w="1485"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24.56</w:t>
            </w:r>
          </w:p>
        </w:tc>
        <w:tc>
          <w:tcPr>
            <w:tcW w:w="1559"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0.05</w:t>
            </w:r>
          </w:p>
        </w:tc>
        <w:tc>
          <w:tcPr>
            <w:tcW w:w="1159"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4710</w:t>
            </w:r>
          </w:p>
        </w:tc>
        <w:tc>
          <w:tcPr>
            <w:tcW w:w="1483"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52.33</w:t>
            </w:r>
          </w:p>
        </w:tc>
        <w:tc>
          <w:tcPr>
            <w:tcW w:w="1611"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0.02</w:t>
            </w:r>
          </w:p>
        </w:tc>
      </w:tr>
      <w:tr>
        <w:tblPrEx>
          <w:tblCellMar>
            <w:top w:w="0" w:type="dxa"/>
            <w:left w:w="108" w:type="dxa"/>
            <w:bottom w:w="0" w:type="dxa"/>
            <w:right w:w="108" w:type="dxa"/>
          </w:tblCellMar>
        </w:tblPrEx>
        <w:trPr>
          <w:cantSplit/>
          <w:trHeight w:val="284" w:hRule="atLeast"/>
          <w:jc w:val="center"/>
        </w:trPr>
        <w:tc>
          <w:tcPr>
            <w:tcW w:w="940" w:type="dxa"/>
            <w:tcBorders>
              <w:top w:val="nil"/>
              <w:left w:val="single" w:color="auto" w:sz="4" w:space="0"/>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2260</w:t>
            </w:r>
          </w:p>
        </w:tc>
        <w:tc>
          <w:tcPr>
            <w:tcW w:w="1485"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25.11</w:t>
            </w:r>
          </w:p>
        </w:tc>
        <w:tc>
          <w:tcPr>
            <w:tcW w:w="1559"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0.04</w:t>
            </w:r>
          </w:p>
        </w:tc>
        <w:tc>
          <w:tcPr>
            <w:tcW w:w="1159"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4760</w:t>
            </w:r>
          </w:p>
        </w:tc>
        <w:tc>
          <w:tcPr>
            <w:tcW w:w="1483"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52.89</w:t>
            </w:r>
          </w:p>
        </w:tc>
        <w:tc>
          <w:tcPr>
            <w:tcW w:w="1611"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0.02</w:t>
            </w:r>
          </w:p>
        </w:tc>
      </w:tr>
      <w:tr>
        <w:tblPrEx>
          <w:tblCellMar>
            <w:top w:w="0" w:type="dxa"/>
            <w:left w:w="108" w:type="dxa"/>
            <w:bottom w:w="0" w:type="dxa"/>
            <w:right w:w="108" w:type="dxa"/>
          </w:tblCellMar>
        </w:tblPrEx>
        <w:trPr>
          <w:cantSplit/>
          <w:trHeight w:val="284" w:hRule="atLeast"/>
          <w:jc w:val="center"/>
        </w:trPr>
        <w:tc>
          <w:tcPr>
            <w:tcW w:w="940" w:type="dxa"/>
            <w:tcBorders>
              <w:top w:val="nil"/>
              <w:left w:val="single" w:color="auto" w:sz="4" w:space="0"/>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2310</w:t>
            </w:r>
          </w:p>
        </w:tc>
        <w:tc>
          <w:tcPr>
            <w:tcW w:w="1485"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25.67</w:t>
            </w:r>
          </w:p>
        </w:tc>
        <w:tc>
          <w:tcPr>
            <w:tcW w:w="1559"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0.04</w:t>
            </w:r>
          </w:p>
        </w:tc>
        <w:tc>
          <w:tcPr>
            <w:tcW w:w="1159"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4810</w:t>
            </w:r>
          </w:p>
        </w:tc>
        <w:tc>
          <w:tcPr>
            <w:tcW w:w="1483"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53.45</w:t>
            </w:r>
          </w:p>
        </w:tc>
        <w:tc>
          <w:tcPr>
            <w:tcW w:w="1611"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0.02</w:t>
            </w:r>
          </w:p>
        </w:tc>
      </w:tr>
      <w:tr>
        <w:tblPrEx>
          <w:tblCellMar>
            <w:top w:w="0" w:type="dxa"/>
            <w:left w:w="108" w:type="dxa"/>
            <w:bottom w:w="0" w:type="dxa"/>
            <w:right w:w="108" w:type="dxa"/>
          </w:tblCellMar>
        </w:tblPrEx>
        <w:trPr>
          <w:cantSplit/>
          <w:trHeight w:val="284" w:hRule="atLeast"/>
          <w:jc w:val="center"/>
        </w:trPr>
        <w:tc>
          <w:tcPr>
            <w:tcW w:w="940" w:type="dxa"/>
            <w:tcBorders>
              <w:top w:val="nil"/>
              <w:left w:val="single" w:color="auto" w:sz="4" w:space="0"/>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2360</w:t>
            </w:r>
          </w:p>
        </w:tc>
        <w:tc>
          <w:tcPr>
            <w:tcW w:w="1485"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26.22</w:t>
            </w:r>
          </w:p>
        </w:tc>
        <w:tc>
          <w:tcPr>
            <w:tcW w:w="1559"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0.04</w:t>
            </w:r>
          </w:p>
        </w:tc>
        <w:tc>
          <w:tcPr>
            <w:tcW w:w="1159"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4860</w:t>
            </w:r>
          </w:p>
        </w:tc>
        <w:tc>
          <w:tcPr>
            <w:tcW w:w="1483"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54.00</w:t>
            </w:r>
          </w:p>
        </w:tc>
        <w:tc>
          <w:tcPr>
            <w:tcW w:w="1611"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0.02</w:t>
            </w:r>
          </w:p>
        </w:tc>
      </w:tr>
      <w:tr>
        <w:tblPrEx>
          <w:tblCellMar>
            <w:top w:w="0" w:type="dxa"/>
            <w:left w:w="108" w:type="dxa"/>
            <w:bottom w:w="0" w:type="dxa"/>
            <w:right w:w="108" w:type="dxa"/>
          </w:tblCellMar>
        </w:tblPrEx>
        <w:trPr>
          <w:cantSplit/>
          <w:trHeight w:val="284" w:hRule="atLeast"/>
          <w:jc w:val="center"/>
        </w:trPr>
        <w:tc>
          <w:tcPr>
            <w:tcW w:w="940" w:type="dxa"/>
            <w:tcBorders>
              <w:top w:val="nil"/>
              <w:left w:val="single" w:color="auto" w:sz="4" w:space="0"/>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2410</w:t>
            </w:r>
          </w:p>
        </w:tc>
        <w:tc>
          <w:tcPr>
            <w:tcW w:w="1485"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26.78</w:t>
            </w:r>
          </w:p>
        </w:tc>
        <w:tc>
          <w:tcPr>
            <w:tcW w:w="1559"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0.04</w:t>
            </w:r>
          </w:p>
        </w:tc>
        <w:tc>
          <w:tcPr>
            <w:tcW w:w="1159"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4910</w:t>
            </w:r>
          </w:p>
        </w:tc>
        <w:tc>
          <w:tcPr>
            <w:tcW w:w="1483"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54.56</w:t>
            </w:r>
          </w:p>
        </w:tc>
        <w:tc>
          <w:tcPr>
            <w:tcW w:w="1611"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0.02</w:t>
            </w:r>
          </w:p>
        </w:tc>
      </w:tr>
      <w:tr>
        <w:tblPrEx>
          <w:tblCellMar>
            <w:top w:w="0" w:type="dxa"/>
            <w:left w:w="108" w:type="dxa"/>
            <w:bottom w:w="0" w:type="dxa"/>
            <w:right w:w="108" w:type="dxa"/>
          </w:tblCellMar>
        </w:tblPrEx>
        <w:trPr>
          <w:cantSplit/>
          <w:trHeight w:val="284" w:hRule="atLeast"/>
          <w:jc w:val="center"/>
        </w:trPr>
        <w:tc>
          <w:tcPr>
            <w:tcW w:w="940" w:type="dxa"/>
            <w:tcBorders>
              <w:top w:val="nil"/>
              <w:left w:val="single" w:color="auto" w:sz="4" w:space="0"/>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2460</w:t>
            </w:r>
          </w:p>
        </w:tc>
        <w:tc>
          <w:tcPr>
            <w:tcW w:w="1485"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27.33</w:t>
            </w:r>
          </w:p>
        </w:tc>
        <w:tc>
          <w:tcPr>
            <w:tcW w:w="1559"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0.04</w:t>
            </w:r>
          </w:p>
        </w:tc>
        <w:tc>
          <w:tcPr>
            <w:tcW w:w="1159"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4960</w:t>
            </w:r>
          </w:p>
        </w:tc>
        <w:tc>
          <w:tcPr>
            <w:tcW w:w="1483"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55.11</w:t>
            </w:r>
          </w:p>
        </w:tc>
        <w:tc>
          <w:tcPr>
            <w:tcW w:w="1611"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0.02</w:t>
            </w:r>
          </w:p>
        </w:tc>
      </w:tr>
    </w:tbl>
    <w:p>
      <w:pPr>
        <w:spacing w:line="360" w:lineRule="auto"/>
        <w:ind w:firstLine="480" w:firstLineChars="200"/>
        <w:rPr>
          <w:rFonts w:hint="default" w:ascii="Times New Roman" w:hAnsi="Times New Roman" w:cs="Times New Roman"/>
        </w:rPr>
      </w:pPr>
    </w:p>
    <w:p>
      <w:pPr>
        <w:jc w:val="center"/>
        <w:rPr>
          <w:rFonts w:hint="default" w:ascii="Times New Roman" w:hAnsi="Times New Roman" w:cs="Times New Roman"/>
        </w:rPr>
      </w:pPr>
      <w:r>
        <w:rPr>
          <w:rFonts w:hint="default" w:ascii="Times New Roman" w:hAnsi="Times New Roman" w:cs="Times New Roman"/>
        </w:rPr>
        <w:drawing>
          <wp:inline distT="0" distB="0" distL="0" distR="0">
            <wp:extent cx="5006340" cy="2515235"/>
            <wp:effectExtent l="0" t="0" r="3810" b="18415"/>
            <wp:docPr id="1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7"/>
                    <pic:cNvPicPr>
                      <a:picLocks noChangeAspect="1" noChangeArrowheads="1"/>
                    </pic:cNvPicPr>
                  </pic:nvPicPr>
                  <pic:blipFill>
                    <a:blip r:embed="rId38" cstate="print"/>
                    <a:srcRect/>
                    <a:stretch>
                      <a:fillRect/>
                    </a:stretch>
                  </pic:blipFill>
                  <pic:spPr>
                    <a:xfrm>
                      <a:off x="0" y="0"/>
                      <a:ext cx="5006340" cy="2515235"/>
                    </a:xfrm>
                    <a:prstGeom prst="rect">
                      <a:avLst/>
                    </a:prstGeom>
                    <a:noFill/>
                    <a:ln w="9525">
                      <a:noFill/>
                      <a:miter lim="800000"/>
                      <a:headEnd/>
                      <a:tailEnd/>
                    </a:ln>
                  </pic:spPr>
                </pic:pic>
              </a:graphicData>
            </a:graphic>
          </wp:inline>
        </w:drawing>
      </w:r>
    </w:p>
    <w:p>
      <w:pPr>
        <w:pStyle w:val="178"/>
        <w:spacing w:beforeLines="0" w:afterLines="0"/>
        <w:rPr>
          <w:rFonts w:hint="default" w:ascii="Times New Roman" w:hAnsi="Times New Roman" w:cs="Times New Roman"/>
        </w:rPr>
      </w:pPr>
      <w:r>
        <w:rPr>
          <w:rFonts w:hint="default" w:ascii="Times New Roman" w:hAnsi="Times New Roman" w:cs="Times New Roman"/>
        </w:rPr>
        <w:t>图</w:t>
      </w:r>
      <w:r>
        <w:rPr>
          <w:rFonts w:hint="default" w:ascii="Times New Roman" w:hAnsi="Times New Roman" w:cs="Times New Roman"/>
          <w:lang w:val="en-US" w:eastAsia="zh-CN"/>
        </w:rPr>
        <w:t>5</w:t>
      </w:r>
      <w:r>
        <w:rPr>
          <w:rFonts w:hint="default" w:ascii="Times New Roman" w:hAnsi="Times New Roman" w:cs="Times New Roman"/>
        </w:rPr>
        <w:t>-</w:t>
      </w:r>
      <w:r>
        <w:rPr>
          <w:rFonts w:hint="default" w:ascii="Times New Roman" w:hAnsi="Times New Roman" w:cs="Times New Roman"/>
          <w:lang w:val="en-US" w:eastAsia="zh-CN"/>
        </w:rPr>
        <w:t>5</w:t>
      </w:r>
      <w:r>
        <w:rPr>
          <w:rFonts w:hint="default" w:ascii="Times New Roman" w:hAnsi="Times New Roman" w:cs="Times New Roman"/>
        </w:rPr>
        <w:t xml:space="preserve">  F稳定度下氟化氢泄漏风险预测最大浓度距离分布图</w:t>
      </w:r>
    </w:p>
    <w:p>
      <w:pPr>
        <w:ind w:firstLine="480"/>
        <w:rPr>
          <w:rFonts w:hint="default" w:ascii="Times New Roman" w:hAnsi="Times New Roman" w:cs="Times New Roman"/>
        </w:rPr>
      </w:pPr>
    </w:p>
    <w:p>
      <w:pPr>
        <w:adjustRightInd w:val="0"/>
        <w:snapToGrid w:val="0"/>
        <w:jc w:val="center"/>
        <w:rPr>
          <w:rFonts w:hint="default" w:ascii="Times New Roman" w:hAnsi="Times New Roman" w:cs="Times New Roman"/>
          <w:color w:val="FF0000"/>
        </w:rPr>
      </w:pPr>
      <w:r>
        <w:rPr>
          <w:rFonts w:hint="default" w:ascii="Times New Roman" w:hAnsi="Times New Roman" w:cs="Times New Roman"/>
          <w:color w:val="FF0000"/>
        </w:rPr>
        <w:drawing>
          <wp:inline distT="0" distB="0" distL="0" distR="0">
            <wp:extent cx="5235575" cy="5219065"/>
            <wp:effectExtent l="0" t="0" r="3175" b="63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noChangeArrowheads="1"/>
                    </pic:cNvPicPr>
                  </pic:nvPicPr>
                  <pic:blipFill>
                    <a:blip r:embed="rId39" cstate="print"/>
                    <a:srcRect/>
                    <a:stretch>
                      <a:fillRect/>
                    </a:stretch>
                  </pic:blipFill>
                  <pic:spPr>
                    <a:xfrm>
                      <a:off x="0" y="0"/>
                      <a:ext cx="5235575" cy="5219065"/>
                    </a:xfrm>
                    <a:prstGeom prst="rect">
                      <a:avLst/>
                    </a:prstGeom>
                    <a:noFill/>
                    <a:ln w="9525">
                      <a:noFill/>
                      <a:miter lim="800000"/>
                      <a:headEnd/>
                      <a:tailEnd/>
                    </a:ln>
                  </pic:spPr>
                </pic:pic>
              </a:graphicData>
            </a:graphic>
          </wp:inline>
        </w:drawing>
      </w:r>
    </w:p>
    <w:p>
      <w:pPr>
        <w:pStyle w:val="133"/>
        <w:spacing w:line="360" w:lineRule="auto"/>
        <w:ind w:firstLine="0" w:firstLineChars="0"/>
        <w:jc w:val="center"/>
        <w:rPr>
          <w:rFonts w:hint="default" w:ascii="Times New Roman" w:hAnsi="Times New Roman" w:cs="Times New Roman"/>
          <w:b/>
        </w:rPr>
      </w:pPr>
      <w:r>
        <w:rPr>
          <w:rFonts w:hint="default" w:ascii="Times New Roman" w:hAnsi="Times New Roman" w:cs="Times New Roman"/>
          <w:b/>
        </w:rPr>
        <w:t>图</w:t>
      </w:r>
      <w:r>
        <w:rPr>
          <w:rFonts w:hint="default" w:ascii="Times New Roman" w:hAnsi="Times New Roman" w:cs="Times New Roman"/>
          <w:b/>
          <w:lang w:val="en-US" w:eastAsia="zh-CN"/>
        </w:rPr>
        <w:t>5-6</w:t>
      </w:r>
      <w:r>
        <w:rPr>
          <w:rFonts w:hint="default" w:ascii="Times New Roman" w:hAnsi="Times New Roman" w:cs="Times New Roman"/>
          <w:b/>
        </w:rPr>
        <w:t xml:space="preserve">   F稳定度下氟化氢泄漏风险预测影响范围浓度分布图</w:t>
      </w:r>
    </w:p>
    <w:p>
      <w:pPr>
        <w:pStyle w:val="133"/>
        <w:numPr>
          <w:ilvl w:val="0"/>
          <w:numId w:val="19"/>
        </w:numPr>
        <w:spacing w:line="360" w:lineRule="auto"/>
        <w:ind w:left="0" w:firstLine="0" w:firstLineChars="0"/>
        <w:jc w:val="center"/>
        <w:rPr>
          <w:rFonts w:hint="default" w:ascii="Times New Roman" w:hAnsi="Times New Roman" w:cs="Times New Roman"/>
          <w:b/>
        </w:rPr>
        <w:sectPr>
          <w:pgSz w:w="11907" w:h="16839"/>
          <w:pgMar w:top="1440" w:right="1503" w:bottom="1440" w:left="1503" w:header="851" w:footer="992" w:gutter="0"/>
          <w:cols w:space="425" w:num="1"/>
          <w:docGrid w:linePitch="312" w:charSpace="0"/>
        </w:sectPr>
      </w:pPr>
    </w:p>
    <w:p>
      <w:pPr>
        <w:pStyle w:val="178"/>
        <w:keepNext w:val="0"/>
        <w:keepLines w:val="0"/>
        <w:pageBreakBefore w:val="0"/>
        <w:widowControl/>
        <w:numPr>
          <w:ilvl w:val="0"/>
          <w:numId w:val="7"/>
        </w:numPr>
        <w:kinsoku/>
        <w:wordWrap/>
        <w:overflowPunct/>
        <w:topLinePunct w:val="0"/>
        <w:autoSpaceDE/>
        <w:autoSpaceDN/>
        <w:bidi w:val="0"/>
        <w:adjustRightInd/>
        <w:snapToGrid/>
        <w:spacing w:beforeLines="0" w:afterLines="0" w:line="360" w:lineRule="auto"/>
        <w:ind w:left="0" w:leftChars="0" w:firstLine="0" w:firstLineChars="0"/>
        <w:textAlignment w:val="auto"/>
        <w:rPr>
          <w:rFonts w:hint="default" w:ascii="Times New Roman" w:hAnsi="Times New Roman" w:cs="Times New Roman"/>
          <w:b/>
        </w:rPr>
      </w:pPr>
      <w:r>
        <w:rPr>
          <w:rFonts w:hint="default" w:ascii="Times New Roman" w:hAnsi="Times New Roman" w:cs="Times New Roman"/>
          <w:b/>
        </w:rPr>
        <w:t xml:space="preserve"> F稳定度下氟化氢泄漏风险预测敏感点浓度结果一览表</w:t>
      </w:r>
    </w:p>
    <w:tbl>
      <w:tblPr>
        <w:tblStyle w:val="44"/>
        <w:tblW w:w="83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360"/>
        <w:gridCol w:w="1985"/>
        <w:gridCol w:w="1041"/>
        <w:gridCol w:w="1041"/>
        <w:gridCol w:w="1041"/>
        <w:gridCol w:w="11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序号</w:t>
            </w:r>
          </w:p>
        </w:tc>
        <w:tc>
          <w:tcPr>
            <w:tcW w:w="136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名称</w:t>
            </w:r>
          </w:p>
        </w:tc>
        <w:tc>
          <w:tcPr>
            <w:tcW w:w="1985"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最大浓度|时间(min)</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10min</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40min</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70min</w:t>
            </w:r>
          </w:p>
        </w:tc>
        <w:tc>
          <w:tcPr>
            <w:tcW w:w="1187"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90min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136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小东村</w:t>
            </w:r>
          </w:p>
        </w:tc>
        <w:tc>
          <w:tcPr>
            <w:tcW w:w="1985"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0.0000E+00|10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187"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2</w:t>
            </w:r>
          </w:p>
        </w:tc>
        <w:tc>
          <w:tcPr>
            <w:tcW w:w="136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尹旗屯</w:t>
            </w:r>
          </w:p>
        </w:tc>
        <w:tc>
          <w:tcPr>
            <w:tcW w:w="1985"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0.0000E+00|10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187"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3</w:t>
            </w:r>
          </w:p>
        </w:tc>
        <w:tc>
          <w:tcPr>
            <w:tcW w:w="136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楚雄市思源实验学校</w:t>
            </w:r>
          </w:p>
        </w:tc>
        <w:tc>
          <w:tcPr>
            <w:tcW w:w="1985"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0.0000E+00|10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187"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4</w:t>
            </w:r>
          </w:p>
        </w:tc>
        <w:tc>
          <w:tcPr>
            <w:tcW w:w="136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黄土坡</w:t>
            </w:r>
          </w:p>
        </w:tc>
        <w:tc>
          <w:tcPr>
            <w:tcW w:w="1985"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0.0000E+00|10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187"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5</w:t>
            </w:r>
          </w:p>
        </w:tc>
        <w:tc>
          <w:tcPr>
            <w:tcW w:w="136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阳光花园</w:t>
            </w:r>
          </w:p>
        </w:tc>
        <w:tc>
          <w:tcPr>
            <w:tcW w:w="1985"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0.0000E+00|10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187"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6</w:t>
            </w:r>
          </w:p>
        </w:tc>
        <w:tc>
          <w:tcPr>
            <w:tcW w:w="136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盛世舒苑</w:t>
            </w:r>
          </w:p>
        </w:tc>
        <w:tc>
          <w:tcPr>
            <w:tcW w:w="1985"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0.0000E+00|10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187"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7</w:t>
            </w:r>
          </w:p>
        </w:tc>
        <w:tc>
          <w:tcPr>
            <w:tcW w:w="136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吴家</w:t>
            </w:r>
          </w:p>
        </w:tc>
        <w:tc>
          <w:tcPr>
            <w:tcW w:w="1985"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0.0000E+00|10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187"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8</w:t>
            </w:r>
          </w:p>
        </w:tc>
        <w:tc>
          <w:tcPr>
            <w:tcW w:w="136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李家庵村</w:t>
            </w:r>
          </w:p>
        </w:tc>
        <w:tc>
          <w:tcPr>
            <w:tcW w:w="1985"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0.0000E+00|10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187"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9</w:t>
            </w:r>
          </w:p>
        </w:tc>
        <w:tc>
          <w:tcPr>
            <w:tcW w:w="136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翁家屯</w:t>
            </w:r>
          </w:p>
        </w:tc>
        <w:tc>
          <w:tcPr>
            <w:tcW w:w="1985"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0.0000E+00|10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187"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10</w:t>
            </w:r>
          </w:p>
        </w:tc>
        <w:tc>
          <w:tcPr>
            <w:tcW w:w="136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楚风苑小区</w:t>
            </w:r>
          </w:p>
        </w:tc>
        <w:tc>
          <w:tcPr>
            <w:tcW w:w="1985"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0.0000E+00|10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187"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11</w:t>
            </w:r>
          </w:p>
        </w:tc>
        <w:tc>
          <w:tcPr>
            <w:tcW w:w="136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玖龙国际</w:t>
            </w:r>
          </w:p>
        </w:tc>
        <w:tc>
          <w:tcPr>
            <w:tcW w:w="1985"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0.0000E+00|10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187"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12</w:t>
            </w:r>
          </w:p>
        </w:tc>
        <w:tc>
          <w:tcPr>
            <w:tcW w:w="136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朱瓜冲</w:t>
            </w:r>
          </w:p>
        </w:tc>
        <w:tc>
          <w:tcPr>
            <w:tcW w:w="1985"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0.0000E+00|10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187"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13</w:t>
            </w:r>
          </w:p>
        </w:tc>
        <w:tc>
          <w:tcPr>
            <w:tcW w:w="136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沙溪冲</w:t>
            </w:r>
          </w:p>
        </w:tc>
        <w:tc>
          <w:tcPr>
            <w:tcW w:w="1985"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0.0000E+00|10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187"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14</w:t>
            </w:r>
          </w:p>
        </w:tc>
        <w:tc>
          <w:tcPr>
            <w:tcW w:w="136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庄甸村</w:t>
            </w:r>
          </w:p>
        </w:tc>
        <w:tc>
          <w:tcPr>
            <w:tcW w:w="1985"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0.0000E+00|10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187"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15</w:t>
            </w:r>
          </w:p>
        </w:tc>
        <w:tc>
          <w:tcPr>
            <w:tcW w:w="136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蔡家湾</w:t>
            </w:r>
          </w:p>
        </w:tc>
        <w:tc>
          <w:tcPr>
            <w:tcW w:w="1985"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0.0000E+00|10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187"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16</w:t>
            </w:r>
          </w:p>
        </w:tc>
        <w:tc>
          <w:tcPr>
            <w:tcW w:w="136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罗刀凹</w:t>
            </w:r>
          </w:p>
        </w:tc>
        <w:tc>
          <w:tcPr>
            <w:tcW w:w="1985"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0.0000E+00|10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187"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17</w:t>
            </w:r>
          </w:p>
        </w:tc>
        <w:tc>
          <w:tcPr>
            <w:tcW w:w="136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围墙村</w:t>
            </w:r>
          </w:p>
        </w:tc>
        <w:tc>
          <w:tcPr>
            <w:tcW w:w="1985"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2.7984E-21|40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2.80E-21</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2.80E-21</w:t>
            </w:r>
          </w:p>
        </w:tc>
        <w:tc>
          <w:tcPr>
            <w:tcW w:w="1187"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5.65E-22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18</w:t>
            </w:r>
          </w:p>
        </w:tc>
        <w:tc>
          <w:tcPr>
            <w:tcW w:w="136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马藏郎</w:t>
            </w:r>
          </w:p>
        </w:tc>
        <w:tc>
          <w:tcPr>
            <w:tcW w:w="1985"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0.0000E+00|40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187"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19</w:t>
            </w:r>
          </w:p>
        </w:tc>
        <w:tc>
          <w:tcPr>
            <w:tcW w:w="136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河头村</w:t>
            </w:r>
          </w:p>
        </w:tc>
        <w:tc>
          <w:tcPr>
            <w:tcW w:w="1985"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0.0000E+00|40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187"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20</w:t>
            </w:r>
          </w:p>
        </w:tc>
        <w:tc>
          <w:tcPr>
            <w:tcW w:w="136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上尖山</w:t>
            </w:r>
          </w:p>
        </w:tc>
        <w:tc>
          <w:tcPr>
            <w:tcW w:w="1985"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0.0000E+00|40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187"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21</w:t>
            </w:r>
          </w:p>
        </w:tc>
        <w:tc>
          <w:tcPr>
            <w:tcW w:w="136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田房头</w:t>
            </w:r>
          </w:p>
        </w:tc>
        <w:tc>
          <w:tcPr>
            <w:tcW w:w="1985"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0.0000E+00|40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187"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22</w:t>
            </w:r>
          </w:p>
        </w:tc>
        <w:tc>
          <w:tcPr>
            <w:tcW w:w="136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刘家</w:t>
            </w:r>
          </w:p>
        </w:tc>
        <w:tc>
          <w:tcPr>
            <w:tcW w:w="1985"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0.0000E+00|40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187"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23</w:t>
            </w:r>
          </w:p>
        </w:tc>
        <w:tc>
          <w:tcPr>
            <w:tcW w:w="136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耳东屯</w:t>
            </w:r>
          </w:p>
        </w:tc>
        <w:tc>
          <w:tcPr>
            <w:tcW w:w="1985"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0.0000E+00|40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187"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24</w:t>
            </w:r>
          </w:p>
        </w:tc>
        <w:tc>
          <w:tcPr>
            <w:tcW w:w="136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大东村</w:t>
            </w:r>
          </w:p>
        </w:tc>
        <w:tc>
          <w:tcPr>
            <w:tcW w:w="1985"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0.0000E+00|40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187"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25</w:t>
            </w:r>
          </w:p>
        </w:tc>
        <w:tc>
          <w:tcPr>
            <w:tcW w:w="136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孙家</w:t>
            </w:r>
          </w:p>
        </w:tc>
        <w:tc>
          <w:tcPr>
            <w:tcW w:w="1985"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0.0000E+00|40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187"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26</w:t>
            </w:r>
          </w:p>
        </w:tc>
        <w:tc>
          <w:tcPr>
            <w:tcW w:w="136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龙潭洼</w:t>
            </w:r>
          </w:p>
        </w:tc>
        <w:tc>
          <w:tcPr>
            <w:tcW w:w="1985"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0.0000E+00|40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187"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27</w:t>
            </w:r>
          </w:p>
        </w:tc>
        <w:tc>
          <w:tcPr>
            <w:tcW w:w="136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富民村</w:t>
            </w:r>
          </w:p>
        </w:tc>
        <w:tc>
          <w:tcPr>
            <w:tcW w:w="1985"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0.0000E+00|40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187"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28</w:t>
            </w:r>
          </w:p>
        </w:tc>
        <w:tc>
          <w:tcPr>
            <w:tcW w:w="136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塔普</w:t>
            </w:r>
          </w:p>
        </w:tc>
        <w:tc>
          <w:tcPr>
            <w:tcW w:w="1985"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0.0000E+00|40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187"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29</w:t>
            </w:r>
          </w:p>
        </w:tc>
        <w:tc>
          <w:tcPr>
            <w:tcW w:w="136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枣子园</w:t>
            </w:r>
          </w:p>
        </w:tc>
        <w:tc>
          <w:tcPr>
            <w:tcW w:w="1985"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0.0000E+00|40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187"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30</w:t>
            </w:r>
          </w:p>
        </w:tc>
        <w:tc>
          <w:tcPr>
            <w:tcW w:w="136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富民下村</w:t>
            </w:r>
          </w:p>
        </w:tc>
        <w:tc>
          <w:tcPr>
            <w:tcW w:w="1985"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0.0000E+00|40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187"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31</w:t>
            </w:r>
          </w:p>
        </w:tc>
        <w:tc>
          <w:tcPr>
            <w:tcW w:w="136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黑泥坝</w:t>
            </w:r>
          </w:p>
        </w:tc>
        <w:tc>
          <w:tcPr>
            <w:tcW w:w="1985"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0.0000E+00|40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187"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32</w:t>
            </w:r>
          </w:p>
        </w:tc>
        <w:tc>
          <w:tcPr>
            <w:tcW w:w="136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董家</w:t>
            </w:r>
          </w:p>
        </w:tc>
        <w:tc>
          <w:tcPr>
            <w:tcW w:w="1985"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0.0000E+00|40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187"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33</w:t>
            </w:r>
          </w:p>
        </w:tc>
        <w:tc>
          <w:tcPr>
            <w:tcW w:w="136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杨旗屯</w:t>
            </w:r>
          </w:p>
        </w:tc>
        <w:tc>
          <w:tcPr>
            <w:tcW w:w="1985"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0.0000E+00|40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187"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34</w:t>
            </w:r>
          </w:p>
        </w:tc>
        <w:tc>
          <w:tcPr>
            <w:tcW w:w="136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海子坝</w:t>
            </w:r>
          </w:p>
        </w:tc>
        <w:tc>
          <w:tcPr>
            <w:tcW w:w="1985"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0.0000E+00|40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187"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35</w:t>
            </w:r>
          </w:p>
        </w:tc>
        <w:tc>
          <w:tcPr>
            <w:tcW w:w="136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下白庙村</w:t>
            </w:r>
          </w:p>
        </w:tc>
        <w:tc>
          <w:tcPr>
            <w:tcW w:w="1985"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0.0000E+00|40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187"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36</w:t>
            </w:r>
          </w:p>
        </w:tc>
        <w:tc>
          <w:tcPr>
            <w:tcW w:w="136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上白庙村</w:t>
            </w:r>
          </w:p>
        </w:tc>
        <w:tc>
          <w:tcPr>
            <w:tcW w:w="1985"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0.0000E+00|40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187"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37</w:t>
            </w:r>
          </w:p>
        </w:tc>
        <w:tc>
          <w:tcPr>
            <w:tcW w:w="136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上野马</w:t>
            </w:r>
          </w:p>
        </w:tc>
        <w:tc>
          <w:tcPr>
            <w:tcW w:w="1985"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0.0000E+00|40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187"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38</w:t>
            </w:r>
          </w:p>
        </w:tc>
        <w:tc>
          <w:tcPr>
            <w:tcW w:w="136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下野马</w:t>
            </w:r>
          </w:p>
        </w:tc>
        <w:tc>
          <w:tcPr>
            <w:tcW w:w="1985"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0.0000E+00|40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187"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39</w:t>
            </w:r>
          </w:p>
        </w:tc>
        <w:tc>
          <w:tcPr>
            <w:tcW w:w="136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白土塘</w:t>
            </w:r>
          </w:p>
        </w:tc>
        <w:tc>
          <w:tcPr>
            <w:tcW w:w="1985"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0.0000E+00|40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187"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40</w:t>
            </w:r>
          </w:p>
        </w:tc>
        <w:tc>
          <w:tcPr>
            <w:tcW w:w="136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白龙箐</w:t>
            </w:r>
          </w:p>
        </w:tc>
        <w:tc>
          <w:tcPr>
            <w:tcW w:w="1985"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0.0000E+00|40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187"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41</w:t>
            </w:r>
          </w:p>
        </w:tc>
        <w:tc>
          <w:tcPr>
            <w:tcW w:w="136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栗子园</w:t>
            </w:r>
          </w:p>
        </w:tc>
        <w:tc>
          <w:tcPr>
            <w:tcW w:w="1985"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0.0000E+00|40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187"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42</w:t>
            </w:r>
          </w:p>
        </w:tc>
        <w:tc>
          <w:tcPr>
            <w:tcW w:w="136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州文化活动中心</w:t>
            </w:r>
          </w:p>
        </w:tc>
        <w:tc>
          <w:tcPr>
            <w:tcW w:w="1985"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0.0000E+00|40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187"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43</w:t>
            </w:r>
          </w:p>
        </w:tc>
        <w:tc>
          <w:tcPr>
            <w:tcW w:w="136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金瑞小区</w:t>
            </w:r>
          </w:p>
        </w:tc>
        <w:tc>
          <w:tcPr>
            <w:tcW w:w="1985"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0.0000E+00|40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187"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44</w:t>
            </w:r>
          </w:p>
        </w:tc>
        <w:tc>
          <w:tcPr>
            <w:tcW w:w="136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珑曦苑</w:t>
            </w:r>
          </w:p>
        </w:tc>
        <w:tc>
          <w:tcPr>
            <w:tcW w:w="1985"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0.0000E+00|40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187"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45</w:t>
            </w:r>
          </w:p>
        </w:tc>
        <w:tc>
          <w:tcPr>
            <w:tcW w:w="136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丽景花园</w:t>
            </w:r>
          </w:p>
        </w:tc>
        <w:tc>
          <w:tcPr>
            <w:tcW w:w="1985"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0.0000E+00|40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187"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46</w:t>
            </w:r>
          </w:p>
        </w:tc>
        <w:tc>
          <w:tcPr>
            <w:tcW w:w="136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格林天城</w:t>
            </w:r>
          </w:p>
        </w:tc>
        <w:tc>
          <w:tcPr>
            <w:tcW w:w="1985"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0.0000E+00|40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187"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47</w:t>
            </w:r>
          </w:p>
        </w:tc>
        <w:tc>
          <w:tcPr>
            <w:tcW w:w="136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金康花园</w:t>
            </w:r>
          </w:p>
        </w:tc>
        <w:tc>
          <w:tcPr>
            <w:tcW w:w="1985"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0.0000E+00|40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187"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48</w:t>
            </w:r>
          </w:p>
        </w:tc>
        <w:tc>
          <w:tcPr>
            <w:tcW w:w="136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上坪山</w:t>
            </w:r>
          </w:p>
        </w:tc>
        <w:tc>
          <w:tcPr>
            <w:tcW w:w="1985"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0.0000E+00|40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187"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49</w:t>
            </w:r>
          </w:p>
        </w:tc>
        <w:tc>
          <w:tcPr>
            <w:tcW w:w="136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下坪山</w:t>
            </w:r>
          </w:p>
        </w:tc>
        <w:tc>
          <w:tcPr>
            <w:tcW w:w="1985"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0.0000E+00|40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187"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50</w:t>
            </w:r>
          </w:p>
        </w:tc>
        <w:tc>
          <w:tcPr>
            <w:tcW w:w="136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盛兴园</w:t>
            </w:r>
          </w:p>
        </w:tc>
        <w:tc>
          <w:tcPr>
            <w:tcW w:w="1985"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0.0000E+00|40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187"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51</w:t>
            </w:r>
          </w:p>
        </w:tc>
        <w:tc>
          <w:tcPr>
            <w:tcW w:w="136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罗马庄园</w:t>
            </w:r>
          </w:p>
        </w:tc>
        <w:tc>
          <w:tcPr>
            <w:tcW w:w="1985"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0.0000E+00|40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187"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52</w:t>
            </w:r>
          </w:p>
        </w:tc>
        <w:tc>
          <w:tcPr>
            <w:tcW w:w="136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小河口</w:t>
            </w:r>
          </w:p>
        </w:tc>
        <w:tc>
          <w:tcPr>
            <w:tcW w:w="1985"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0.0000E+00|40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187"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53</w:t>
            </w:r>
          </w:p>
        </w:tc>
        <w:tc>
          <w:tcPr>
            <w:tcW w:w="136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谢家河</w:t>
            </w:r>
          </w:p>
        </w:tc>
        <w:tc>
          <w:tcPr>
            <w:tcW w:w="1985"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0.0000E+00|40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187"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54</w:t>
            </w:r>
          </w:p>
        </w:tc>
        <w:tc>
          <w:tcPr>
            <w:tcW w:w="136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山咀子</w:t>
            </w:r>
          </w:p>
        </w:tc>
        <w:tc>
          <w:tcPr>
            <w:tcW w:w="1985"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0.0000E+00|40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187"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55</w:t>
            </w:r>
          </w:p>
        </w:tc>
        <w:tc>
          <w:tcPr>
            <w:tcW w:w="136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程家坝</w:t>
            </w:r>
          </w:p>
        </w:tc>
        <w:tc>
          <w:tcPr>
            <w:tcW w:w="1985"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0.0000E+00|40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187"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56</w:t>
            </w:r>
          </w:p>
        </w:tc>
        <w:tc>
          <w:tcPr>
            <w:tcW w:w="136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黄家屯</w:t>
            </w:r>
          </w:p>
        </w:tc>
        <w:tc>
          <w:tcPr>
            <w:tcW w:w="1985"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0.0000E+00|40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187"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57</w:t>
            </w:r>
          </w:p>
        </w:tc>
        <w:tc>
          <w:tcPr>
            <w:tcW w:w="136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张家湾</w:t>
            </w:r>
          </w:p>
        </w:tc>
        <w:tc>
          <w:tcPr>
            <w:tcW w:w="1985"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0.0000E+00|40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187"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58</w:t>
            </w:r>
          </w:p>
        </w:tc>
        <w:tc>
          <w:tcPr>
            <w:tcW w:w="136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裴家庄</w:t>
            </w:r>
          </w:p>
        </w:tc>
        <w:tc>
          <w:tcPr>
            <w:tcW w:w="1985"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0.0000E+00|40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187"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59</w:t>
            </w:r>
          </w:p>
        </w:tc>
        <w:tc>
          <w:tcPr>
            <w:tcW w:w="136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谢家咀</w:t>
            </w:r>
          </w:p>
        </w:tc>
        <w:tc>
          <w:tcPr>
            <w:tcW w:w="1985"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0.0000E+00|40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187"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60</w:t>
            </w:r>
          </w:p>
        </w:tc>
        <w:tc>
          <w:tcPr>
            <w:tcW w:w="136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朝阳寺</w:t>
            </w:r>
          </w:p>
        </w:tc>
        <w:tc>
          <w:tcPr>
            <w:tcW w:w="1985"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0.0000E+00|40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187"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61</w:t>
            </w:r>
          </w:p>
        </w:tc>
        <w:tc>
          <w:tcPr>
            <w:tcW w:w="136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哨塆</w:t>
            </w:r>
          </w:p>
        </w:tc>
        <w:tc>
          <w:tcPr>
            <w:tcW w:w="1985"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0.0000E+00|40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187"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62</w:t>
            </w:r>
          </w:p>
        </w:tc>
        <w:tc>
          <w:tcPr>
            <w:tcW w:w="136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郭家箐</w:t>
            </w:r>
          </w:p>
        </w:tc>
        <w:tc>
          <w:tcPr>
            <w:tcW w:w="1985"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0.0000E+00|40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187"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63</w:t>
            </w:r>
          </w:p>
        </w:tc>
        <w:tc>
          <w:tcPr>
            <w:tcW w:w="136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车水哨</w:t>
            </w:r>
          </w:p>
        </w:tc>
        <w:tc>
          <w:tcPr>
            <w:tcW w:w="1985"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0.0000E+00|40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187"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64</w:t>
            </w:r>
          </w:p>
        </w:tc>
        <w:tc>
          <w:tcPr>
            <w:tcW w:w="136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张家</w:t>
            </w:r>
          </w:p>
        </w:tc>
        <w:tc>
          <w:tcPr>
            <w:tcW w:w="1985"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5.2969E-43|40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5.30E-43</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187"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65</w:t>
            </w:r>
          </w:p>
        </w:tc>
        <w:tc>
          <w:tcPr>
            <w:tcW w:w="1360"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朱家冲</w:t>
            </w:r>
          </w:p>
        </w:tc>
        <w:tc>
          <w:tcPr>
            <w:tcW w:w="1985"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0.0000E+00|40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041"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c>
          <w:tcPr>
            <w:tcW w:w="1187" w:type="dxa"/>
            <w:shd w:val="clear" w:color="auto" w:fill="auto"/>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0.00E+00</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由预测结果可知，氢氟酸桶泄漏事故发生后，氟化氢在最不利条件下扩散过程中，最大预测浓度为857.75mg/m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w:t>
      </w:r>
      <w:r>
        <w:rPr>
          <w:rFonts w:hint="default" w:ascii="Times New Roman" w:hAnsi="Times New Roman" w:cs="Times New Roman"/>
          <w:color w:val="auto"/>
          <w:lang w:val="zh-CN" w:eastAsia="zh-CN"/>
        </w:rPr>
        <w:t>大气毒性终点浓度-1</w:t>
      </w:r>
      <w:r>
        <w:rPr>
          <w:rFonts w:hint="default" w:ascii="Times New Roman" w:hAnsi="Times New Roman" w:cs="Times New Roman"/>
          <w:color w:val="auto"/>
          <w:lang w:val="en-US" w:eastAsia="zh-CN"/>
        </w:rPr>
        <w:t>出现最远距离为23m，</w:t>
      </w:r>
      <w:r>
        <w:rPr>
          <w:rFonts w:hint="default" w:ascii="Times New Roman" w:hAnsi="Times New Roman" w:cs="Times New Roman"/>
          <w:color w:val="auto"/>
          <w:lang w:val="zh-CN" w:eastAsia="zh-CN"/>
        </w:rPr>
        <w:t>大气毒性终点浓度-2</w:t>
      </w:r>
      <w:r>
        <w:rPr>
          <w:rFonts w:hint="default" w:ascii="Times New Roman" w:hAnsi="Times New Roman" w:cs="Times New Roman"/>
          <w:color w:val="auto"/>
          <w:lang w:val="en-US" w:eastAsia="zh-CN"/>
        </w:rPr>
        <w:t>出现最远距离为34m，本项目发生事故后期影响范围主要集中于厂区，其环境风险在可接受范围。</w:t>
      </w:r>
    </w:p>
    <w:p>
      <w:pPr>
        <w:spacing w:line="360" w:lineRule="auto"/>
        <w:ind w:firstLine="482" w:firstLineChars="200"/>
        <w:rPr>
          <w:rFonts w:hint="default" w:ascii="Times New Roman" w:hAnsi="Times New Roman" w:cs="Times New Roman"/>
          <w:b/>
          <w:bCs/>
          <w:szCs w:val="28"/>
        </w:rPr>
      </w:pPr>
      <w:r>
        <w:rPr>
          <w:rFonts w:hint="default" w:ascii="Times New Roman" w:hAnsi="Times New Roman" w:cs="Times New Roman"/>
          <w:b/>
          <w:bCs/>
          <w:szCs w:val="28"/>
          <w:lang w:eastAsia="zh-CN"/>
        </w:rPr>
        <w:t>二、地表水</w:t>
      </w:r>
      <w:r>
        <w:rPr>
          <w:rFonts w:hint="default" w:ascii="Times New Roman" w:hAnsi="Times New Roman" w:cs="Times New Roman"/>
          <w:b/>
          <w:bCs/>
          <w:szCs w:val="28"/>
        </w:rPr>
        <w:t>环境风险事故预测与评价</w:t>
      </w:r>
    </w:p>
    <w:p>
      <w:pPr>
        <w:adjustRightInd w:val="0"/>
        <w:snapToGrid w:val="0"/>
        <w:spacing w:line="360" w:lineRule="auto"/>
        <w:ind w:firstLine="482"/>
        <w:rPr>
          <w:rFonts w:hint="default" w:ascii="Times New Roman" w:hAnsi="Times New Roman" w:cs="Times New Roman"/>
        </w:rPr>
      </w:pPr>
      <w:r>
        <w:rPr>
          <w:rFonts w:hint="default" w:ascii="Times New Roman" w:hAnsi="Times New Roman" w:cs="Times New Roman"/>
        </w:rPr>
        <w:t>地表水环境风险事故情形主要考虑危险化学品氢氟酸</w:t>
      </w:r>
      <w:r>
        <w:rPr>
          <w:rFonts w:hint="default" w:ascii="Times New Roman" w:hAnsi="Times New Roman" w:cs="Times New Roman"/>
          <w:lang w:eastAsia="zh-CN"/>
        </w:rPr>
        <w:t>、盐酸</w:t>
      </w:r>
      <w:r>
        <w:rPr>
          <w:rFonts w:hint="default" w:ascii="Times New Roman" w:hAnsi="Times New Roman" w:cs="Times New Roman"/>
        </w:rPr>
        <w:t>发生泄漏，泄漏物料未得到及时收集，通过厂区雨水管网进入市政雨水管网，最终进入青龙河的情形。</w:t>
      </w:r>
    </w:p>
    <w:p>
      <w:pPr>
        <w:adjustRightInd w:val="0"/>
        <w:snapToGrid w:val="0"/>
        <w:spacing w:line="360" w:lineRule="auto"/>
        <w:ind w:firstLine="482"/>
        <w:rPr>
          <w:rFonts w:hint="default" w:ascii="Times New Roman" w:hAnsi="Times New Roman" w:cs="Times New Roman"/>
        </w:rPr>
      </w:pPr>
      <w:r>
        <w:rPr>
          <w:rFonts w:hint="default" w:ascii="Times New Roman" w:hAnsi="Times New Roman" w:cs="Times New Roman"/>
        </w:rPr>
        <w:t>本项目</w:t>
      </w:r>
      <w:r>
        <w:rPr>
          <w:rFonts w:hint="default" w:ascii="Times New Roman" w:hAnsi="Times New Roman" w:cs="Times New Roman"/>
          <w:lang w:eastAsia="zh-CN"/>
        </w:rPr>
        <w:t>盐酸</w:t>
      </w:r>
      <w:r>
        <w:rPr>
          <w:rFonts w:hint="default" w:ascii="Times New Roman" w:hAnsi="Times New Roman" w:cs="Times New Roman"/>
        </w:rPr>
        <w:t>、氢氟酸均使用桶装，储存在化学品库，化学品库设置有三级防控系统。首先硝酸、氢氟酸区域设置有长宽高分别为10×5×1m的围堰，出入口处设置 0.1m 高的门槛，泄漏物料不会溢流出化学品库；其次，化学品库内设置有地沟，地沟接入含氟废水处理站，泄漏物料不会排入雨水沟内；最后若前两道防控措施均未奏效，物料泄漏到化学品库外，化学品库四周也设置有排水沟连接初期雨水收集池。因此，三道防控措施可确保即使发生泄漏，风险物质也难以通过厂区雨水管网进入市政雨水管网，对青龙河造成影响。</w:t>
      </w:r>
    </w:p>
    <w:p>
      <w:pPr>
        <w:adjustRightInd w:val="0"/>
        <w:snapToGrid w:val="0"/>
        <w:spacing w:line="360" w:lineRule="auto"/>
        <w:ind w:firstLine="482"/>
        <w:rPr>
          <w:rFonts w:hint="default" w:ascii="Times New Roman" w:hAnsi="Times New Roman" w:eastAsia="宋体" w:cs="Times New Roman"/>
          <w:lang w:val="en-US" w:eastAsia="zh-CN"/>
        </w:rPr>
      </w:pPr>
      <w:r>
        <w:rPr>
          <w:rFonts w:hint="default" w:ascii="Times New Roman" w:hAnsi="Times New Roman" w:cs="Times New Roman"/>
        </w:rPr>
        <w:t>项目通过建立三级防控体系，从源头上切断风险物质泄漏进入外部地表水体的途径。因此，本项目地表水风险事故影响很小</w:t>
      </w:r>
      <w:r>
        <w:rPr>
          <w:rFonts w:hint="default" w:ascii="Times New Roman" w:hAnsi="Times New Roman" w:cs="Times New Roman"/>
          <w:lang w:eastAsia="zh-CN"/>
        </w:rPr>
        <w:t>。</w:t>
      </w:r>
    </w:p>
    <w:p>
      <w:pPr>
        <w:spacing w:line="360" w:lineRule="auto"/>
        <w:ind w:firstLine="482" w:firstLineChars="200"/>
        <w:rPr>
          <w:rFonts w:hint="default" w:ascii="Times New Roman" w:hAnsi="Times New Roman" w:cs="Times New Roman"/>
          <w:b/>
          <w:bCs/>
          <w:szCs w:val="28"/>
        </w:rPr>
      </w:pPr>
      <w:r>
        <w:rPr>
          <w:rFonts w:hint="default" w:ascii="Times New Roman" w:hAnsi="Times New Roman" w:cs="Times New Roman"/>
          <w:b/>
          <w:bCs/>
          <w:szCs w:val="28"/>
          <w:lang w:eastAsia="zh-CN"/>
        </w:rPr>
        <w:t>三、地下水</w:t>
      </w:r>
      <w:r>
        <w:rPr>
          <w:rFonts w:hint="default" w:ascii="Times New Roman" w:hAnsi="Times New Roman" w:cs="Times New Roman"/>
          <w:b/>
          <w:bCs/>
          <w:szCs w:val="28"/>
        </w:rPr>
        <w:t>环境风险事故预测与评价</w:t>
      </w:r>
    </w:p>
    <w:p>
      <w:pPr>
        <w:spacing w:line="360" w:lineRule="auto"/>
        <w:ind w:firstLine="482"/>
        <w:rPr>
          <w:rFonts w:hint="default" w:ascii="Times New Roman" w:hAnsi="Times New Roman" w:cs="Times New Roman"/>
        </w:rPr>
      </w:pPr>
      <w:r>
        <w:rPr>
          <w:rFonts w:hint="default" w:ascii="Times New Roman" w:hAnsi="Times New Roman" w:cs="Times New Roman"/>
        </w:rPr>
        <w:t>项目区处于地下水补给、径流区，赋存的地下水类型主要为孔隙潜水及基岩裂隙水。孔隙潜水主要赋存于场地北侧及南侧的冲洪积层地层以及填土层中，孔隙潜水主要赋存于场地中填土层场地及周围强、中风化岩层中赋存有基岩裂隙水，中风化地层节理裂隙发育，风化较深，但节理裂隙多被风化物充填，为弱含水层，由大气降水、地表水及上层孔隙水下渗补给，向龙川江排泄流出区外。通过实地调查及搜集资料等手段可知，项目地下水评价范围内无泉点出露，不涉及《环境影响评价技术导则地下水环境》（HJ610-2016）划分的敏感、较敏感区域以及《建设项目环境影响评价分类管理名录》（2021版）界定的环境敏感区，项目区地下水环境不敏感。</w:t>
      </w:r>
    </w:p>
    <w:p>
      <w:pPr>
        <w:spacing w:line="360" w:lineRule="auto"/>
        <w:ind w:firstLine="482"/>
        <w:rPr>
          <w:rFonts w:hint="default" w:ascii="Times New Roman" w:hAnsi="Times New Roman" w:cs="Times New Roman"/>
        </w:rPr>
      </w:pPr>
      <w:r>
        <w:rPr>
          <w:rFonts w:hint="default" w:ascii="Times New Roman" w:hAnsi="Times New Roman" w:cs="Times New Roman"/>
        </w:rPr>
        <w:t>项目应严格执行雨污分流及清污分流，建成三大排水系统，即生产废水、生活废水、雨水要有组织地分别排入对应的系统管网和处理系统处理。</w:t>
      </w:r>
    </w:p>
    <w:p>
      <w:pPr>
        <w:spacing w:line="360" w:lineRule="auto"/>
        <w:ind w:firstLine="482"/>
        <w:rPr>
          <w:rFonts w:hint="default" w:ascii="Times New Roman" w:hAnsi="Times New Roman" w:cs="Times New Roman"/>
        </w:rPr>
      </w:pPr>
      <w:r>
        <w:rPr>
          <w:rFonts w:hint="default" w:ascii="Times New Roman" w:hAnsi="Times New Roman" w:cs="Times New Roman"/>
        </w:rPr>
        <w:t>总体来说，在项目建设过程中严格落实评价提出的各项防控措施，运行期加强维护和管理情况下，污废水、固废发生渗漏或泄漏的可能性较小，项目的建设运营对地下水环境的影响是可控的，对地下水环境的影响从环保上来说是可接受的。</w:t>
      </w:r>
    </w:p>
    <w:p>
      <w:pPr>
        <w:pStyle w:val="6"/>
        <w:spacing w:before="0" w:after="0" w:line="360" w:lineRule="auto"/>
        <w:rPr>
          <w:rFonts w:hint="default" w:ascii="Times New Roman" w:hAnsi="Times New Roman" w:cs="Times New Roman"/>
          <w:color w:val="auto"/>
          <w:sz w:val="28"/>
          <w:szCs w:val="28"/>
          <w:lang w:val="en-US" w:eastAsia="zh-CN"/>
        </w:rPr>
      </w:pPr>
      <w:bookmarkStart w:id="955" w:name="_Toc24998"/>
      <w:bookmarkStart w:id="956" w:name="_Toc79144723"/>
      <w:r>
        <w:rPr>
          <w:rFonts w:hint="default" w:ascii="Times New Roman" w:hAnsi="Times New Roman" w:cs="Times New Roman"/>
          <w:color w:val="auto"/>
          <w:sz w:val="28"/>
          <w:szCs w:val="28"/>
          <w:lang w:val="en-US" w:eastAsia="zh-CN"/>
        </w:rPr>
        <w:t>5.3.8</w:t>
      </w:r>
      <w:r>
        <w:rPr>
          <w:rFonts w:hint="default" w:ascii="Times New Roman" w:hAnsi="Times New Roman" w:cs="Times New Roman"/>
          <w:color w:val="auto"/>
          <w:sz w:val="28"/>
          <w:szCs w:val="28"/>
          <w:lang w:val="en-US" w:eastAsia="zh-CN"/>
        </w:rPr>
        <w:t>环境风险管理</w:t>
      </w:r>
      <w:bookmarkEnd w:id="955"/>
      <w:bookmarkEnd w:id="956"/>
    </w:p>
    <w:p>
      <w:pPr>
        <w:spacing w:line="360" w:lineRule="auto"/>
        <w:ind w:firstLine="482" w:firstLineChars="200"/>
        <w:rPr>
          <w:rFonts w:hint="default" w:ascii="Times New Roman" w:hAnsi="Times New Roman" w:cs="Times New Roman"/>
          <w:b/>
          <w:bCs/>
          <w:i w:val="0"/>
          <w:iCs w:val="0"/>
          <w:lang w:val="en-US" w:eastAsia="zh-CN"/>
        </w:rPr>
      </w:pPr>
      <w:bookmarkStart w:id="957" w:name="_Toc79144724"/>
      <w:r>
        <w:rPr>
          <w:rFonts w:hint="default" w:ascii="Times New Roman" w:hAnsi="Times New Roman" w:cs="Times New Roman"/>
          <w:b/>
          <w:bCs/>
          <w:i w:val="0"/>
          <w:iCs w:val="0"/>
          <w:lang w:val="en-US" w:eastAsia="zh-CN"/>
        </w:rPr>
        <w:t>一、</w:t>
      </w:r>
      <w:r>
        <w:rPr>
          <w:rFonts w:hint="default" w:ascii="Times New Roman" w:hAnsi="Times New Roman" w:cs="Times New Roman"/>
          <w:b/>
          <w:bCs/>
          <w:i w:val="0"/>
          <w:iCs w:val="0"/>
          <w:lang w:val="en-US" w:eastAsia="zh-CN"/>
        </w:rPr>
        <w:t>环境风险管理目标</w:t>
      </w:r>
      <w:bookmarkEnd w:id="957"/>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环境风险管理目标是采用最低合理可行原则管控环境风险。采取的环境风险防范措施应与社会经济技术发展水平相适应，运用科学的技术手段和管理方法，对环境风险进行有效的预防、监控、响应。</w:t>
      </w:r>
    </w:p>
    <w:p>
      <w:pPr>
        <w:spacing w:line="360" w:lineRule="auto"/>
        <w:ind w:firstLine="482" w:firstLineChars="200"/>
        <w:rPr>
          <w:rFonts w:hint="default" w:ascii="Times New Roman" w:hAnsi="Times New Roman" w:cs="Times New Roman"/>
          <w:b/>
          <w:bCs/>
          <w:i w:val="0"/>
          <w:iCs w:val="0"/>
          <w:lang w:val="en-US" w:eastAsia="zh-CN"/>
        </w:rPr>
      </w:pPr>
      <w:bookmarkStart w:id="958" w:name="_Toc79144725"/>
      <w:r>
        <w:rPr>
          <w:rFonts w:hint="default" w:ascii="Times New Roman" w:hAnsi="Times New Roman" w:cs="Times New Roman"/>
          <w:b/>
          <w:bCs/>
          <w:i w:val="0"/>
          <w:iCs w:val="0"/>
          <w:lang w:val="en-US" w:eastAsia="zh-CN"/>
        </w:rPr>
        <w:t>二、风险管理措施</w:t>
      </w:r>
      <w:bookmarkEnd w:id="958"/>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1、建设单位应制定详细的安全管理制度及有效的安全管理组织，确保各种有关的安全管理规定能在各个环节上得到充分落实，并能有所改进和提高。</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2、项目投产前，应制定出正常、异常或紧急状态下的操作手册和维修手册，并对操作、维修人员进行培训，持证上岗，避免因严重操作失误而造成的的事故。</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3、加强对工作人员安全素质方面的教育及训练，包括安全知识、安全技术、安全心理、职业卫生及排险与消防活动等，建设单位要定期组织演练与考核。</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4、制定应急操作规程，在规程中应说明发生事故时采取的操作步骤，规定抢修进度，限制事故的影响。</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5、对重要的仪器设备有完善的检查项目、维护方法，按计划进行定期维护，建立专门的档案制度。</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6、危险源处应设置醒目的安全标识及安全制度细则。</w:t>
      </w:r>
    </w:p>
    <w:p>
      <w:pPr>
        <w:spacing w:line="360" w:lineRule="auto"/>
        <w:ind w:firstLine="482" w:firstLineChars="200"/>
        <w:rPr>
          <w:rFonts w:hint="default" w:ascii="Times New Roman" w:hAnsi="Times New Roman" w:cs="Times New Roman"/>
          <w:b/>
          <w:bCs/>
          <w:szCs w:val="28"/>
        </w:rPr>
      </w:pPr>
      <w:bookmarkStart w:id="959" w:name="_Toc79144726"/>
      <w:r>
        <w:rPr>
          <w:rFonts w:hint="default" w:ascii="Times New Roman" w:hAnsi="Times New Roman" w:cs="Times New Roman"/>
          <w:b/>
          <w:bCs/>
          <w:szCs w:val="28"/>
          <w:lang w:eastAsia="zh-CN"/>
        </w:rPr>
        <w:t>三、</w:t>
      </w:r>
      <w:r>
        <w:rPr>
          <w:rFonts w:hint="default" w:ascii="Times New Roman" w:hAnsi="Times New Roman" w:cs="Times New Roman"/>
          <w:b/>
          <w:bCs/>
          <w:szCs w:val="28"/>
        </w:rPr>
        <w:t>环境风险防范措施</w:t>
      </w:r>
      <w:bookmarkEnd w:id="959"/>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本项目原料、中间产物及污染物均涉及有毒有害物质，在发生泄漏时极易对环境造成严重影响。本评价根据项目的特点，提出切实有效的风险防范措施，降低风险事故发生频率，减缓建设项目潜在风险的影响。</w:t>
      </w:r>
    </w:p>
    <w:p>
      <w:pPr>
        <w:spacing w:line="360" w:lineRule="auto"/>
        <w:ind w:firstLine="480" w:firstLineChars="200"/>
        <w:rPr>
          <w:rFonts w:hint="default" w:ascii="Times New Roman" w:hAnsi="Times New Roman" w:cs="Times New Roman"/>
          <w:b w:val="0"/>
          <w:bCs/>
        </w:rPr>
      </w:pPr>
      <w:r>
        <w:rPr>
          <w:rFonts w:hint="default" w:ascii="Times New Roman" w:hAnsi="Times New Roman" w:cs="Times New Roman"/>
          <w:b w:val="0"/>
          <w:bCs/>
        </w:rPr>
        <w:t>1、生产及贮存风险防范措施</w:t>
      </w:r>
    </w:p>
    <w:p>
      <w:pPr>
        <w:adjustRightInd w:val="0"/>
        <w:snapToGrid w:val="0"/>
        <w:spacing w:line="360" w:lineRule="auto"/>
        <w:ind w:firstLine="482"/>
        <w:rPr>
          <w:rFonts w:hint="default" w:ascii="Times New Roman" w:hAnsi="Times New Roman" w:cs="Times New Roman"/>
        </w:rPr>
      </w:pPr>
      <w:r>
        <w:rPr>
          <w:rFonts w:hint="default" w:ascii="Times New Roman" w:hAnsi="Times New Roman" w:cs="Times New Roman"/>
        </w:rPr>
        <w:t>（1）化学品库（主要储存氢氟酸、</w:t>
      </w:r>
      <w:r>
        <w:rPr>
          <w:rFonts w:hint="default" w:ascii="Times New Roman" w:hAnsi="Times New Roman" w:cs="Times New Roman"/>
          <w:lang w:eastAsia="zh-CN"/>
        </w:rPr>
        <w:t>盐酸</w:t>
      </w:r>
      <w:r>
        <w:rPr>
          <w:rFonts w:hint="default" w:ascii="Times New Roman" w:hAnsi="Times New Roman" w:cs="Times New Roman"/>
        </w:rPr>
        <w:t>、</w:t>
      </w:r>
      <w:r>
        <w:rPr>
          <w:rFonts w:hint="default" w:ascii="Times New Roman" w:hAnsi="Times New Roman" w:cs="Times New Roman"/>
          <w:lang w:eastAsia="zh-CN"/>
        </w:rPr>
        <w:t>工业酒精</w:t>
      </w:r>
      <w:r>
        <w:rPr>
          <w:rFonts w:hint="default" w:ascii="Times New Roman" w:hAnsi="Times New Roman" w:cs="Times New Roman"/>
        </w:rPr>
        <w:t>、氢氧化钠）应远离火种、热源。库温不宜超过 30</w:t>
      </w:r>
      <w:r>
        <w:rPr>
          <w:rFonts w:hint="default" w:ascii="Times New Roman" w:hAnsi="Times New Roman" w:cs="Times New Roman"/>
        </w:rPr>
        <w:t>℃</w:t>
      </w:r>
      <w:r>
        <w:rPr>
          <w:rFonts w:hint="default" w:ascii="Times New Roman" w:hAnsi="Times New Roman" w:cs="Times New Roman"/>
        </w:rPr>
        <w:t>，相对湿度不超过 85%。</w:t>
      </w:r>
    </w:p>
    <w:p>
      <w:pPr>
        <w:adjustRightInd w:val="0"/>
        <w:snapToGrid w:val="0"/>
        <w:spacing w:line="360" w:lineRule="auto"/>
        <w:ind w:firstLine="482"/>
        <w:rPr>
          <w:rFonts w:hint="default" w:ascii="Times New Roman" w:hAnsi="Times New Roman" w:cs="Times New Roman"/>
        </w:rPr>
      </w:pPr>
      <w:r>
        <w:rPr>
          <w:rFonts w:hint="default" w:ascii="Times New Roman" w:hAnsi="Times New Roman" w:cs="Times New Roman"/>
        </w:rPr>
        <w:t>（2）储区应备有泄漏应急处理装置。</w:t>
      </w:r>
    </w:p>
    <w:p>
      <w:pPr>
        <w:adjustRightInd w:val="0"/>
        <w:snapToGrid w:val="0"/>
        <w:spacing w:line="360" w:lineRule="auto"/>
        <w:ind w:firstLine="482"/>
        <w:rPr>
          <w:rFonts w:hint="default" w:ascii="Times New Roman" w:hAnsi="Times New Roman" w:cs="Times New Roman"/>
        </w:rPr>
      </w:pPr>
      <w:r>
        <w:rPr>
          <w:rFonts w:hint="default" w:ascii="Times New Roman" w:hAnsi="Times New Roman" w:cs="Times New Roman"/>
        </w:rPr>
        <w:t>（3）各类化学品严禁混装混放，应单独分区堆放。</w:t>
      </w:r>
    </w:p>
    <w:p>
      <w:pPr>
        <w:adjustRightInd w:val="0"/>
        <w:snapToGrid w:val="0"/>
        <w:spacing w:line="360" w:lineRule="auto"/>
        <w:ind w:firstLine="482"/>
        <w:rPr>
          <w:rFonts w:hint="default" w:ascii="Times New Roman" w:hAnsi="Times New Roman" w:cs="Times New Roman"/>
        </w:rPr>
      </w:pPr>
      <w:r>
        <w:rPr>
          <w:rFonts w:hint="default" w:ascii="Times New Roman" w:hAnsi="Times New Roman" w:cs="Times New Roman"/>
        </w:rPr>
        <w:t>（4）夏季应早晚运输，防止日光暴晒。</w:t>
      </w:r>
    </w:p>
    <w:p>
      <w:pPr>
        <w:adjustRightInd w:val="0"/>
        <w:snapToGrid w:val="0"/>
        <w:spacing w:line="360" w:lineRule="auto"/>
        <w:ind w:firstLine="482"/>
        <w:rPr>
          <w:rFonts w:hint="default" w:ascii="Times New Roman" w:hAnsi="Times New Roman" w:cs="Times New Roman"/>
        </w:rPr>
      </w:pPr>
      <w:r>
        <w:rPr>
          <w:rFonts w:hint="default" w:ascii="Times New Roman" w:hAnsi="Times New Roman" w:cs="Times New Roman"/>
        </w:rPr>
        <w:t>（5）搬运时要轻轻装卸，防止包装及容器损坏。</w:t>
      </w:r>
    </w:p>
    <w:p>
      <w:pPr>
        <w:adjustRightInd w:val="0"/>
        <w:snapToGrid w:val="0"/>
        <w:spacing w:line="360" w:lineRule="auto"/>
        <w:ind w:firstLine="482"/>
        <w:rPr>
          <w:rFonts w:hint="default" w:ascii="Times New Roman" w:hAnsi="Times New Roman" w:cs="Times New Roman"/>
        </w:rPr>
      </w:pPr>
      <w:r>
        <w:rPr>
          <w:rFonts w:hint="default" w:ascii="Times New Roman" w:hAnsi="Times New Roman" w:cs="Times New Roman"/>
        </w:rPr>
        <w:t>（6）贮运及管理过程要进行严格管理，所用储存及输运设备要符合要求，并设有安全保护、防爆防腐等措施。</w:t>
      </w:r>
    </w:p>
    <w:p>
      <w:pPr>
        <w:adjustRightInd w:val="0"/>
        <w:snapToGrid w:val="0"/>
        <w:spacing w:line="360" w:lineRule="auto"/>
        <w:ind w:firstLine="482"/>
        <w:rPr>
          <w:rFonts w:hint="default" w:ascii="Times New Roman" w:hAnsi="Times New Roman" w:cs="Times New Roman"/>
        </w:rPr>
      </w:pPr>
      <w:r>
        <w:rPr>
          <w:rFonts w:hint="default" w:ascii="Times New Roman" w:hAnsi="Times New Roman" w:cs="Times New Roman"/>
        </w:rPr>
        <w:t>（7）严格按照规划设计布置物料储存区，防火间距的设置以及消防器材的配备必须通过消防部门审查。</w:t>
      </w:r>
    </w:p>
    <w:p>
      <w:pPr>
        <w:adjustRightInd w:val="0"/>
        <w:snapToGrid w:val="0"/>
        <w:spacing w:line="360" w:lineRule="auto"/>
        <w:ind w:firstLine="482"/>
        <w:rPr>
          <w:rFonts w:hint="default" w:ascii="Times New Roman" w:hAnsi="Times New Roman" w:cs="Times New Roman"/>
        </w:rPr>
      </w:pPr>
      <w:r>
        <w:rPr>
          <w:rFonts w:hint="default" w:ascii="Times New Roman" w:hAnsi="Times New Roman" w:cs="Times New Roman"/>
        </w:rPr>
        <w:t>（8）贮存危险化学品的仓库管理人员以及罐区操作员，必须经过专业知识培训，熟悉贮存物品的特性、事故处理办法和防护知识，持证上岗，并配备有关的个人防护用品。</w:t>
      </w:r>
    </w:p>
    <w:p>
      <w:pPr>
        <w:adjustRightInd w:val="0"/>
        <w:snapToGrid w:val="0"/>
        <w:spacing w:line="360" w:lineRule="auto"/>
        <w:ind w:firstLine="482"/>
        <w:rPr>
          <w:rFonts w:hint="default" w:ascii="Times New Roman" w:hAnsi="Times New Roman" w:cs="Times New Roman"/>
        </w:rPr>
      </w:pPr>
      <w:r>
        <w:rPr>
          <w:rFonts w:hint="default" w:ascii="Times New Roman" w:hAnsi="Times New Roman" w:cs="Times New Roman"/>
        </w:rPr>
        <w:t>（9）在化学品库和清洗车间各设置 1 台氟化氢气体自动报警装置。</w:t>
      </w:r>
    </w:p>
    <w:p>
      <w:pPr>
        <w:adjustRightInd w:val="0"/>
        <w:snapToGrid w:val="0"/>
        <w:spacing w:line="360" w:lineRule="auto"/>
        <w:ind w:firstLine="482"/>
        <w:rPr>
          <w:rFonts w:hint="default" w:ascii="Times New Roman" w:hAnsi="Times New Roman" w:cs="Times New Roman"/>
        </w:rPr>
      </w:pPr>
      <w:r>
        <w:rPr>
          <w:rFonts w:hint="default" w:ascii="Times New Roman" w:hAnsi="Times New Roman" w:cs="Times New Roman"/>
        </w:rPr>
        <w:t>（10）要严格遵守有关贮存的安全规定，具体包括《仓库防火安全管理规则》、《建筑设计防火规范》、《易燃易爆化学物品消防安全监督管理办法》等。</w:t>
      </w:r>
    </w:p>
    <w:p>
      <w:pPr>
        <w:adjustRightInd w:val="0"/>
        <w:snapToGrid w:val="0"/>
        <w:spacing w:line="360" w:lineRule="auto"/>
        <w:ind w:firstLine="482"/>
        <w:rPr>
          <w:rFonts w:hint="default" w:ascii="Times New Roman" w:hAnsi="Times New Roman" w:cs="Times New Roman"/>
        </w:rPr>
      </w:pPr>
      <w:r>
        <w:rPr>
          <w:rFonts w:hint="default" w:ascii="Times New Roman" w:hAnsi="Times New Roman" w:cs="Times New Roman"/>
        </w:rPr>
        <w:t>（11）清洗车间和储存区内部设置导流槽，一旦发生氢氟酸、硝酸物料泄漏时导流槽能够及时收集引至事故储池，导流槽内的残留物用水冲洗后引至废水事故储池，阶段性的将事故储池内废水送至厂内污水处理站处理达标后排放。</w:t>
      </w:r>
    </w:p>
    <w:p>
      <w:pPr>
        <w:adjustRightInd w:val="0"/>
        <w:snapToGrid w:val="0"/>
        <w:spacing w:line="360" w:lineRule="auto"/>
        <w:ind w:firstLine="482"/>
        <w:rPr>
          <w:rFonts w:hint="default" w:ascii="Times New Roman" w:hAnsi="Times New Roman" w:cs="Times New Roman"/>
        </w:rPr>
      </w:pPr>
      <w:r>
        <w:rPr>
          <w:rFonts w:hint="default" w:ascii="Times New Roman" w:hAnsi="Times New Roman" w:cs="Times New Roman"/>
        </w:rPr>
        <w:t>（12）操作人员均应经过专业培训和严格训练并取得合格证后方可上岗操作，要严格执行安全操作规程，操作人员不仅应熟悉掌握正常生产状况下本岗位和相关岗位的操作程序和要求，而且应熟练掌握非正常生产状况下的操作程序和要求。</w:t>
      </w:r>
    </w:p>
    <w:p>
      <w:pPr>
        <w:adjustRightInd w:val="0"/>
        <w:snapToGrid w:val="0"/>
        <w:spacing w:line="360" w:lineRule="auto"/>
        <w:ind w:firstLine="482"/>
        <w:rPr>
          <w:rFonts w:hint="default" w:ascii="Times New Roman" w:hAnsi="Times New Roman" w:cs="Times New Roman"/>
        </w:rPr>
      </w:pPr>
      <w:r>
        <w:rPr>
          <w:rFonts w:hint="default" w:ascii="Times New Roman" w:hAnsi="Times New Roman" w:cs="Times New Roman"/>
        </w:rPr>
        <w:t>（13）本项目不涉及危险化学品的运输，危险化学品的运输具有有资质的单位进行运输，但危险品在厂内运输途中，建设单位应予以严密监控，以便发生情况能及时采取措施。一旦发生危险品运输泄漏事故，由当事人或目击者通过应急电话，立即通知应急指挥部，由其依据应急预案联络当地环保部门、公安部门、消防部门及其它有应急事故处理能力的当地部门，及时采取应急行动，确保在最短的时间将事故控制。</w:t>
      </w:r>
    </w:p>
    <w:p>
      <w:pPr>
        <w:adjustRightInd w:val="0"/>
        <w:snapToGrid w:val="0"/>
        <w:spacing w:line="360" w:lineRule="auto"/>
        <w:ind w:firstLine="482"/>
        <w:rPr>
          <w:rFonts w:hint="default" w:ascii="Times New Roman" w:hAnsi="Times New Roman" w:cs="Times New Roman"/>
        </w:rPr>
      </w:pPr>
      <w:r>
        <w:rPr>
          <w:rFonts w:hint="default" w:ascii="Times New Roman" w:hAnsi="Times New Roman" w:cs="Times New Roman"/>
        </w:rPr>
        <w:t>（14）加强火源管理，禁止明火，生产中需要用火要严格执行有关安全管理制度，提前办理用火手续；腐蚀工段和储存区设置干砂池和足够数量的手提式、推车式干粉灭火器，配备足够数量的正压式呼吸器、防毒服等防护用具。</w:t>
      </w:r>
    </w:p>
    <w:p>
      <w:pPr>
        <w:adjustRightInd w:val="0"/>
        <w:snapToGrid w:val="0"/>
        <w:spacing w:line="360" w:lineRule="auto"/>
        <w:ind w:firstLine="482"/>
        <w:rPr>
          <w:rFonts w:hint="default" w:ascii="Times New Roman" w:hAnsi="Times New Roman" w:cs="Times New Roman"/>
        </w:rPr>
      </w:pPr>
      <w:r>
        <w:rPr>
          <w:rFonts w:hint="default" w:ascii="Times New Roman" w:hAnsi="Times New Roman" w:cs="Times New Roman"/>
        </w:rPr>
        <w:t>（15）当发生泄漏时，应采取以下措施进行处理：</w:t>
      </w:r>
    </w:p>
    <w:p>
      <w:pPr>
        <w:adjustRightInd w:val="0"/>
        <w:snapToGrid w:val="0"/>
        <w:spacing w:line="360" w:lineRule="auto"/>
        <w:ind w:firstLine="482"/>
        <w:rPr>
          <w:rFonts w:hint="default" w:ascii="Times New Roman" w:hAnsi="Times New Roman" w:cs="Times New Roman"/>
        </w:rPr>
      </w:pPr>
      <w:r>
        <w:rPr>
          <w:rFonts w:hint="default" w:ascii="Times New Roman" w:hAnsi="Times New Roman" w:cs="Times New Roman"/>
        </w:rPr>
        <w:t>①</w:t>
      </w:r>
      <w:r>
        <w:rPr>
          <w:rFonts w:hint="default" w:ascii="Times New Roman" w:hAnsi="Times New Roman" w:cs="Times New Roman"/>
        </w:rPr>
        <w:t>迅速撤离泄漏污染区人员至安全区，并进行隔离，严格限制出入；</w:t>
      </w:r>
    </w:p>
    <w:p>
      <w:pPr>
        <w:adjustRightInd w:val="0"/>
        <w:snapToGrid w:val="0"/>
        <w:spacing w:line="360" w:lineRule="auto"/>
        <w:ind w:firstLine="482"/>
        <w:rPr>
          <w:rFonts w:hint="default" w:ascii="Times New Roman" w:hAnsi="Times New Roman" w:cs="Times New Roman"/>
        </w:rPr>
      </w:pPr>
      <w:r>
        <w:rPr>
          <w:rFonts w:hint="default" w:ascii="Times New Roman" w:hAnsi="Times New Roman" w:cs="Times New Roman"/>
        </w:rPr>
        <w:t>②</w:t>
      </w:r>
      <w:r>
        <w:rPr>
          <w:rFonts w:hint="default" w:ascii="Times New Roman" w:hAnsi="Times New Roman" w:cs="Times New Roman"/>
        </w:rPr>
        <w:t>建议应急处理人员戴自给正压式呼吸器，穿化学防护服。不要直接接触泄漏物。在确保安全情况下堵漏；</w:t>
      </w:r>
    </w:p>
    <w:p>
      <w:pPr>
        <w:adjustRightInd w:val="0"/>
        <w:snapToGrid w:val="0"/>
        <w:spacing w:line="360" w:lineRule="auto"/>
        <w:ind w:firstLine="482"/>
        <w:rPr>
          <w:rFonts w:hint="default" w:ascii="Times New Roman" w:hAnsi="Times New Roman" w:cs="Times New Roman"/>
        </w:rPr>
      </w:pPr>
      <w:r>
        <w:rPr>
          <w:rFonts w:hint="default" w:ascii="Times New Roman" w:hAnsi="Times New Roman" w:cs="Times New Roman"/>
        </w:rPr>
        <w:t>③</w:t>
      </w:r>
      <w:r>
        <w:rPr>
          <w:rFonts w:hint="default" w:ascii="Times New Roman" w:hAnsi="Times New Roman" w:cs="Times New Roman"/>
        </w:rPr>
        <w:t>少量泄漏可将泄漏液收集在可密闭容器中或用沙土、干燥石灰混合。大量泄漏时构筑围堤或挖坑收容。用泵转移至槽车或专用收集器内，回收或运至废物处理场所处置；</w:t>
      </w:r>
    </w:p>
    <w:p>
      <w:pPr>
        <w:adjustRightInd w:val="0"/>
        <w:snapToGrid w:val="0"/>
        <w:spacing w:line="360" w:lineRule="auto"/>
        <w:ind w:firstLine="482"/>
        <w:rPr>
          <w:rFonts w:hint="default" w:ascii="Times New Roman" w:hAnsi="Times New Roman" w:cs="Times New Roman"/>
        </w:rPr>
      </w:pPr>
      <w:r>
        <w:rPr>
          <w:rFonts w:hint="default" w:ascii="Times New Roman" w:hAnsi="Times New Roman" w:cs="Times New Roman"/>
        </w:rPr>
        <w:t>④</w:t>
      </w:r>
      <w:r>
        <w:rPr>
          <w:rFonts w:hint="default" w:ascii="Times New Roman" w:hAnsi="Times New Roman" w:cs="Times New Roman"/>
        </w:rPr>
        <w:t>若皮肤接触时立即脱去被污染的衣着，用大量流动清水冲洗，至少 15 分钟。就医；</w:t>
      </w:r>
    </w:p>
    <w:p>
      <w:pPr>
        <w:adjustRightInd w:val="0"/>
        <w:snapToGrid w:val="0"/>
        <w:spacing w:line="360" w:lineRule="auto"/>
        <w:ind w:firstLine="482"/>
        <w:rPr>
          <w:rFonts w:hint="default" w:ascii="Times New Roman" w:hAnsi="Times New Roman" w:cs="Times New Roman"/>
        </w:rPr>
      </w:pPr>
      <w:r>
        <w:rPr>
          <w:rFonts w:hint="default" w:ascii="Times New Roman" w:hAnsi="Times New Roman" w:cs="Times New Roman"/>
        </w:rPr>
        <w:t>⑤</w:t>
      </w:r>
      <w:r>
        <w:rPr>
          <w:rFonts w:hint="default" w:ascii="Times New Roman" w:hAnsi="Times New Roman" w:cs="Times New Roman"/>
        </w:rPr>
        <w:t>眼睛接触到时立即用大量流动清水或生理盐水彻底冲洗至少 15 分钟。就医。</w:t>
      </w:r>
    </w:p>
    <w:p>
      <w:pPr>
        <w:adjustRightInd w:val="0"/>
        <w:snapToGrid w:val="0"/>
        <w:spacing w:line="360" w:lineRule="auto"/>
        <w:ind w:firstLine="482"/>
        <w:rPr>
          <w:rFonts w:hint="default" w:ascii="Times New Roman" w:hAnsi="Times New Roman" w:cs="Times New Roman"/>
        </w:rPr>
      </w:pPr>
      <w:r>
        <w:rPr>
          <w:rFonts w:hint="default" w:ascii="Times New Roman" w:hAnsi="Times New Roman" w:cs="Times New Roman"/>
        </w:rPr>
        <w:t>⑥</w:t>
      </w:r>
      <w:r>
        <w:rPr>
          <w:rFonts w:hint="default" w:ascii="Times New Roman" w:hAnsi="Times New Roman" w:cs="Times New Roman"/>
        </w:rPr>
        <w:t>吸入时迅速脱离现场至空气新鲜处。保持呼吸道通畅。如呼吸困难，给输氧。如呼吸停止，立即进行人工呼吸，马上就医；</w:t>
      </w:r>
    </w:p>
    <w:p>
      <w:pPr>
        <w:adjustRightInd w:val="0"/>
        <w:snapToGrid w:val="0"/>
        <w:spacing w:line="360" w:lineRule="auto"/>
        <w:ind w:firstLine="482"/>
        <w:rPr>
          <w:rFonts w:hint="default" w:ascii="Times New Roman" w:hAnsi="Times New Roman" w:cs="Times New Roman"/>
        </w:rPr>
      </w:pPr>
      <w:r>
        <w:rPr>
          <w:rFonts w:hint="default" w:ascii="Times New Roman" w:hAnsi="Times New Roman" w:cs="Times New Roman"/>
        </w:rPr>
        <w:t>⑦</w:t>
      </w:r>
      <w:r>
        <w:rPr>
          <w:rFonts w:hint="default" w:ascii="Times New Roman" w:hAnsi="Times New Roman" w:cs="Times New Roman"/>
        </w:rPr>
        <w:t>灭火方法：消防人员必须穿戴全身防火防毒服。灭火剂：干粉、砂土。禁止使用水、泡沫或卤化物灭火剂。</w:t>
      </w:r>
    </w:p>
    <w:p>
      <w:pPr>
        <w:spacing w:line="360" w:lineRule="auto"/>
        <w:ind w:firstLine="480" w:firstLineChars="200"/>
        <w:rPr>
          <w:rFonts w:hint="default" w:ascii="Times New Roman" w:hAnsi="Times New Roman" w:cs="Times New Roman"/>
          <w:b w:val="0"/>
          <w:bCs/>
        </w:rPr>
      </w:pPr>
      <w:r>
        <w:rPr>
          <w:rFonts w:hint="default" w:ascii="Times New Roman" w:hAnsi="Times New Roman" w:cs="Times New Roman"/>
          <w:b w:val="0"/>
          <w:bCs/>
        </w:rPr>
        <w:t>2、废水事故风险防范措施</w:t>
      </w:r>
    </w:p>
    <w:p>
      <w:pPr>
        <w:adjustRightInd w:val="0"/>
        <w:snapToGrid w:val="0"/>
        <w:spacing w:line="360" w:lineRule="auto"/>
        <w:ind w:firstLine="482"/>
        <w:rPr>
          <w:rFonts w:hint="default" w:ascii="Times New Roman" w:hAnsi="Times New Roman" w:cs="Times New Roman"/>
          <w:b w:val="0"/>
          <w:bCs/>
        </w:rPr>
      </w:pPr>
      <w:r>
        <w:rPr>
          <w:rFonts w:hint="default" w:ascii="Times New Roman" w:hAnsi="Times New Roman" w:cs="Times New Roman"/>
          <w:b w:val="0"/>
          <w:bCs/>
        </w:rPr>
        <w:t>（1）消防废水事故防范</w:t>
      </w:r>
    </w:p>
    <w:p>
      <w:pPr>
        <w:adjustRightInd w:val="0"/>
        <w:snapToGrid w:val="0"/>
        <w:spacing w:line="360" w:lineRule="auto"/>
        <w:ind w:firstLine="482"/>
        <w:rPr>
          <w:rFonts w:hint="default" w:ascii="Times New Roman" w:hAnsi="Times New Roman" w:cs="Times New Roman"/>
        </w:rPr>
      </w:pPr>
      <w:r>
        <w:rPr>
          <w:rFonts w:hint="default" w:ascii="Times New Roman" w:hAnsi="Times New Roman" w:cs="Times New Roman"/>
        </w:rPr>
        <w:t>本项目生产过程中发生火灾或爆炸，考虑发生火灾的情况下，项目消防水按25L/s、持续3小时考虑，消防废水量（按用水量80%计）为216m</w:t>
      </w:r>
      <w:r>
        <w:rPr>
          <w:rFonts w:hint="default" w:ascii="Times New Roman" w:hAnsi="Times New Roman" w:cs="Times New Roman"/>
          <w:vertAlign w:val="superscript"/>
        </w:rPr>
        <w:t>3</w:t>
      </w:r>
      <w:r>
        <w:rPr>
          <w:rFonts w:hint="default" w:ascii="Times New Roman" w:hAnsi="Times New Roman" w:cs="Times New Roman"/>
        </w:rPr>
        <w:t>。本项目</w:t>
      </w:r>
      <w:r>
        <w:rPr>
          <w:rFonts w:hint="default" w:ascii="Times New Roman" w:hAnsi="Times New Roman" w:cs="Times New Roman"/>
        </w:rPr>
        <w:t>产生的</w:t>
      </w:r>
      <w:r>
        <w:rPr>
          <w:rFonts w:hint="default" w:ascii="Times New Roman" w:hAnsi="Times New Roman" w:cs="Times New Roman"/>
        </w:rPr>
        <w:t>消防废水</w:t>
      </w:r>
      <w:r>
        <w:rPr>
          <w:rFonts w:hint="default" w:ascii="Times New Roman" w:hAnsi="Times New Roman" w:cs="Times New Roman"/>
        </w:rPr>
        <w:t>排入</w:t>
      </w:r>
      <w:r>
        <w:rPr>
          <w:rFonts w:hint="default" w:ascii="Times New Roman" w:hAnsi="Times New Roman" w:cs="Times New Roman"/>
        </w:rPr>
        <w:t>二期建设的事故水池（3000m</w:t>
      </w:r>
      <w:r>
        <w:rPr>
          <w:rFonts w:hint="default" w:ascii="Times New Roman" w:hAnsi="Times New Roman" w:cs="Times New Roman"/>
          <w:vertAlign w:val="superscript"/>
        </w:rPr>
        <w:t>3</w:t>
      </w:r>
      <w:r>
        <w:rPr>
          <w:rFonts w:hint="default" w:ascii="Times New Roman" w:hAnsi="Times New Roman" w:cs="Times New Roman"/>
        </w:rPr>
        <w:t>），能满足储存要求。</w:t>
      </w:r>
    </w:p>
    <w:p>
      <w:pPr>
        <w:adjustRightInd w:val="0"/>
        <w:snapToGrid w:val="0"/>
        <w:spacing w:line="360" w:lineRule="auto"/>
        <w:ind w:firstLine="482"/>
        <w:rPr>
          <w:rFonts w:hint="default" w:ascii="Times New Roman" w:hAnsi="Times New Roman" w:cs="Times New Roman"/>
          <w:b w:val="0"/>
          <w:bCs/>
        </w:rPr>
      </w:pPr>
      <w:r>
        <w:rPr>
          <w:rFonts w:hint="default" w:ascii="Times New Roman" w:hAnsi="Times New Roman" w:cs="Times New Roman"/>
          <w:b w:val="0"/>
          <w:bCs/>
        </w:rPr>
        <w:t>（2）污水处理站事故防范</w:t>
      </w:r>
    </w:p>
    <w:p>
      <w:pPr>
        <w:adjustRightInd w:val="0"/>
        <w:snapToGrid w:val="0"/>
        <w:spacing w:line="360" w:lineRule="auto"/>
        <w:ind w:firstLine="482"/>
        <w:rPr>
          <w:rFonts w:hint="default" w:ascii="Times New Roman" w:hAnsi="Times New Roman" w:cs="Times New Roman"/>
        </w:rPr>
      </w:pPr>
      <w:r>
        <w:rPr>
          <w:rFonts w:hint="default" w:ascii="Times New Roman" w:hAnsi="Times New Roman" w:cs="Times New Roman"/>
        </w:rPr>
        <w:t>本项目正常运行期间，生产废水经厂内污水处理设施处理达标后，排入污水处理厂处理，正常排放情况下不会对当地地表水环境造成较大影响，但当污水处理站出现运行故障时，将无法对生产废水进行有效治理，此时生产废水排放，势必会对污水处理厂的运行造成不利影响。因此，评价建议的防范措施主要包括以下几个方面：</w:t>
      </w:r>
    </w:p>
    <w:p>
      <w:pPr>
        <w:adjustRightInd w:val="0"/>
        <w:snapToGrid w:val="0"/>
        <w:spacing w:line="360" w:lineRule="auto"/>
        <w:ind w:firstLine="482"/>
        <w:rPr>
          <w:rFonts w:hint="default" w:ascii="Times New Roman" w:hAnsi="Times New Roman" w:cs="Times New Roman"/>
        </w:rPr>
      </w:pPr>
      <w:r>
        <w:rPr>
          <w:rFonts w:hint="default" w:ascii="Times New Roman" w:hAnsi="Times New Roman" w:cs="Times New Roman"/>
        </w:rPr>
        <w:t>①</w:t>
      </w:r>
      <w:r>
        <w:rPr>
          <w:rFonts w:hint="default" w:ascii="Times New Roman" w:hAnsi="Times New Roman" w:cs="Times New Roman"/>
        </w:rPr>
        <w:t>一旦污水处理站无法正常运行时，要求全厂立即停止生产，并将废水暂存在废水事故水池（3000m</w:t>
      </w:r>
      <w:r>
        <w:rPr>
          <w:rFonts w:hint="default" w:ascii="Times New Roman" w:hAnsi="Times New Roman" w:cs="Times New Roman"/>
          <w:vertAlign w:val="superscript"/>
        </w:rPr>
        <w:t>3</w:t>
      </w:r>
      <w:r>
        <w:rPr>
          <w:rFonts w:hint="default" w:ascii="Times New Roman" w:hAnsi="Times New Roman" w:cs="Times New Roman"/>
        </w:rPr>
        <w:t>）中，待检修完毕后，废水进入污水处理站处理达标后排放。</w:t>
      </w:r>
    </w:p>
    <w:p>
      <w:pPr>
        <w:adjustRightInd w:val="0"/>
        <w:snapToGrid w:val="0"/>
        <w:spacing w:line="360" w:lineRule="auto"/>
        <w:ind w:firstLine="482"/>
        <w:rPr>
          <w:rFonts w:hint="default" w:ascii="Times New Roman" w:hAnsi="Times New Roman" w:cs="Times New Roman"/>
        </w:rPr>
      </w:pPr>
      <w:r>
        <w:rPr>
          <w:rFonts w:hint="default" w:ascii="Times New Roman" w:hAnsi="Times New Roman" w:cs="Times New Roman"/>
        </w:rPr>
        <w:t>②</w:t>
      </w:r>
      <w:r>
        <w:rPr>
          <w:rFonts w:hint="default" w:ascii="Times New Roman" w:hAnsi="Times New Roman" w:cs="Times New Roman"/>
        </w:rPr>
        <w:t>加强管理，精心操作，严格按操作规程进行，定期对设备进行维护、检修，在生产装置全厂检修期间，污水处理站也要全面检修；同时污水处理站检修时，全厂生产装置也应停止运行，以尽可能排除一切隐患，降低事故风险。</w:t>
      </w:r>
    </w:p>
    <w:p>
      <w:pPr>
        <w:spacing w:line="360" w:lineRule="auto"/>
        <w:ind w:firstLine="482"/>
        <w:rPr>
          <w:rFonts w:hint="default" w:ascii="Times New Roman" w:hAnsi="Times New Roman" w:cs="Times New Roman"/>
        </w:rPr>
      </w:pPr>
      <w:r>
        <w:rPr>
          <w:rFonts w:hint="default" w:ascii="Times New Roman" w:hAnsi="Times New Roman" w:cs="Times New Roman"/>
        </w:rPr>
        <w:t>③</w:t>
      </w:r>
      <w:r>
        <w:rPr>
          <w:rFonts w:hint="default" w:ascii="Times New Roman" w:hAnsi="Times New Roman" w:cs="Times New Roman"/>
        </w:rPr>
        <w:t>制定严格的操作规程，对污水处理站人员进行上岗前培训、严禁违规操作。</w:t>
      </w:r>
    </w:p>
    <w:p>
      <w:pPr>
        <w:spacing w:line="360" w:lineRule="auto"/>
        <w:ind w:firstLine="480" w:firstLineChars="200"/>
        <w:rPr>
          <w:rFonts w:hint="default" w:ascii="Times New Roman" w:hAnsi="Times New Roman" w:cs="Times New Roman"/>
          <w:b w:val="0"/>
          <w:bCs/>
        </w:rPr>
      </w:pPr>
      <w:r>
        <w:rPr>
          <w:rFonts w:hint="default" w:ascii="Times New Roman" w:hAnsi="Times New Roman" w:cs="Times New Roman"/>
          <w:b w:val="0"/>
          <w:bCs/>
        </w:rPr>
        <w:t>3、地下水风险防范措施</w:t>
      </w:r>
    </w:p>
    <w:p>
      <w:pPr>
        <w:adjustRightInd w:val="0"/>
        <w:snapToGrid w:val="0"/>
        <w:spacing w:line="360" w:lineRule="auto"/>
        <w:ind w:firstLine="480" w:firstLineChars="200"/>
        <w:rPr>
          <w:rFonts w:hint="default" w:ascii="Times New Roman" w:hAnsi="Times New Roman" w:cs="Times New Roman"/>
        </w:rPr>
      </w:pPr>
      <w:r>
        <w:rPr>
          <w:rFonts w:hint="default" w:ascii="Times New Roman" w:hAnsi="Times New Roman" w:cs="Times New Roman"/>
        </w:rPr>
        <w:t>（1）源头控制措施</w:t>
      </w:r>
    </w:p>
    <w:p>
      <w:pPr>
        <w:adjustRightInd w:val="0"/>
        <w:snapToGrid w:val="0"/>
        <w:spacing w:line="360" w:lineRule="auto"/>
        <w:ind w:firstLine="480" w:firstLineChars="200"/>
        <w:rPr>
          <w:rFonts w:hint="default" w:ascii="Times New Roman" w:hAnsi="Times New Roman" w:cs="Times New Roman"/>
        </w:rPr>
      </w:pPr>
      <w:r>
        <w:rPr>
          <w:rFonts w:hint="default" w:ascii="Times New Roman" w:hAnsi="Times New Roman" w:cs="Times New Roman"/>
        </w:rPr>
        <w:t>项目应严格执行雨污分流及清污分流，建成三大排水系统，即生产废水、生活废水、雨水要有组织地分别排入对应的系统管网和处理系统处理。</w:t>
      </w:r>
    </w:p>
    <w:p>
      <w:pPr>
        <w:adjustRightInd w:val="0"/>
        <w:snapToGrid w:val="0"/>
        <w:spacing w:line="360" w:lineRule="auto"/>
        <w:ind w:firstLine="480" w:firstLineChars="200"/>
        <w:rPr>
          <w:rFonts w:hint="default" w:ascii="Times New Roman" w:hAnsi="Times New Roman" w:cs="Times New Roman"/>
        </w:rPr>
      </w:pPr>
      <w:r>
        <w:rPr>
          <w:rFonts w:hint="default" w:ascii="Times New Roman" w:hAnsi="Times New Roman" w:cs="Times New Roman"/>
        </w:rPr>
        <w:t>（2）分区防控措施</w:t>
      </w:r>
    </w:p>
    <w:p>
      <w:pPr>
        <w:spacing w:line="360" w:lineRule="auto"/>
        <w:ind w:firstLine="482"/>
        <w:rPr>
          <w:rFonts w:hint="default" w:ascii="Times New Roman" w:hAnsi="Times New Roman" w:eastAsia="宋体" w:cs="Times New Roman"/>
          <w:lang w:eastAsia="zh-CN"/>
        </w:rPr>
      </w:pPr>
      <w:r>
        <w:rPr>
          <w:rFonts w:hint="default" w:ascii="Times New Roman" w:hAnsi="Times New Roman" w:cs="Times New Roman"/>
        </w:rPr>
        <w:t>根据原有项目环评批复，</w:t>
      </w:r>
      <w:r>
        <w:rPr>
          <w:rFonts w:hint="default" w:ascii="Times New Roman" w:hAnsi="Times New Roman" w:cs="Times New Roman"/>
        </w:rPr>
        <w:t>化学品库、</w:t>
      </w:r>
      <w:r>
        <w:rPr>
          <w:rFonts w:hint="default" w:ascii="Times New Roman" w:hAnsi="Times New Roman" w:cs="Times New Roman"/>
        </w:rPr>
        <w:t>含氟废水处理站</w:t>
      </w:r>
      <w:r>
        <w:rPr>
          <w:rFonts w:hint="default" w:ascii="Times New Roman" w:hAnsi="Times New Roman" w:cs="Times New Roman"/>
        </w:rPr>
        <w:t>、清洗车间、事故水池、初期雨水池</w:t>
      </w:r>
      <w:r>
        <w:rPr>
          <w:rFonts w:hint="default" w:ascii="Times New Roman" w:hAnsi="Times New Roman" w:cs="Times New Roman"/>
        </w:rPr>
        <w:t>、综合污水处理站、危废库</w:t>
      </w:r>
      <w:r>
        <w:rPr>
          <w:rFonts w:hint="default" w:ascii="Times New Roman" w:hAnsi="Times New Roman" w:cs="Times New Roman"/>
        </w:rPr>
        <w:t>等区域为重点防渗区；</w:t>
      </w:r>
      <w:r>
        <w:rPr>
          <w:rFonts w:hint="default" w:ascii="Times New Roman" w:hAnsi="Times New Roman" w:cs="Times New Roman"/>
        </w:rPr>
        <w:t>一二期</w:t>
      </w:r>
      <w:r>
        <w:rPr>
          <w:rFonts w:hint="default" w:ascii="Times New Roman" w:hAnsi="Times New Roman" w:cs="Times New Roman"/>
        </w:rPr>
        <w:t>单晶车间、切片车间、硅泥</w:t>
      </w:r>
      <w:r>
        <w:rPr>
          <w:rFonts w:hint="default" w:ascii="Times New Roman" w:hAnsi="Times New Roman" w:cs="Times New Roman"/>
          <w:lang w:eastAsia="zh-CN"/>
        </w:rPr>
        <w:t>库</w:t>
      </w:r>
      <w:r>
        <w:rPr>
          <w:rFonts w:hint="default" w:ascii="Times New Roman" w:hAnsi="Times New Roman" w:cs="Times New Roman"/>
        </w:rPr>
        <w:t>等区域为一般防渗区；上述区域之外的区域为简单防渗区。</w:t>
      </w:r>
      <w:r>
        <w:rPr>
          <w:rFonts w:hint="default" w:ascii="Times New Roman" w:hAnsi="Times New Roman" w:cs="Times New Roman"/>
          <w:lang w:eastAsia="zh-CN"/>
        </w:rPr>
        <w:t>本次环评不改变该分区，依然沿用。</w:t>
      </w:r>
    </w:p>
    <w:p>
      <w:pPr>
        <w:widowControl/>
        <w:spacing w:line="360" w:lineRule="auto"/>
        <w:ind w:firstLine="480" w:firstLineChars="200"/>
        <w:jc w:val="left"/>
        <w:rPr>
          <w:rFonts w:hint="default" w:ascii="Times New Roman" w:hAnsi="Times New Roman" w:cs="Times New Roman"/>
        </w:rPr>
      </w:pPr>
      <w:r>
        <w:rPr>
          <w:rFonts w:hint="default" w:ascii="Times New Roman" w:hAnsi="Times New Roman" w:cs="Times New Roman"/>
        </w:rPr>
        <w:t>重点防渗区：化学品库、含氟废水处理站、清洗车间、事故水池、初期雨水池已建设完成，已按要求实施重点防渗并提供防渗工程验收合格材料</w:t>
      </w:r>
      <w:r>
        <w:rPr>
          <w:rFonts w:hint="default" w:ascii="Times New Roman" w:hAnsi="Times New Roman" w:cs="Times New Roman"/>
        </w:rPr>
        <w:t>。</w:t>
      </w:r>
    </w:p>
    <w:p>
      <w:pPr>
        <w:widowControl/>
        <w:spacing w:line="360" w:lineRule="auto"/>
        <w:ind w:firstLine="480" w:firstLineChars="200"/>
        <w:jc w:val="left"/>
        <w:rPr>
          <w:rFonts w:hint="default" w:ascii="Times New Roman" w:hAnsi="Times New Roman" w:cs="Times New Roman"/>
        </w:rPr>
      </w:pPr>
      <w:r>
        <w:rPr>
          <w:rFonts w:hint="default" w:ascii="Times New Roman" w:hAnsi="Times New Roman" w:cs="Times New Roman"/>
          <w:kern w:val="0"/>
        </w:rPr>
        <w:t>根据</w:t>
      </w:r>
      <w:r>
        <w:rPr>
          <w:rFonts w:hint="default" w:ascii="Times New Roman" w:hAnsi="Times New Roman" w:cs="Times New Roman"/>
        </w:rPr>
        <w:t>昆明建设咨询监理有限公司出具的《楚雄工业园富民庄甸工业区标准厂房、道路及配套基础设施建设项目抗渗评估报告》可知：化学品库采用厚双层双向钢筋抗渗P6C30地坪混凝土厚度20cm，地坪使用pvc板焊接满铺，水沟使用玻纤布+环氧树脂4油3布施工。含氟废水处理站钢筋抗渗混凝土P6为基面，防水使用玻纤布+环氧树脂4油3布施工满水试验符合设计及规范要求；事故水池采用钢筋混凝土P6施工，满水试验合格后采用涤纶+砂浆聚合物防水施工两遍，基础防渗满足防渗能力相当于6.0m厚黏土层、渗透系数≤10</w:t>
      </w:r>
      <w:r>
        <w:rPr>
          <w:rFonts w:hint="default" w:ascii="Times New Roman" w:hAnsi="Times New Roman" w:cs="Times New Roman"/>
          <w:vertAlign w:val="superscript"/>
        </w:rPr>
        <w:t>-7</w:t>
      </w:r>
      <w:r>
        <w:rPr>
          <w:rFonts w:hint="default" w:ascii="Times New Roman" w:hAnsi="Times New Roman" w:cs="Times New Roman"/>
        </w:rPr>
        <w:t>cm/s的防渗能力。</w:t>
      </w:r>
    </w:p>
    <w:p>
      <w:pPr>
        <w:widowControl/>
        <w:spacing w:line="360" w:lineRule="auto"/>
        <w:ind w:firstLine="480" w:firstLineChars="200"/>
        <w:jc w:val="left"/>
        <w:rPr>
          <w:rFonts w:hint="default" w:ascii="Times New Roman" w:hAnsi="Times New Roman" w:cs="Times New Roman"/>
        </w:rPr>
      </w:pPr>
      <w:r>
        <w:rPr>
          <w:rFonts w:hint="default" w:ascii="Times New Roman" w:hAnsi="Times New Roman" w:cs="Times New Roman"/>
        </w:rPr>
        <w:t>综合</w:t>
      </w:r>
      <w:r>
        <w:rPr>
          <w:rFonts w:hint="default" w:ascii="Times New Roman" w:hAnsi="Times New Roman" w:cs="Times New Roman"/>
        </w:rPr>
        <w:t>污水处理站、</w:t>
      </w:r>
      <w:r>
        <w:rPr>
          <w:rFonts w:hint="default" w:ascii="Times New Roman" w:hAnsi="Times New Roman" w:cs="Times New Roman"/>
        </w:rPr>
        <w:t>危废库</w:t>
      </w:r>
      <w:r>
        <w:rPr>
          <w:rFonts w:hint="default" w:ascii="Times New Roman" w:hAnsi="Times New Roman" w:cs="Times New Roman"/>
          <w:lang w:eastAsia="zh-CN"/>
        </w:rPr>
        <w:t>已实施重点防渗措施，但尚未进行防渗工程验收</w:t>
      </w:r>
      <w:r>
        <w:rPr>
          <w:rFonts w:hint="default" w:ascii="Times New Roman" w:hAnsi="Times New Roman" w:cs="Times New Roman"/>
        </w:rPr>
        <w:t>，环评要求</w:t>
      </w:r>
      <w:r>
        <w:rPr>
          <w:rFonts w:hint="default" w:ascii="Times New Roman" w:hAnsi="Times New Roman" w:cs="Times New Roman"/>
        </w:rPr>
        <w:t>综合</w:t>
      </w:r>
      <w:r>
        <w:rPr>
          <w:rFonts w:hint="default" w:ascii="Times New Roman" w:hAnsi="Times New Roman" w:cs="Times New Roman"/>
        </w:rPr>
        <w:t>污水处理站</w:t>
      </w:r>
      <w:r>
        <w:rPr>
          <w:rFonts w:hint="default" w:ascii="Times New Roman" w:hAnsi="Times New Roman" w:cs="Times New Roman"/>
          <w:lang w:eastAsia="zh-CN"/>
        </w:rPr>
        <w:t>需满足</w:t>
      </w:r>
      <w:r>
        <w:rPr>
          <w:rFonts w:hint="default" w:ascii="Times New Roman" w:hAnsi="Times New Roman" w:cs="Times New Roman"/>
        </w:rPr>
        <w:t>防渗能力相当于6.0m厚黏土层、渗透系数</w:t>
      </w:r>
      <w:r>
        <w:rPr>
          <w:rFonts w:hint="default" w:ascii="Times New Roman" w:hAnsi="Times New Roman" w:cs="Times New Roman"/>
        </w:rPr>
        <w:t>≤</w:t>
      </w:r>
      <w:r>
        <w:rPr>
          <w:rFonts w:hint="default" w:ascii="Times New Roman" w:hAnsi="Times New Roman" w:cs="Times New Roman"/>
        </w:rPr>
        <w:t>10</w:t>
      </w:r>
      <w:r>
        <w:rPr>
          <w:rFonts w:hint="default" w:ascii="Times New Roman" w:hAnsi="Times New Roman" w:cs="Times New Roman"/>
          <w:vertAlign w:val="superscript"/>
        </w:rPr>
        <w:t>-7</w:t>
      </w:r>
      <w:r>
        <w:rPr>
          <w:rFonts w:hint="default" w:ascii="Times New Roman" w:hAnsi="Times New Roman" w:cs="Times New Roman"/>
        </w:rPr>
        <w:t>cm/s</w:t>
      </w:r>
      <w:r>
        <w:rPr>
          <w:rFonts w:hint="default" w:ascii="Times New Roman" w:hAnsi="Times New Roman" w:cs="Times New Roman"/>
          <w:lang w:eastAsia="zh-CN"/>
        </w:rPr>
        <w:t>；</w:t>
      </w:r>
      <w:r>
        <w:rPr>
          <w:rFonts w:hint="default" w:ascii="Times New Roman" w:hAnsi="Times New Roman" w:cs="Times New Roman"/>
        </w:rPr>
        <w:t>危废库防渗层的防渗性能应等效于厚度</w:t>
      </w:r>
      <w:r>
        <w:rPr>
          <w:rFonts w:hint="default" w:ascii="Times New Roman" w:hAnsi="Times New Roman" w:cs="Times New Roman"/>
        </w:rPr>
        <w:t>Mb</w:t>
      </w:r>
      <w:r>
        <w:rPr>
          <w:rFonts w:hint="default" w:ascii="Times New Roman" w:hAnsi="Times New Roman" w:cs="Times New Roman"/>
        </w:rPr>
        <w:t>≥6m，渗透系数≤1.0×10</w:t>
      </w:r>
      <w:r>
        <w:rPr>
          <w:rFonts w:hint="default" w:ascii="Times New Roman" w:hAnsi="Times New Roman" w:cs="Times New Roman"/>
          <w:vertAlign w:val="superscript"/>
        </w:rPr>
        <w:t>-10</w:t>
      </w:r>
      <w:r>
        <w:rPr>
          <w:rFonts w:hint="default" w:ascii="Times New Roman" w:hAnsi="Times New Roman" w:cs="Times New Roman"/>
        </w:rPr>
        <w:t>cm/s。</w:t>
      </w:r>
    </w:p>
    <w:p>
      <w:pPr>
        <w:spacing w:line="360" w:lineRule="auto"/>
        <w:ind w:firstLine="482"/>
        <w:rPr>
          <w:rFonts w:hint="default" w:ascii="Times New Roman" w:hAnsi="Times New Roman" w:eastAsia="宋体" w:cs="Times New Roman"/>
          <w:lang w:eastAsia="zh-CN"/>
        </w:rPr>
      </w:pPr>
      <w:r>
        <w:rPr>
          <w:rFonts w:hint="default" w:ascii="Times New Roman" w:hAnsi="Times New Roman" w:cs="Times New Roman"/>
        </w:rPr>
        <w:t>一般防渗区：一</w:t>
      </w:r>
      <w:r>
        <w:rPr>
          <w:rFonts w:hint="default" w:ascii="Times New Roman" w:hAnsi="Times New Roman" w:cs="Times New Roman"/>
          <w:lang w:eastAsia="zh-CN"/>
        </w:rPr>
        <w:t>二</w:t>
      </w:r>
      <w:r>
        <w:rPr>
          <w:rFonts w:hint="default" w:ascii="Times New Roman" w:hAnsi="Times New Roman" w:cs="Times New Roman"/>
        </w:rPr>
        <w:t>期单晶车间已按要求实施一般防渗并提供防渗工程验收合格材料</w:t>
      </w:r>
      <w:r>
        <w:rPr>
          <w:rFonts w:hint="default" w:ascii="Times New Roman" w:hAnsi="Times New Roman" w:cs="Times New Roman"/>
        </w:rPr>
        <w:t>，</w:t>
      </w:r>
      <w:r>
        <w:rPr>
          <w:rFonts w:hint="default" w:ascii="Times New Roman" w:hAnsi="Times New Roman" w:cs="Times New Roman"/>
        </w:rPr>
        <w:t>地坪经过压实系数94%，地坪、水沟混凝土采用双层双向C30混凝土20cm厚P6抗渗混凝土浇筑，循环水池基础形式为旋挖桩基础+60CM筏板，混凝土均采用C30.P6抗渗混凝土浇筑，满水试验符合设计和规范要求，防水使用涤纶+砂浆聚合物施工两遍，其防渗层防渗效果等效黏土防渗层Mb≥1.5m，渗透系数≤1×10</w:t>
      </w:r>
      <w:r>
        <w:rPr>
          <w:rFonts w:hint="default" w:ascii="Times New Roman" w:hAnsi="Times New Roman" w:cs="Times New Roman"/>
          <w:vertAlign w:val="superscript"/>
        </w:rPr>
        <w:t>-7</w:t>
      </w:r>
      <w:r>
        <w:rPr>
          <w:rFonts w:hint="default" w:ascii="Times New Roman" w:hAnsi="Times New Roman" w:cs="Times New Roman"/>
        </w:rPr>
        <w:t>cm/s要求</w:t>
      </w:r>
      <w:r>
        <w:rPr>
          <w:rFonts w:hint="default" w:ascii="Times New Roman" w:hAnsi="Times New Roman" w:cs="Times New Roman"/>
        </w:rPr>
        <w:t>。</w:t>
      </w:r>
      <w:r>
        <w:rPr>
          <w:rFonts w:hint="default" w:ascii="Times New Roman" w:hAnsi="Times New Roman" w:cs="Times New Roman"/>
          <w:lang w:eastAsia="zh-CN"/>
        </w:rPr>
        <w:t>切片车间、硅泥库尚未进行防渗工程验收，环评要求切片车间、硅泥库的防渗性能应</w:t>
      </w:r>
      <w:r>
        <w:rPr>
          <w:rFonts w:hint="default" w:ascii="Times New Roman" w:hAnsi="Times New Roman" w:cs="Times New Roman"/>
        </w:rPr>
        <w:t>等效黏土防渗层Mb≥1.5m</w:t>
      </w:r>
      <w:r>
        <w:rPr>
          <w:rFonts w:hint="default" w:ascii="Times New Roman" w:hAnsi="Times New Roman" w:cs="Times New Roman"/>
          <w:lang w:eastAsia="zh-CN"/>
        </w:rPr>
        <w:t>、</w:t>
      </w:r>
      <w:r>
        <w:rPr>
          <w:rFonts w:hint="default" w:ascii="Times New Roman" w:hAnsi="Times New Roman" w:cs="Times New Roman"/>
        </w:rPr>
        <w:t>渗透系数≤1×10</w:t>
      </w:r>
      <w:r>
        <w:rPr>
          <w:rFonts w:hint="default" w:ascii="Times New Roman" w:hAnsi="Times New Roman" w:cs="Times New Roman"/>
          <w:vertAlign w:val="superscript"/>
        </w:rPr>
        <w:t>-7</w:t>
      </w:r>
      <w:r>
        <w:rPr>
          <w:rFonts w:hint="default" w:ascii="Times New Roman" w:hAnsi="Times New Roman" w:cs="Times New Roman"/>
        </w:rPr>
        <w:t>cm/s</w:t>
      </w:r>
      <w:r>
        <w:rPr>
          <w:rFonts w:hint="default" w:ascii="Times New Roman" w:hAnsi="Times New Roman" w:cs="Times New Roman"/>
          <w:lang w:eastAsia="zh-CN"/>
        </w:rPr>
        <w:t>。</w:t>
      </w:r>
    </w:p>
    <w:p>
      <w:pPr>
        <w:spacing w:line="360" w:lineRule="auto"/>
        <w:ind w:firstLine="482"/>
        <w:rPr>
          <w:rFonts w:hint="default" w:ascii="Times New Roman" w:hAnsi="Times New Roman" w:cs="Times New Roman"/>
        </w:rPr>
      </w:pPr>
      <w:r>
        <w:rPr>
          <w:rFonts w:hint="default" w:ascii="Times New Roman" w:hAnsi="Times New Roman" w:cs="Times New Roman"/>
        </w:rPr>
        <w:t>简单防渗区：不采取专门针对地下水污染的防治措施，地基处理分层压实系数94%，地面进行硬化措施，符合抗水验收要求。</w:t>
      </w:r>
    </w:p>
    <w:p>
      <w:pPr>
        <w:adjustRightInd w:val="0"/>
        <w:snapToGrid w:val="0"/>
        <w:spacing w:line="360" w:lineRule="auto"/>
        <w:ind w:firstLine="482"/>
        <w:rPr>
          <w:rFonts w:hint="default" w:ascii="Times New Roman" w:hAnsi="Times New Roman" w:cs="Times New Roman"/>
        </w:rPr>
      </w:pPr>
      <w:r>
        <w:rPr>
          <w:rFonts w:hint="default" w:ascii="Times New Roman" w:hAnsi="Times New Roman" w:cs="Times New Roman"/>
        </w:rPr>
        <w:t>（3）地下水污染监控措施</w:t>
      </w:r>
    </w:p>
    <w:p>
      <w:pPr>
        <w:spacing w:line="360" w:lineRule="auto"/>
        <w:ind w:firstLine="482"/>
        <w:rPr>
          <w:rFonts w:hint="default" w:ascii="Times New Roman" w:hAnsi="Times New Roman" w:cs="Times New Roman"/>
          <w:color w:val="FF0000"/>
        </w:rPr>
      </w:pPr>
      <w:r>
        <w:rPr>
          <w:rFonts w:hint="default" w:ascii="Times New Roman" w:hAnsi="Times New Roman" w:cs="Times New Roman"/>
        </w:rPr>
        <w:t>建立项目区的地下水环境监控体系，主要为建立防渗系统检查计划和环境管理体系、配备必要的检测仪器和设备，以便及时发现问题，及时采取措施。</w:t>
      </w:r>
    </w:p>
    <w:p>
      <w:pPr>
        <w:spacing w:line="360" w:lineRule="auto"/>
        <w:ind w:firstLine="480" w:firstLineChars="200"/>
        <w:rPr>
          <w:rFonts w:hint="default" w:ascii="Times New Roman" w:hAnsi="Times New Roman" w:cs="Times New Roman"/>
          <w:b w:val="0"/>
          <w:bCs/>
        </w:rPr>
      </w:pPr>
      <w:r>
        <w:rPr>
          <w:rFonts w:hint="default" w:ascii="Times New Roman" w:hAnsi="Times New Roman" w:cs="Times New Roman"/>
          <w:b w:val="0"/>
          <w:bCs/>
        </w:rPr>
        <w:t>4、其他技术方面的风险防范措施</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（1）大气环境事故风险防范措施</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从污染治理设施处理工艺分析，废气污染源出现非正常排放的情况可能为污染治理设施停电或其他设备损坏导致污染治理设施不能正常运行，或者碱液吸收量达到饱和，从而使处理效率下降，造成非正常排放。</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当污染治理设施停电或其设备损坏时，应立即停止生产。一般来说，立即停止生产可有效控制非正常排放的发生。</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（2）开、停车的风险防范措施</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①</w:t>
      </w:r>
      <w:r>
        <w:rPr>
          <w:rFonts w:hint="default" w:ascii="Times New Roman" w:hAnsi="Times New Roman" w:cs="Times New Roman"/>
        </w:rPr>
        <w:t>开停车前，生产部门要制定详细的开停车方案，并经安全、技术部门审核，以书面通知的形式发放到每一个生产及辅助工序。</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②</w:t>
      </w:r>
      <w:r>
        <w:rPr>
          <w:rFonts w:hint="default" w:ascii="Times New Roman" w:hAnsi="Times New Roman" w:cs="Times New Roman"/>
        </w:rPr>
        <w:t>开停车的时间尽量安排在白天进行。</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③</w:t>
      </w:r>
      <w:r>
        <w:rPr>
          <w:rFonts w:hint="default" w:ascii="Times New Roman" w:hAnsi="Times New Roman" w:cs="Times New Roman"/>
        </w:rPr>
        <w:t>各工序的操作人员应该了解该通知的具体内容，明确通知对本工序的时间、工作内容要求，并安排落实到具体的班组及人员。</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④</w:t>
      </w:r>
      <w:r>
        <w:rPr>
          <w:rFonts w:hint="default" w:ascii="Times New Roman" w:hAnsi="Times New Roman" w:cs="Times New Roman"/>
        </w:rPr>
        <w:t>开停车的具体指挥由生产部门的调度负责执行，各工序要服从调度指挥。</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⑤</w:t>
      </w:r>
      <w:r>
        <w:rPr>
          <w:rFonts w:hint="default" w:ascii="Times New Roman" w:hAnsi="Times New Roman" w:cs="Times New Roman"/>
        </w:rPr>
        <w:t>开车前，所有工序确认工艺装置、设备、公用工程等正常才能开车。</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⑥</w:t>
      </w:r>
      <w:r>
        <w:rPr>
          <w:rFonts w:hint="default" w:ascii="Times New Roman" w:hAnsi="Times New Roman" w:cs="Times New Roman"/>
        </w:rPr>
        <w:t>开停车时，生产负荷的每次调整都要得到相关工序的确认后才能进入下一步的操作，同时要根据设备的性能、上下游工序的协作配合程度来进行，不能操之过急。</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（3）检修过程中安全对策和措施</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①</w:t>
      </w:r>
      <w:r>
        <w:rPr>
          <w:rFonts w:hint="default" w:ascii="Times New Roman" w:hAnsi="Times New Roman" w:cs="Times New Roman"/>
        </w:rPr>
        <w:t>属于停电大检修的设备及管道应该排尽所有的物料，经过解口，所在工序的操作人员确认之后才能进行。</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②</w:t>
      </w:r>
      <w:r>
        <w:rPr>
          <w:rFonts w:hint="default" w:ascii="Times New Roman" w:hAnsi="Times New Roman" w:cs="Times New Roman"/>
        </w:rPr>
        <w:t>有物料的设备，其管道需要检修时，应将设备上的阀门加上盲板，并与需检修的设备断开。</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③</w:t>
      </w:r>
      <w:r>
        <w:rPr>
          <w:rFonts w:hint="default" w:ascii="Times New Roman" w:hAnsi="Times New Roman" w:cs="Times New Roman"/>
        </w:rPr>
        <w:t>所有进入检修现场的人员必须戴好安全帽，穿好工作服。</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④</w:t>
      </w:r>
      <w:r>
        <w:rPr>
          <w:rFonts w:hint="default" w:ascii="Times New Roman" w:hAnsi="Times New Roman" w:cs="Times New Roman"/>
        </w:rPr>
        <w:t>涉及到起重、叉车、焊接、用电及电气设备的检修等作业必须办好相应的作业票证，有专门的监护人及良好的作业环境，并且上述检修人员必须持证上岗。</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⑤</w:t>
      </w:r>
      <w:r>
        <w:rPr>
          <w:rFonts w:hint="default" w:ascii="Times New Roman" w:hAnsi="Times New Roman" w:cs="Times New Roman"/>
        </w:rPr>
        <w:t>高空作业人员必须戴好安全带，并且具有良好的工作平台。</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⑥</w:t>
      </w:r>
      <w:r>
        <w:rPr>
          <w:rFonts w:hint="default" w:ascii="Times New Roman" w:hAnsi="Times New Roman" w:cs="Times New Roman"/>
        </w:rPr>
        <w:t>腐蚀性介质区域的人员必须佩戴护目镜。</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⑦</w:t>
      </w:r>
      <w:r>
        <w:rPr>
          <w:rFonts w:hint="default" w:ascii="Times New Roman" w:hAnsi="Times New Roman" w:cs="Times New Roman"/>
        </w:rPr>
        <w:t>检修期间配置淋浴、洗眼器的自来水管不得切断。</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⑧</w:t>
      </w:r>
      <w:r>
        <w:rPr>
          <w:rFonts w:hint="default" w:ascii="Times New Roman" w:hAnsi="Times New Roman" w:cs="Times New Roman"/>
        </w:rPr>
        <w:t>检修完成后，要清理现场，熄灭火源。</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⑨</w:t>
      </w:r>
      <w:r>
        <w:rPr>
          <w:rFonts w:hint="default" w:ascii="Times New Roman" w:hAnsi="Times New Roman" w:cs="Times New Roman"/>
        </w:rPr>
        <w:t>压力容器、压力管道的探伤检验尽量安排在夜间，并且要疏散周围的人员，检测人员要做好相应的防护措施。</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⑩</w:t>
      </w:r>
      <w:r>
        <w:rPr>
          <w:rFonts w:hint="default" w:ascii="Times New Roman" w:hAnsi="Times New Roman" w:cs="Times New Roman"/>
        </w:rPr>
        <w:t>检修过程中设备及管道中清理出来的危险物料，要集中收集，专门处理，不得随意排放及处置。</w:t>
      </w:r>
    </w:p>
    <w:p>
      <w:pPr>
        <w:adjustRightInd w:val="0"/>
        <w:snapToGrid w:val="0"/>
        <w:spacing w:line="360" w:lineRule="auto"/>
        <w:ind w:firstLine="482"/>
        <w:rPr>
          <w:rFonts w:hint="default" w:ascii="Times New Roman" w:hAnsi="Times New Roman" w:cs="Times New Roman" w:eastAsiaTheme="minorEastAsia"/>
          <w:b/>
          <w:bCs/>
          <w:szCs w:val="22"/>
        </w:rPr>
      </w:pPr>
      <w:bookmarkStart w:id="960" w:name="_Toc79144727"/>
      <w:r>
        <w:rPr>
          <w:rFonts w:hint="default" w:ascii="Times New Roman" w:hAnsi="Times New Roman" w:cs="Times New Roman" w:eastAsiaTheme="minorEastAsia"/>
          <w:b/>
          <w:bCs/>
          <w:szCs w:val="22"/>
          <w:lang w:eastAsia="zh-CN"/>
        </w:rPr>
        <w:t>四、</w:t>
      </w:r>
      <w:r>
        <w:rPr>
          <w:rFonts w:hint="default" w:ascii="Times New Roman" w:hAnsi="Times New Roman" w:cs="Times New Roman" w:eastAsiaTheme="minorEastAsia"/>
          <w:b/>
          <w:bCs/>
          <w:szCs w:val="22"/>
        </w:rPr>
        <w:t>应急预案</w:t>
      </w:r>
      <w:bookmarkEnd w:id="960"/>
    </w:p>
    <w:p>
      <w:pPr>
        <w:adjustRightInd w:val="0"/>
        <w:snapToGrid w:val="0"/>
        <w:spacing w:line="360" w:lineRule="auto"/>
        <w:ind w:firstLine="482"/>
        <w:rPr>
          <w:rFonts w:hint="default" w:ascii="Times New Roman" w:hAnsi="Times New Roman" w:cs="Times New Roman" w:eastAsiaTheme="minorEastAsia"/>
          <w:szCs w:val="22"/>
        </w:rPr>
      </w:pPr>
      <w:r>
        <w:rPr>
          <w:rFonts w:hint="default" w:ascii="Times New Roman" w:hAnsi="Times New Roman" w:cs="Times New Roman" w:eastAsiaTheme="minorEastAsia"/>
          <w:szCs w:val="22"/>
        </w:rPr>
        <w:t>应急预案是在贯彻预防为主的前提下，为及时控制危害源，抢救受害人员，指导居民防护和组织撤离，消除危害后果而组织的救援活动的预想方案。应急预案按各级进行制定。发生风险事故时，根据风险事故级别从低到高按照属地管理、分级响应的原则按工业园区、市级、省级等启动相应级别的应急预案进行处置。上级预案的启动在下级预案先行启动响应的基础上进行。</w:t>
      </w:r>
    </w:p>
    <w:p>
      <w:pPr>
        <w:adjustRightInd w:val="0"/>
        <w:snapToGrid w:val="0"/>
        <w:spacing w:line="360" w:lineRule="auto"/>
        <w:ind w:firstLine="482"/>
        <w:rPr>
          <w:rFonts w:hint="default" w:ascii="Times New Roman" w:hAnsi="Times New Roman" w:cs="Times New Roman" w:eastAsiaTheme="minorEastAsia"/>
          <w:szCs w:val="22"/>
        </w:rPr>
      </w:pPr>
      <w:r>
        <w:rPr>
          <w:rFonts w:hint="default" w:ascii="Times New Roman" w:hAnsi="Times New Roman" w:cs="Times New Roman" w:eastAsiaTheme="minorEastAsia"/>
          <w:szCs w:val="22"/>
        </w:rPr>
        <w:t>企业应按照《企业事业单位突发环境事件应急预案备案管理办法（试行）》环发[2015]4号文中的要求，编制突发环境事件应急预案并在当地环保部门备案。</w:t>
      </w:r>
    </w:p>
    <w:p>
      <w:pPr>
        <w:pStyle w:val="136"/>
        <w:spacing w:line="360" w:lineRule="auto"/>
        <w:ind w:firstLine="482"/>
        <w:rPr>
          <w:rFonts w:hint="default" w:ascii="Times New Roman" w:hAnsi="Times New Roman" w:cs="Times New Roman" w:eastAsiaTheme="minorEastAsia"/>
          <w:b/>
          <w:color w:val="auto"/>
        </w:rPr>
      </w:pPr>
      <w:r>
        <w:rPr>
          <w:rFonts w:hint="default" w:ascii="Times New Roman" w:hAnsi="Times New Roman" w:cs="Times New Roman" w:eastAsiaTheme="minorEastAsia"/>
          <w:color w:val="auto"/>
          <w:szCs w:val="22"/>
        </w:rPr>
        <w:t>环境应急预案应体现自救互救、信息报告和先期处置特点，侧重明确现场组织指挥机制、应急队伍分工、信息报告、监测预警、不同情景下的应对流程和措施、应急资源保障等内容。</w:t>
      </w:r>
    </w:p>
    <w:p>
      <w:pPr>
        <w:pStyle w:val="136"/>
        <w:spacing w:line="360" w:lineRule="auto"/>
        <w:ind w:firstLine="480" w:firstLineChars="200"/>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1、应急预案总述</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为有效防范环境事件特别是重、特大环境事件的发生，及时合理处置可能发生的各类突发环境事件，有效控制和消除污染，维护辖区环境安全，保护辖区群众正常生活、生产活动的进行，促进社会全面、协调和可持续发展。</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一个完整的应急预案应由两部分组成：现场应急计划和厂外应急计划。现场和厂外应急计划应分开，但彼此应协调一致，现场应急计划由企业负责，而厂外应急计划由地方政府负责。</w:t>
      </w:r>
    </w:p>
    <w:p>
      <w:pPr>
        <w:pStyle w:val="136"/>
        <w:spacing w:line="360" w:lineRule="auto"/>
        <w:ind w:firstLine="480" w:firstLineChars="200"/>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2、适用范围</w:t>
      </w:r>
    </w:p>
    <w:p>
      <w:pPr>
        <w:pStyle w:val="136"/>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本预案适用于公司内发生的突发环境事件的控制和处置。具体内容包括：</w:t>
      </w:r>
    </w:p>
    <w:p>
      <w:pPr>
        <w:pStyle w:val="136"/>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（1）危险化学品及其它有毒有害物品在经营、贮存、运输、使用和处置过程中发生的爆炸、燃烧、大面积泄漏等事故、事件。</w:t>
      </w:r>
    </w:p>
    <w:p>
      <w:pPr>
        <w:pStyle w:val="136"/>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（2）工厂在生产、经营过程中因生产装置、污染防治设施、设备等因素发生意外事故造成的突发环境事件。</w:t>
      </w:r>
    </w:p>
    <w:p>
      <w:pPr>
        <w:pStyle w:val="136"/>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（3）因遭受自然灾害而造成的可能危及人体健康的环境事件。</w:t>
      </w:r>
    </w:p>
    <w:p>
      <w:pPr>
        <w:pStyle w:val="136"/>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（4）其它突发性的环境事件。</w:t>
      </w:r>
    </w:p>
    <w:p>
      <w:pPr>
        <w:pStyle w:val="136"/>
        <w:spacing w:line="360" w:lineRule="auto"/>
        <w:ind w:firstLine="480" w:firstLineChars="200"/>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3、建立化学事故救援应急预案</w:t>
      </w:r>
    </w:p>
    <w:p>
      <w:pPr>
        <w:pStyle w:val="136"/>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（1）应急计划区</w:t>
      </w:r>
    </w:p>
    <w:p>
      <w:pPr>
        <w:pStyle w:val="136"/>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拟建项目的危险目标主要为生产车间、危险化学品仓库。</w:t>
      </w:r>
    </w:p>
    <w:p>
      <w:pPr>
        <w:pStyle w:val="136"/>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（2）应急机构</w:t>
      </w:r>
    </w:p>
    <w:p>
      <w:pPr>
        <w:pStyle w:val="136"/>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机构组成：企业成立环境风险事故应急救援“指挥领导小组”，由厂长、分管副厂长及生产、安全、环保、保卫等部门领导组成，下设应急救援办公室，日常工作由安全和环保部门兼管。发生重大事故时，以指挥领导小组为基础，立即成立风险事故应急救援指挥部，厂长任总指挥，分管副厂长任副总指挥，负责全厂应急救援工作的组织和指挥，指挥部可设在生产调度室。如若厂长和分管副厂长不在企业时，由安全、环保部门负责人为临时总指挥，全权负责应急救援工作。</w:t>
      </w:r>
    </w:p>
    <w:p>
      <w:pPr>
        <w:pStyle w:val="136"/>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机构职责：指挥领导小组：负责单位“预案”的制定、修订；组建应急救援专业队伍，组织实施和演练；检查督促做好重大事故的预防措施和应急救援的各项准备工作。</w:t>
      </w:r>
    </w:p>
    <w:p>
      <w:pPr>
        <w:pStyle w:val="136"/>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指挥部：发生重大事故时，由指挥部发布和解除应急救援命令、信号；组织指挥救援队伍实施救援行动；向上级汇报和向友邻单位通报事故情况，必要时向有关单位发出救援请求；组织事故调查，总结应急救援经验教训。</w:t>
      </w:r>
    </w:p>
    <w:p>
      <w:pPr>
        <w:pStyle w:val="136"/>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人员分工：总指挥组织指挥全厂的应急救援；副总指挥协助总指挥负责应急救援的具体指挥工作。安全科长协助总指挥做好事故报警、情况通报及事故处置工作；环保科长负责事故现场及有害物质扩散区域内的洗消、监测工作，必要时代表指挥部对外发布有关信息；保卫科长负责灭火、警戒、治安保卫、疏散、道路管制工作；生产科长负责事故处置时生产系统、开停车调度工作；事故现场通讯联络和对外联系。</w:t>
      </w:r>
    </w:p>
    <w:p>
      <w:pPr>
        <w:pStyle w:val="136"/>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专业救援队伍：企业内设不脱产的专业救援队伍，由各部门职工经培训后组成，分为抢险抢修队、医疗救护队、义务消防队、通讯保障队、环境监测队，负责事故控制、</w:t>
      </w:r>
    </w:p>
    <w:p>
      <w:pPr>
        <w:pStyle w:val="136"/>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救援和善后处理工作。各救援专业队必须按各自的职责，根据化学事故应急救援统筹图开展工作。</w:t>
      </w:r>
    </w:p>
    <w:p>
      <w:pPr>
        <w:pStyle w:val="136"/>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（3）应急程序</w:t>
      </w:r>
    </w:p>
    <w:p>
      <w:pPr>
        <w:pStyle w:val="136"/>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当企业发生环境事故或紧急情况后，事故的当事人或发现人采取应急措施防止事故扩大并立即向指挥领导小组报告。指挥领导小组指挥专业救援队伍对环境事故或紧急情况按本单位应急措施进行处理。</w:t>
      </w:r>
    </w:p>
    <w:p>
      <w:pPr>
        <w:pStyle w:val="136"/>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在事故现场的救援中，由现场指挥部集中统一指挥，灾情和救援活动情况由指挥部各向指挥领导小组报告。如事故影响较大，本单位抢险抢救力量不足或有可能危及社会安全时，则由指挥领导小组向安监局和环保局报警，接到报警后，按规定启动应急预案。</w:t>
      </w:r>
    </w:p>
    <w:p>
      <w:pPr>
        <w:pStyle w:val="136"/>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企业所使用的化学品等在运输过程中发生灾害事故时，应按就近救援的原则，先由运输人员自救，同时请示事故所在地的社会救援部门组织救援，并同时向单位报告，由企业应急组织进一步协调处理。</w:t>
      </w:r>
    </w:p>
    <w:p>
      <w:pPr>
        <w:pStyle w:val="136"/>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（4）应急设施</w:t>
      </w:r>
    </w:p>
    <w:p>
      <w:pPr>
        <w:pStyle w:val="136"/>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生产装置和仓库区：防火灾、爆炸事故的应急设施、设备与材料，主要为消防器材、消防服等；防有毒有害物质外溢、扩散，主要是水幕或低压蒸汽幕、喷淋设备、防毒服和一些土工作业工具；烧伤、中毒人员急救所用药品，器材。</w:t>
      </w:r>
    </w:p>
    <w:p>
      <w:pPr>
        <w:pStyle w:val="136"/>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临界地区：烧伤、中毒人员急救所用的一些药品、器材。</w:t>
      </w:r>
    </w:p>
    <w:p>
      <w:pPr>
        <w:pStyle w:val="136"/>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此外，还应配备事故</w:t>
      </w:r>
      <w:r>
        <w:rPr>
          <w:rFonts w:hint="default" w:ascii="Times New Roman" w:hAnsi="Times New Roman" w:eastAsia="宋体" w:cs="Times New Roman"/>
          <w:color w:val="auto"/>
        </w:rPr>
        <w:t>水</w:t>
      </w:r>
      <w:r>
        <w:rPr>
          <w:rFonts w:hint="default" w:ascii="Times New Roman" w:hAnsi="Times New Roman" w:eastAsia="宋体" w:cs="Times New Roman"/>
          <w:color w:val="auto"/>
        </w:rPr>
        <w:t>池、应急通信系统、应急电源、照明。事故</w:t>
      </w:r>
      <w:r>
        <w:rPr>
          <w:rFonts w:hint="default" w:ascii="Times New Roman" w:hAnsi="Times New Roman" w:eastAsia="宋体" w:cs="Times New Roman"/>
          <w:color w:val="auto"/>
        </w:rPr>
        <w:t>水</w:t>
      </w:r>
      <w:r>
        <w:rPr>
          <w:rFonts w:hint="default" w:ascii="Times New Roman" w:hAnsi="Times New Roman" w:eastAsia="宋体" w:cs="Times New Roman"/>
          <w:color w:val="auto"/>
        </w:rPr>
        <w:t>池的池体及下面的土壤要求做好防渗处理，防渗系数≤1.0×10</w:t>
      </w:r>
      <w:r>
        <w:rPr>
          <w:rFonts w:hint="default" w:ascii="Times New Roman" w:hAnsi="Times New Roman" w:eastAsia="宋体" w:cs="Times New Roman"/>
          <w:color w:val="auto"/>
          <w:vertAlign w:val="superscript"/>
        </w:rPr>
        <w:t>-</w:t>
      </w:r>
      <w:r>
        <w:rPr>
          <w:rFonts w:hint="default" w:ascii="Times New Roman" w:hAnsi="Times New Roman" w:eastAsia="宋体" w:cs="Times New Roman"/>
          <w:color w:val="auto"/>
          <w:vertAlign w:val="superscript"/>
        </w:rPr>
        <w:t>7</w:t>
      </w:r>
      <w:r>
        <w:rPr>
          <w:rFonts w:hint="default" w:ascii="Times New Roman" w:hAnsi="Times New Roman" w:eastAsia="宋体" w:cs="Times New Roman"/>
          <w:color w:val="auto"/>
        </w:rPr>
        <w:t>。当发生化学品泄漏事故时，泄漏初期立即组织人员封堵，若大量漏液又一时难以堵截，则利用便携式输送泵抽走残液，降低损失。对消防废水及泄漏的物料等进行拦截，经围堰或地沟收集至消防事故水池，交由有危废处置资质的单位进行处理。事故水池容积要能保证平时危险品泄漏和火灾发生时、设备出现故障或废水处理后未达标的情况下废水的存储，确保废水不会直接外排至外环境。</w:t>
      </w:r>
    </w:p>
    <w:p>
      <w:pPr>
        <w:pStyle w:val="136"/>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所有应急设施平时要专人维护、保管、检验，确保器材始终处于完好状态，保证能有效使用。</w:t>
      </w:r>
    </w:p>
    <w:p>
      <w:pPr>
        <w:pStyle w:val="136"/>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对各种通讯工具、警报及事故信号，平时必须做出明确规定；报警方法、联络号码和信号使用规定要置于明显位置，使每一位值班人员熟练掌握。</w:t>
      </w:r>
    </w:p>
    <w:p>
      <w:pPr>
        <w:pStyle w:val="136"/>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（5）应急环境监测</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建设项目必须编制项目的应急监测方案，监测方案中须包括监测布点和采样、监测频次与跟踪监测、监测项目与分析方法等等，并且报环保监测部门备案。因此，为了规范应急监测工作，为各级政府和环保行政主管部门提供快速、及时、准确的技术支持，确定污染程度和采取应急处置措施，就现场应急监测方案制定过程中应考虑的最普遍的方面。</w:t>
      </w:r>
    </w:p>
    <w:p>
      <w:pPr>
        <w:pStyle w:val="136"/>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（6）清除泄漏措施</w:t>
      </w:r>
    </w:p>
    <w:p>
      <w:pPr>
        <w:pStyle w:val="136"/>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环境事故或紧急情况得到控制后，应立即清除环境污染。对于能收集的固体和液体污染物，收集在桶内或塑料袋内。收集不起来的，用水冲进污水管道内，排入事故水池内暂存，并制定相应处置方案。</w:t>
      </w:r>
    </w:p>
    <w:p>
      <w:pPr>
        <w:pStyle w:val="136"/>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（7）安全防护</w:t>
      </w:r>
    </w:p>
    <w:p>
      <w:pPr>
        <w:pStyle w:val="136"/>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应急人员的安全防护：现场处置人员应根据不同类型环境事件的特点，配备相应的专业防护装备，采取安全防护措施，严格执行应急人员出入事发现场程序。</w:t>
      </w:r>
    </w:p>
    <w:p>
      <w:pPr>
        <w:pStyle w:val="136"/>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受灾群众的安全防护：现场应急救援指挥部负责组织群众的安全防护工作，根据突发环境事件的性质、特点，告知群众应采取的安全防护措施；根据事发时当地的气象、地理环境、人员密集度等，确定群众疏散的方式。</w:t>
      </w:r>
    </w:p>
    <w:p>
      <w:pPr>
        <w:pStyle w:val="136"/>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（8）应急终止</w:t>
      </w:r>
    </w:p>
    <w:p>
      <w:pPr>
        <w:pStyle w:val="136"/>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应急终止的条件：事件现场得到控制，事件条件已经消除；污染源的泄漏或释放已降至规定限值以内；事件所造成的危害已经被彻底消除，无继发可能；事件现场的各种专业应急处置行动已无继续的必要；采取了必要的防护措施以保护公众免受再次危害，并使事件可能引起的中长期影响趋于合理且尽量低的水平。</w:t>
      </w:r>
    </w:p>
    <w:p>
      <w:pPr>
        <w:pStyle w:val="136"/>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应急终止的程序：现场救援指挥部确认终止时机，或事件责任单位提出，经现场救援指挥部批准；现场救援指挥部向所属各专业应急救援队伍下达应急终止命令。</w:t>
      </w:r>
    </w:p>
    <w:p>
      <w:pPr>
        <w:pStyle w:val="136"/>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应急终止后的行动：有关部门及突发环境事件单位查找事件原因，防止类似问题的重复出现。对应急事故进行记录、建立档案。并根据实践经验，一级应急机构组织有关类别环境事件专业部门对应急预案进行评估，并及时修订环境应急预案。参加应急行动的部门负责组织、指导环境应急队伍维护、保养应急仪器设备，使之始终保持良好的技术状态。</w:t>
      </w:r>
    </w:p>
    <w:p>
      <w:pPr>
        <w:pStyle w:val="136"/>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（9）应急演习和应急技术培训</w:t>
      </w:r>
    </w:p>
    <w:p>
      <w:pPr>
        <w:pStyle w:val="136"/>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对于环保管理人员和有关操作人员应建立“先培训、后上岗”、“定期培训安全和环保法规、知识以及突发性事故应急处理技术”的制度。应急机构应定期对机构内成员单位的有关人员进行应急技术培训和考核，并每年进行一次模拟演习，以提高应急队伍的实战能力，并积累经验。</w:t>
      </w:r>
    </w:p>
    <w:p>
      <w:pPr>
        <w:pStyle w:val="136"/>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每一次演练后，企业应核对事故应急处理预案规定的内容是否都被检查，并找出不足和缺点。检查主要包括下列内容：</w:t>
      </w:r>
    </w:p>
    <w:p>
      <w:pPr>
        <w:pStyle w:val="136"/>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事故期间通讯系统是否能运作；人员是否能安全撤离；应急服务机构能否及时参与事故抢救；能否有效控制事故进一步扩大；企业应把在演习中发现的问题及时提出解决方案，对事故应急预案进行修订完善；企业应在现场危险设施和危险源发生变化时及时修改事故应急处理预案；应把对事故应急处理预案的修改情况及时通知所有与事故应急处理预案有关的人员。</w:t>
      </w:r>
    </w:p>
    <w:p>
      <w:pPr>
        <w:pStyle w:val="136"/>
        <w:spacing w:line="360" w:lineRule="auto"/>
        <w:ind w:firstLine="480" w:firstLineChars="200"/>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4、建立“三级”防控体系</w:t>
      </w:r>
    </w:p>
    <w:p>
      <w:pPr>
        <w:pStyle w:val="136"/>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1）一级防控体系必须建设生产厂房区围堰、防火堤及其配套设施（如导流设施、清污水切换设施等），防止污染雨水和轻微事故泄漏造成的环境污染；生产厂房事故废水、废液的收集系统。本项目每个生产车间及仓库墙脚设排水沟，发生事故时确保生产车间废水能引入</w:t>
      </w:r>
      <w:r>
        <w:rPr>
          <w:rFonts w:hint="default" w:ascii="Times New Roman" w:hAnsi="Times New Roman" w:eastAsia="宋体" w:cs="Times New Roman"/>
          <w:color w:val="auto"/>
        </w:rPr>
        <w:t>事故水池</w:t>
      </w:r>
      <w:r>
        <w:rPr>
          <w:rFonts w:hint="default" w:ascii="Times New Roman" w:hAnsi="Times New Roman" w:eastAsia="宋体" w:cs="Times New Roman"/>
          <w:color w:val="auto"/>
        </w:rPr>
        <w:t>，不影响其它生产车间。</w:t>
      </w:r>
    </w:p>
    <w:p>
      <w:pPr>
        <w:pStyle w:val="136"/>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2）二级防控体系必须建设事故水池及其配套设施（如事故导排系统），防止单套生产装置较大事故泄漏物料和消防废水造成的环境污染；全厂事故水池收集系统。确保事故情况下危险物质不污染水体，可满足一次性事故废水量。全厂总排污口及雨水排污口处设置应急阀门，一旦发生事故，紧急关闭，避免全厂事故废水外排，污染环境。</w:t>
      </w:r>
    </w:p>
    <w:p>
      <w:pPr>
        <w:pStyle w:val="136"/>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（3）三级防控体系必须建设末端事故缓冲设施及其配套设施，防控两套及以上生产装置重大事故泄漏物料和消防废水造成的环境污染。项目污水处理站设有收集系统。</w:t>
      </w:r>
    </w:p>
    <w:p>
      <w:pPr>
        <w:pStyle w:val="136"/>
        <w:spacing w:line="360" w:lineRule="auto"/>
        <w:ind w:firstLine="480" w:firstLineChars="200"/>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5、与当地政府部门风险应急系统联动协调防范措施</w:t>
      </w:r>
    </w:p>
    <w:p>
      <w:pPr>
        <w:pStyle w:val="136"/>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（1）事故现场人员的撤离</w:t>
      </w:r>
    </w:p>
    <w:p>
      <w:pPr>
        <w:pStyle w:val="136"/>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人员自行撤离到上风口处，当班班长应组织本班人员有秩序地疏散，疏散顺序从最危险地段人员先开始，相互兼顾照应，并根据风向指明集合地点。人员在安全地点集合后，由当班班组长负责清点本班人数，班长清点人数后，向厂长或者值班长报告人员情况。发现缺员，应报告所缺员工的姓名和事故前所处位置等。</w:t>
      </w:r>
    </w:p>
    <w:p>
      <w:pPr>
        <w:pStyle w:val="136"/>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（2）非事故现场人员紧急疏散</w:t>
      </w:r>
    </w:p>
    <w:p>
      <w:pPr>
        <w:pStyle w:val="136"/>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由事故单位负责报警，发出撤离命令，接命令后，当班负责人组织疏散，人员接通知后，自行撤离到上风口处。疏散顺序从最危险地段人员先开始，相互兼顾照应，并根据风向指明集合地点。人员在安全地点集合后，负责人清点人数后，向部门负责人或者值班长报告人员情况。发现缺员，应报告所缺人员的姓名和事故前所处位置等。</w:t>
      </w:r>
    </w:p>
    <w:p>
      <w:pPr>
        <w:pStyle w:val="136"/>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（3）抢救人员在撤离前、撤离后的报告</w:t>
      </w:r>
    </w:p>
    <w:p>
      <w:pPr>
        <w:pStyle w:val="136"/>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负责抢险和救护的人员在接指挥部通知后，立即带上救护和防护装备赶扑现场，等候调令，听从指挥。由队长分工，分批进入事发点进行抢险或救护。进入事故点前，队长必须向指挥部报告每批参加抢修和救护人员数量和名单并登记。</w:t>
      </w:r>
    </w:p>
    <w:p>
      <w:pPr>
        <w:pStyle w:val="136"/>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抢修和救护队完成任务后，队长向指挥部报告任务执行情况以及抢修和救护人员安全状况，申请下达撤离命令，指挥部根据事故控制情况，必须做出撤离或继续抢修和救护的决定，向抢险抢修和救护队下达命令。队长若接撤离命令后，带领抢修和救护人员撤离事故点至安全地带，清点人员，向指挥部报告。</w:t>
      </w:r>
    </w:p>
    <w:p>
      <w:pPr>
        <w:pStyle w:val="136"/>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（4）周边区域的单位、社区人员疏散的方式、方法</w:t>
      </w:r>
    </w:p>
    <w:p>
      <w:pPr>
        <w:pStyle w:val="136"/>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当事故危及周边单位、村庄时，由指挥部人员向政府以及周边单位书面发送警报。事态严重紧急时，通过指挥部直接联系政府以及周边单位负责人，由总指挥部亲自向政府或负责人发布消息，提出要求组织撤离疏散或者请求援助。在发布消息时，必须发布事态的缓急程度，提出撤离的具体方法和方式。撤离方式有步行和车辆运输两种。撤离方法中应明确应采取的预防措施、注意事项、撤离方向和撤离距离。撤离必须是有组织性的。</w:t>
      </w:r>
    </w:p>
    <w:p>
      <w:pPr>
        <w:pStyle w:val="136"/>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（5）本项目突发环境事件发生后，应在政府统一领导下，启动环境应急预案，做好应急响应工作。</w:t>
      </w:r>
    </w:p>
    <w:p>
      <w:pPr>
        <w:pStyle w:val="136"/>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当地地方人民政府应根据政府应急预案的有关要求，成立环境应急指挥机构，统筹部署和协调应对工作。环境应急指挥机构应组织有关专家对突发环境事件信息进行分析、评估，并根据事件发展情况，作出科学预测，提出相应的对策和建议供指挥部决策时参考。</w:t>
      </w:r>
    </w:p>
    <w:bookmarkEnd w:id="914"/>
    <w:bookmarkEnd w:id="915"/>
    <w:bookmarkEnd w:id="916"/>
    <w:bookmarkEnd w:id="917"/>
    <w:bookmarkEnd w:id="918"/>
    <w:bookmarkEnd w:id="919"/>
    <w:bookmarkEnd w:id="920"/>
    <w:bookmarkEnd w:id="921"/>
    <w:bookmarkEnd w:id="922"/>
    <w:bookmarkEnd w:id="923"/>
    <w:bookmarkEnd w:id="942"/>
    <w:p>
      <w:pPr>
        <w:pStyle w:val="6"/>
        <w:spacing w:before="0" w:after="0" w:line="360" w:lineRule="auto"/>
        <w:rPr>
          <w:rFonts w:hint="default" w:ascii="Times New Roman" w:hAnsi="Times New Roman" w:eastAsia="宋体" w:cs="Times New Roman"/>
          <w:color w:val="auto"/>
          <w:sz w:val="28"/>
          <w:szCs w:val="28"/>
          <w:lang w:eastAsia="zh-CN"/>
        </w:rPr>
      </w:pPr>
      <w:bookmarkStart w:id="961" w:name="_Toc12964"/>
      <w:bookmarkStart w:id="962" w:name="_Toc702"/>
      <w:bookmarkStart w:id="963" w:name="_Toc27925"/>
      <w:bookmarkStart w:id="964" w:name="_Toc4798"/>
      <w:bookmarkStart w:id="965" w:name="_Toc23663"/>
      <w:bookmarkStart w:id="966" w:name="_Toc3252"/>
      <w:r>
        <w:rPr>
          <w:rFonts w:hint="default" w:ascii="Times New Roman" w:hAnsi="Times New Roman" w:cs="Times New Roman"/>
          <w:color w:val="auto"/>
          <w:sz w:val="28"/>
          <w:szCs w:val="28"/>
          <w:lang w:val="en-US" w:eastAsia="zh-CN"/>
        </w:rPr>
        <w:t>5</w:t>
      </w:r>
      <w:r>
        <w:rPr>
          <w:rFonts w:hint="default" w:ascii="Times New Roman" w:hAnsi="Times New Roman" w:eastAsia="宋体" w:cs="Times New Roman"/>
          <w:color w:val="auto"/>
          <w:sz w:val="28"/>
          <w:szCs w:val="28"/>
        </w:rPr>
        <w:t>.</w:t>
      </w:r>
      <w:r>
        <w:rPr>
          <w:rFonts w:hint="default" w:ascii="Times New Roman" w:hAnsi="Times New Roman" w:cs="Times New Roman"/>
          <w:color w:val="auto"/>
          <w:sz w:val="28"/>
          <w:szCs w:val="28"/>
          <w:lang w:val="en-US" w:eastAsia="zh-CN"/>
        </w:rPr>
        <w:t>3.9</w:t>
      </w:r>
      <w:r>
        <w:rPr>
          <w:rFonts w:hint="default" w:ascii="Times New Roman" w:hAnsi="Times New Roman" w:cs="Times New Roman"/>
          <w:color w:val="auto"/>
          <w:sz w:val="28"/>
          <w:szCs w:val="28"/>
          <w:lang w:eastAsia="zh-CN"/>
        </w:rPr>
        <w:t>分析结论</w:t>
      </w:r>
      <w:bookmarkEnd w:id="961"/>
    </w:p>
    <w:p>
      <w:pPr>
        <w:adjustRightInd w:val="0"/>
        <w:snapToGrid w:val="0"/>
        <w:spacing w:line="360" w:lineRule="auto"/>
        <w:ind w:firstLine="482"/>
        <w:rPr>
          <w:rFonts w:hint="default" w:ascii="Times New Roman" w:hAnsi="Times New Roman" w:cs="Times New Roman"/>
        </w:rPr>
      </w:pPr>
      <w:r>
        <w:rPr>
          <w:rFonts w:hint="default" w:ascii="Times New Roman" w:hAnsi="Times New Roman" w:cs="Times New Roman"/>
        </w:rPr>
        <w:t>项目从环境风险防范、事故处置、应急预案三个层面，建立、制定了环境风险管理体系。本项目存在一定的环境风险，为防范风险事故的发生，本项目采取了先进的工艺技术，而且按照有关安全理念进行工程设计，本报告中提出了相应的风险防范措施，对化学品库进行监控和管理，并进行了相应的风险预测评价，项目的建设不可避免会存在一定的环境风险，但项目的环境风险处于环境可接受的水平，项目的环境风险防范措施可行。但建设单位必须高度重视，做到风险防范警钟常鸣，环境安全管理常抓不懈，严格落实各项风险防范措施，不断完善风险管理体系。只有这样才能有效降低风险事故发生概率、杜绝特大事故的发生隐患，同时项目建设方应针对本报告提出的环境风险，进行补充、完善应急预案的制定，可在较短时间内控制风险对环境的影响范围和程度。</w:t>
      </w:r>
    </w:p>
    <w:p>
      <w:pPr>
        <w:adjustRightInd w:val="0"/>
        <w:snapToGrid w:val="0"/>
        <w:spacing w:line="360" w:lineRule="auto"/>
        <w:ind w:firstLine="480" w:firstLineChars="200"/>
        <w:rPr>
          <w:rFonts w:hint="default" w:ascii="Times New Roman" w:hAnsi="Times New Roman" w:cs="Times New Roman"/>
        </w:rPr>
      </w:pPr>
      <w:r>
        <w:rPr>
          <w:rFonts w:hint="default" w:ascii="Times New Roman" w:hAnsi="Times New Roman" w:cs="Times New Roman"/>
        </w:rPr>
        <w:t>因此项目方在项目建设阶段就应充分考虑风险的发生及处理措施、方案，将环境风险降至低限，避免危害周围环境和人群健康。在严格按照有关规范标准、规范及条例的要求，认真落实环境风险防范措施，编制完善的应急预案并进行备案的前提下项目环境风险是可控的。</w:t>
      </w:r>
    </w:p>
    <w:p>
      <w:pPr>
        <w:adjustRightInd w:val="0"/>
        <w:snapToGrid w:val="0"/>
        <w:spacing w:line="360" w:lineRule="auto"/>
        <w:ind w:firstLine="480" w:firstLineChars="200"/>
        <w:rPr>
          <w:rFonts w:hint="default" w:ascii="Times New Roman" w:hAnsi="Times New Roman" w:cs="Times New Roman"/>
        </w:rPr>
      </w:pPr>
      <w:r>
        <w:rPr>
          <w:rFonts w:hint="default" w:ascii="Times New Roman" w:hAnsi="Times New Roman" w:cs="Times New Roman"/>
        </w:rPr>
        <w:t>建议建设单位建立区域应急联动机制，充分利用工业园区的应急资源，与园区应急报警电话联网，保证信息传输的畅通。发生重特大突发环境事件时，应在园区应急指挥中心的统一领导下开展应急处置。</w:t>
      </w:r>
    </w:p>
    <w:p>
      <w:pPr>
        <w:adjustRightInd w:val="0"/>
        <w:snapToGrid w:val="0"/>
        <w:spacing w:line="360" w:lineRule="auto"/>
        <w:ind w:firstLine="482"/>
        <w:rPr>
          <w:rFonts w:hint="default" w:ascii="Times New Roman" w:hAnsi="Times New Roman" w:cs="Times New Roman"/>
          <w:b/>
          <w:color w:val="FF0000"/>
        </w:rPr>
      </w:pPr>
      <w:r>
        <w:rPr>
          <w:rFonts w:hint="default" w:ascii="Times New Roman" w:hAnsi="Times New Roman" w:cs="Times New Roman"/>
        </w:rPr>
        <w:t>综上所述，只要严格遵守各项安全操作规程和制度，加强安全管理，本项目建成运行后，正常生产情况下其环境风险程度属于可接受水平</w:t>
      </w:r>
      <w:r>
        <w:rPr>
          <w:rFonts w:hint="default" w:ascii="Times New Roman" w:hAnsi="Times New Roman" w:cs="Times New Roman"/>
          <w:color w:val="FF0000"/>
        </w:rPr>
        <w:t>。</w:t>
      </w:r>
    </w:p>
    <w:p>
      <w:pPr>
        <w:adjustRightInd w:val="0"/>
        <w:snapToGrid w:val="0"/>
        <w:spacing w:line="360" w:lineRule="auto"/>
        <w:ind w:firstLine="480" w:firstLineChars="200"/>
        <w:rPr>
          <w:rFonts w:hint="default" w:ascii="Times New Roman" w:hAnsi="Times New Roman" w:cs="Times New Roman"/>
          <w:color w:val="FF0000"/>
        </w:rPr>
      </w:pPr>
    </w:p>
    <w:p>
      <w:pPr>
        <w:pStyle w:val="178"/>
        <w:keepNext w:val="0"/>
        <w:keepLines w:val="0"/>
        <w:pageBreakBefore w:val="0"/>
        <w:widowControl/>
        <w:numPr>
          <w:ilvl w:val="0"/>
          <w:numId w:val="7"/>
        </w:numPr>
        <w:kinsoku/>
        <w:wordWrap/>
        <w:overflowPunct/>
        <w:topLinePunct w:val="0"/>
        <w:autoSpaceDE/>
        <w:autoSpaceDN/>
        <w:bidi w:val="0"/>
        <w:adjustRightInd/>
        <w:snapToGrid/>
        <w:spacing w:beforeLines="0" w:afterLines="0" w:line="360" w:lineRule="auto"/>
        <w:ind w:left="0" w:leftChars="0" w:firstLine="0" w:firstLineChars="0"/>
        <w:textAlignment w:val="auto"/>
        <w:rPr>
          <w:rFonts w:hint="default" w:ascii="Times New Roman" w:hAnsi="Times New Roman" w:eastAsia="宋体" w:cs="Times New Roman"/>
          <w:b/>
          <w:sz w:val="24"/>
          <w:szCs w:val="24"/>
        </w:rPr>
      </w:pPr>
      <w:r>
        <w:rPr>
          <w:rFonts w:hint="default" w:ascii="Times New Roman" w:hAnsi="Times New Roman" w:cs="Times New Roman"/>
          <w:color w:val="FF0000"/>
        </w:rPr>
        <w:br w:type="page"/>
      </w:r>
      <w:r>
        <w:rPr>
          <w:rFonts w:hint="default" w:ascii="Times New Roman" w:hAnsi="Times New Roman" w:eastAsia="宋体" w:cs="Times New Roman"/>
          <w:b/>
          <w:sz w:val="24"/>
          <w:szCs w:val="24"/>
        </w:rPr>
        <w:t>环境风险评价自查表</w:t>
      </w:r>
    </w:p>
    <w:tbl>
      <w:tblPr>
        <w:tblStyle w:val="45"/>
        <w:tblW w:w="86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5"/>
        <w:gridCol w:w="60"/>
        <w:gridCol w:w="776"/>
        <w:gridCol w:w="754"/>
        <w:gridCol w:w="1085"/>
        <w:gridCol w:w="810"/>
        <w:gridCol w:w="1670"/>
        <w:gridCol w:w="409"/>
        <w:gridCol w:w="672"/>
        <w:gridCol w:w="742"/>
        <w:gridCol w:w="527"/>
        <w:gridCol w:w="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241" w:type="dxa"/>
            <w:gridSpan w:val="3"/>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工作内容</w:t>
            </w:r>
          </w:p>
        </w:tc>
        <w:tc>
          <w:tcPr>
            <w:tcW w:w="7449" w:type="dxa"/>
            <w:gridSpan w:val="9"/>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完成情况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405" w:type="dxa"/>
            <w:vMerge w:val="restart"/>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风险调查</w:t>
            </w:r>
          </w:p>
        </w:tc>
        <w:tc>
          <w:tcPr>
            <w:tcW w:w="836" w:type="dxa"/>
            <w:gridSpan w:val="2"/>
            <w:vMerge w:val="restart"/>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危险物质</w:t>
            </w:r>
          </w:p>
        </w:tc>
        <w:tc>
          <w:tcPr>
            <w:tcW w:w="754" w:type="dxa"/>
            <w:vAlign w:val="center"/>
          </w:tcPr>
          <w:p>
            <w:pPr>
              <w:spacing w:line="240" w:lineRule="exact"/>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名称</w:t>
            </w:r>
          </w:p>
        </w:tc>
        <w:tc>
          <w:tcPr>
            <w:tcW w:w="1085" w:type="dxa"/>
            <w:vAlign w:val="center"/>
          </w:tcPr>
          <w:p>
            <w:pPr>
              <w:spacing w:line="240" w:lineRule="exact"/>
              <w:jc w:val="center"/>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工业酒精</w:t>
            </w:r>
          </w:p>
        </w:tc>
        <w:tc>
          <w:tcPr>
            <w:tcW w:w="810" w:type="dxa"/>
            <w:vAlign w:val="center"/>
          </w:tcPr>
          <w:p>
            <w:pPr>
              <w:spacing w:line="240" w:lineRule="exact"/>
              <w:jc w:val="center"/>
              <w:rPr>
                <w:rFonts w:hint="default" w:ascii="Times New Roman" w:hAnsi="Times New Roman" w:eastAsia="宋体" w:cs="Times New Roman"/>
                <w:color w:val="000000"/>
                <w:sz w:val="18"/>
                <w:szCs w:val="18"/>
                <w:lang w:eastAsia="zh-CN"/>
              </w:rPr>
            </w:pPr>
            <w:r>
              <w:rPr>
                <w:rFonts w:hint="default" w:ascii="Times New Roman" w:hAnsi="Times New Roman" w:eastAsia="宋体" w:cs="Times New Roman"/>
                <w:color w:val="000000"/>
                <w:sz w:val="18"/>
                <w:szCs w:val="18"/>
                <w:lang w:eastAsia="zh-CN"/>
              </w:rPr>
              <w:t>氢氟酸</w:t>
            </w:r>
          </w:p>
        </w:tc>
        <w:tc>
          <w:tcPr>
            <w:tcW w:w="1670" w:type="dxa"/>
            <w:vAlign w:val="center"/>
          </w:tcPr>
          <w:p>
            <w:pPr>
              <w:spacing w:line="240" w:lineRule="exact"/>
              <w:jc w:val="center"/>
              <w:rPr>
                <w:rFonts w:hint="default" w:ascii="Times New Roman" w:hAnsi="Times New Roman" w:eastAsia="宋体" w:cs="Times New Roman"/>
                <w:color w:val="000000"/>
                <w:sz w:val="18"/>
                <w:szCs w:val="18"/>
                <w:lang w:eastAsia="zh-CN"/>
              </w:rPr>
            </w:pPr>
            <w:r>
              <w:rPr>
                <w:rFonts w:hint="default" w:ascii="Times New Roman" w:hAnsi="Times New Roman" w:eastAsia="宋体" w:cs="Times New Roman"/>
                <w:color w:val="000000"/>
                <w:sz w:val="18"/>
                <w:szCs w:val="18"/>
                <w:lang w:eastAsia="zh-CN"/>
              </w:rPr>
              <w:t>盐酸（折纯至</w:t>
            </w:r>
            <w:r>
              <w:rPr>
                <w:rFonts w:hint="default" w:ascii="Times New Roman" w:hAnsi="Times New Roman" w:eastAsia="宋体" w:cs="Times New Roman"/>
                <w:color w:val="000000"/>
                <w:sz w:val="18"/>
                <w:szCs w:val="18"/>
                <w:lang w:val="en-US" w:eastAsia="zh-CN"/>
              </w:rPr>
              <w:t>37%</w:t>
            </w:r>
            <w:r>
              <w:rPr>
                <w:rFonts w:hint="default" w:ascii="Times New Roman" w:hAnsi="Times New Roman" w:eastAsia="宋体" w:cs="Times New Roman"/>
                <w:color w:val="000000"/>
                <w:sz w:val="18"/>
                <w:szCs w:val="18"/>
                <w:lang w:eastAsia="zh-CN"/>
              </w:rPr>
              <w:t>）</w:t>
            </w:r>
          </w:p>
        </w:tc>
        <w:tc>
          <w:tcPr>
            <w:tcW w:w="1081" w:type="dxa"/>
            <w:gridSpan w:val="2"/>
            <w:vAlign w:val="center"/>
          </w:tcPr>
          <w:p>
            <w:pPr>
              <w:spacing w:line="240" w:lineRule="exact"/>
              <w:jc w:val="center"/>
              <w:rPr>
                <w:rFonts w:hint="default" w:ascii="Times New Roman" w:hAnsi="Times New Roman" w:eastAsia="宋体" w:cs="Times New Roman"/>
                <w:color w:val="000000"/>
                <w:sz w:val="18"/>
                <w:szCs w:val="18"/>
              </w:rPr>
            </w:pPr>
          </w:p>
        </w:tc>
        <w:tc>
          <w:tcPr>
            <w:tcW w:w="742" w:type="dxa"/>
            <w:vAlign w:val="center"/>
          </w:tcPr>
          <w:p>
            <w:pPr>
              <w:spacing w:line="240" w:lineRule="exact"/>
              <w:jc w:val="center"/>
              <w:rPr>
                <w:rFonts w:hint="default" w:ascii="Times New Roman" w:hAnsi="Times New Roman" w:eastAsia="宋体" w:cs="Times New Roman"/>
                <w:sz w:val="18"/>
                <w:szCs w:val="18"/>
              </w:rPr>
            </w:pPr>
          </w:p>
        </w:tc>
        <w:tc>
          <w:tcPr>
            <w:tcW w:w="527" w:type="dxa"/>
            <w:vAlign w:val="center"/>
          </w:tcPr>
          <w:p>
            <w:pPr>
              <w:spacing w:line="240" w:lineRule="exact"/>
              <w:jc w:val="center"/>
              <w:rPr>
                <w:rFonts w:hint="default" w:ascii="Times New Roman" w:hAnsi="Times New Roman" w:eastAsia="宋体" w:cs="Times New Roman"/>
                <w:color w:val="000000"/>
                <w:sz w:val="18"/>
                <w:szCs w:val="18"/>
              </w:rPr>
            </w:pPr>
          </w:p>
        </w:tc>
        <w:tc>
          <w:tcPr>
            <w:tcW w:w="780" w:type="dxa"/>
            <w:vAlign w:val="center"/>
          </w:tcPr>
          <w:p>
            <w:pPr>
              <w:spacing w:line="240" w:lineRule="exact"/>
              <w:jc w:val="center"/>
              <w:rPr>
                <w:rFonts w:hint="default" w:ascii="Times New Roman" w:hAnsi="Times New Roman" w:eastAsia="宋体" w:cs="Times New Roman"/>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405" w:type="dxa"/>
            <w:vMerge w:val="continue"/>
            <w:vAlign w:val="center"/>
          </w:tcPr>
          <w:p>
            <w:pPr>
              <w:jc w:val="center"/>
              <w:rPr>
                <w:rFonts w:hint="default" w:ascii="Times New Roman" w:hAnsi="Times New Roman" w:eastAsia="宋体" w:cs="Times New Roman"/>
                <w:sz w:val="18"/>
                <w:szCs w:val="18"/>
              </w:rPr>
            </w:pPr>
          </w:p>
        </w:tc>
        <w:tc>
          <w:tcPr>
            <w:tcW w:w="836" w:type="dxa"/>
            <w:gridSpan w:val="2"/>
            <w:vMerge w:val="continue"/>
            <w:vAlign w:val="center"/>
          </w:tcPr>
          <w:p>
            <w:pPr>
              <w:jc w:val="center"/>
              <w:rPr>
                <w:rFonts w:hint="default" w:ascii="Times New Roman" w:hAnsi="Times New Roman" w:eastAsia="宋体" w:cs="Times New Roman"/>
                <w:sz w:val="18"/>
                <w:szCs w:val="18"/>
              </w:rPr>
            </w:pPr>
          </w:p>
        </w:tc>
        <w:tc>
          <w:tcPr>
            <w:tcW w:w="754" w:type="dxa"/>
            <w:vAlign w:val="center"/>
          </w:tcPr>
          <w:p>
            <w:pPr>
              <w:spacing w:line="240" w:lineRule="exact"/>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存在总量</w:t>
            </w:r>
          </w:p>
        </w:tc>
        <w:tc>
          <w:tcPr>
            <w:tcW w:w="1085" w:type="dxa"/>
            <w:vAlign w:val="center"/>
          </w:tcPr>
          <w:p>
            <w:pPr>
              <w:spacing w:line="240" w:lineRule="exact"/>
              <w:jc w:val="center"/>
              <w:rPr>
                <w:rFonts w:hint="default" w:ascii="Times New Roman" w:hAnsi="Times New Roman" w:eastAsia="宋体" w:cs="Times New Roman"/>
                <w:color w:val="000000"/>
                <w:sz w:val="18"/>
                <w:szCs w:val="18"/>
                <w:lang w:val="en-US" w:eastAsia="zh-CN"/>
              </w:rPr>
            </w:pPr>
            <w:r>
              <w:rPr>
                <w:rFonts w:hint="default" w:ascii="Times New Roman" w:hAnsi="Times New Roman" w:cs="Times New Roman"/>
                <w:color w:val="000000"/>
                <w:sz w:val="18"/>
                <w:szCs w:val="18"/>
                <w:lang w:val="en-US" w:eastAsia="zh-CN"/>
              </w:rPr>
              <w:t>1.0004</w:t>
            </w:r>
          </w:p>
        </w:tc>
        <w:tc>
          <w:tcPr>
            <w:tcW w:w="810" w:type="dxa"/>
            <w:vAlign w:val="center"/>
          </w:tcPr>
          <w:p>
            <w:pPr>
              <w:spacing w:line="240" w:lineRule="exact"/>
              <w:jc w:val="center"/>
              <w:rPr>
                <w:rFonts w:hint="default" w:ascii="Times New Roman" w:hAnsi="Times New Roman" w:eastAsia="宋体" w:cs="Times New Roman"/>
                <w:color w:val="000000"/>
                <w:sz w:val="18"/>
                <w:szCs w:val="18"/>
                <w:lang w:val="en-US" w:eastAsia="zh-CN"/>
              </w:rPr>
            </w:pPr>
            <w:r>
              <w:rPr>
                <w:rFonts w:hint="default" w:ascii="Times New Roman" w:hAnsi="Times New Roman" w:eastAsia="宋体" w:cs="Times New Roman"/>
                <w:color w:val="000000"/>
                <w:sz w:val="18"/>
                <w:szCs w:val="18"/>
                <w:lang w:val="en-US" w:eastAsia="zh-CN"/>
              </w:rPr>
              <w:t>20.031</w:t>
            </w:r>
          </w:p>
        </w:tc>
        <w:tc>
          <w:tcPr>
            <w:tcW w:w="1670" w:type="dxa"/>
            <w:vAlign w:val="center"/>
          </w:tcPr>
          <w:p>
            <w:pPr>
              <w:spacing w:line="240" w:lineRule="exact"/>
              <w:jc w:val="center"/>
              <w:rPr>
                <w:rFonts w:hint="default" w:ascii="Times New Roman" w:hAnsi="Times New Roman" w:eastAsia="宋体" w:cs="Times New Roman"/>
                <w:color w:val="000000"/>
                <w:sz w:val="18"/>
                <w:szCs w:val="18"/>
                <w:lang w:val="en-US" w:eastAsia="zh-CN"/>
              </w:rPr>
            </w:pPr>
            <w:r>
              <w:rPr>
                <w:rFonts w:hint="default" w:ascii="Times New Roman" w:hAnsi="Times New Roman" w:eastAsia="宋体" w:cs="Times New Roman"/>
                <w:color w:val="000000"/>
                <w:sz w:val="18"/>
                <w:szCs w:val="18"/>
                <w:lang w:val="en-US" w:eastAsia="zh-CN"/>
              </w:rPr>
              <w:t>0.4203</w:t>
            </w:r>
          </w:p>
        </w:tc>
        <w:tc>
          <w:tcPr>
            <w:tcW w:w="1081" w:type="dxa"/>
            <w:gridSpan w:val="2"/>
            <w:vAlign w:val="center"/>
          </w:tcPr>
          <w:p>
            <w:pPr>
              <w:spacing w:line="240" w:lineRule="exact"/>
              <w:jc w:val="center"/>
              <w:rPr>
                <w:rFonts w:hint="default" w:ascii="Times New Roman" w:hAnsi="Times New Roman" w:eastAsia="宋体" w:cs="Times New Roman"/>
                <w:color w:val="000000"/>
                <w:sz w:val="18"/>
                <w:szCs w:val="18"/>
              </w:rPr>
            </w:pPr>
          </w:p>
        </w:tc>
        <w:tc>
          <w:tcPr>
            <w:tcW w:w="742" w:type="dxa"/>
            <w:vAlign w:val="center"/>
          </w:tcPr>
          <w:p>
            <w:pPr>
              <w:spacing w:line="240" w:lineRule="exact"/>
              <w:jc w:val="center"/>
              <w:rPr>
                <w:rFonts w:hint="default" w:ascii="Times New Roman" w:hAnsi="Times New Roman" w:eastAsia="宋体" w:cs="Times New Roman"/>
                <w:color w:val="000000"/>
                <w:sz w:val="18"/>
                <w:szCs w:val="18"/>
              </w:rPr>
            </w:pPr>
          </w:p>
        </w:tc>
        <w:tc>
          <w:tcPr>
            <w:tcW w:w="527" w:type="dxa"/>
            <w:vAlign w:val="center"/>
          </w:tcPr>
          <w:p>
            <w:pPr>
              <w:spacing w:line="240" w:lineRule="exact"/>
              <w:jc w:val="center"/>
              <w:rPr>
                <w:rFonts w:hint="default" w:ascii="Times New Roman" w:hAnsi="Times New Roman" w:eastAsia="宋体" w:cs="Times New Roman"/>
                <w:color w:val="000000"/>
                <w:sz w:val="18"/>
                <w:szCs w:val="18"/>
              </w:rPr>
            </w:pPr>
          </w:p>
        </w:tc>
        <w:tc>
          <w:tcPr>
            <w:tcW w:w="780" w:type="dxa"/>
            <w:vAlign w:val="center"/>
          </w:tcPr>
          <w:p>
            <w:pPr>
              <w:spacing w:line="240" w:lineRule="exact"/>
              <w:jc w:val="center"/>
              <w:rPr>
                <w:rFonts w:hint="default" w:ascii="Times New Roman" w:hAnsi="Times New Roman" w:eastAsia="宋体" w:cs="Times New Roman"/>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405" w:type="dxa"/>
            <w:vMerge w:val="continue"/>
            <w:vAlign w:val="center"/>
          </w:tcPr>
          <w:p>
            <w:pPr>
              <w:jc w:val="center"/>
              <w:rPr>
                <w:rFonts w:hint="default" w:ascii="Times New Roman" w:hAnsi="Times New Roman" w:eastAsia="宋体" w:cs="Times New Roman"/>
                <w:sz w:val="18"/>
                <w:szCs w:val="18"/>
              </w:rPr>
            </w:pPr>
          </w:p>
        </w:tc>
        <w:tc>
          <w:tcPr>
            <w:tcW w:w="836" w:type="dxa"/>
            <w:gridSpan w:val="2"/>
            <w:vMerge w:val="restart"/>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环境敏感性</w:t>
            </w:r>
          </w:p>
        </w:tc>
        <w:tc>
          <w:tcPr>
            <w:tcW w:w="754" w:type="dxa"/>
            <w:vMerge w:val="restart"/>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大气</w:t>
            </w:r>
          </w:p>
        </w:tc>
        <w:tc>
          <w:tcPr>
            <w:tcW w:w="3974" w:type="dxa"/>
            <w:gridSpan w:val="4"/>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500m</w:t>
            </w:r>
            <w:r>
              <w:rPr>
                <w:rFonts w:hint="default" w:ascii="Times New Roman" w:hAnsi="Times New Roman" w:eastAsia="宋体" w:cs="Times New Roman"/>
                <w:sz w:val="18"/>
                <w:szCs w:val="18"/>
              </w:rPr>
              <w:t>范围内人口数</w:t>
            </w:r>
            <w:r>
              <w:rPr>
                <w:rFonts w:hint="default" w:ascii="Times New Roman" w:hAnsi="Times New Roman" w:eastAsia="宋体" w:cs="Times New Roman"/>
                <w:sz w:val="18"/>
                <w:szCs w:val="18"/>
                <w:u w:val="single"/>
              </w:rPr>
              <w:t xml:space="preserve"> </w:t>
            </w:r>
            <w:r>
              <w:rPr>
                <w:rFonts w:hint="default" w:ascii="Times New Roman" w:hAnsi="Times New Roman" w:eastAsia="宋体" w:cs="Times New Roman"/>
                <w:sz w:val="18"/>
                <w:szCs w:val="18"/>
                <w:u w:val="single"/>
                <w:lang w:val="en-US" w:eastAsia="zh-CN"/>
              </w:rPr>
              <w:t>1740</w:t>
            </w:r>
            <w:r>
              <w:rPr>
                <w:rFonts w:hint="default" w:ascii="Times New Roman" w:hAnsi="Times New Roman" w:eastAsia="宋体" w:cs="Times New Roman"/>
                <w:sz w:val="18"/>
                <w:szCs w:val="18"/>
                <w:u w:val="single"/>
              </w:rPr>
              <w:t xml:space="preserve">  </w:t>
            </w:r>
            <w:r>
              <w:rPr>
                <w:rFonts w:hint="default" w:ascii="Times New Roman" w:hAnsi="Times New Roman" w:eastAsia="宋体" w:cs="Times New Roman"/>
                <w:sz w:val="18"/>
                <w:szCs w:val="18"/>
              </w:rPr>
              <w:t>人</w:t>
            </w:r>
          </w:p>
        </w:tc>
        <w:tc>
          <w:tcPr>
            <w:tcW w:w="2721" w:type="dxa"/>
            <w:gridSpan w:val="4"/>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5km</w:t>
            </w:r>
            <w:r>
              <w:rPr>
                <w:rFonts w:hint="default" w:ascii="Times New Roman" w:hAnsi="Times New Roman" w:eastAsia="宋体" w:cs="Times New Roman"/>
                <w:sz w:val="18"/>
                <w:szCs w:val="18"/>
              </w:rPr>
              <w:t>范围内人口数</w:t>
            </w:r>
            <w:r>
              <w:rPr>
                <w:rFonts w:hint="default" w:ascii="Times New Roman" w:hAnsi="Times New Roman" w:eastAsia="宋体" w:cs="Times New Roman"/>
                <w:sz w:val="18"/>
                <w:szCs w:val="18"/>
                <w:u w:val="single"/>
                <w:lang w:val="en-US" w:eastAsia="zh-CN"/>
              </w:rPr>
              <w:t>30520</w:t>
            </w:r>
            <w:r>
              <w:rPr>
                <w:rFonts w:hint="default" w:ascii="Times New Roman" w:hAnsi="Times New Roman" w:eastAsia="宋体" w:cs="Times New Roman"/>
                <w:sz w:val="18"/>
                <w:szCs w:val="18"/>
                <w:u w:val="single"/>
              </w:rPr>
              <w:t xml:space="preserve">   </w:t>
            </w:r>
            <w:r>
              <w:rPr>
                <w:rFonts w:hint="default" w:ascii="Times New Roman" w:hAnsi="Times New Roman" w:eastAsia="宋体" w:cs="Times New Roman"/>
                <w:sz w:val="18"/>
                <w:szCs w:val="18"/>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405" w:type="dxa"/>
            <w:vMerge w:val="continue"/>
            <w:vAlign w:val="center"/>
          </w:tcPr>
          <w:p>
            <w:pPr>
              <w:jc w:val="center"/>
              <w:rPr>
                <w:rFonts w:hint="default" w:ascii="Times New Roman" w:hAnsi="Times New Roman" w:eastAsia="宋体" w:cs="Times New Roman"/>
                <w:sz w:val="18"/>
                <w:szCs w:val="18"/>
              </w:rPr>
            </w:pPr>
          </w:p>
        </w:tc>
        <w:tc>
          <w:tcPr>
            <w:tcW w:w="836" w:type="dxa"/>
            <w:gridSpan w:val="2"/>
            <w:vMerge w:val="continue"/>
            <w:vAlign w:val="center"/>
          </w:tcPr>
          <w:p>
            <w:pPr>
              <w:jc w:val="center"/>
              <w:rPr>
                <w:rFonts w:hint="default" w:ascii="Times New Roman" w:hAnsi="Times New Roman" w:eastAsia="宋体" w:cs="Times New Roman"/>
                <w:sz w:val="18"/>
                <w:szCs w:val="18"/>
              </w:rPr>
            </w:pPr>
          </w:p>
        </w:tc>
        <w:tc>
          <w:tcPr>
            <w:tcW w:w="754" w:type="dxa"/>
            <w:vMerge w:val="continue"/>
            <w:vAlign w:val="center"/>
          </w:tcPr>
          <w:p>
            <w:pPr>
              <w:jc w:val="center"/>
              <w:rPr>
                <w:rFonts w:hint="default" w:ascii="Times New Roman" w:hAnsi="Times New Roman" w:eastAsia="宋体" w:cs="Times New Roman"/>
                <w:sz w:val="18"/>
                <w:szCs w:val="18"/>
              </w:rPr>
            </w:pPr>
          </w:p>
        </w:tc>
        <w:tc>
          <w:tcPr>
            <w:tcW w:w="5915" w:type="dxa"/>
            <w:gridSpan w:val="7"/>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每公里管段周边</w:t>
            </w:r>
            <w:r>
              <w:rPr>
                <w:rFonts w:hint="default" w:ascii="Times New Roman" w:hAnsi="Times New Roman" w:eastAsia="宋体" w:cs="Times New Roman"/>
                <w:sz w:val="18"/>
                <w:szCs w:val="18"/>
              </w:rPr>
              <w:t>200m</w:t>
            </w:r>
            <w:r>
              <w:rPr>
                <w:rFonts w:hint="default" w:ascii="Times New Roman" w:hAnsi="Times New Roman" w:eastAsia="宋体" w:cs="Times New Roman"/>
                <w:sz w:val="18"/>
                <w:szCs w:val="18"/>
              </w:rPr>
              <w:t>范围内人口数（最大）</w:t>
            </w:r>
          </w:p>
        </w:tc>
        <w:tc>
          <w:tcPr>
            <w:tcW w:w="780" w:type="dxa"/>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u w:val="single"/>
              </w:rPr>
              <w:t xml:space="preserve">0   </w:t>
            </w:r>
            <w:r>
              <w:rPr>
                <w:rFonts w:hint="default" w:ascii="Times New Roman" w:hAnsi="Times New Roman" w:eastAsia="宋体" w:cs="Times New Roman"/>
                <w:sz w:val="18"/>
                <w:szCs w:val="18"/>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405" w:type="dxa"/>
            <w:vMerge w:val="continue"/>
            <w:vAlign w:val="center"/>
          </w:tcPr>
          <w:p>
            <w:pPr>
              <w:jc w:val="center"/>
              <w:rPr>
                <w:rFonts w:hint="default" w:ascii="Times New Roman" w:hAnsi="Times New Roman" w:eastAsia="宋体" w:cs="Times New Roman"/>
                <w:sz w:val="18"/>
                <w:szCs w:val="18"/>
              </w:rPr>
            </w:pPr>
          </w:p>
        </w:tc>
        <w:tc>
          <w:tcPr>
            <w:tcW w:w="836" w:type="dxa"/>
            <w:gridSpan w:val="2"/>
            <w:vMerge w:val="continue"/>
            <w:vAlign w:val="center"/>
          </w:tcPr>
          <w:p>
            <w:pPr>
              <w:jc w:val="center"/>
              <w:rPr>
                <w:rFonts w:hint="default" w:ascii="Times New Roman" w:hAnsi="Times New Roman" w:eastAsia="宋体" w:cs="Times New Roman"/>
                <w:sz w:val="18"/>
                <w:szCs w:val="18"/>
              </w:rPr>
            </w:pPr>
          </w:p>
        </w:tc>
        <w:tc>
          <w:tcPr>
            <w:tcW w:w="754" w:type="dxa"/>
            <w:vMerge w:val="restart"/>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地表水</w:t>
            </w:r>
          </w:p>
        </w:tc>
        <w:tc>
          <w:tcPr>
            <w:tcW w:w="1895" w:type="dxa"/>
            <w:gridSpan w:val="2"/>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地表水功能敏感性</w:t>
            </w:r>
          </w:p>
        </w:tc>
        <w:tc>
          <w:tcPr>
            <w:tcW w:w="2079" w:type="dxa"/>
            <w:gridSpan w:val="2"/>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F1</w:t>
            </w:r>
            <w:r>
              <w:rPr>
                <w:rFonts w:hint="default" w:ascii="Times New Roman" w:hAnsi="Times New Roman" w:eastAsia="宋体" w:cs="Times New Roman"/>
                <w:sz w:val="18"/>
                <w:szCs w:val="18"/>
              </w:rPr>
              <w:sym w:font="Wingdings 2" w:char="00A3"/>
            </w:r>
          </w:p>
        </w:tc>
        <w:tc>
          <w:tcPr>
            <w:tcW w:w="1414" w:type="dxa"/>
            <w:gridSpan w:val="2"/>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F2</w:t>
            </w:r>
            <w:r>
              <w:rPr>
                <w:rFonts w:hint="default" w:ascii="Times New Roman" w:hAnsi="Times New Roman" w:eastAsia="宋体" w:cs="Times New Roman"/>
                <w:sz w:val="18"/>
                <w:szCs w:val="18"/>
              </w:rPr>
              <w:sym w:font="Wingdings 2" w:char="0052"/>
            </w:r>
          </w:p>
        </w:tc>
        <w:tc>
          <w:tcPr>
            <w:tcW w:w="1307" w:type="dxa"/>
            <w:gridSpan w:val="2"/>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F3</w:t>
            </w:r>
            <w:r>
              <w:rPr>
                <w:rFonts w:hint="default" w:ascii="Times New Roman" w:hAnsi="Times New Roman" w:eastAsia="宋体" w:cs="Times New Roman"/>
                <w:sz w:val="18"/>
                <w:szCs w:val="18"/>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405" w:type="dxa"/>
            <w:vMerge w:val="continue"/>
            <w:vAlign w:val="center"/>
          </w:tcPr>
          <w:p>
            <w:pPr>
              <w:jc w:val="center"/>
              <w:rPr>
                <w:rFonts w:hint="default" w:ascii="Times New Roman" w:hAnsi="Times New Roman" w:eastAsia="宋体" w:cs="Times New Roman"/>
                <w:sz w:val="18"/>
                <w:szCs w:val="18"/>
              </w:rPr>
            </w:pPr>
          </w:p>
        </w:tc>
        <w:tc>
          <w:tcPr>
            <w:tcW w:w="836" w:type="dxa"/>
            <w:gridSpan w:val="2"/>
            <w:vMerge w:val="continue"/>
            <w:vAlign w:val="center"/>
          </w:tcPr>
          <w:p>
            <w:pPr>
              <w:jc w:val="center"/>
              <w:rPr>
                <w:rFonts w:hint="default" w:ascii="Times New Roman" w:hAnsi="Times New Roman" w:eastAsia="宋体" w:cs="Times New Roman"/>
                <w:sz w:val="18"/>
                <w:szCs w:val="18"/>
              </w:rPr>
            </w:pPr>
          </w:p>
        </w:tc>
        <w:tc>
          <w:tcPr>
            <w:tcW w:w="754" w:type="dxa"/>
            <w:vMerge w:val="continue"/>
            <w:vAlign w:val="center"/>
          </w:tcPr>
          <w:p>
            <w:pPr>
              <w:jc w:val="center"/>
              <w:rPr>
                <w:rFonts w:hint="default" w:ascii="Times New Roman" w:hAnsi="Times New Roman" w:eastAsia="宋体" w:cs="Times New Roman"/>
                <w:sz w:val="18"/>
                <w:szCs w:val="18"/>
              </w:rPr>
            </w:pPr>
          </w:p>
        </w:tc>
        <w:tc>
          <w:tcPr>
            <w:tcW w:w="1895" w:type="dxa"/>
            <w:gridSpan w:val="2"/>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环境敏感目标分级</w:t>
            </w:r>
          </w:p>
        </w:tc>
        <w:tc>
          <w:tcPr>
            <w:tcW w:w="2079" w:type="dxa"/>
            <w:gridSpan w:val="2"/>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S1</w:t>
            </w:r>
            <w:r>
              <w:rPr>
                <w:rFonts w:hint="default" w:ascii="Times New Roman" w:hAnsi="Times New Roman" w:eastAsia="宋体" w:cs="Times New Roman"/>
                <w:sz w:val="18"/>
                <w:szCs w:val="18"/>
              </w:rPr>
              <w:sym w:font="Wingdings 2" w:char="00A3"/>
            </w:r>
          </w:p>
        </w:tc>
        <w:tc>
          <w:tcPr>
            <w:tcW w:w="1414" w:type="dxa"/>
            <w:gridSpan w:val="2"/>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S2</w:t>
            </w:r>
            <w:r>
              <w:rPr>
                <w:rFonts w:hint="default" w:ascii="Times New Roman" w:hAnsi="Times New Roman" w:eastAsia="宋体" w:cs="Times New Roman"/>
                <w:sz w:val="18"/>
                <w:szCs w:val="18"/>
              </w:rPr>
              <w:sym w:font="Wingdings 2" w:char="00A3"/>
            </w:r>
          </w:p>
        </w:tc>
        <w:tc>
          <w:tcPr>
            <w:tcW w:w="1307" w:type="dxa"/>
            <w:gridSpan w:val="2"/>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S3</w:t>
            </w:r>
            <w:r>
              <w:rPr>
                <w:rFonts w:hint="default" w:ascii="Times New Roman" w:hAnsi="Times New Roman" w:eastAsia="宋体" w:cs="Times New Roman"/>
                <w:sz w:val="18"/>
                <w:szCs w:val="18"/>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405" w:type="dxa"/>
            <w:vMerge w:val="continue"/>
            <w:vAlign w:val="center"/>
          </w:tcPr>
          <w:p>
            <w:pPr>
              <w:jc w:val="center"/>
              <w:rPr>
                <w:rFonts w:hint="default" w:ascii="Times New Roman" w:hAnsi="Times New Roman" w:eastAsia="宋体" w:cs="Times New Roman"/>
                <w:sz w:val="18"/>
                <w:szCs w:val="18"/>
              </w:rPr>
            </w:pPr>
          </w:p>
        </w:tc>
        <w:tc>
          <w:tcPr>
            <w:tcW w:w="836" w:type="dxa"/>
            <w:gridSpan w:val="2"/>
            <w:vMerge w:val="continue"/>
            <w:vAlign w:val="center"/>
          </w:tcPr>
          <w:p>
            <w:pPr>
              <w:jc w:val="center"/>
              <w:rPr>
                <w:rFonts w:hint="default" w:ascii="Times New Roman" w:hAnsi="Times New Roman" w:eastAsia="宋体" w:cs="Times New Roman"/>
                <w:sz w:val="18"/>
                <w:szCs w:val="18"/>
              </w:rPr>
            </w:pPr>
          </w:p>
        </w:tc>
        <w:tc>
          <w:tcPr>
            <w:tcW w:w="754" w:type="dxa"/>
            <w:vMerge w:val="restart"/>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地下水</w:t>
            </w:r>
          </w:p>
        </w:tc>
        <w:tc>
          <w:tcPr>
            <w:tcW w:w="1895" w:type="dxa"/>
            <w:gridSpan w:val="2"/>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地下水功能敏感性</w:t>
            </w:r>
          </w:p>
        </w:tc>
        <w:tc>
          <w:tcPr>
            <w:tcW w:w="2079" w:type="dxa"/>
            <w:gridSpan w:val="2"/>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G1</w:t>
            </w:r>
            <w:r>
              <w:rPr>
                <w:rFonts w:hint="default" w:ascii="Times New Roman" w:hAnsi="Times New Roman" w:eastAsia="宋体" w:cs="Times New Roman"/>
                <w:sz w:val="18"/>
                <w:szCs w:val="18"/>
              </w:rPr>
              <w:sym w:font="Wingdings 2" w:char="00A3"/>
            </w:r>
          </w:p>
        </w:tc>
        <w:tc>
          <w:tcPr>
            <w:tcW w:w="1414" w:type="dxa"/>
            <w:gridSpan w:val="2"/>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G2</w:t>
            </w:r>
            <w:r>
              <w:rPr>
                <w:rFonts w:hint="default" w:ascii="Times New Roman" w:hAnsi="Times New Roman" w:eastAsia="宋体" w:cs="Times New Roman"/>
                <w:sz w:val="18"/>
                <w:szCs w:val="18"/>
              </w:rPr>
              <w:sym w:font="Wingdings 2" w:char="00A3"/>
            </w:r>
          </w:p>
        </w:tc>
        <w:tc>
          <w:tcPr>
            <w:tcW w:w="1307" w:type="dxa"/>
            <w:gridSpan w:val="2"/>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G3</w:t>
            </w:r>
            <w:r>
              <w:rPr>
                <w:rFonts w:hint="default" w:ascii="Times New Roman" w:hAnsi="Times New Roman" w:eastAsia="宋体" w:cs="Times New Roman"/>
                <w:sz w:val="18"/>
                <w:szCs w:val="18"/>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405" w:type="dxa"/>
            <w:vMerge w:val="continue"/>
            <w:vAlign w:val="center"/>
          </w:tcPr>
          <w:p>
            <w:pPr>
              <w:jc w:val="center"/>
              <w:rPr>
                <w:rFonts w:hint="default" w:ascii="Times New Roman" w:hAnsi="Times New Roman" w:eastAsia="宋体" w:cs="Times New Roman"/>
                <w:sz w:val="18"/>
                <w:szCs w:val="18"/>
              </w:rPr>
            </w:pPr>
          </w:p>
        </w:tc>
        <w:tc>
          <w:tcPr>
            <w:tcW w:w="836" w:type="dxa"/>
            <w:gridSpan w:val="2"/>
            <w:vMerge w:val="continue"/>
            <w:vAlign w:val="center"/>
          </w:tcPr>
          <w:p>
            <w:pPr>
              <w:jc w:val="center"/>
              <w:rPr>
                <w:rFonts w:hint="default" w:ascii="Times New Roman" w:hAnsi="Times New Roman" w:eastAsia="宋体" w:cs="Times New Roman"/>
                <w:sz w:val="18"/>
                <w:szCs w:val="18"/>
              </w:rPr>
            </w:pPr>
          </w:p>
        </w:tc>
        <w:tc>
          <w:tcPr>
            <w:tcW w:w="754" w:type="dxa"/>
            <w:vMerge w:val="continue"/>
            <w:vAlign w:val="center"/>
          </w:tcPr>
          <w:p>
            <w:pPr>
              <w:jc w:val="center"/>
              <w:rPr>
                <w:rFonts w:hint="default" w:ascii="Times New Roman" w:hAnsi="Times New Roman" w:eastAsia="宋体" w:cs="Times New Roman"/>
                <w:sz w:val="18"/>
                <w:szCs w:val="18"/>
              </w:rPr>
            </w:pPr>
          </w:p>
        </w:tc>
        <w:tc>
          <w:tcPr>
            <w:tcW w:w="1895" w:type="dxa"/>
            <w:gridSpan w:val="2"/>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包气带防污性能</w:t>
            </w:r>
          </w:p>
        </w:tc>
        <w:tc>
          <w:tcPr>
            <w:tcW w:w="2079" w:type="dxa"/>
            <w:gridSpan w:val="2"/>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D1</w:t>
            </w:r>
            <w:r>
              <w:rPr>
                <w:rFonts w:hint="default" w:ascii="Times New Roman" w:hAnsi="Times New Roman" w:eastAsia="宋体" w:cs="Times New Roman"/>
                <w:sz w:val="18"/>
                <w:szCs w:val="18"/>
              </w:rPr>
              <w:sym w:font="Wingdings 2" w:char="00A3"/>
            </w:r>
          </w:p>
        </w:tc>
        <w:tc>
          <w:tcPr>
            <w:tcW w:w="1414" w:type="dxa"/>
            <w:gridSpan w:val="2"/>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D2</w:t>
            </w:r>
            <w:r>
              <w:rPr>
                <w:rFonts w:hint="default" w:ascii="Times New Roman" w:hAnsi="Times New Roman" w:eastAsia="宋体" w:cs="Times New Roman"/>
                <w:sz w:val="18"/>
                <w:szCs w:val="18"/>
              </w:rPr>
              <w:sym w:font="Wingdings 2" w:char="00A3"/>
            </w:r>
          </w:p>
        </w:tc>
        <w:tc>
          <w:tcPr>
            <w:tcW w:w="1307" w:type="dxa"/>
            <w:gridSpan w:val="2"/>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D3</w:t>
            </w:r>
            <w:r>
              <w:rPr>
                <w:rFonts w:hint="default" w:ascii="Times New Roman" w:hAnsi="Times New Roman" w:eastAsia="宋体" w:cs="Times New Roman"/>
                <w:sz w:val="18"/>
                <w:szCs w:val="18"/>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241" w:type="dxa"/>
            <w:gridSpan w:val="3"/>
            <w:vMerge w:val="restart"/>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物质及工艺系统危险性</w:t>
            </w:r>
          </w:p>
        </w:tc>
        <w:tc>
          <w:tcPr>
            <w:tcW w:w="754" w:type="dxa"/>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Q</w:t>
            </w:r>
            <w:r>
              <w:rPr>
                <w:rFonts w:hint="default" w:ascii="Times New Roman" w:hAnsi="Times New Roman" w:eastAsia="宋体" w:cs="Times New Roman"/>
                <w:sz w:val="18"/>
                <w:szCs w:val="18"/>
              </w:rPr>
              <w:t>值</w:t>
            </w:r>
          </w:p>
        </w:tc>
        <w:tc>
          <w:tcPr>
            <w:tcW w:w="1895" w:type="dxa"/>
            <w:gridSpan w:val="2"/>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Q&lt;1</w:t>
            </w:r>
            <w:r>
              <w:rPr>
                <w:rFonts w:hint="default" w:ascii="Times New Roman" w:hAnsi="Times New Roman" w:eastAsia="宋体" w:cs="Times New Roman"/>
                <w:sz w:val="18"/>
                <w:szCs w:val="18"/>
              </w:rPr>
              <w:sym w:font="Wingdings 2" w:char="00A3"/>
            </w:r>
          </w:p>
        </w:tc>
        <w:tc>
          <w:tcPr>
            <w:tcW w:w="2079" w:type="dxa"/>
            <w:gridSpan w:val="2"/>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w:t>
            </w:r>
            <w:r>
              <w:rPr>
                <w:rFonts w:hint="default" w:ascii="Times New Roman" w:hAnsi="Times New Roman" w:eastAsia="宋体" w:cs="Times New Roman"/>
                <w:sz w:val="18"/>
                <w:szCs w:val="18"/>
              </w:rPr>
              <w:t>≦</w:t>
            </w:r>
            <w:r>
              <w:rPr>
                <w:rFonts w:hint="default" w:ascii="Times New Roman" w:hAnsi="Times New Roman" w:eastAsia="宋体" w:cs="Times New Roman"/>
                <w:sz w:val="18"/>
                <w:szCs w:val="18"/>
              </w:rPr>
              <w:t>Q&lt;10</w:t>
            </w:r>
            <w:r>
              <w:rPr>
                <w:rFonts w:hint="default" w:ascii="Times New Roman" w:hAnsi="Times New Roman" w:eastAsia="宋体" w:cs="Times New Roman"/>
                <w:sz w:val="18"/>
                <w:szCs w:val="18"/>
              </w:rPr>
              <w:sym w:font="Wingdings 2" w:char="00A3"/>
            </w:r>
          </w:p>
        </w:tc>
        <w:tc>
          <w:tcPr>
            <w:tcW w:w="1414" w:type="dxa"/>
            <w:gridSpan w:val="2"/>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10</w:t>
            </w:r>
            <w:r>
              <w:rPr>
                <w:rFonts w:hint="default" w:ascii="Times New Roman" w:hAnsi="Times New Roman" w:eastAsia="宋体" w:cs="Times New Roman"/>
                <w:sz w:val="18"/>
                <w:szCs w:val="18"/>
              </w:rPr>
              <w:t>≦</w:t>
            </w:r>
            <w:r>
              <w:rPr>
                <w:rFonts w:hint="default" w:ascii="Times New Roman" w:hAnsi="Times New Roman" w:eastAsia="宋体" w:cs="Times New Roman"/>
                <w:sz w:val="18"/>
                <w:szCs w:val="18"/>
              </w:rPr>
              <w:t>Q&lt;100</w:t>
            </w:r>
            <w:r>
              <w:rPr>
                <w:rFonts w:hint="default" w:ascii="Times New Roman" w:hAnsi="Times New Roman" w:eastAsia="宋体" w:cs="Times New Roman"/>
                <w:sz w:val="18"/>
                <w:szCs w:val="18"/>
              </w:rPr>
              <w:sym w:font="Wingdings 2" w:char="0052"/>
            </w:r>
          </w:p>
        </w:tc>
        <w:tc>
          <w:tcPr>
            <w:tcW w:w="1307" w:type="dxa"/>
            <w:gridSpan w:val="2"/>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Q&gt;100</w:t>
            </w:r>
            <w:r>
              <w:rPr>
                <w:rFonts w:hint="default" w:ascii="Times New Roman" w:hAnsi="Times New Roman" w:eastAsia="宋体" w:cs="Times New Roman"/>
                <w:sz w:val="18"/>
                <w:szCs w:val="18"/>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241" w:type="dxa"/>
            <w:gridSpan w:val="3"/>
            <w:vMerge w:val="continue"/>
            <w:vAlign w:val="center"/>
          </w:tcPr>
          <w:p>
            <w:pPr>
              <w:jc w:val="center"/>
              <w:rPr>
                <w:rFonts w:hint="default" w:ascii="Times New Roman" w:hAnsi="Times New Roman" w:eastAsia="宋体" w:cs="Times New Roman"/>
                <w:sz w:val="18"/>
                <w:szCs w:val="18"/>
              </w:rPr>
            </w:pPr>
          </w:p>
        </w:tc>
        <w:tc>
          <w:tcPr>
            <w:tcW w:w="754" w:type="dxa"/>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M</w:t>
            </w:r>
            <w:r>
              <w:rPr>
                <w:rFonts w:hint="default" w:ascii="Times New Roman" w:hAnsi="Times New Roman" w:eastAsia="宋体" w:cs="Times New Roman"/>
                <w:sz w:val="18"/>
                <w:szCs w:val="18"/>
              </w:rPr>
              <w:t>值</w:t>
            </w:r>
          </w:p>
        </w:tc>
        <w:tc>
          <w:tcPr>
            <w:tcW w:w="1895" w:type="dxa"/>
            <w:gridSpan w:val="2"/>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M1</w:t>
            </w:r>
            <w:r>
              <w:rPr>
                <w:rFonts w:hint="default" w:ascii="Times New Roman" w:hAnsi="Times New Roman" w:eastAsia="宋体" w:cs="Times New Roman"/>
                <w:sz w:val="18"/>
                <w:szCs w:val="18"/>
              </w:rPr>
              <w:sym w:font="Wingdings 2" w:char="00A3"/>
            </w:r>
          </w:p>
        </w:tc>
        <w:tc>
          <w:tcPr>
            <w:tcW w:w="2079" w:type="dxa"/>
            <w:gridSpan w:val="2"/>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M2</w:t>
            </w:r>
            <w:r>
              <w:rPr>
                <w:rFonts w:hint="default" w:ascii="Times New Roman" w:hAnsi="Times New Roman" w:eastAsia="宋体" w:cs="Times New Roman"/>
                <w:sz w:val="18"/>
                <w:szCs w:val="18"/>
              </w:rPr>
              <w:sym w:font="Wingdings 2" w:char="00A3"/>
            </w:r>
          </w:p>
        </w:tc>
        <w:tc>
          <w:tcPr>
            <w:tcW w:w="1414" w:type="dxa"/>
            <w:gridSpan w:val="2"/>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M3</w:t>
            </w:r>
            <w:r>
              <w:rPr>
                <w:rFonts w:hint="default" w:ascii="Times New Roman" w:hAnsi="Times New Roman" w:eastAsia="宋体" w:cs="Times New Roman"/>
                <w:sz w:val="18"/>
                <w:szCs w:val="18"/>
              </w:rPr>
              <w:sym w:font="Wingdings 2" w:char="00A3"/>
            </w:r>
          </w:p>
        </w:tc>
        <w:tc>
          <w:tcPr>
            <w:tcW w:w="1307" w:type="dxa"/>
            <w:gridSpan w:val="2"/>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M4</w:t>
            </w:r>
            <w:r>
              <w:rPr>
                <w:rFonts w:hint="default" w:ascii="Times New Roman" w:hAnsi="Times New Roman" w:eastAsia="宋体" w:cs="Times New Roman"/>
                <w:sz w:val="18"/>
                <w:szCs w:val="18"/>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241" w:type="dxa"/>
            <w:gridSpan w:val="3"/>
            <w:vMerge w:val="continue"/>
            <w:vAlign w:val="center"/>
          </w:tcPr>
          <w:p>
            <w:pPr>
              <w:jc w:val="center"/>
              <w:rPr>
                <w:rFonts w:hint="default" w:ascii="Times New Roman" w:hAnsi="Times New Roman" w:eastAsia="宋体" w:cs="Times New Roman"/>
                <w:sz w:val="18"/>
                <w:szCs w:val="18"/>
              </w:rPr>
            </w:pPr>
          </w:p>
        </w:tc>
        <w:tc>
          <w:tcPr>
            <w:tcW w:w="754" w:type="dxa"/>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P</w:t>
            </w:r>
            <w:r>
              <w:rPr>
                <w:rFonts w:hint="default" w:ascii="Times New Roman" w:hAnsi="Times New Roman" w:eastAsia="宋体" w:cs="Times New Roman"/>
                <w:sz w:val="18"/>
                <w:szCs w:val="18"/>
              </w:rPr>
              <w:t>值</w:t>
            </w:r>
          </w:p>
        </w:tc>
        <w:tc>
          <w:tcPr>
            <w:tcW w:w="1895" w:type="dxa"/>
            <w:gridSpan w:val="2"/>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P1</w:t>
            </w:r>
            <w:r>
              <w:rPr>
                <w:rFonts w:hint="default" w:ascii="Times New Roman" w:hAnsi="Times New Roman" w:eastAsia="宋体" w:cs="Times New Roman"/>
                <w:sz w:val="18"/>
                <w:szCs w:val="18"/>
              </w:rPr>
              <w:sym w:font="Wingdings 2" w:char="00A3"/>
            </w:r>
          </w:p>
        </w:tc>
        <w:tc>
          <w:tcPr>
            <w:tcW w:w="2079" w:type="dxa"/>
            <w:gridSpan w:val="2"/>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P2</w:t>
            </w:r>
            <w:r>
              <w:rPr>
                <w:rFonts w:hint="default" w:ascii="Times New Roman" w:hAnsi="Times New Roman" w:eastAsia="宋体" w:cs="Times New Roman"/>
                <w:sz w:val="18"/>
                <w:szCs w:val="18"/>
              </w:rPr>
              <w:sym w:font="Wingdings 2" w:char="00A3"/>
            </w:r>
          </w:p>
        </w:tc>
        <w:tc>
          <w:tcPr>
            <w:tcW w:w="1414" w:type="dxa"/>
            <w:gridSpan w:val="2"/>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P3</w:t>
            </w:r>
            <w:r>
              <w:rPr>
                <w:rFonts w:hint="default" w:ascii="Times New Roman" w:hAnsi="Times New Roman" w:eastAsia="宋体" w:cs="Times New Roman"/>
                <w:sz w:val="18"/>
                <w:szCs w:val="18"/>
              </w:rPr>
              <w:sym w:font="Wingdings 2" w:char="00A3"/>
            </w:r>
          </w:p>
        </w:tc>
        <w:tc>
          <w:tcPr>
            <w:tcW w:w="1307" w:type="dxa"/>
            <w:gridSpan w:val="2"/>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P4</w:t>
            </w:r>
            <w:r>
              <w:rPr>
                <w:rFonts w:hint="default" w:ascii="Times New Roman" w:hAnsi="Times New Roman" w:eastAsia="宋体" w:cs="Times New Roman"/>
                <w:sz w:val="18"/>
                <w:szCs w:val="18"/>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241" w:type="dxa"/>
            <w:gridSpan w:val="3"/>
            <w:vMerge w:val="restart"/>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环境敏感程度</w:t>
            </w:r>
          </w:p>
        </w:tc>
        <w:tc>
          <w:tcPr>
            <w:tcW w:w="754" w:type="dxa"/>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大气</w:t>
            </w:r>
          </w:p>
        </w:tc>
        <w:tc>
          <w:tcPr>
            <w:tcW w:w="1895" w:type="dxa"/>
            <w:gridSpan w:val="2"/>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E1</w:t>
            </w:r>
            <w:r>
              <w:rPr>
                <w:rFonts w:hint="default" w:ascii="Times New Roman" w:hAnsi="Times New Roman" w:eastAsia="宋体" w:cs="Times New Roman"/>
                <w:sz w:val="18"/>
                <w:szCs w:val="18"/>
              </w:rPr>
              <w:sym w:font="Wingdings 2" w:char="0052"/>
            </w:r>
          </w:p>
        </w:tc>
        <w:tc>
          <w:tcPr>
            <w:tcW w:w="2751" w:type="dxa"/>
            <w:gridSpan w:val="3"/>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E2</w:t>
            </w:r>
            <w:r>
              <w:rPr>
                <w:rFonts w:hint="default" w:ascii="Times New Roman" w:hAnsi="Times New Roman" w:eastAsia="宋体" w:cs="Times New Roman"/>
                <w:sz w:val="18"/>
                <w:szCs w:val="18"/>
              </w:rPr>
              <w:sym w:font="Wingdings 2" w:char="00A3"/>
            </w:r>
          </w:p>
        </w:tc>
        <w:tc>
          <w:tcPr>
            <w:tcW w:w="2049" w:type="dxa"/>
            <w:gridSpan w:val="3"/>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E3</w:t>
            </w:r>
            <w:r>
              <w:rPr>
                <w:rFonts w:hint="default" w:ascii="Times New Roman" w:hAnsi="Times New Roman" w:eastAsia="宋体" w:cs="Times New Roman"/>
                <w:sz w:val="18"/>
                <w:szCs w:val="18"/>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241" w:type="dxa"/>
            <w:gridSpan w:val="3"/>
            <w:vMerge w:val="continue"/>
            <w:vAlign w:val="center"/>
          </w:tcPr>
          <w:p>
            <w:pPr>
              <w:jc w:val="center"/>
              <w:rPr>
                <w:rFonts w:hint="default" w:ascii="Times New Roman" w:hAnsi="Times New Roman" w:eastAsia="宋体" w:cs="Times New Roman"/>
                <w:sz w:val="18"/>
                <w:szCs w:val="18"/>
              </w:rPr>
            </w:pPr>
          </w:p>
        </w:tc>
        <w:tc>
          <w:tcPr>
            <w:tcW w:w="754" w:type="dxa"/>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地表水</w:t>
            </w:r>
          </w:p>
        </w:tc>
        <w:tc>
          <w:tcPr>
            <w:tcW w:w="1895" w:type="dxa"/>
            <w:gridSpan w:val="2"/>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E1</w:t>
            </w:r>
            <w:r>
              <w:rPr>
                <w:rFonts w:hint="default" w:ascii="Times New Roman" w:hAnsi="Times New Roman" w:eastAsia="宋体" w:cs="Times New Roman"/>
                <w:sz w:val="18"/>
                <w:szCs w:val="18"/>
              </w:rPr>
              <w:sym w:font="Wingdings 2" w:char="00A3"/>
            </w:r>
          </w:p>
        </w:tc>
        <w:tc>
          <w:tcPr>
            <w:tcW w:w="2751" w:type="dxa"/>
            <w:gridSpan w:val="3"/>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E2</w:t>
            </w:r>
            <w:r>
              <w:rPr>
                <w:rFonts w:hint="default" w:ascii="Times New Roman" w:hAnsi="Times New Roman" w:eastAsia="宋体" w:cs="Times New Roman"/>
                <w:sz w:val="18"/>
                <w:szCs w:val="18"/>
              </w:rPr>
              <w:sym w:font="Wingdings 2" w:char="0052"/>
            </w:r>
          </w:p>
        </w:tc>
        <w:tc>
          <w:tcPr>
            <w:tcW w:w="2049" w:type="dxa"/>
            <w:gridSpan w:val="3"/>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E3</w:t>
            </w:r>
            <w:r>
              <w:rPr>
                <w:rFonts w:hint="default" w:ascii="Times New Roman" w:hAnsi="Times New Roman" w:eastAsia="宋体" w:cs="Times New Roman"/>
                <w:sz w:val="18"/>
                <w:szCs w:val="18"/>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1241" w:type="dxa"/>
            <w:gridSpan w:val="3"/>
            <w:vMerge w:val="continue"/>
            <w:vAlign w:val="center"/>
          </w:tcPr>
          <w:p>
            <w:pPr>
              <w:jc w:val="center"/>
              <w:rPr>
                <w:rFonts w:hint="default" w:ascii="Times New Roman" w:hAnsi="Times New Roman" w:eastAsia="宋体" w:cs="Times New Roman"/>
                <w:sz w:val="18"/>
                <w:szCs w:val="18"/>
              </w:rPr>
            </w:pPr>
          </w:p>
        </w:tc>
        <w:tc>
          <w:tcPr>
            <w:tcW w:w="754" w:type="dxa"/>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地下水</w:t>
            </w:r>
          </w:p>
        </w:tc>
        <w:tc>
          <w:tcPr>
            <w:tcW w:w="1895" w:type="dxa"/>
            <w:gridSpan w:val="2"/>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E1</w:t>
            </w:r>
            <w:r>
              <w:rPr>
                <w:rFonts w:hint="default" w:ascii="Times New Roman" w:hAnsi="Times New Roman" w:eastAsia="宋体" w:cs="Times New Roman"/>
                <w:sz w:val="18"/>
                <w:szCs w:val="18"/>
              </w:rPr>
              <w:sym w:font="Wingdings 2" w:char="00A3"/>
            </w:r>
          </w:p>
        </w:tc>
        <w:tc>
          <w:tcPr>
            <w:tcW w:w="2751" w:type="dxa"/>
            <w:gridSpan w:val="3"/>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E2</w:t>
            </w:r>
            <w:r>
              <w:rPr>
                <w:rFonts w:hint="default" w:ascii="Times New Roman" w:hAnsi="Times New Roman" w:eastAsia="宋体" w:cs="Times New Roman"/>
                <w:sz w:val="18"/>
                <w:szCs w:val="18"/>
              </w:rPr>
              <w:sym w:font="Wingdings 2" w:char="00A3"/>
            </w:r>
          </w:p>
        </w:tc>
        <w:tc>
          <w:tcPr>
            <w:tcW w:w="2049" w:type="dxa"/>
            <w:gridSpan w:val="3"/>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E3</w:t>
            </w:r>
            <w:r>
              <w:rPr>
                <w:rFonts w:hint="default" w:ascii="Times New Roman" w:hAnsi="Times New Roman" w:eastAsia="宋体" w:cs="Times New Roman"/>
                <w:sz w:val="18"/>
                <w:szCs w:val="18"/>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241" w:type="dxa"/>
            <w:gridSpan w:val="3"/>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环境风险潜势</w:t>
            </w:r>
          </w:p>
        </w:tc>
        <w:tc>
          <w:tcPr>
            <w:tcW w:w="1839" w:type="dxa"/>
            <w:gridSpan w:val="2"/>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IV+</w:t>
            </w:r>
            <w:r>
              <w:rPr>
                <w:rFonts w:hint="default" w:ascii="Times New Roman" w:hAnsi="Times New Roman" w:eastAsia="宋体" w:cs="Times New Roman"/>
                <w:sz w:val="18"/>
                <w:szCs w:val="18"/>
              </w:rPr>
              <w:sym w:font="Wingdings 2" w:char="00A3"/>
            </w:r>
          </w:p>
        </w:tc>
        <w:tc>
          <w:tcPr>
            <w:tcW w:w="810" w:type="dxa"/>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IV</w:t>
            </w:r>
            <w:r>
              <w:rPr>
                <w:rFonts w:hint="default" w:ascii="Times New Roman" w:hAnsi="Times New Roman" w:eastAsia="宋体" w:cs="Times New Roman"/>
                <w:sz w:val="18"/>
                <w:szCs w:val="18"/>
              </w:rPr>
              <w:sym w:font="Wingdings 2" w:char="00A3"/>
            </w:r>
          </w:p>
        </w:tc>
        <w:tc>
          <w:tcPr>
            <w:tcW w:w="2079" w:type="dxa"/>
            <w:gridSpan w:val="2"/>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III</w:t>
            </w:r>
            <w:r>
              <w:rPr>
                <w:rFonts w:hint="default" w:ascii="Times New Roman" w:hAnsi="Times New Roman" w:eastAsia="宋体" w:cs="Times New Roman"/>
                <w:sz w:val="18"/>
                <w:szCs w:val="18"/>
              </w:rPr>
              <w:sym w:font="Wingdings 2" w:char="0052"/>
            </w:r>
          </w:p>
        </w:tc>
        <w:tc>
          <w:tcPr>
            <w:tcW w:w="1414" w:type="dxa"/>
            <w:gridSpan w:val="2"/>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II</w:t>
            </w:r>
            <w:r>
              <w:rPr>
                <w:rFonts w:hint="default" w:ascii="Times New Roman" w:hAnsi="Times New Roman" w:eastAsia="宋体" w:cs="Times New Roman"/>
                <w:sz w:val="18"/>
                <w:szCs w:val="18"/>
              </w:rPr>
              <w:sym w:font="Wingdings 2" w:char="0052"/>
            </w:r>
          </w:p>
        </w:tc>
        <w:tc>
          <w:tcPr>
            <w:tcW w:w="1307" w:type="dxa"/>
            <w:gridSpan w:val="2"/>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I</w:t>
            </w:r>
            <w:r>
              <w:rPr>
                <w:rFonts w:hint="default" w:ascii="Times New Roman" w:hAnsi="Times New Roman" w:eastAsia="宋体" w:cs="Times New Roman"/>
                <w:sz w:val="18"/>
                <w:szCs w:val="18"/>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241" w:type="dxa"/>
            <w:gridSpan w:val="3"/>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评价等级</w:t>
            </w:r>
          </w:p>
        </w:tc>
        <w:tc>
          <w:tcPr>
            <w:tcW w:w="2649" w:type="dxa"/>
            <w:gridSpan w:val="3"/>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一级</w:t>
            </w:r>
            <w:r>
              <w:rPr>
                <w:rFonts w:hint="default" w:ascii="Times New Roman" w:hAnsi="Times New Roman" w:eastAsia="宋体" w:cs="Times New Roman"/>
                <w:sz w:val="18"/>
                <w:szCs w:val="18"/>
              </w:rPr>
              <w:sym w:font="Wingdings 2" w:char="00A3"/>
            </w:r>
          </w:p>
        </w:tc>
        <w:tc>
          <w:tcPr>
            <w:tcW w:w="2079" w:type="dxa"/>
            <w:gridSpan w:val="2"/>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二级</w:t>
            </w:r>
            <w:r>
              <w:rPr>
                <w:rFonts w:hint="default" w:ascii="Times New Roman" w:hAnsi="Times New Roman" w:eastAsia="宋体" w:cs="Times New Roman"/>
                <w:sz w:val="18"/>
                <w:szCs w:val="18"/>
              </w:rPr>
              <w:sym w:font="Wingdings 2" w:char="0052"/>
            </w:r>
          </w:p>
        </w:tc>
        <w:tc>
          <w:tcPr>
            <w:tcW w:w="1414" w:type="dxa"/>
            <w:gridSpan w:val="2"/>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三级</w:t>
            </w:r>
            <w:r>
              <w:rPr>
                <w:rFonts w:hint="default" w:ascii="Times New Roman" w:hAnsi="Times New Roman" w:eastAsia="宋体" w:cs="Times New Roman"/>
                <w:sz w:val="18"/>
                <w:szCs w:val="18"/>
              </w:rPr>
              <w:sym w:font="Wingdings 2" w:char="0052"/>
            </w:r>
          </w:p>
        </w:tc>
        <w:tc>
          <w:tcPr>
            <w:tcW w:w="1307" w:type="dxa"/>
            <w:gridSpan w:val="2"/>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简单分析</w:t>
            </w:r>
            <w:r>
              <w:rPr>
                <w:rFonts w:hint="default" w:ascii="Times New Roman" w:hAnsi="Times New Roman" w:eastAsia="宋体" w:cs="Times New Roman"/>
                <w:sz w:val="18"/>
                <w:szCs w:val="18"/>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405" w:type="dxa"/>
            <w:vMerge w:val="restart"/>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风险识别</w:t>
            </w:r>
          </w:p>
        </w:tc>
        <w:tc>
          <w:tcPr>
            <w:tcW w:w="836" w:type="dxa"/>
            <w:gridSpan w:val="2"/>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物质危险性</w:t>
            </w:r>
          </w:p>
        </w:tc>
        <w:tc>
          <w:tcPr>
            <w:tcW w:w="4319" w:type="dxa"/>
            <w:gridSpan w:val="4"/>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有毒有害</w:t>
            </w:r>
            <w:r>
              <w:rPr>
                <w:rFonts w:hint="default" w:ascii="Times New Roman" w:hAnsi="Times New Roman" w:eastAsia="宋体" w:cs="Times New Roman"/>
                <w:sz w:val="18"/>
                <w:szCs w:val="18"/>
              </w:rPr>
              <w:sym w:font="Wingdings 2" w:char="0052"/>
            </w:r>
          </w:p>
        </w:tc>
        <w:tc>
          <w:tcPr>
            <w:tcW w:w="3130" w:type="dxa"/>
            <w:gridSpan w:val="5"/>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易燃易爆</w:t>
            </w:r>
            <w:r>
              <w:rPr>
                <w:rFonts w:hint="default" w:ascii="Times New Roman" w:hAnsi="Times New Roman" w:eastAsia="宋体" w:cs="Times New Roman"/>
                <w:sz w:val="18"/>
                <w:szCs w:val="18"/>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405" w:type="dxa"/>
            <w:vMerge w:val="continue"/>
            <w:vAlign w:val="center"/>
          </w:tcPr>
          <w:p>
            <w:pPr>
              <w:jc w:val="center"/>
              <w:rPr>
                <w:rFonts w:hint="default" w:ascii="Times New Roman" w:hAnsi="Times New Roman" w:eastAsia="宋体" w:cs="Times New Roman"/>
                <w:sz w:val="18"/>
                <w:szCs w:val="18"/>
              </w:rPr>
            </w:pPr>
          </w:p>
        </w:tc>
        <w:tc>
          <w:tcPr>
            <w:tcW w:w="836" w:type="dxa"/>
            <w:gridSpan w:val="2"/>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环境风险类型</w:t>
            </w:r>
          </w:p>
        </w:tc>
        <w:tc>
          <w:tcPr>
            <w:tcW w:w="2649" w:type="dxa"/>
            <w:gridSpan w:val="3"/>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泄漏</w:t>
            </w:r>
            <w:r>
              <w:rPr>
                <w:rFonts w:hint="default" w:ascii="Times New Roman" w:hAnsi="Times New Roman" w:eastAsia="宋体" w:cs="Times New Roman"/>
                <w:sz w:val="18"/>
                <w:szCs w:val="18"/>
              </w:rPr>
              <w:sym w:font="Wingdings 2" w:char="0052"/>
            </w:r>
          </w:p>
        </w:tc>
        <w:tc>
          <w:tcPr>
            <w:tcW w:w="4800" w:type="dxa"/>
            <w:gridSpan w:val="6"/>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火灾、爆炸引发伴生</w:t>
            </w:r>
            <w:r>
              <w:rPr>
                <w:rFonts w:hint="default" w:ascii="Times New Roman" w:hAnsi="Times New Roman" w:eastAsia="宋体" w:cs="Times New Roman"/>
                <w:sz w:val="18"/>
                <w:szCs w:val="18"/>
              </w:rPr>
              <w:t>/</w:t>
            </w:r>
            <w:r>
              <w:rPr>
                <w:rFonts w:hint="default" w:ascii="Times New Roman" w:hAnsi="Times New Roman" w:eastAsia="宋体" w:cs="Times New Roman"/>
                <w:sz w:val="18"/>
                <w:szCs w:val="18"/>
              </w:rPr>
              <w:t>次生污染物排放</w:t>
            </w:r>
            <w:r>
              <w:rPr>
                <w:rFonts w:hint="default" w:ascii="Times New Roman" w:hAnsi="Times New Roman" w:eastAsia="宋体" w:cs="Times New Roman"/>
                <w:sz w:val="18"/>
                <w:szCs w:val="18"/>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405" w:type="dxa"/>
            <w:vMerge w:val="continue"/>
            <w:vAlign w:val="center"/>
          </w:tcPr>
          <w:p>
            <w:pPr>
              <w:jc w:val="center"/>
              <w:rPr>
                <w:rFonts w:hint="default" w:ascii="Times New Roman" w:hAnsi="Times New Roman" w:eastAsia="宋体" w:cs="Times New Roman"/>
                <w:sz w:val="18"/>
                <w:szCs w:val="18"/>
              </w:rPr>
            </w:pPr>
          </w:p>
        </w:tc>
        <w:tc>
          <w:tcPr>
            <w:tcW w:w="836" w:type="dxa"/>
            <w:gridSpan w:val="2"/>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影响途径</w:t>
            </w:r>
          </w:p>
        </w:tc>
        <w:tc>
          <w:tcPr>
            <w:tcW w:w="2649" w:type="dxa"/>
            <w:gridSpan w:val="3"/>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大气</w:t>
            </w:r>
            <w:r>
              <w:rPr>
                <w:rFonts w:hint="default" w:ascii="Times New Roman" w:hAnsi="Times New Roman" w:eastAsia="宋体" w:cs="Times New Roman"/>
                <w:sz w:val="18"/>
                <w:szCs w:val="18"/>
              </w:rPr>
              <w:sym w:font="Wingdings 2" w:char="0052"/>
            </w:r>
          </w:p>
        </w:tc>
        <w:tc>
          <w:tcPr>
            <w:tcW w:w="2751" w:type="dxa"/>
            <w:gridSpan w:val="3"/>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地表水</w:t>
            </w:r>
            <w:r>
              <w:rPr>
                <w:rFonts w:hint="default" w:ascii="Times New Roman" w:hAnsi="Times New Roman" w:eastAsia="宋体" w:cs="Times New Roman"/>
                <w:sz w:val="18"/>
                <w:szCs w:val="18"/>
              </w:rPr>
              <w:sym w:font="Wingdings 2" w:char="0052"/>
            </w:r>
          </w:p>
        </w:tc>
        <w:tc>
          <w:tcPr>
            <w:tcW w:w="2049" w:type="dxa"/>
            <w:gridSpan w:val="3"/>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地下水</w:t>
            </w:r>
            <w:r>
              <w:rPr>
                <w:rFonts w:hint="default" w:ascii="Times New Roman" w:hAnsi="Times New Roman" w:eastAsia="宋体" w:cs="Times New Roman"/>
                <w:sz w:val="18"/>
                <w:szCs w:val="18"/>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241" w:type="dxa"/>
            <w:gridSpan w:val="3"/>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事故情形分析</w:t>
            </w:r>
          </w:p>
        </w:tc>
        <w:tc>
          <w:tcPr>
            <w:tcW w:w="1839" w:type="dxa"/>
            <w:gridSpan w:val="2"/>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源强设定方法</w:t>
            </w:r>
          </w:p>
        </w:tc>
        <w:tc>
          <w:tcPr>
            <w:tcW w:w="810" w:type="dxa"/>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计算法</w:t>
            </w:r>
            <w:r>
              <w:rPr>
                <w:rFonts w:hint="default" w:ascii="Times New Roman" w:hAnsi="Times New Roman" w:eastAsia="宋体" w:cs="Times New Roman"/>
                <w:sz w:val="18"/>
                <w:szCs w:val="18"/>
              </w:rPr>
              <w:sym w:font="Wingdings 2" w:char="0052"/>
            </w:r>
          </w:p>
        </w:tc>
        <w:tc>
          <w:tcPr>
            <w:tcW w:w="2751" w:type="dxa"/>
            <w:gridSpan w:val="3"/>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经验估算法</w:t>
            </w:r>
            <w:r>
              <w:rPr>
                <w:rFonts w:hint="default" w:ascii="Times New Roman" w:hAnsi="Times New Roman" w:eastAsia="宋体" w:cs="Times New Roman"/>
                <w:sz w:val="18"/>
                <w:szCs w:val="18"/>
              </w:rPr>
              <w:sym w:font="Wingdings 2" w:char="00A3"/>
            </w:r>
          </w:p>
        </w:tc>
        <w:tc>
          <w:tcPr>
            <w:tcW w:w="2049" w:type="dxa"/>
            <w:gridSpan w:val="3"/>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其他估算法</w:t>
            </w:r>
            <w:r>
              <w:rPr>
                <w:rFonts w:hint="default" w:ascii="Times New Roman" w:hAnsi="Times New Roman" w:eastAsia="宋体" w:cs="Times New Roman"/>
                <w:sz w:val="18"/>
                <w:szCs w:val="18"/>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465" w:type="dxa"/>
            <w:gridSpan w:val="2"/>
            <w:vMerge w:val="restart"/>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风险预测与评价</w:t>
            </w:r>
          </w:p>
        </w:tc>
        <w:tc>
          <w:tcPr>
            <w:tcW w:w="776" w:type="dxa"/>
            <w:vMerge w:val="restart"/>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大气</w:t>
            </w:r>
          </w:p>
        </w:tc>
        <w:tc>
          <w:tcPr>
            <w:tcW w:w="1839" w:type="dxa"/>
            <w:gridSpan w:val="2"/>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预测模型</w:t>
            </w:r>
          </w:p>
        </w:tc>
        <w:tc>
          <w:tcPr>
            <w:tcW w:w="810" w:type="dxa"/>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SLAB</w:t>
            </w:r>
            <w:r>
              <w:rPr>
                <w:rFonts w:hint="default" w:ascii="Times New Roman" w:hAnsi="Times New Roman" w:eastAsia="宋体" w:cs="Times New Roman"/>
                <w:sz w:val="18"/>
                <w:szCs w:val="18"/>
              </w:rPr>
              <w:sym w:font="Wingdings 2" w:char="00A3"/>
            </w:r>
          </w:p>
        </w:tc>
        <w:tc>
          <w:tcPr>
            <w:tcW w:w="2751" w:type="dxa"/>
            <w:gridSpan w:val="3"/>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AFTOX</w:t>
            </w:r>
            <w:r>
              <w:rPr>
                <w:rFonts w:hint="default" w:ascii="Times New Roman" w:hAnsi="Times New Roman" w:eastAsia="宋体" w:cs="Times New Roman"/>
                <w:sz w:val="18"/>
                <w:szCs w:val="18"/>
              </w:rPr>
              <w:sym w:font="Wingdings 2" w:char="0052"/>
            </w:r>
          </w:p>
        </w:tc>
        <w:tc>
          <w:tcPr>
            <w:tcW w:w="2049" w:type="dxa"/>
            <w:gridSpan w:val="3"/>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其他</w:t>
            </w:r>
            <w:r>
              <w:rPr>
                <w:rFonts w:hint="default" w:ascii="Times New Roman" w:hAnsi="Times New Roman" w:eastAsia="宋体" w:cs="Times New Roman"/>
                <w:sz w:val="18"/>
                <w:szCs w:val="18"/>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465" w:type="dxa"/>
            <w:gridSpan w:val="2"/>
            <w:vMerge w:val="continue"/>
            <w:vAlign w:val="center"/>
          </w:tcPr>
          <w:p>
            <w:pPr>
              <w:jc w:val="center"/>
              <w:rPr>
                <w:rFonts w:hint="default" w:ascii="Times New Roman" w:hAnsi="Times New Roman" w:eastAsia="宋体" w:cs="Times New Roman"/>
                <w:sz w:val="18"/>
                <w:szCs w:val="18"/>
              </w:rPr>
            </w:pPr>
          </w:p>
        </w:tc>
        <w:tc>
          <w:tcPr>
            <w:tcW w:w="776" w:type="dxa"/>
            <w:vMerge w:val="continue"/>
            <w:vAlign w:val="center"/>
          </w:tcPr>
          <w:p>
            <w:pPr>
              <w:jc w:val="center"/>
              <w:rPr>
                <w:rFonts w:hint="default" w:ascii="Times New Roman" w:hAnsi="Times New Roman" w:eastAsia="宋体" w:cs="Times New Roman"/>
                <w:sz w:val="18"/>
                <w:szCs w:val="18"/>
              </w:rPr>
            </w:pPr>
          </w:p>
        </w:tc>
        <w:tc>
          <w:tcPr>
            <w:tcW w:w="1839" w:type="dxa"/>
            <w:gridSpan w:val="2"/>
            <w:vMerge w:val="restart"/>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预测结果</w:t>
            </w:r>
          </w:p>
        </w:tc>
        <w:tc>
          <w:tcPr>
            <w:tcW w:w="5610" w:type="dxa"/>
            <w:gridSpan w:val="7"/>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大气毒性终点浓度</w:t>
            </w:r>
            <w:r>
              <w:rPr>
                <w:rFonts w:hint="default" w:ascii="Times New Roman" w:hAnsi="Times New Roman" w:eastAsia="宋体" w:cs="Times New Roman"/>
                <w:sz w:val="18"/>
                <w:szCs w:val="18"/>
              </w:rPr>
              <w:t>-1</w:t>
            </w:r>
            <w:r>
              <w:rPr>
                <w:rFonts w:hint="default" w:ascii="Times New Roman" w:hAnsi="Times New Roman" w:eastAsia="宋体" w:cs="Times New Roman"/>
                <w:sz w:val="18"/>
                <w:szCs w:val="18"/>
              </w:rPr>
              <w:t>最大影响范围</w:t>
            </w:r>
            <w:r>
              <w:rPr>
                <w:rFonts w:hint="default" w:ascii="Times New Roman" w:hAnsi="Times New Roman" w:eastAsia="宋体" w:cs="Times New Roman"/>
                <w:sz w:val="18"/>
                <w:szCs w:val="18"/>
                <w:u w:val="single"/>
              </w:rPr>
              <w:t xml:space="preserve">  </w:t>
            </w:r>
            <w:r>
              <w:rPr>
                <w:rFonts w:hint="default" w:ascii="Times New Roman" w:hAnsi="Times New Roman" w:eastAsia="宋体" w:cs="Times New Roman"/>
                <w:sz w:val="18"/>
                <w:szCs w:val="18"/>
                <w:u w:val="single"/>
                <w:lang w:val="en-US" w:eastAsia="zh-CN"/>
              </w:rPr>
              <w:t>23</w:t>
            </w:r>
            <w:r>
              <w:rPr>
                <w:rFonts w:hint="default" w:ascii="Times New Roman" w:hAnsi="Times New Roman" w:eastAsia="宋体" w:cs="Times New Roman"/>
                <w:sz w:val="18"/>
                <w:szCs w:val="18"/>
                <w:u w:val="single"/>
              </w:rPr>
              <w:t xml:space="preserve">    </w:t>
            </w:r>
            <w:r>
              <w:rPr>
                <w:rFonts w:hint="default" w:ascii="Times New Roman" w:hAnsi="Times New Roman" w:eastAsia="宋体" w:cs="Times New Roman"/>
                <w:sz w:val="18"/>
                <w:szCs w:val="18"/>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465" w:type="dxa"/>
            <w:gridSpan w:val="2"/>
            <w:vMerge w:val="continue"/>
            <w:vAlign w:val="center"/>
          </w:tcPr>
          <w:p>
            <w:pPr>
              <w:jc w:val="center"/>
              <w:rPr>
                <w:rFonts w:hint="default" w:ascii="Times New Roman" w:hAnsi="Times New Roman" w:eastAsia="宋体" w:cs="Times New Roman"/>
                <w:sz w:val="18"/>
                <w:szCs w:val="18"/>
              </w:rPr>
            </w:pPr>
          </w:p>
        </w:tc>
        <w:tc>
          <w:tcPr>
            <w:tcW w:w="776" w:type="dxa"/>
            <w:vMerge w:val="continue"/>
            <w:vAlign w:val="center"/>
          </w:tcPr>
          <w:p>
            <w:pPr>
              <w:jc w:val="center"/>
              <w:rPr>
                <w:rFonts w:hint="default" w:ascii="Times New Roman" w:hAnsi="Times New Roman" w:eastAsia="宋体" w:cs="Times New Roman"/>
                <w:sz w:val="18"/>
                <w:szCs w:val="18"/>
              </w:rPr>
            </w:pPr>
          </w:p>
        </w:tc>
        <w:tc>
          <w:tcPr>
            <w:tcW w:w="1839" w:type="dxa"/>
            <w:gridSpan w:val="2"/>
            <w:vMerge w:val="continue"/>
            <w:vAlign w:val="center"/>
          </w:tcPr>
          <w:p>
            <w:pPr>
              <w:jc w:val="center"/>
              <w:rPr>
                <w:rFonts w:hint="default" w:ascii="Times New Roman" w:hAnsi="Times New Roman" w:eastAsia="宋体" w:cs="Times New Roman"/>
                <w:sz w:val="18"/>
                <w:szCs w:val="18"/>
              </w:rPr>
            </w:pPr>
          </w:p>
        </w:tc>
        <w:tc>
          <w:tcPr>
            <w:tcW w:w="5610" w:type="dxa"/>
            <w:gridSpan w:val="7"/>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大气毒性终点浓度</w:t>
            </w:r>
            <w:r>
              <w:rPr>
                <w:rFonts w:hint="default" w:ascii="Times New Roman" w:hAnsi="Times New Roman" w:eastAsia="宋体" w:cs="Times New Roman"/>
                <w:sz w:val="18"/>
                <w:szCs w:val="18"/>
              </w:rPr>
              <w:t>-2</w:t>
            </w:r>
            <w:r>
              <w:rPr>
                <w:rFonts w:hint="default" w:ascii="Times New Roman" w:hAnsi="Times New Roman" w:eastAsia="宋体" w:cs="Times New Roman"/>
                <w:sz w:val="18"/>
                <w:szCs w:val="18"/>
              </w:rPr>
              <w:t>最大影响范围</w:t>
            </w:r>
            <w:r>
              <w:rPr>
                <w:rFonts w:hint="default" w:ascii="Times New Roman" w:hAnsi="Times New Roman" w:eastAsia="宋体" w:cs="Times New Roman"/>
                <w:sz w:val="18"/>
                <w:szCs w:val="18"/>
                <w:u w:val="single"/>
              </w:rPr>
              <w:t xml:space="preserve">  </w:t>
            </w:r>
            <w:r>
              <w:rPr>
                <w:rFonts w:hint="default" w:ascii="Times New Roman" w:hAnsi="Times New Roman" w:eastAsia="宋体" w:cs="Times New Roman"/>
                <w:sz w:val="18"/>
                <w:szCs w:val="18"/>
                <w:u w:val="single"/>
                <w:lang w:val="en-US" w:eastAsia="zh-CN"/>
              </w:rPr>
              <w:t>34</w:t>
            </w:r>
            <w:r>
              <w:rPr>
                <w:rFonts w:hint="default" w:ascii="Times New Roman" w:hAnsi="Times New Roman" w:eastAsia="宋体" w:cs="Times New Roman"/>
                <w:sz w:val="18"/>
                <w:szCs w:val="18"/>
                <w:u w:val="single"/>
              </w:rPr>
              <w:t xml:space="preserve">    </w:t>
            </w:r>
            <w:r>
              <w:rPr>
                <w:rFonts w:hint="default" w:ascii="Times New Roman" w:hAnsi="Times New Roman" w:eastAsia="宋体" w:cs="Times New Roman"/>
                <w:sz w:val="18"/>
                <w:szCs w:val="18"/>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465" w:type="dxa"/>
            <w:gridSpan w:val="2"/>
            <w:vMerge w:val="continue"/>
            <w:vAlign w:val="center"/>
          </w:tcPr>
          <w:p>
            <w:pPr>
              <w:jc w:val="center"/>
              <w:rPr>
                <w:rFonts w:hint="default" w:ascii="Times New Roman" w:hAnsi="Times New Roman" w:eastAsia="宋体" w:cs="Times New Roman"/>
                <w:sz w:val="18"/>
                <w:szCs w:val="18"/>
              </w:rPr>
            </w:pPr>
          </w:p>
        </w:tc>
        <w:tc>
          <w:tcPr>
            <w:tcW w:w="776" w:type="dxa"/>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地表水</w:t>
            </w:r>
          </w:p>
        </w:tc>
        <w:tc>
          <w:tcPr>
            <w:tcW w:w="7449" w:type="dxa"/>
            <w:gridSpan w:val="9"/>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最近环境敏感目标</w:t>
            </w:r>
            <w:r>
              <w:rPr>
                <w:rFonts w:hint="default" w:ascii="Times New Roman" w:hAnsi="Times New Roman" w:eastAsia="宋体" w:cs="Times New Roman"/>
                <w:sz w:val="18"/>
                <w:szCs w:val="18"/>
                <w:u w:val="single"/>
              </w:rPr>
              <w:t xml:space="preserve"> </w:t>
            </w:r>
            <w:r>
              <w:rPr>
                <w:rFonts w:hint="default" w:ascii="Times New Roman" w:hAnsi="Times New Roman" w:eastAsia="宋体" w:cs="Times New Roman"/>
                <w:sz w:val="18"/>
                <w:szCs w:val="18"/>
                <w:u w:val="single"/>
              </w:rPr>
              <w:t xml:space="preserve"> </w:t>
            </w:r>
            <w:r>
              <w:rPr>
                <w:rFonts w:hint="default" w:ascii="Times New Roman" w:hAnsi="Times New Roman" w:eastAsia="宋体" w:cs="Times New Roman"/>
                <w:sz w:val="18"/>
                <w:szCs w:val="18"/>
                <w:u w:val="single"/>
              </w:rPr>
              <w:t xml:space="preserve">/   </w:t>
            </w:r>
            <w:r>
              <w:rPr>
                <w:rFonts w:hint="default" w:ascii="Times New Roman" w:hAnsi="Times New Roman" w:eastAsia="宋体" w:cs="Times New Roman"/>
                <w:sz w:val="18"/>
                <w:szCs w:val="18"/>
              </w:rPr>
              <w:t>，到达时间</w:t>
            </w:r>
            <w:r>
              <w:rPr>
                <w:rFonts w:hint="default" w:ascii="Times New Roman" w:hAnsi="Times New Roman" w:eastAsia="宋体" w:cs="Times New Roman"/>
                <w:sz w:val="18"/>
                <w:szCs w:val="18"/>
                <w:u w:val="single"/>
              </w:rPr>
              <w:t xml:space="preserve">   </w:t>
            </w:r>
            <w:r>
              <w:rPr>
                <w:rFonts w:hint="default" w:ascii="Times New Roman" w:hAnsi="Times New Roman" w:eastAsia="宋体" w:cs="Times New Roman"/>
                <w:sz w:val="18"/>
                <w:szCs w:val="18"/>
                <w:u w:val="single"/>
              </w:rPr>
              <w:t xml:space="preserve"> </w:t>
            </w:r>
            <w:r>
              <w:rPr>
                <w:rFonts w:hint="default" w:ascii="Times New Roman" w:hAnsi="Times New Roman" w:eastAsia="宋体" w:cs="Times New Roman"/>
                <w:sz w:val="18"/>
                <w:szCs w:val="18"/>
                <w:u w:val="single"/>
              </w:rPr>
              <w:t xml:space="preserve">  /       </w:t>
            </w:r>
            <w:r>
              <w:rPr>
                <w:rFonts w:hint="default" w:ascii="Times New Roman" w:hAnsi="Times New Roman" w:eastAsia="宋体" w:cs="Times New Roman"/>
                <w:sz w:val="18"/>
                <w:szCs w:val="18"/>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465" w:type="dxa"/>
            <w:gridSpan w:val="2"/>
            <w:vMerge w:val="continue"/>
            <w:vAlign w:val="center"/>
          </w:tcPr>
          <w:p>
            <w:pPr>
              <w:jc w:val="center"/>
              <w:rPr>
                <w:rFonts w:hint="default" w:ascii="Times New Roman" w:hAnsi="Times New Roman" w:eastAsia="宋体" w:cs="Times New Roman"/>
                <w:sz w:val="18"/>
                <w:szCs w:val="18"/>
              </w:rPr>
            </w:pPr>
          </w:p>
        </w:tc>
        <w:tc>
          <w:tcPr>
            <w:tcW w:w="776" w:type="dxa"/>
            <w:vMerge w:val="restart"/>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地下水</w:t>
            </w:r>
          </w:p>
        </w:tc>
        <w:tc>
          <w:tcPr>
            <w:tcW w:w="7449" w:type="dxa"/>
            <w:gridSpan w:val="9"/>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下游厂区边界达到时间</w:t>
            </w:r>
            <w:r>
              <w:rPr>
                <w:rFonts w:hint="default" w:ascii="Times New Roman" w:hAnsi="Times New Roman" w:eastAsia="宋体" w:cs="Times New Roman"/>
                <w:sz w:val="18"/>
                <w:szCs w:val="18"/>
                <w:u w:val="single"/>
              </w:rPr>
              <w:t xml:space="preserve">    /     </w:t>
            </w:r>
            <w:r>
              <w:rPr>
                <w:rFonts w:hint="default" w:ascii="Times New Roman" w:hAnsi="Times New Roman" w:eastAsia="宋体" w:cs="Times New Roman"/>
                <w:sz w:val="18"/>
                <w:szCs w:val="18"/>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465" w:type="dxa"/>
            <w:gridSpan w:val="2"/>
            <w:vMerge w:val="continue"/>
            <w:vAlign w:val="center"/>
          </w:tcPr>
          <w:p>
            <w:pPr>
              <w:jc w:val="center"/>
              <w:rPr>
                <w:rFonts w:hint="default" w:ascii="Times New Roman" w:hAnsi="Times New Roman" w:eastAsia="宋体" w:cs="Times New Roman"/>
                <w:sz w:val="18"/>
                <w:szCs w:val="18"/>
              </w:rPr>
            </w:pPr>
          </w:p>
        </w:tc>
        <w:tc>
          <w:tcPr>
            <w:tcW w:w="776" w:type="dxa"/>
            <w:vMerge w:val="continue"/>
            <w:vAlign w:val="center"/>
          </w:tcPr>
          <w:p>
            <w:pPr>
              <w:jc w:val="center"/>
              <w:rPr>
                <w:rFonts w:hint="default" w:ascii="Times New Roman" w:hAnsi="Times New Roman" w:eastAsia="宋体" w:cs="Times New Roman"/>
                <w:sz w:val="18"/>
                <w:szCs w:val="18"/>
              </w:rPr>
            </w:pPr>
          </w:p>
        </w:tc>
        <w:tc>
          <w:tcPr>
            <w:tcW w:w="7449" w:type="dxa"/>
            <w:gridSpan w:val="9"/>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最近环境敏感目标</w:t>
            </w:r>
            <w:r>
              <w:rPr>
                <w:rFonts w:hint="default" w:ascii="Times New Roman" w:hAnsi="Times New Roman" w:eastAsia="宋体" w:cs="Times New Roman"/>
                <w:sz w:val="18"/>
                <w:szCs w:val="18"/>
                <w:u w:val="single"/>
              </w:rPr>
              <w:t xml:space="preserve">       /       </w:t>
            </w:r>
            <w:r>
              <w:rPr>
                <w:rFonts w:hint="default" w:ascii="Times New Roman" w:hAnsi="Times New Roman" w:eastAsia="宋体" w:cs="Times New Roman"/>
                <w:sz w:val="18"/>
                <w:szCs w:val="18"/>
              </w:rPr>
              <w:t>，到达时间</w:t>
            </w:r>
            <w:r>
              <w:rPr>
                <w:rFonts w:hint="default" w:ascii="Times New Roman" w:hAnsi="Times New Roman" w:eastAsia="宋体" w:cs="Times New Roman"/>
                <w:sz w:val="18"/>
                <w:szCs w:val="18"/>
                <w:u w:val="single"/>
              </w:rPr>
              <w:t xml:space="preserve">       /      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241" w:type="dxa"/>
            <w:gridSpan w:val="3"/>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重点风险防范措施</w:t>
            </w:r>
          </w:p>
        </w:tc>
        <w:tc>
          <w:tcPr>
            <w:tcW w:w="7449" w:type="dxa"/>
            <w:gridSpan w:val="9"/>
            <w:vAlign w:val="center"/>
          </w:tcPr>
          <w:p>
            <w:pPr>
              <w:ind w:firstLine="360" w:firstLineChars="200"/>
              <w:jc w:val="left"/>
              <w:rPr>
                <w:rFonts w:hint="default" w:ascii="Times New Roman" w:hAnsi="Times New Roman" w:eastAsia="宋体" w:cs="Times New Roman"/>
                <w:sz w:val="18"/>
                <w:szCs w:val="18"/>
              </w:rPr>
            </w:pPr>
            <w:r>
              <w:rPr>
                <w:rFonts w:hint="default" w:ascii="Times New Roman" w:hAnsi="Times New Roman" w:cs="Times New Roman"/>
                <w:sz w:val="18"/>
                <w:szCs w:val="18"/>
              </w:rPr>
              <w:t>详见报告书</w:t>
            </w:r>
            <w:r>
              <w:rPr>
                <w:rFonts w:hint="default" w:ascii="Times New Roman" w:hAnsi="Times New Roman" w:cs="Times New Roman"/>
                <w:sz w:val="18"/>
                <w:szCs w:val="18"/>
                <w:lang w:val="en-US" w:eastAsia="zh-CN"/>
              </w:rPr>
              <w:t>5.3.8</w:t>
            </w:r>
            <w:r>
              <w:rPr>
                <w:rFonts w:hint="default" w:ascii="Times New Roman" w:hAnsi="Times New Roman" w:cs="Times New Roman"/>
                <w:sz w:val="18"/>
                <w:szCs w:val="18"/>
              </w:rPr>
              <w:t>环境风险防范措施章节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241" w:type="dxa"/>
            <w:gridSpan w:val="3"/>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评价结论与建议</w:t>
            </w:r>
          </w:p>
        </w:tc>
        <w:tc>
          <w:tcPr>
            <w:tcW w:w="7449" w:type="dxa"/>
            <w:gridSpan w:val="9"/>
            <w:vAlign w:val="center"/>
          </w:tcPr>
          <w:p>
            <w:pPr>
              <w:ind w:firstLine="360" w:firstLineChars="200"/>
              <w:jc w:val="left"/>
              <w:rPr>
                <w:rFonts w:hint="default" w:ascii="Times New Roman" w:hAnsi="Times New Roman" w:cs="Times New Roman"/>
                <w:sz w:val="18"/>
                <w:szCs w:val="18"/>
              </w:rPr>
            </w:pPr>
            <w:r>
              <w:rPr>
                <w:rFonts w:hint="default" w:ascii="Times New Roman" w:hAnsi="Times New Roman" w:cs="Times New Roman"/>
                <w:sz w:val="18"/>
                <w:szCs w:val="18"/>
              </w:rPr>
              <w:t>风险评价结果表明，在落实各项环保措施和本评价所列出的各项环境风险防范措施、有效的应急预案，加强风险管理的条件下，本项目的环境风险可防可控。</w:t>
            </w:r>
          </w:p>
          <w:p>
            <w:pPr>
              <w:ind w:firstLine="360" w:firstLineChars="200"/>
              <w:jc w:val="left"/>
              <w:rPr>
                <w:rFonts w:hint="default" w:ascii="Times New Roman" w:hAnsi="Times New Roman" w:eastAsia="宋体" w:cs="Times New Roman"/>
                <w:sz w:val="18"/>
                <w:szCs w:val="18"/>
              </w:rPr>
            </w:pPr>
            <w:r>
              <w:rPr>
                <w:rFonts w:hint="default" w:ascii="Times New Roman" w:hAnsi="Times New Roman" w:cs="Times New Roman"/>
                <w:sz w:val="18"/>
                <w:szCs w:val="18"/>
              </w:rPr>
              <w:t>本项目投产运行后应加强应急演练，确保发生突然环境事件时能及时采取有效的应急响应措施，控制事故影响范围和程度；项目建设完成后需编制突发环境事件应急预案并保环保部门备案。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8690" w:type="dxa"/>
            <w:gridSpan w:val="12"/>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注：</w:t>
            </w:r>
            <w:r>
              <w:rPr>
                <w:rFonts w:hint="default" w:ascii="Times New Roman" w:hAnsi="Times New Roman" w:eastAsia="宋体" w:cs="Times New Roman"/>
                <w:sz w:val="18"/>
                <w:szCs w:val="18"/>
              </w:rPr>
              <w:t>“”</w:t>
            </w:r>
            <w:r>
              <w:rPr>
                <w:rFonts w:hint="default" w:ascii="Times New Roman" w:hAnsi="Times New Roman" w:eastAsia="宋体" w:cs="Times New Roman"/>
                <w:sz w:val="18"/>
                <w:szCs w:val="18"/>
              </w:rPr>
              <w:t>为勾选项，</w:t>
            </w:r>
            <w:r>
              <w:rPr>
                <w:rFonts w:hint="default" w:ascii="Times New Roman" w:hAnsi="Times New Roman" w:eastAsia="宋体" w:cs="Times New Roman"/>
                <w:sz w:val="18"/>
                <w:szCs w:val="18"/>
              </w:rPr>
              <w:t>“</w:t>
            </w:r>
            <w:r>
              <w:rPr>
                <w:rFonts w:hint="default" w:ascii="Times New Roman" w:hAnsi="Times New Roman" w:eastAsia="宋体" w:cs="Times New Roman"/>
                <w:sz w:val="18"/>
                <w:szCs w:val="18"/>
                <w:u w:val="single"/>
              </w:rPr>
              <w:t xml:space="preserve">  </w:t>
            </w:r>
            <w:r>
              <w:rPr>
                <w:rFonts w:hint="default" w:ascii="Times New Roman" w:hAnsi="Times New Roman" w:eastAsia="宋体" w:cs="Times New Roman"/>
                <w:sz w:val="18"/>
                <w:szCs w:val="18"/>
              </w:rPr>
              <w:t>”</w:t>
            </w:r>
            <w:r>
              <w:rPr>
                <w:rFonts w:hint="default" w:ascii="Times New Roman" w:hAnsi="Times New Roman" w:eastAsia="宋体" w:cs="Times New Roman"/>
                <w:sz w:val="18"/>
                <w:szCs w:val="18"/>
              </w:rPr>
              <w:t>为填写项</w:t>
            </w:r>
          </w:p>
        </w:tc>
      </w:tr>
    </w:tbl>
    <w:p>
      <w:pPr>
        <w:pStyle w:val="2"/>
        <w:spacing w:line="360" w:lineRule="auto"/>
        <w:ind w:right="119" w:firstLine="480" w:firstLineChars="200"/>
        <w:jc w:val="left"/>
        <w:rPr>
          <w:rFonts w:hint="default" w:ascii="Times New Roman" w:hAnsi="Times New Roman" w:cs="Times New Roman"/>
          <w:sz w:val="24"/>
        </w:rPr>
      </w:pPr>
    </w:p>
    <w:p>
      <w:pPr>
        <w:widowControl/>
        <w:jc w:val="left"/>
        <w:rPr>
          <w:rFonts w:hint="default" w:ascii="Times New Roman" w:hAnsi="Times New Roman" w:cs="Times New Roman"/>
          <w:color w:val="FF0000"/>
        </w:rPr>
      </w:pPr>
    </w:p>
    <w:bookmarkEnd w:id="962"/>
    <w:bookmarkEnd w:id="963"/>
    <w:bookmarkEnd w:id="964"/>
    <w:bookmarkEnd w:id="965"/>
    <w:bookmarkEnd w:id="966"/>
    <w:p>
      <w:pPr>
        <w:pStyle w:val="3"/>
        <w:spacing w:beforeLines="0" w:afterLines="100"/>
        <w:jc w:val="center"/>
        <w:rPr>
          <w:rFonts w:hint="default" w:ascii="Times New Roman" w:hAnsi="Times New Roman" w:cs="Times New Roman"/>
          <w:color w:val="auto"/>
        </w:rPr>
      </w:pPr>
      <w:bookmarkStart w:id="967" w:name="_Toc69115021"/>
      <w:bookmarkStart w:id="968" w:name="_Toc12515"/>
      <w:bookmarkStart w:id="969" w:name="_Toc24011"/>
      <w:bookmarkStart w:id="970" w:name="_Toc5988"/>
      <w:bookmarkStart w:id="971" w:name="_Toc19199"/>
      <w:bookmarkStart w:id="972" w:name="_Toc20737"/>
      <w:bookmarkStart w:id="973" w:name="_Toc15414"/>
      <w:r>
        <w:rPr>
          <w:rFonts w:hint="default" w:ascii="Times New Roman" w:hAnsi="Times New Roman" w:cs="Times New Roman"/>
          <w:color w:val="auto"/>
          <w:lang w:val="en-US" w:eastAsia="zh-CN"/>
        </w:rPr>
        <w:t>6</w:t>
      </w:r>
      <w:r>
        <w:rPr>
          <w:rFonts w:hint="default" w:ascii="Times New Roman" w:hAnsi="Times New Roman" w:cs="Times New Roman"/>
          <w:color w:val="auto"/>
        </w:rPr>
        <w:t>环境保护措施及其可行性分析</w:t>
      </w:r>
      <w:bookmarkEnd w:id="967"/>
      <w:bookmarkEnd w:id="968"/>
    </w:p>
    <w:p>
      <w:pPr>
        <w:pStyle w:val="4"/>
        <w:spacing w:before="0" w:after="0" w:line="360" w:lineRule="auto"/>
        <w:rPr>
          <w:rFonts w:hint="default" w:ascii="Times New Roman" w:hAnsi="Times New Roman" w:eastAsia="宋体" w:cs="Times New Roman"/>
          <w:color w:val="auto"/>
          <w:sz w:val="28"/>
          <w:szCs w:val="28"/>
        </w:rPr>
      </w:pPr>
      <w:bookmarkStart w:id="974" w:name="_Toc19051"/>
      <w:r>
        <w:rPr>
          <w:rFonts w:hint="default" w:ascii="Times New Roman" w:hAnsi="Times New Roman" w:eastAsia="宋体" w:cs="Times New Roman"/>
          <w:color w:val="auto"/>
          <w:sz w:val="28"/>
          <w:szCs w:val="28"/>
          <w:lang w:val="en-US" w:eastAsia="zh-CN"/>
        </w:rPr>
        <w:t>6</w:t>
      </w:r>
      <w:r>
        <w:rPr>
          <w:rFonts w:hint="default" w:ascii="Times New Roman" w:hAnsi="Times New Roman" w:eastAsia="宋体" w:cs="Times New Roman"/>
          <w:color w:val="auto"/>
          <w:sz w:val="28"/>
          <w:szCs w:val="28"/>
        </w:rPr>
        <w:t>.1运营期大气污染防治措施</w:t>
      </w:r>
      <w:bookmarkEnd w:id="974"/>
    </w:p>
    <w:p>
      <w:pPr>
        <w:pStyle w:val="6"/>
        <w:spacing w:before="0" w:after="0" w:line="360" w:lineRule="auto"/>
        <w:rPr>
          <w:rFonts w:hint="default" w:ascii="Times New Roman" w:hAnsi="Times New Roman" w:cs="Times New Roman"/>
          <w:color w:val="auto"/>
          <w:szCs w:val="28"/>
        </w:rPr>
      </w:pPr>
      <w:bookmarkStart w:id="975" w:name="_Toc18743"/>
      <w:r>
        <w:rPr>
          <w:rFonts w:hint="default" w:ascii="Times New Roman" w:hAnsi="Times New Roman" w:cs="Times New Roman"/>
          <w:color w:val="auto"/>
          <w:szCs w:val="28"/>
          <w:lang w:val="en-US" w:eastAsia="zh-CN"/>
        </w:rPr>
        <w:t>6</w:t>
      </w:r>
      <w:r>
        <w:rPr>
          <w:rFonts w:hint="default" w:ascii="Times New Roman" w:hAnsi="Times New Roman" w:cs="Times New Roman"/>
          <w:color w:val="auto"/>
          <w:szCs w:val="28"/>
        </w:rPr>
        <w:t>.1.1</w:t>
      </w:r>
      <w:r>
        <w:rPr>
          <w:rFonts w:hint="default" w:ascii="Times New Roman" w:hAnsi="Times New Roman" w:cs="Times New Roman"/>
          <w:color w:val="auto"/>
          <w:szCs w:val="28"/>
          <w:lang w:eastAsia="zh-CN"/>
        </w:rPr>
        <w:t>有机废气</w:t>
      </w:r>
      <w:r>
        <w:rPr>
          <w:rFonts w:hint="default" w:ascii="Times New Roman" w:hAnsi="Times New Roman" w:cs="Times New Roman"/>
          <w:color w:val="auto"/>
          <w:szCs w:val="28"/>
        </w:rPr>
        <w:t>防治措施及措施可行性</w:t>
      </w:r>
      <w:bookmarkEnd w:id="975"/>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1、措施可行性</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本项目有机废气主要为单晶硅棒</w:t>
      </w:r>
      <w:r>
        <w:rPr>
          <w:rFonts w:hint="default" w:ascii="Times New Roman" w:hAnsi="Times New Roman" w:cs="Times New Roman"/>
          <w:lang w:eastAsia="zh-CN"/>
        </w:rPr>
        <w:t>擦拭、</w:t>
      </w:r>
      <w:r>
        <w:rPr>
          <w:rFonts w:hint="default" w:ascii="Times New Roman" w:hAnsi="Times New Roman" w:cs="Times New Roman"/>
        </w:rPr>
        <w:t>粘棒过程中</w:t>
      </w:r>
      <w:r>
        <w:rPr>
          <w:rFonts w:hint="default" w:ascii="Times New Roman" w:hAnsi="Times New Roman" w:cs="Times New Roman"/>
        </w:rPr>
        <w:t>产生，采用活性炭吸附法治理有机废气</w:t>
      </w:r>
      <w:r>
        <w:rPr>
          <w:rFonts w:hint="default" w:ascii="Times New Roman" w:hAnsi="Times New Roman" w:cs="Times New Roman"/>
        </w:rPr>
        <w:t>。活性炭</w:t>
      </w:r>
      <w:r>
        <w:rPr>
          <w:rFonts w:hint="default" w:ascii="Times New Roman" w:hAnsi="Times New Roman" w:cs="Times New Roman"/>
        </w:rPr>
        <w:t>对有机废气</w:t>
      </w:r>
      <w:r>
        <w:rPr>
          <w:rFonts w:hint="default" w:ascii="Times New Roman" w:hAnsi="Times New Roman" w:cs="Times New Roman"/>
        </w:rPr>
        <w:t>吸附能力较强，吸附效率一般在60%～70%左右，是较为常见的吸附剂，企业只要定期更换活性炭，保证吸附装置的吸附能力，可确保外排废气的达标，且活性炭吸附箱装置较为普遍，设备投入低，易购买和维护。本项目有机废气治理措施属于《排污许可证申请与核发技术规范电子工业》（HJ1031-2019）中表B.1推荐的“活性炭吸附法”的可行技术，故此处理工艺经济技术合理可行。</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2、依托可行性分析</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本项目切片生产过程中产生的有机废气依托</w:t>
      </w:r>
      <w:r>
        <w:rPr>
          <w:rFonts w:hint="default" w:ascii="Times New Roman" w:hAnsi="Times New Roman" w:cs="Times New Roman"/>
          <w:lang w:eastAsia="zh-CN"/>
        </w:rPr>
        <w:t>已设置</w:t>
      </w:r>
      <w:r>
        <w:rPr>
          <w:rFonts w:hint="default" w:ascii="Times New Roman" w:hAnsi="Times New Roman" w:cs="Times New Roman"/>
        </w:rPr>
        <w:t>的1套活性炭吸附塔治理后通过</w:t>
      </w:r>
      <w:r>
        <w:rPr>
          <w:rFonts w:hint="default" w:ascii="Times New Roman" w:hAnsi="Times New Roman" w:cs="Times New Roman"/>
          <w:lang w:val="en-US" w:eastAsia="zh-CN"/>
        </w:rPr>
        <w:t>1</w:t>
      </w:r>
      <w:r>
        <w:rPr>
          <w:rFonts w:hint="default" w:ascii="Times New Roman" w:hAnsi="Times New Roman" w:cs="Times New Roman"/>
        </w:rPr>
        <w:t>5m排气筒</w:t>
      </w:r>
      <w:r>
        <w:rPr>
          <w:rFonts w:hint="default" w:ascii="Times New Roman" w:hAnsi="Times New Roman" w:cs="Times New Roman"/>
        </w:rPr>
        <w:t>DA008</w:t>
      </w:r>
      <w:r>
        <w:rPr>
          <w:rFonts w:hint="default" w:ascii="Times New Roman" w:hAnsi="Times New Roman" w:cs="Times New Roman"/>
        </w:rPr>
        <w:t>排放。根据源强核算结果，本项目建成后，切片车间</w:t>
      </w:r>
      <w:r>
        <w:rPr>
          <w:rFonts w:hint="default" w:ascii="Times New Roman" w:hAnsi="Times New Roman" w:cs="Times New Roman"/>
          <w:lang w:eastAsia="zh-CN"/>
        </w:rPr>
        <w:t>有组织排放的</w:t>
      </w:r>
      <w:r>
        <w:rPr>
          <w:rFonts w:hint="default" w:ascii="Times New Roman" w:hAnsi="Times New Roman" w:cs="Times New Roman"/>
        </w:rPr>
        <w:t>有机废气总量为</w:t>
      </w:r>
      <w:r>
        <w:rPr>
          <w:rFonts w:hint="default" w:ascii="Times New Roman" w:hAnsi="Times New Roman" w:cs="Times New Roman"/>
          <w:lang w:val="en-US" w:eastAsia="zh-CN"/>
        </w:rPr>
        <w:t>3.338</w:t>
      </w:r>
      <w:r>
        <w:rPr>
          <w:rFonts w:hint="default" w:ascii="Times New Roman" w:hAnsi="Times New Roman" w:cs="Times New Roman"/>
        </w:rPr>
        <w:t>t/a、排放速率为</w:t>
      </w:r>
      <w:r>
        <w:rPr>
          <w:rFonts w:hint="default" w:ascii="Times New Roman" w:hAnsi="Times New Roman" w:cs="Times New Roman"/>
          <w:lang w:val="en-US" w:eastAsia="zh-CN"/>
        </w:rPr>
        <w:t>0.381</w:t>
      </w:r>
      <w:r>
        <w:rPr>
          <w:rFonts w:hint="default" w:ascii="Times New Roman" w:hAnsi="Times New Roman" w:cs="Times New Roman"/>
        </w:rPr>
        <w:t>kg/h、排放浓度为</w:t>
      </w:r>
      <w:r>
        <w:rPr>
          <w:rFonts w:hint="default" w:ascii="Times New Roman" w:hAnsi="Times New Roman" w:cs="Times New Roman"/>
          <w:lang w:val="en-US" w:eastAsia="zh-CN"/>
        </w:rPr>
        <w:t>8.463</w:t>
      </w:r>
      <w:r>
        <w:rPr>
          <w:rFonts w:hint="default" w:ascii="Times New Roman" w:hAnsi="Times New Roman" w:cs="Times New Roman"/>
        </w:rPr>
        <w:t>mg/m</w:t>
      </w:r>
      <w:r>
        <w:rPr>
          <w:rFonts w:hint="default" w:ascii="Times New Roman" w:hAnsi="Times New Roman" w:cs="Times New Roman"/>
          <w:vertAlign w:val="superscript"/>
        </w:rPr>
        <w:t>3</w:t>
      </w:r>
      <w:r>
        <w:rPr>
          <w:rFonts w:hint="default" w:ascii="Times New Roman" w:hAnsi="Times New Roman" w:cs="Times New Roman"/>
        </w:rPr>
        <w:t>，排放浓度能满足《大气综合排放标准》</w:t>
      </w:r>
      <w:r>
        <w:rPr>
          <w:rFonts w:hint="default" w:ascii="Times New Roman" w:hAnsi="Times New Roman" w:cs="Times New Roman"/>
          <w:lang w:val="en-GB"/>
        </w:rPr>
        <w:t>中</w:t>
      </w:r>
      <w:r>
        <w:rPr>
          <w:rFonts w:hint="default" w:ascii="Times New Roman" w:hAnsi="Times New Roman" w:cs="Times New Roman"/>
          <w:lang w:val="en-US" w:eastAsia="zh-CN"/>
        </w:rPr>
        <w:t>1</w:t>
      </w:r>
      <w:r>
        <w:rPr>
          <w:rFonts w:hint="default" w:ascii="Times New Roman" w:hAnsi="Times New Roman" w:cs="Times New Roman"/>
          <w:lang w:val="en-GB"/>
        </w:rPr>
        <w:t>5m高排气筒的二级标准值</w:t>
      </w:r>
      <w:r>
        <w:rPr>
          <w:rFonts w:hint="default" w:ascii="Times New Roman" w:hAnsi="Times New Roman" w:cs="Times New Roman"/>
        </w:rPr>
        <w:t>要求</w:t>
      </w:r>
      <w:r>
        <w:rPr>
          <w:rFonts w:hint="default" w:ascii="Times New Roman" w:hAnsi="Times New Roman" w:cs="Times New Roman"/>
          <w:lang w:eastAsia="zh-CN"/>
        </w:rPr>
        <w:t>；排放速率满足</w:t>
      </w:r>
      <w:r>
        <w:rPr>
          <w:rFonts w:hint="default" w:ascii="Times New Roman" w:hAnsi="Times New Roman" w:cs="Times New Roman"/>
        </w:rPr>
        <w:t>《大气综合排放标准》</w:t>
      </w:r>
      <w:r>
        <w:rPr>
          <w:rFonts w:hint="default" w:ascii="Times New Roman" w:hAnsi="Times New Roman" w:cs="Times New Roman"/>
          <w:lang w:val="en-GB"/>
        </w:rPr>
        <w:t>中</w:t>
      </w:r>
      <w:r>
        <w:rPr>
          <w:rFonts w:hint="default" w:ascii="Times New Roman" w:hAnsi="Times New Roman" w:cs="Times New Roman"/>
          <w:lang w:val="en-US" w:eastAsia="zh-CN"/>
        </w:rPr>
        <w:t>1</w:t>
      </w:r>
      <w:r>
        <w:rPr>
          <w:rFonts w:hint="default" w:ascii="Times New Roman" w:hAnsi="Times New Roman" w:cs="Times New Roman"/>
          <w:lang w:val="en-GB"/>
        </w:rPr>
        <w:t>5m高排气筒的二级标准值</w:t>
      </w:r>
      <w:r>
        <w:rPr>
          <w:rFonts w:hint="default" w:ascii="Times New Roman" w:hAnsi="Times New Roman" w:cs="Times New Roman"/>
          <w:lang w:val="en-GB" w:eastAsia="zh-CN"/>
        </w:rPr>
        <w:t>再严格</w:t>
      </w:r>
      <w:r>
        <w:rPr>
          <w:rFonts w:hint="default" w:ascii="Times New Roman" w:hAnsi="Times New Roman" w:cs="Times New Roman"/>
          <w:lang w:val="en-US" w:eastAsia="zh-CN"/>
        </w:rPr>
        <w:t>50%的要求</w:t>
      </w:r>
      <w:r>
        <w:rPr>
          <w:rFonts w:hint="default" w:ascii="Times New Roman" w:hAnsi="Times New Roman" w:cs="Times New Roman"/>
          <w:lang w:eastAsia="zh-CN"/>
        </w:rPr>
        <w:t>。</w:t>
      </w:r>
      <w:r>
        <w:rPr>
          <w:rFonts w:hint="default" w:ascii="Times New Roman" w:hAnsi="Times New Roman" w:cs="Times New Roman"/>
          <w:lang w:val="en-GB"/>
        </w:rPr>
        <w:t>建设单位在保证吸附塔运行顺畅、加大活性炭更换频率的前提下，本项目有机废气依托</w:t>
      </w:r>
      <w:r>
        <w:rPr>
          <w:rFonts w:hint="default" w:ascii="Times New Roman" w:hAnsi="Times New Roman" w:cs="Times New Roman"/>
          <w:lang w:val="en-GB" w:eastAsia="zh-CN"/>
        </w:rPr>
        <w:t>活性炭吸附塔</w:t>
      </w:r>
      <w:r>
        <w:rPr>
          <w:rFonts w:hint="default" w:ascii="Times New Roman" w:hAnsi="Times New Roman" w:cs="Times New Roman"/>
          <w:lang w:val="en-GB"/>
        </w:rPr>
        <w:t>进行处理是可行的。</w:t>
      </w:r>
    </w:p>
    <w:p>
      <w:pPr>
        <w:pStyle w:val="6"/>
        <w:spacing w:before="0" w:after="0" w:line="360" w:lineRule="auto"/>
        <w:rPr>
          <w:rFonts w:hint="default" w:ascii="Times New Roman" w:hAnsi="Times New Roman" w:cs="Times New Roman"/>
          <w:color w:val="auto"/>
          <w:szCs w:val="28"/>
        </w:rPr>
      </w:pPr>
      <w:r>
        <w:rPr>
          <w:rFonts w:hint="default" w:ascii="Times New Roman" w:hAnsi="Times New Roman" w:cs="Times New Roman"/>
          <w:color w:val="auto"/>
          <w:szCs w:val="28"/>
          <w:lang w:val="en-US" w:eastAsia="zh-CN"/>
        </w:rPr>
        <w:t>6</w:t>
      </w:r>
      <w:r>
        <w:rPr>
          <w:rFonts w:hint="default" w:ascii="Times New Roman" w:hAnsi="Times New Roman" w:cs="Times New Roman"/>
          <w:color w:val="auto"/>
          <w:szCs w:val="28"/>
        </w:rPr>
        <w:t>.1.</w:t>
      </w:r>
      <w:r>
        <w:rPr>
          <w:rFonts w:hint="default" w:ascii="Times New Roman" w:hAnsi="Times New Roman" w:cs="Times New Roman"/>
          <w:color w:val="auto"/>
          <w:szCs w:val="28"/>
          <w:lang w:val="en-US" w:eastAsia="zh-CN"/>
        </w:rPr>
        <w:t>2</w:t>
      </w:r>
      <w:r>
        <w:rPr>
          <w:rFonts w:hint="default" w:ascii="Times New Roman" w:hAnsi="Times New Roman" w:cs="Times New Roman"/>
          <w:color w:val="auto"/>
          <w:szCs w:val="28"/>
          <w:lang w:eastAsia="zh-CN"/>
        </w:rPr>
        <w:t>切割粉尘</w:t>
      </w:r>
      <w:r>
        <w:rPr>
          <w:rFonts w:hint="default" w:ascii="Times New Roman" w:hAnsi="Times New Roman" w:cs="Times New Roman"/>
          <w:color w:val="auto"/>
          <w:szCs w:val="28"/>
        </w:rPr>
        <w:t>防治措施及措施可行性</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1、措施可行性</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本项目</w:t>
      </w:r>
      <w:r>
        <w:rPr>
          <w:rFonts w:hint="default" w:ascii="Times New Roman" w:hAnsi="Times New Roman" w:cs="Times New Roman"/>
          <w:lang w:eastAsia="zh-CN"/>
        </w:rPr>
        <w:t>切割粉尘</w:t>
      </w:r>
      <w:r>
        <w:rPr>
          <w:rFonts w:hint="default" w:ascii="Times New Roman" w:hAnsi="Times New Roman" w:cs="Times New Roman"/>
        </w:rPr>
        <w:t>主要为</w:t>
      </w:r>
      <w:r>
        <w:rPr>
          <w:rFonts w:hint="default" w:ascii="Times New Roman" w:hAnsi="Times New Roman" w:cs="Times New Roman"/>
          <w:lang w:eastAsia="zh-CN"/>
        </w:rPr>
        <w:t>切片</w:t>
      </w:r>
      <w:r>
        <w:rPr>
          <w:rFonts w:hint="default" w:ascii="Times New Roman" w:hAnsi="Times New Roman" w:cs="Times New Roman"/>
        </w:rPr>
        <w:t>过程中</w:t>
      </w:r>
      <w:r>
        <w:rPr>
          <w:rFonts w:hint="default" w:ascii="Times New Roman" w:hAnsi="Times New Roman" w:cs="Times New Roman"/>
        </w:rPr>
        <w:t>产生，采用</w:t>
      </w:r>
      <w:r>
        <w:rPr>
          <w:rFonts w:hint="default" w:ascii="Times New Roman" w:hAnsi="Times New Roman" w:cs="Times New Roman"/>
          <w:lang w:eastAsia="zh-CN"/>
        </w:rPr>
        <w:t>湿式除尘法</w:t>
      </w:r>
      <w:r>
        <w:rPr>
          <w:rFonts w:hint="default" w:ascii="Times New Roman" w:hAnsi="Times New Roman" w:cs="Times New Roman"/>
        </w:rPr>
        <w:t>治理</w:t>
      </w:r>
      <w:r>
        <w:rPr>
          <w:rFonts w:hint="default" w:ascii="Times New Roman" w:hAnsi="Times New Roman" w:cs="Times New Roman"/>
        </w:rPr>
        <w:t>。</w:t>
      </w:r>
      <w:r>
        <w:rPr>
          <w:rFonts w:hint="default" w:ascii="Times New Roman" w:hAnsi="Times New Roman" w:cs="Times New Roman"/>
          <w:lang w:eastAsia="zh-CN"/>
        </w:rPr>
        <w:t>湿式除尘是较为常见的除尘方式之一，其</w:t>
      </w:r>
      <w:r>
        <w:rPr>
          <w:rFonts w:hint="default" w:ascii="Times New Roman" w:hAnsi="Times New Roman" w:cs="Times New Roman"/>
          <w:lang w:val="en-GB" w:eastAsia="zh-CN"/>
        </w:rPr>
        <w:t>优点是对</w:t>
      </w:r>
      <w:r>
        <w:rPr>
          <w:rFonts w:hint="default" w:ascii="Times New Roman" w:hAnsi="Times New Roman" w:cs="Times New Roman"/>
          <w:lang w:val="en-GB"/>
        </w:rPr>
        <w:t>粒径小于5μm</w:t>
      </w:r>
      <w:r>
        <w:rPr>
          <w:rFonts w:hint="default" w:ascii="Times New Roman" w:hAnsi="Times New Roman" w:cs="Times New Roman"/>
          <w:lang w:val="en-GB"/>
        </w:rPr>
        <w:fldChar w:fldCharType="begin"/>
      </w:r>
      <w:r>
        <w:rPr>
          <w:rFonts w:hint="default" w:ascii="Times New Roman" w:hAnsi="Times New Roman" w:cs="Times New Roman"/>
          <w:lang w:val="en-GB"/>
        </w:rPr>
        <w:instrText xml:space="preserve"> HYPERLINK "https://baike.so.com/doc/662388-701218.html" \t "https://baike.so.com/doc/_blank" </w:instrText>
      </w:r>
      <w:r>
        <w:rPr>
          <w:rFonts w:hint="default" w:ascii="Times New Roman" w:hAnsi="Times New Roman" w:cs="Times New Roman"/>
          <w:lang w:val="en-GB"/>
        </w:rPr>
        <w:fldChar w:fldCharType="separate"/>
      </w:r>
      <w:r>
        <w:rPr>
          <w:rFonts w:hint="default" w:ascii="Times New Roman" w:hAnsi="Times New Roman" w:cs="Times New Roman"/>
          <w:lang w:val="en-GB"/>
        </w:rPr>
        <w:t>粉尘</w:t>
      </w:r>
      <w:r>
        <w:rPr>
          <w:rFonts w:hint="default" w:ascii="Times New Roman" w:hAnsi="Times New Roman" w:cs="Times New Roman"/>
          <w:lang w:val="en-GB"/>
        </w:rPr>
        <w:fldChar w:fldCharType="end"/>
      </w:r>
      <w:r>
        <w:rPr>
          <w:rFonts w:hint="default" w:ascii="Times New Roman" w:hAnsi="Times New Roman" w:cs="Times New Roman"/>
          <w:lang w:val="en-GB"/>
        </w:rPr>
        <w:t>的除尘效率高</w:t>
      </w:r>
      <w:r>
        <w:rPr>
          <w:rFonts w:hint="default" w:ascii="Times New Roman" w:hAnsi="Times New Roman" w:cs="Times New Roman"/>
          <w:lang w:val="en-GB" w:eastAsia="zh-CN"/>
        </w:rPr>
        <w:t>，切片过程中产生的硅粉为粒径较小的颗粒物，采用湿式除尘具有较强的针对性</w:t>
      </w:r>
      <w:r>
        <w:rPr>
          <w:rFonts w:hint="default" w:ascii="Times New Roman" w:hAnsi="Times New Roman" w:cs="Times New Roman"/>
          <w:lang w:val="en-GB"/>
        </w:rPr>
        <w:t>，可确保</w:t>
      </w:r>
      <w:r>
        <w:rPr>
          <w:rFonts w:hint="default" w:ascii="Times New Roman" w:hAnsi="Times New Roman" w:cs="Times New Roman"/>
        </w:rPr>
        <w:t>外排废气的达标，且</w:t>
      </w:r>
      <w:r>
        <w:rPr>
          <w:rFonts w:hint="default" w:ascii="Times New Roman" w:hAnsi="Times New Roman" w:cs="Times New Roman"/>
          <w:lang w:eastAsia="zh-CN"/>
        </w:rPr>
        <w:t>湿式除尘占地面积小</w:t>
      </w:r>
      <w:r>
        <w:rPr>
          <w:rFonts w:hint="default" w:ascii="Times New Roman" w:hAnsi="Times New Roman" w:cs="Times New Roman"/>
        </w:rPr>
        <w:t>，设备投入低，易购买和维护。</w:t>
      </w:r>
      <w:r>
        <w:rPr>
          <w:rFonts w:hint="default" w:ascii="Times New Roman" w:hAnsi="Times New Roman" w:cs="Times New Roman"/>
          <w:lang w:eastAsia="zh-CN"/>
        </w:rPr>
        <w:t>硅棒切割过程、产污环节未列入</w:t>
      </w:r>
      <w:r>
        <w:rPr>
          <w:rFonts w:hint="default" w:ascii="Times New Roman" w:hAnsi="Times New Roman" w:cs="Times New Roman"/>
        </w:rPr>
        <w:t>《排污许可证申请与核发技术规范电子工业》（HJ1031-2019）</w:t>
      </w:r>
      <w:r>
        <w:rPr>
          <w:rFonts w:hint="default" w:ascii="Times New Roman" w:hAnsi="Times New Roman" w:cs="Times New Roman"/>
          <w:lang w:eastAsia="zh-CN"/>
        </w:rPr>
        <w:t>主要生产单元，该环节产生的污染物对环境影响较小，因此没有对应推荐的可行技术。类比其他湿式除尘器治理经验看，</w:t>
      </w:r>
      <w:r>
        <w:rPr>
          <w:rFonts w:hint="default" w:ascii="Times New Roman" w:hAnsi="Times New Roman" w:cs="Times New Roman"/>
        </w:rPr>
        <w:t>此处理工艺经济技术合理可行。</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2、依托可行性分析</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本项目切片</w:t>
      </w:r>
      <w:r>
        <w:rPr>
          <w:rFonts w:hint="default" w:ascii="Times New Roman" w:hAnsi="Times New Roman" w:cs="Times New Roman"/>
          <w:lang w:eastAsia="zh-CN"/>
        </w:rPr>
        <w:t>切割</w:t>
      </w:r>
      <w:r>
        <w:rPr>
          <w:rFonts w:hint="default" w:ascii="Times New Roman" w:hAnsi="Times New Roman" w:cs="Times New Roman"/>
        </w:rPr>
        <w:t>过程中产生的</w:t>
      </w:r>
      <w:r>
        <w:rPr>
          <w:rFonts w:hint="default" w:ascii="Times New Roman" w:hAnsi="Times New Roman" w:cs="Times New Roman"/>
          <w:lang w:eastAsia="zh-CN"/>
        </w:rPr>
        <w:t>切割粉尘</w:t>
      </w:r>
      <w:r>
        <w:rPr>
          <w:rFonts w:hint="default" w:ascii="Times New Roman" w:hAnsi="Times New Roman" w:cs="Times New Roman"/>
        </w:rPr>
        <w:t>依托</w:t>
      </w:r>
      <w:r>
        <w:rPr>
          <w:rFonts w:hint="default" w:ascii="Times New Roman" w:hAnsi="Times New Roman" w:cs="Times New Roman"/>
          <w:lang w:eastAsia="zh-CN"/>
        </w:rPr>
        <w:t>已设置</w:t>
      </w:r>
      <w:r>
        <w:rPr>
          <w:rFonts w:hint="default" w:ascii="Times New Roman" w:hAnsi="Times New Roman" w:cs="Times New Roman"/>
        </w:rPr>
        <w:t>的1套</w:t>
      </w:r>
      <w:r>
        <w:rPr>
          <w:rFonts w:hint="default" w:ascii="Times New Roman" w:hAnsi="Times New Roman" w:cs="Times New Roman"/>
          <w:lang w:eastAsia="zh-CN"/>
        </w:rPr>
        <w:t>文丘里洗涤塔</w:t>
      </w:r>
      <w:r>
        <w:rPr>
          <w:rFonts w:hint="default" w:ascii="Times New Roman" w:hAnsi="Times New Roman" w:cs="Times New Roman"/>
        </w:rPr>
        <w:t>治理后通过</w:t>
      </w:r>
      <w:r>
        <w:rPr>
          <w:rFonts w:hint="default" w:ascii="Times New Roman" w:hAnsi="Times New Roman" w:cs="Times New Roman"/>
          <w:lang w:val="en-US" w:eastAsia="zh-CN"/>
        </w:rPr>
        <w:t>1</w:t>
      </w:r>
      <w:r>
        <w:rPr>
          <w:rFonts w:hint="default" w:ascii="Times New Roman" w:hAnsi="Times New Roman" w:cs="Times New Roman"/>
        </w:rPr>
        <w:t>5m排气筒</w:t>
      </w:r>
      <w:r>
        <w:rPr>
          <w:rFonts w:hint="default" w:ascii="Times New Roman" w:hAnsi="Times New Roman" w:cs="Times New Roman"/>
        </w:rPr>
        <w:t>DA00</w:t>
      </w:r>
      <w:r>
        <w:rPr>
          <w:rFonts w:hint="default" w:ascii="Times New Roman" w:hAnsi="Times New Roman" w:cs="Times New Roman"/>
          <w:lang w:val="en-US" w:eastAsia="zh-CN"/>
        </w:rPr>
        <w:t>9</w:t>
      </w:r>
      <w:r>
        <w:rPr>
          <w:rFonts w:hint="default" w:ascii="Times New Roman" w:hAnsi="Times New Roman" w:cs="Times New Roman"/>
        </w:rPr>
        <w:t>排放。根据源强核算结果，本项目建成后，切片车间</w:t>
      </w:r>
      <w:r>
        <w:rPr>
          <w:rFonts w:hint="default" w:ascii="Times New Roman" w:hAnsi="Times New Roman" w:cs="Times New Roman"/>
          <w:lang w:eastAsia="zh-CN"/>
        </w:rPr>
        <w:t>有组织排放的粉尘</w:t>
      </w:r>
      <w:r>
        <w:rPr>
          <w:rFonts w:hint="default" w:ascii="Times New Roman" w:hAnsi="Times New Roman" w:cs="Times New Roman"/>
        </w:rPr>
        <w:t>总量为</w:t>
      </w:r>
      <w:r>
        <w:rPr>
          <w:rFonts w:hint="default" w:ascii="Times New Roman" w:hAnsi="Times New Roman" w:cs="Times New Roman"/>
          <w:lang w:val="en-US" w:eastAsia="zh-CN"/>
        </w:rPr>
        <w:t>0.879</w:t>
      </w:r>
      <w:r>
        <w:rPr>
          <w:rFonts w:hint="default" w:ascii="Times New Roman" w:hAnsi="Times New Roman" w:cs="Times New Roman"/>
        </w:rPr>
        <w:t>t/a、排放速率为</w:t>
      </w:r>
      <w:r>
        <w:rPr>
          <w:rFonts w:hint="default" w:ascii="Times New Roman" w:hAnsi="Times New Roman" w:cs="Times New Roman"/>
          <w:lang w:val="en-US" w:eastAsia="zh-CN"/>
        </w:rPr>
        <w:t>0.1</w:t>
      </w:r>
      <w:r>
        <w:rPr>
          <w:rFonts w:hint="default" w:ascii="Times New Roman" w:hAnsi="Times New Roman" w:cs="Times New Roman"/>
        </w:rPr>
        <w:t>kg/h、排放浓度为</w:t>
      </w:r>
      <w:r>
        <w:rPr>
          <w:rFonts w:hint="default" w:ascii="Times New Roman" w:hAnsi="Times New Roman" w:cs="Times New Roman"/>
          <w:lang w:val="en-US" w:eastAsia="zh-CN"/>
        </w:rPr>
        <w:t>2.23</w:t>
      </w:r>
      <w:r>
        <w:rPr>
          <w:rFonts w:hint="default" w:ascii="Times New Roman" w:hAnsi="Times New Roman" w:cs="Times New Roman"/>
        </w:rPr>
        <w:t>mg/m</w:t>
      </w:r>
      <w:r>
        <w:rPr>
          <w:rFonts w:hint="default" w:ascii="Times New Roman" w:hAnsi="Times New Roman" w:cs="Times New Roman"/>
          <w:vertAlign w:val="superscript"/>
        </w:rPr>
        <w:t>3</w:t>
      </w:r>
      <w:r>
        <w:rPr>
          <w:rFonts w:hint="default" w:ascii="Times New Roman" w:hAnsi="Times New Roman" w:cs="Times New Roman"/>
        </w:rPr>
        <w:t>，排放浓度能满足《大气综合排放标准》</w:t>
      </w:r>
      <w:r>
        <w:rPr>
          <w:rFonts w:hint="default" w:ascii="Times New Roman" w:hAnsi="Times New Roman" w:cs="Times New Roman"/>
          <w:lang w:val="en-GB"/>
        </w:rPr>
        <w:t>中</w:t>
      </w:r>
      <w:r>
        <w:rPr>
          <w:rFonts w:hint="default" w:ascii="Times New Roman" w:hAnsi="Times New Roman" w:cs="Times New Roman"/>
          <w:lang w:val="en-US" w:eastAsia="zh-CN"/>
        </w:rPr>
        <w:t>1</w:t>
      </w:r>
      <w:r>
        <w:rPr>
          <w:rFonts w:hint="default" w:ascii="Times New Roman" w:hAnsi="Times New Roman" w:cs="Times New Roman"/>
          <w:lang w:val="en-GB"/>
        </w:rPr>
        <w:t>5m高排气筒的二级标准值</w:t>
      </w:r>
      <w:r>
        <w:rPr>
          <w:rFonts w:hint="default" w:ascii="Times New Roman" w:hAnsi="Times New Roman" w:cs="Times New Roman"/>
        </w:rPr>
        <w:t>要求</w:t>
      </w:r>
      <w:r>
        <w:rPr>
          <w:rFonts w:hint="default" w:ascii="Times New Roman" w:hAnsi="Times New Roman" w:cs="Times New Roman"/>
          <w:lang w:eastAsia="zh-CN"/>
        </w:rPr>
        <w:t>；排放速率满足</w:t>
      </w:r>
      <w:r>
        <w:rPr>
          <w:rFonts w:hint="default" w:ascii="Times New Roman" w:hAnsi="Times New Roman" w:cs="Times New Roman"/>
        </w:rPr>
        <w:t>《大气综合排放标准》</w:t>
      </w:r>
      <w:r>
        <w:rPr>
          <w:rFonts w:hint="default" w:ascii="Times New Roman" w:hAnsi="Times New Roman" w:cs="Times New Roman"/>
          <w:lang w:val="en-GB"/>
        </w:rPr>
        <w:t>中</w:t>
      </w:r>
      <w:r>
        <w:rPr>
          <w:rFonts w:hint="default" w:ascii="Times New Roman" w:hAnsi="Times New Roman" w:cs="Times New Roman"/>
          <w:lang w:val="en-US" w:eastAsia="zh-CN"/>
        </w:rPr>
        <w:t>1</w:t>
      </w:r>
      <w:r>
        <w:rPr>
          <w:rFonts w:hint="default" w:ascii="Times New Roman" w:hAnsi="Times New Roman" w:cs="Times New Roman"/>
          <w:lang w:val="en-GB"/>
        </w:rPr>
        <w:t>5m高排气筒的二级标准值</w:t>
      </w:r>
      <w:r>
        <w:rPr>
          <w:rFonts w:hint="default" w:ascii="Times New Roman" w:hAnsi="Times New Roman" w:cs="Times New Roman"/>
          <w:lang w:val="en-GB" w:eastAsia="zh-CN"/>
        </w:rPr>
        <w:t>再严格</w:t>
      </w:r>
      <w:r>
        <w:rPr>
          <w:rFonts w:hint="default" w:ascii="Times New Roman" w:hAnsi="Times New Roman" w:cs="Times New Roman"/>
          <w:lang w:val="en-US" w:eastAsia="zh-CN"/>
        </w:rPr>
        <w:t>50%的要求</w:t>
      </w:r>
      <w:r>
        <w:rPr>
          <w:rFonts w:hint="default" w:ascii="Times New Roman" w:hAnsi="Times New Roman" w:cs="Times New Roman"/>
          <w:lang w:eastAsia="zh-CN"/>
        </w:rPr>
        <w:t>。</w:t>
      </w:r>
      <w:r>
        <w:rPr>
          <w:rFonts w:hint="default" w:ascii="Times New Roman" w:hAnsi="Times New Roman" w:cs="Times New Roman"/>
          <w:lang w:val="en-GB"/>
        </w:rPr>
        <w:t>建设单位在保证</w:t>
      </w:r>
      <w:r>
        <w:rPr>
          <w:rFonts w:hint="default" w:ascii="Times New Roman" w:hAnsi="Times New Roman" w:cs="Times New Roman"/>
          <w:lang w:val="en-GB" w:eastAsia="zh-CN"/>
        </w:rPr>
        <w:t>洗涤塔</w:t>
      </w:r>
      <w:r>
        <w:rPr>
          <w:rFonts w:hint="default" w:ascii="Times New Roman" w:hAnsi="Times New Roman" w:cs="Times New Roman"/>
          <w:lang w:val="en-GB"/>
        </w:rPr>
        <w:t>运行顺畅、</w:t>
      </w:r>
      <w:r>
        <w:rPr>
          <w:rFonts w:hint="default" w:ascii="Times New Roman" w:hAnsi="Times New Roman" w:cs="Times New Roman"/>
          <w:lang w:val="en-GB" w:eastAsia="zh-CN"/>
        </w:rPr>
        <w:t>经常换水</w:t>
      </w:r>
      <w:r>
        <w:rPr>
          <w:rFonts w:hint="default" w:ascii="Times New Roman" w:hAnsi="Times New Roman" w:cs="Times New Roman"/>
          <w:lang w:val="en-GB"/>
        </w:rPr>
        <w:t>的前提下，本项目</w:t>
      </w:r>
      <w:r>
        <w:rPr>
          <w:rFonts w:hint="default" w:ascii="Times New Roman" w:hAnsi="Times New Roman" w:cs="Times New Roman"/>
          <w:lang w:val="en-GB" w:eastAsia="zh-CN"/>
        </w:rPr>
        <w:t>粉尘</w:t>
      </w:r>
      <w:r>
        <w:rPr>
          <w:rFonts w:hint="default" w:ascii="Times New Roman" w:hAnsi="Times New Roman" w:cs="Times New Roman"/>
          <w:lang w:val="en-GB"/>
        </w:rPr>
        <w:t>依托</w:t>
      </w:r>
      <w:r>
        <w:rPr>
          <w:rFonts w:hint="default" w:ascii="Times New Roman" w:hAnsi="Times New Roman" w:cs="Times New Roman"/>
          <w:lang w:val="en-GB" w:eastAsia="zh-CN"/>
        </w:rPr>
        <w:t>文丘里洗涤塔</w:t>
      </w:r>
      <w:r>
        <w:rPr>
          <w:rFonts w:hint="default" w:ascii="Times New Roman" w:hAnsi="Times New Roman" w:cs="Times New Roman"/>
          <w:lang w:val="en-GB"/>
        </w:rPr>
        <w:t>进行处理是可行的。</w:t>
      </w:r>
    </w:p>
    <w:p>
      <w:pPr>
        <w:pStyle w:val="6"/>
        <w:spacing w:before="0" w:after="0" w:line="360" w:lineRule="auto"/>
        <w:rPr>
          <w:rFonts w:hint="default" w:ascii="Times New Roman" w:hAnsi="Times New Roman" w:cs="Times New Roman"/>
          <w:color w:val="auto"/>
          <w:szCs w:val="28"/>
        </w:rPr>
      </w:pPr>
      <w:r>
        <w:rPr>
          <w:rFonts w:hint="default" w:ascii="Times New Roman" w:hAnsi="Times New Roman" w:cs="Times New Roman"/>
          <w:color w:val="auto"/>
          <w:szCs w:val="28"/>
          <w:lang w:val="en-US" w:eastAsia="zh-CN"/>
        </w:rPr>
        <w:t>6</w:t>
      </w:r>
      <w:r>
        <w:rPr>
          <w:rFonts w:hint="default" w:ascii="Times New Roman" w:hAnsi="Times New Roman" w:cs="Times New Roman"/>
          <w:color w:val="auto"/>
          <w:szCs w:val="28"/>
        </w:rPr>
        <w:t>.1.</w:t>
      </w:r>
      <w:r>
        <w:rPr>
          <w:rFonts w:hint="default" w:ascii="Times New Roman" w:hAnsi="Times New Roman" w:cs="Times New Roman"/>
          <w:color w:val="auto"/>
          <w:szCs w:val="28"/>
          <w:lang w:val="en-US" w:eastAsia="zh-CN"/>
        </w:rPr>
        <w:t>3</w:t>
      </w:r>
      <w:r>
        <w:rPr>
          <w:rFonts w:hint="default" w:ascii="Times New Roman" w:hAnsi="Times New Roman" w:cs="Times New Roman"/>
          <w:color w:val="auto"/>
          <w:szCs w:val="28"/>
          <w:lang w:eastAsia="zh-CN"/>
        </w:rPr>
        <w:t>酸洗废气</w:t>
      </w:r>
      <w:r>
        <w:rPr>
          <w:rFonts w:hint="default" w:ascii="Times New Roman" w:hAnsi="Times New Roman" w:cs="Times New Roman"/>
          <w:color w:val="auto"/>
          <w:szCs w:val="28"/>
        </w:rPr>
        <w:t>防治措施及措施可行性</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本项目</w:t>
      </w:r>
      <w:r>
        <w:rPr>
          <w:rFonts w:hint="default" w:ascii="Times New Roman" w:hAnsi="Times New Roman" w:cs="Times New Roman"/>
          <w:lang w:eastAsia="zh-CN"/>
        </w:rPr>
        <w:t>吸杂</w:t>
      </w:r>
      <w:r>
        <w:rPr>
          <w:rFonts w:hint="default" w:ascii="Times New Roman" w:hAnsi="Times New Roman" w:cs="Times New Roman"/>
        </w:rPr>
        <w:t>工艺过程中产生的酸洗</w:t>
      </w:r>
      <w:r>
        <w:rPr>
          <w:rFonts w:hint="default" w:ascii="Times New Roman" w:hAnsi="Times New Roman" w:cs="Times New Roman"/>
          <w:lang w:eastAsia="zh-CN"/>
        </w:rPr>
        <w:t>产生的酸洗</w:t>
      </w:r>
      <w:r>
        <w:rPr>
          <w:rFonts w:hint="default" w:ascii="Times New Roman" w:hAnsi="Times New Roman" w:cs="Times New Roman"/>
        </w:rPr>
        <w:t>废气属于酸性气体，主要污染因子为HF</w:t>
      </w:r>
      <w:r>
        <w:rPr>
          <w:rFonts w:hint="default" w:ascii="Times New Roman" w:hAnsi="Times New Roman" w:cs="Times New Roman"/>
          <w:lang w:eastAsia="zh-CN"/>
        </w:rPr>
        <w:t>，新建</w:t>
      </w:r>
      <w:r>
        <w:rPr>
          <w:rFonts w:hint="default" w:ascii="Times New Roman" w:hAnsi="Times New Roman" w:cs="Times New Roman"/>
          <w:lang w:val="en-US" w:eastAsia="zh-CN"/>
        </w:rPr>
        <w:t>1套四级氢氧化钠洗涤塔对其进行治理</w:t>
      </w:r>
      <w:r>
        <w:rPr>
          <w:rFonts w:hint="default" w:ascii="Times New Roman" w:hAnsi="Times New Roman" w:cs="Times New Roman"/>
        </w:rPr>
        <w:t>。</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针对酸性气体的治理目前主要有吸附法和吸收法。</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A、吸附法用粉状或颗粒状吸附剂吸收，如氢氧化钠、碳酸钙、氧化铝等，吸附法具有工艺过程简单、吸附效果好等优点，但设备投资大，回收成本也较高。</w:t>
      </w:r>
    </w:p>
    <w:p>
      <w:pPr>
        <w:spacing w:line="360" w:lineRule="auto"/>
        <w:ind w:firstLine="480" w:firstLineChars="200"/>
        <w:rPr>
          <w:rFonts w:hint="default" w:ascii="Times New Roman" w:hAnsi="Times New Roman" w:cs="Times New Roman"/>
          <w:szCs w:val="22"/>
        </w:rPr>
      </w:pPr>
      <w:r>
        <w:rPr>
          <w:rFonts w:hint="default" w:ascii="Times New Roman" w:hAnsi="Times New Roman" w:cs="Times New Roman"/>
        </w:rPr>
        <w:t>B、吸收法是用抽风机将酸洗废气抽到酸雾喷淋塔，喷淋塔根据初始废气含污染物浓度可设计多级，废气依次进入各级喷淋塔，每级喷淋塔均有喷淋水管，喷出水滴以吸收废气中污染物，当废气中污染物浓度降低到允许标准浓度以下，即可从排气筒中排出，洗涤吸收液常采用氢氧化钠，吸收液循环使用，定期排放至酸性废水处理系统。</w:t>
      </w:r>
    </w:p>
    <w:p>
      <w:pPr>
        <w:pStyle w:val="193"/>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本项目采用四级酸雾喷淋塔，</w:t>
      </w:r>
      <w:r>
        <w:rPr>
          <w:rFonts w:hint="default" w:ascii="Times New Roman" w:hAnsi="Times New Roman" w:eastAsia="宋体" w:cs="Times New Roman"/>
          <w:sz w:val="24"/>
          <w:lang w:eastAsia="zh-CN"/>
        </w:rPr>
        <w:t>吸杂</w:t>
      </w:r>
      <w:r>
        <w:rPr>
          <w:rFonts w:hint="default" w:ascii="Times New Roman" w:hAnsi="Times New Roman" w:eastAsia="宋体" w:cs="Times New Roman"/>
          <w:sz w:val="24"/>
        </w:rPr>
        <w:t>车间通过风机抽吸实现微负压操作进行收集，酸洗废气在风机作用下，统一收集后从底部进入</w:t>
      </w:r>
      <w:r>
        <w:rPr>
          <w:rFonts w:hint="default" w:ascii="Times New Roman" w:hAnsi="Times New Roman" w:eastAsia="宋体" w:cs="Times New Roman"/>
          <w:sz w:val="24"/>
          <w:lang w:eastAsia="zh-CN"/>
        </w:rPr>
        <w:t>四级氢氧化钠洗涤塔</w:t>
      </w:r>
      <w:r>
        <w:rPr>
          <w:rFonts w:hint="default" w:ascii="Times New Roman" w:hAnsi="Times New Roman" w:eastAsia="宋体" w:cs="Times New Roman"/>
          <w:sz w:val="24"/>
        </w:rPr>
        <w:t>，与塔顶逆流而下的碱液发生反应，从塔顶喷淋下来的碱液通过水槽、水泵提升到塔顶，经回圈喷洒而下。本装置采用四级碱洗对酸洗废气吸收，每级碱洗塔设置两层喷淋装置，效率按98%设计。喷淋的碱液和酸液不断循环使用，循环水浓度达到饱和浓度前某一浓度，定期排放到废水处理站处理，同时补充新的溶液。填料层定期反洗，反洗水并入喷淋塔循环水系统。处理后的废气经</w:t>
      </w:r>
      <w:r>
        <w:rPr>
          <w:rFonts w:hint="default" w:ascii="Times New Roman" w:hAnsi="Times New Roman" w:eastAsia="宋体" w:cs="Times New Roman"/>
          <w:sz w:val="24"/>
          <w:lang w:val="en-US" w:eastAsia="zh-CN"/>
        </w:rPr>
        <w:t>1</w:t>
      </w:r>
      <w:r>
        <w:rPr>
          <w:rFonts w:hint="default" w:ascii="Times New Roman" w:hAnsi="Times New Roman" w:eastAsia="宋体" w:cs="Times New Roman"/>
          <w:sz w:val="24"/>
        </w:rPr>
        <w:t>5m高排气筒</w:t>
      </w:r>
      <w:r>
        <w:rPr>
          <w:rFonts w:hint="default" w:ascii="Times New Roman" w:hAnsi="Times New Roman" w:eastAsia="宋体" w:cs="Times New Roman"/>
          <w:sz w:val="24"/>
          <w:lang w:val="en-US" w:eastAsia="zh-CN"/>
        </w:rPr>
        <w:t>DA011</w:t>
      </w:r>
      <w:r>
        <w:rPr>
          <w:rFonts w:hint="default" w:ascii="Times New Roman" w:hAnsi="Times New Roman" w:eastAsia="宋体" w:cs="Times New Roman"/>
          <w:sz w:val="24"/>
        </w:rPr>
        <w:t>排放。</w:t>
      </w:r>
    </w:p>
    <w:p>
      <w:pPr>
        <w:spacing w:line="360" w:lineRule="auto"/>
        <w:jc w:val="center"/>
        <w:rPr>
          <w:rFonts w:hint="default" w:ascii="Times New Roman" w:hAnsi="Times New Roman" w:cs="Times New Roman"/>
        </w:rPr>
      </w:pPr>
      <w:r>
        <w:rPr>
          <w:rFonts w:hint="default" w:ascii="Times New Roman" w:hAnsi="Times New Roman" w:cs="Times New Roman"/>
        </w:rPr>
        <w:drawing>
          <wp:inline distT="0" distB="0" distL="0" distR="0">
            <wp:extent cx="5203190" cy="2211070"/>
            <wp:effectExtent l="0" t="0" r="16510" b="17780"/>
            <wp:docPr id="11"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2"/>
                    <pic:cNvPicPr>
                      <a:picLocks noChangeAspect="1" noChangeArrowheads="1"/>
                    </pic:cNvPicPr>
                  </pic:nvPicPr>
                  <pic:blipFill>
                    <a:blip r:embed="rId40" cstate="print"/>
                    <a:srcRect l="4908" t="15028" r="5880" b="25182"/>
                    <a:stretch>
                      <a:fillRect/>
                    </a:stretch>
                  </pic:blipFill>
                  <pic:spPr>
                    <a:xfrm>
                      <a:off x="0" y="0"/>
                      <a:ext cx="5203700" cy="2211572"/>
                    </a:xfrm>
                    <a:prstGeom prst="rect">
                      <a:avLst/>
                    </a:prstGeom>
                    <a:noFill/>
                    <a:ln w="9525">
                      <a:noFill/>
                      <a:miter lim="800000"/>
                      <a:headEnd/>
                      <a:tailEnd/>
                    </a:ln>
                  </pic:spPr>
                </pic:pic>
              </a:graphicData>
            </a:graphic>
          </wp:inline>
        </w:drawing>
      </w:r>
    </w:p>
    <w:p>
      <w:pPr>
        <w:spacing w:line="360" w:lineRule="auto"/>
        <w:jc w:val="center"/>
        <w:rPr>
          <w:rFonts w:hint="default" w:ascii="Times New Roman" w:hAnsi="Times New Roman" w:cs="Times New Roman"/>
          <w:b/>
          <w:bCs/>
        </w:rPr>
      </w:pPr>
      <w:r>
        <w:rPr>
          <w:rFonts w:hint="default" w:ascii="Times New Roman" w:hAnsi="Times New Roman" w:cs="Times New Roman"/>
          <w:b/>
          <w:bCs/>
        </w:rPr>
        <w:t>图</w:t>
      </w:r>
      <w:r>
        <w:rPr>
          <w:rFonts w:hint="default" w:ascii="Times New Roman" w:hAnsi="Times New Roman" w:cs="Times New Roman"/>
          <w:b/>
          <w:bCs/>
          <w:lang w:val="en-US" w:eastAsia="zh-CN"/>
        </w:rPr>
        <w:t>6</w:t>
      </w:r>
      <w:r>
        <w:rPr>
          <w:rFonts w:hint="default" w:ascii="Times New Roman" w:hAnsi="Times New Roman" w:cs="Times New Roman"/>
          <w:b/>
          <w:bCs/>
        </w:rPr>
        <w:t xml:space="preserve">-1  </w:t>
      </w:r>
      <w:r>
        <w:rPr>
          <w:rFonts w:hint="default" w:ascii="Times New Roman" w:hAnsi="Times New Roman" w:cs="Times New Roman"/>
          <w:b/>
          <w:bCs/>
          <w:lang w:eastAsia="zh-CN"/>
        </w:rPr>
        <w:t>四级氢氧化钠洗涤塔</w:t>
      </w:r>
      <w:r>
        <w:rPr>
          <w:rFonts w:hint="default" w:ascii="Times New Roman" w:hAnsi="Times New Roman" w:cs="Times New Roman"/>
          <w:b/>
          <w:bCs/>
        </w:rPr>
        <w:t>工艺图</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本项目酸洗废气</w:t>
      </w:r>
      <w:r>
        <w:rPr>
          <w:rFonts w:hint="default" w:ascii="Times New Roman" w:hAnsi="Times New Roman" w:cs="Times New Roman"/>
          <w:lang w:eastAsia="zh-CN"/>
        </w:rPr>
        <w:t>治理</w:t>
      </w:r>
      <w:r>
        <w:rPr>
          <w:rFonts w:hint="default" w:ascii="Times New Roman" w:hAnsi="Times New Roman" w:cs="Times New Roman"/>
        </w:rPr>
        <w:t>采取的</w:t>
      </w:r>
      <w:r>
        <w:rPr>
          <w:rFonts w:hint="default" w:ascii="Times New Roman" w:hAnsi="Times New Roman" w:cs="Times New Roman"/>
          <w:lang w:eastAsia="zh-CN"/>
        </w:rPr>
        <w:t>措施</w:t>
      </w:r>
      <w:r>
        <w:rPr>
          <w:rFonts w:hint="default" w:ascii="Times New Roman" w:hAnsi="Times New Roman" w:cs="Times New Roman"/>
        </w:rPr>
        <w:t>属于《排污许可证申请与核发技术规范电子工业》（HJ1031-2019）中表B.1推荐的“</w:t>
      </w:r>
      <w:r>
        <w:rPr>
          <w:rFonts w:hint="default" w:ascii="Times New Roman" w:hAnsi="Times New Roman" w:cs="Times New Roman"/>
          <w:lang w:eastAsia="zh-CN"/>
        </w:rPr>
        <w:t>碱液喷淋洗涤洗手法</w:t>
      </w:r>
      <w:r>
        <w:rPr>
          <w:rFonts w:hint="default" w:ascii="Times New Roman" w:hAnsi="Times New Roman" w:cs="Times New Roman"/>
        </w:rPr>
        <w:t>”的可行技术，故此处理工艺经济技术合理可行，且运行成本较低，操作便捷。</w:t>
      </w:r>
    </w:p>
    <w:p>
      <w:pPr>
        <w:spacing w:line="360" w:lineRule="auto"/>
        <w:ind w:firstLine="480" w:firstLineChars="200"/>
        <w:rPr>
          <w:rFonts w:hint="default" w:ascii="Times New Roman" w:hAnsi="Times New Roman" w:cs="Times New Roman"/>
          <w:lang w:eastAsia="zh-CN"/>
        </w:rPr>
      </w:pPr>
      <w:r>
        <w:rPr>
          <w:rFonts w:hint="default" w:ascii="Times New Roman" w:hAnsi="Times New Roman" w:cs="Times New Roman"/>
        </w:rPr>
        <w:t>本项目建成后</w:t>
      </w:r>
      <w:r>
        <w:rPr>
          <w:rFonts w:hint="default" w:ascii="Times New Roman" w:hAnsi="Times New Roman" w:cs="Times New Roman"/>
          <w:lang w:eastAsia="zh-CN"/>
        </w:rPr>
        <w:t>切片车间</w:t>
      </w:r>
      <w:r>
        <w:rPr>
          <w:rFonts w:hint="default" w:ascii="Times New Roman" w:hAnsi="Times New Roman" w:cs="Times New Roman"/>
        </w:rPr>
        <w:t>酸洗废气均通过排气筒DA0</w:t>
      </w:r>
      <w:r>
        <w:rPr>
          <w:rFonts w:hint="default" w:ascii="Times New Roman" w:hAnsi="Times New Roman" w:cs="Times New Roman"/>
          <w:lang w:val="en-US" w:eastAsia="zh-CN"/>
        </w:rPr>
        <w:t>11</w:t>
      </w:r>
      <w:r>
        <w:rPr>
          <w:rFonts w:hint="default" w:ascii="Times New Roman" w:hAnsi="Times New Roman" w:cs="Times New Roman"/>
        </w:rPr>
        <w:t>排放，</w:t>
      </w:r>
      <w:r>
        <w:rPr>
          <w:rFonts w:hint="default" w:ascii="Times New Roman" w:hAnsi="Times New Roman" w:cs="Times New Roman"/>
        </w:rPr>
        <w:t>根据源强核算结果，氟化物排放总量为</w:t>
      </w:r>
      <w:r>
        <w:rPr>
          <w:rFonts w:hint="default" w:ascii="Times New Roman" w:hAnsi="Times New Roman" w:cs="Times New Roman"/>
          <w:lang w:val="en-US" w:eastAsia="zh-CN"/>
        </w:rPr>
        <w:t>0.015</w:t>
      </w:r>
      <w:r>
        <w:rPr>
          <w:rFonts w:hint="default" w:ascii="Times New Roman" w:hAnsi="Times New Roman" w:cs="Times New Roman"/>
          <w:lang w:val="en-GB"/>
        </w:rPr>
        <w:t>t/a、排放速率为</w:t>
      </w:r>
      <w:r>
        <w:rPr>
          <w:rFonts w:hint="default" w:ascii="Times New Roman" w:hAnsi="Times New Roman" w:cs="Times New Roman"/>
          <w:lang w:val="en-US" w:eastAsia="zh-CN"/>
        </w:rPr>
        <w:t>0.0016</w:t>
      </w:r>
      <w:r>
        <w:rPr>
          <w:rFonts w:hint="default" w:ascii="Times New Roman" w:hAnsi="Times New Roman" w:cs="Times New Roman"/>
          <w:lang w:val="en-GB"/>
        </w:rPr>
        <w:t>kg/h、排放浓度为</w:t>
      </w:r>
      <w:r>
        <w:rPr>
          <w:rFonts w:hint="default" w:ascii="Times New Roman" w:hAnsi="Times New Roman" w:cs="Times New Roman"/>
          <w:lang w:val="en-US" w:eastAsia="zh-CN"/>
        </w:rPr>
        <w:t>1.02</w:t>
      </w:r>
      <w:r>
        <w:rPr>
          <w:rFonts w:hint="default" w:ascii="Times New Roman" w:hAnsi="Times New Roman" w:cs="Times New Roman"/>
          <w:lang w:val="en-GB"/>
        </w:rPr>
        <w:t>mg/</w:t>
      </w:r>
      <w:r>
        <w:rPr>
          <w:rFonts w:hint="default" w:ascii="Times New Roman" w:hAnsi="Times New Roman" w:cs="Times New Roman"/>
          <w:szCs w:val="28"/>
        </w:rPr>
        <w:t>m</w:t>
      </w:r>
      <w:r>
        <w:rPr>
          <w:rFonts w:hint="default" w:ascii="Times New Roman" w:hAnsi="Times New Roman" w:cs="Times New Roman"/>
          <w:szCs w:val="28"/>
          <w:vertAlign w:val="superscript"/>
        </w:rPr>
        <w:t>3</w:t>
      </w:r>
      <w:r>
        <w:rPr>
          <w:rFonts w:hint="default" w:ascii="Times New Roman" w:hAnsi="Times New Roman" w:cs="Times New Roman"/>
          <w:szCs w:val="28"/>
          <w:lang w:eastAsia="zh-CN"/>
        </w:rPr>
        <w:t>，</w:t>
      </w:r>
      <w:r>
        <w:rPr>
          <w:rFonts w:hint="default" w:ascii="Times New Roman" w:hAnsi="Times New Roman" w:cs="Times New Roman"/>
        </w:rPr>
        <w:t>排放浓度能满足《大气综合排放标准》</w:t>
      </w:r>
      <w:r>
        <w:rPr>
          <w:rFonts w:hint="default" w:ascii="Times New Roman" w:hAnsi="Times New Roman" w:cs="Times New Roman"/>
          <w:lang w:val="en-GB"/>
        </w:rPr>
        <w:t>中</w:t>
      </w:r>
      <w:r>
        <w:rPr>
          <w:rFonts w:hint="default" w:ascii="Times New Roman" w:hAnsi="Times New Roman" w:cs="Times New Roman"/>
          <w:lang w:val="en-US" w:eastAsia="zh-CN"/>
        </w:rPr>
        <w:t>1</w:t>
      </w:r>
      <w:r>
        <w:rPr>
          <w:rFonts w:hint="default" w:ascii="Times New Roman" w:hAnsi="Times New Roman" w:cs="Times New Roman"/>
          <w:lang w:val="en-GB"/>
        </w:rPr>
        <w:t>5m高排气筒的二级标准值</w:t>
      </w:r>
      <w:r>
        <w:rPr>
          <w:rFonts w:hint="default" w:ascii="Times New Roman" w:hAnsi="Times New Roman" w:cs="Times New Roman"/>
        </w:rPr>
        <w:t>要求</w:t>
      </w:r>
      <w:r>
        <w:rPr>
          <w:rFonts w:hint="default" w:ascii="Times New Roman" w:hAnsi="Times New Roman" w:cs="Times New Roman"/>
          <w:lang w:eastAsia="zh-CN"/>
        </w:rPr>
        <w:t>；排放速率满足</w:t>
      </w:r>
      <w:r>
        <w:rPr>
          <w:rFonts w:hint="default" w:ascii="Times New Roman" w:hAnsi="Times New Roman" w:cs="Times New Roman"/>
        </w:rPr>
        <w:t>《大气综合排放标准》</w:t>
      </w:r>
      <w:r>
        <w:rPr>
          <w:rFonts w:hint="default" w:ascii="Times New Roman" w:hAnsi="Times New Roman" w:cs="Times New Roman"/>
          <w:lang w:val="en-GB"/>
        </w:rPr>
        <w:t>中</w:t>
      </w:r>
      <w:r>
        <w:rPr>
          <w:rFonts w:hint="default" w:ascii="Times New Roman" w:hAnsi="Times New Roman" w:cs="Times New Roman"/>
          <w:lang w:val="en-US" w:eastAsia="zh-CN"/>
        </w:rPr>
        <w:t>1</w:t>
      </w:r>
      <w:r>
        <w:rPr>
          <w:rFonts w:hint="default" w:ascii="Times New Roman" w:hAnsi="Times New Roman" w:cs="Times New Roman"/>
          <w:lang w:val="en-GB"/>
        </w:rPr>
        <w:t>5m高排气筒的二级标准值</w:t>
      </w:r>
      <w:r>
        <w:rPr>
          <w:rFonts w:hint="default" w:ascii="Times New Roman" w:hAnsi="Times New Roman" w:cs="Times New Roman"/>
          <w:lang w:val="en-GB" w:eastAsia="zh-CN"/>
        </w:rPr>
        <w:t>再严格</w:t>
      </w:r>
      <w:r>
        <w:rPr>
          <w:rFonts w:hint="default" w:ascii="Times New Roman" w:hAnsi="Times New Roman" w:cs="Times New Roman"/>
          <w:lang w:val="en-US" w:eastAsia="zh-CN"/>
        </w:rPr>
        <w:t>50%的要求</w:t>
      </w:r>
      <w:r>
        <w:rPr>
          <w:rFonts w:hint="default" w:ascii="Times New Roman" w:hAnsi="Times New Roman" w:cs="Times New Roman"/>
          <w:lang w:eastAsia="zh-CN"/>
        </w:rPr>
        <w:t>。</w:t>
      </w:r>
    </w:p>
    <w:p>
      <w:pPr>
        <w:spacing w:line="360" w:lineRule="auto"/>
        <w:ind w:firstLine="480" w:firstLineChars="200"/>
        <w:rPr>
          <w:rFonts w:hint="default" w:ascii="Times New Roman" w:hAnsi="Times New Roman" w:cs="Times New Roman"/>
        </w:rPr>
      </w:pPr>
      <w:r>
        <w:rPr>
          <w:rFonts w:hint="default" w:ascii="Times New Roman" w:hAnsi="Times New Roman" w:cs="Times New Roman"/>
          <w:lang w:val="en-GB"/>
        </w:rPr>
        <w:t>综上，建设单位在保证四级氢氧化钠喷淋塔运行顺畅、循环喷淋的碱液量充足的条件下，本项目酸洗废气</w:t>
      </w:r>
      <w:r>
        <w:rPr>
          <w:rFonts w:hint="default" w:ascii="Times New Roman" w:hAnsi="Times New Roman" w:cs="Times New Roman"/>
          <w:lang w:val="en-GB" w:eastAsia="zh-CN"/>
        </w:rPr>
        <w:t>采取</w:t>
      </w:r>
      <w:r>
        <w:rPr>
          <w:rFonts w:hint="default" w:ascii="Times New Roman" w:hAnsi="Times New Roman" w:cs="Times New Roman"/>
          <w:lang w:val="en-GB"/>
        </w:rPr>
        <w:t>四级氢氧化钠喷淋塔进行处理是可行的。</w:t>
      </w:r>
    </w:p>
    <w:p>
      <w:pPr>
        <w:pStyle w:val="6"/>
        <w:spacing w:before="0" w:after="0" w:line="360" w:lineRule="auto"/>
        <w:rPr>
          <w:rFonts w:hint="default" w:ascii="Times New Roman" w:hAnsi="Times New Roman" w:cs="Times New Roman"/>
          <w:color w:val="auto"/>
          <w:szCs w:val="28"/>
        </w:rPr>
      </w:pPr>
      <w:r>
        <w:rPr>
          <w:rFonts w:hint="default" w:ascii="Times New Roman" w:hAnsi="Times New Roman" w:cs="Times New Roman"/>
          <w:color w:val="auto"/>
          <w:szCs w:val="28"/>
          <w:lang w:val="en-US" w:eastAsia="zh-CN"/>
        </w:rPr>
        <w:t>6</w:t>
      </w:r>
      <w:r>
        <w:rPr>
          <w:rFonts w:hint="default" w:ascii="Times New Roman" w:hAnsi="Times New Roman" w:cs="Times New Roman"/>
          <w:color w:val="auto"/>
          <w:szCs w:val="28"/>
        </w:rPr>
        <w:t>.1.</w:t>
      </w:r>
      <w:r>
        <w:rPr>
          <w:rFonts w:hint="default" w:ascii="Times New Roman" w:hAnsi="Times New Roman" w:cs="Times New Roman"/>
          <w:color w:val="auto"/>
          <w:szCs w:val="28"/>
          <w:lang w:val="en-US" w:eastAsia="zh-CN"/>
        </w:rPr>
        <w:t>4</w:t>
      </w:r>
      <w:r>
        <w:rPr>
          <w:rFonts w:hint="default" w:ascii="Times New Roman" w:hAnsi="Times New Roman" w:cs="Times New Roman"/>
          <w:color w:val="auto"/>
          <w:szCs w:val="28"/>
          <w:lang w:eastAsia="zh-CN"/>
        </w:rPr>
        <w:t>恶臭</w:t>
      </w:r>
      <w:r>
        <w:rPr>
          <w:rFonts w:hint="default" w:ascii="Times New Roman" w:hAnsi="Times New Roman" w:cs="Times New Roman"/>
          <w:color w:val="auto"/>
          <w:szCs w:val="28"/>
        </w:rPr>
        <w:t>防治措施及措施可行性</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1、措施可行性</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本项目</w:t>
      </w:r>
      <w:r>
        <w:rPr>
          <w:rFonts w:hint="default" w:ascii="Times New Roman" w:hAnsi="Times New Roman" w:cs="Times New Roman"/>
          <w:lang w:eastAsia="zh-CN"/>
        </w:rPr>
        <w:t>废水处理过程产生的恶臭经除臭系统治理后通过</w:t>
      </w:r>
      <w:r>
        <w:rPr>
          <w:rFonts w:hint="default" w:ascii="Times New Roman" w:hAnsi="Times New Roman" w:cs="Times New Roman"/>
          <w:lang w:val="en-US" w:eastAsia="zh-CN"/>
        </w:rPr>
        <w:t>1根15m排气筒DA010排放，主要污染物为氨、硫化氢，除臭系统采用碱吸收的处理方式，</w:t>
      </w:r>
      <w:r>
        <w:rPr>
          <w:rFonts w:hint="default" w:ascii="Times New Roman" w:hAnsi="Times New Roman" w:cs="Times New Roman"/>
        </w:rPr>
        <w:t>主要</w:t>
      </w:r>
      <w:r>
        <w:rPr>
          <w:rFonts w:hint="default" w:ascii="Times New Roman" w:hAnsi="Times New Roman" w:cs="Times New Roman"/>
          <w:lang w:eastAsia="zh-CN"/>
        </w:rPr>
        <w:t>原理为氨易溶于水，可通过低浓度的碱液吸收一部分，硫化氢为酸性气体，易与碱液发生化学反应，从而达到废气治理的目的。项目恶臭产生量较小，根据同类治理设施治理效果看，采用碱吸收法对氨的去除效率约为</w:t>
      </w:r>
      <w:r>
        <w:rPr>
          <w:rFonts w:hint="default" w:ascii="Times New Roman" w:hAnsi="Times New Roman" w:cs="Times New Roman"/>
          <w:lang w:val="en-US" w:eastAsia="zh-CN"/>
        </w:rPr>
        <w:t>60%，对硫化氢的去除效率约为90%，可以满足本项目恶臭的治理要求</w:t>
      </w:r>
      <w:r>
        <w:rPr>
          <w:rFonts w:hint="default" w:ascii="Times New Roman" w:hAnsi="Times New Roman" w:cs="Times New Roman"/>
        </w:rPr>
        <w:t>。</w:t>
      </w:r>
      <w:r>
        <w:rPr>
          <w:rFonts w:hint="default" w:ascii="Times New Roman" w:hAnsi="Times New Roman" w:cs="Times New Roman"/>
          <w:lang w:eastAsia="zh-CN"/>
        </w:rPr>
        <w:t>污水处理过程、产污环节未列入</w:t>
      </w:r>
      <w:r>
        <w:rPr>
          <w:rFonts w:hint="default" w:ascii="Times New Roman" w:hAnsi="Times New Roman" w:cs="Times New Roman"/>
        </w:rPr>
        <w:t>《排污许可证申请与核发技术规范电子工业》（HJ1031-2019）</w:t>
      </w:r>
      <w:r>
        <w:rPr>
          <w:rFonts w:hint="default" w:ascii="Times New Roman" w:hAnsi="Times New Roman" w:cs="Times New Roman"/>
          <w:lang w:eastAsia="zh-CN"/>
        </w:rPr>
        <w:t>主要生产单元，该环节产生的污染物对环境影响较小，因此没有对应推荐的可行技术。类比其他除臭系统治理经验看，</w:t>
      </w:r>
      <w:r>
        <w:rPr>
          <w:rFonts w:hint="default" w:ascii="Times New Roman" w:hAnsi="Times New Roman" w:cs="Times New Roman"/>
        </w:rPr>
        <w:t>此处理工艺经济技术合理可行。</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2、依托可行性分析</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rPr>
        <w:t>本项目</w:t>
      </w:r>
      <w:r>
        <w:rPr>
          <w:rFonts w:hint="default" w:ascii="Times New Roman" w:hAnsi="Times New Roman" w:cs="Times New Roman"/>
          <w:lang w:eastAsia="zh-CN"/>
        </w:rPr>
        <w:t>污水处理</w:t>
      </w:r>
      <w:r>
        <w:rPr>
          <w:rFonts w:hint="default" w:ascii="Times New Roman" w:hAnsi="Times New Roman" w:cs="Times New Roman"/>
        </w:rPr>
        <w:t>过程中产生的</w:t>
      </w:r>
      <w:r>
        <w:rPr>
          <w:rFonts w:hint="default" w:ascii="Times New Roman" w:hAnsi="Times New Roman" w:cs="Times New Roman"/>
          <w:lang w:eastAsia="zh-CN"/>
        </w:rPr>
        <w:t>恶臭</w:t>
      </w:r>
      <w:r>
        <w:rPr>
          <w:rFonts w:hint="default" w:ascii="Times New Roman" w:hAnsi="Times New Roman" w:cs="Times New Roman"/>
        </w:rPr>
        <w:t>依托</w:t>
      </w:r>
      <w:r>
        <w:rPr>
          <w:rFonts w:hint="default" w:ascii="Times New Roman" w:hAnsi="Times New Roman" w:cs="Times New Roman"/>
          <w:lang w:eastAsia="zh-CN"/>
        </w:rPr>
        <w:t>已设置</w:t>
      </w:r>
      <w:r>
        <w:rPr>
          <w:rFonts w:hint="default" w:ascii="Times New Roman" w:hAnsi="Times New Roman" w:cs="Times New Roman"/>
        </w:rPr>
        <w:t>的1套</w:t>
      </w:r>
      <w:r>
        <w:rPr>
          <w:rFonts w:hint="default" w:ascii="Times New Roman" w:hAnsi="Times New Roman" w:cs="Times New Roman"/>
          <w:lang w:eastAsia="zh-CN"/>
        </w:rPr>
        <w:t>除臭系统（碱吸收）</w:t>
      </w:r>
      <w:r>
        <w:rPr>
          <w:rFonts w:hint="default" w:ascii="Times New Roman" w:hAnsi="Times New Roman" w:cs="Times New Roman"/>
        </w:rPr>
        <w:t>治理后通过</w:t>
      </w:r>
      <w:r>
        <w:rPr>
          <w:rFonts w:hint="default" w:ascii="Times New Roman" w:hAnsi="Times New Roman" w:cs="Times New Roman"/>
          <w:lang w:val="en-US" w:eastAsia="zh-CN"/>
        </w:rPr>
        <w:t>1</w:t>
      </w:r>
      <w:r>
        <w:rPr>
          <w:rFonts w:hint="default" w:ascii="Times New Roman" w:hAnsi="Times New Roman" w:cs="Times New Roman"/>
        </w:rPr>
        <w:t>5m排气筒</w:t>
      </w:r>
      <w:r>
        <w:rPr>
          <w:rFonts w:hint="default" w:ascii="Times New Roman" w:hAnsi="Times New Roman" w:cs="Times New Roman"/>
        </w:rPr>
        <w:t>DA0</w:t>
      </w:r>
      <w:r>
        <w:rPr>
          <w:rFonts w:hint="default" w:ascii="Times New Roman" w:hAnsi="Times New Roman" w:cs="Times New Roman"/>
          <w:lang w:val="en-US" w:eastAsia="zh-CN"/>
        </w:rPr>
        <w:t>10</w:t>
      </w:r>
      <w:r>
        <w:rPr>
          <w:rFonts w:hint="default" w:ascii="Times New Roman" w:hAnsi="Times New Roman" w:cs="Times New Roman"/>
        </w:rPr>
        <w:t>排放。根据源强核算结果，本项目建成后，</w:t>
      </w:r>
      <w:r>
        <w:rPr>
          <w:rFonts w:hint="default" w:ascii="Times New Roman" w:hAnsi="Times New Roman" w:cs="Times New Roman"/>
          <w:lang w:eastAsia="zh-CN"/>
        </w:rPr>
        <w:t>综合污水处理站有组织排放的氨</w:t>
      </w:r>
      <w:r>
        <w:rPr>
          <w:rFonts w:hint="default" w:ascii="Times New Roman" w:hAnsi="Times New Roman" w:cs="Times New Roman"/>
        </w:rPr>
        <w:t>总量为</w:t>
      </w:r>
      <w:r>
        <w:rPr>
          <w:rFonts w:hint="default" w:ascii="Times New Roman" w:hAnsi="Times New Roman" w:cs="Times New Roman"/>
          <w:lang w:val="en-US" w:eastAsia="zh-CN"/>
        </w:rPr>
        <w:t>0.561</w:t>
      </w:r>
      <w:r>
        <w:rPr>
          <w:rFonts w:hint="default" w:ascii="Times New Roman" w:hAnsi="Times New Roman" w:cs="Times New Roman"/>
        </w:rPr>
        <w:t>t/a、排放速率为</w:t>
      </w:r>
      <w:r>
        <w:rPr>
          <w:rFonts w:hint="default" w:ascii="Times New Roman" w:hAnsi="Times New Roman" w:cs="Times New Roman"/>
          <w:lang w:val="en-US" w:eastAsia="zh-CN"/>
        </w:rPr>
        <w:t>0.064</w:t>
      </w:r>
      <w:r>
        <w:rPr>
          <w:rFonts w:hint="default" w:ascii="Times New Roman" w:hAnsi="Times New Roman" w:cs="Times New Roman"/>
        </w:rPr>
        <w:t>kg/h、排放浓度为</w:t>
      </w:r>
      <w:r>
        <w:rPr>
          <w:rFonts w:hint="default" w:ascii="Times New Roman" w:hAnsi="Times New Roman" w:cs="Times New Roman"/>
          <w:lang w:val="en-US" w:eastAsia="zh-CN"/>
        </w:rPr>
        <w:t>4.27</w:t>
      </w:r>
      <w:r>
        <w:rPr>
          <w:rFonts w:hint="default" w:ascii="Times New Roman" w:hAnsi="Times New Roman" w:cs="Times New Roman"/>
        </w:rPr>
        <w:t>mg/m</w:t>
      </w:r>
      <w:r>
        <w:rPr>
          <w:rFonts w:hint="default" w:ascii="Times New Roman" w:hAnsi="Times New Roman" w:cs="Times New Roman"/>
          <w:vertAlign w:val="superscript"/>
        </w:rPr>
        <w:t>3</w:t>
      </w:r>
      <w:r>
        <w:rPr>
          <w:rFonts w:hint="default" w:ascii="Times New Roman" w:hAnsi="Times New Roman" w:cs="Times New Roman"/>
        </w:rPr>
        <w:t>，</w:t>
      </w:r>
      <w:r>
        <w:rPr>
          <w:rFonts w:hint="default" w:ascii="Times New Roman" w:hAnsi="Times New Roman" w:cs="Times New Roman"/>
          <w:lang w:eastAsia="zh-CN"/>
        </w:rPr>
        <w:t>硫化氢排放总量为</w:t>
      </w:r>
      <w:r>
        <w:rPr>
          <w:rFonts w:hint="default" w:ascii="Times New Roman" w:hAnsi="Times New Roman" w:cs="Times New Roman"/>
          <w:lang w:val="en-US" w:eastAsia="zh-CN"/>
        </w:rPr>
        <w:t>0.045</w:t>
      </w:r>
      <w:r>
        <w:rPr>
          <w:rFonts w:hint="default" w:ascii="Times New Roman" w:hAnsi="Times New Roman" w:cs="Times New Roman"/>
        </w:rPr>
        <w:t>t/a、排放速率为</w:t>
      </w:r>
      <w:r>
        <w:rPr>
          <w:rFonts w:hint="default" w:ascii="Times New Roman" w:hAnsi="Times New Roman" w:cs="Times New Roman"/>
          <w:lang w:val="en-US" w:eastAsia="zh-CN"/>
        </w:rPr>
        <w:t>0.0063</w:t>
      </w:r>
      <w:r>
        <w:rPr>
          <w:rFonts w:hint="default" w:ascii="Times New Roman" w:hAnsi="Times New Roman" w:cs="Times New Roman"/>
        </w:rPr>
        <w:t>kg/h、排放浓度为</w:t>
      </w:r>
      <w:r>
        <w:rPr>
          <w:rFonts w:hint="default" w:ascii="Times New Roman" w:hAnsi="Times New Roman" w:cs="Times New Roman"/>
          <w:lang w:val="en-US" w:eastAsia="zh-CN"/>
        </w:rPr>
        <w:t>0.43</w:t>
      </w:r>
      <w:r>
        <w:rPr>
          <w:rFonts w:hint="default" w:ascii="Times New Roman" w:hAnsi="Times New Roman" w:cs="Times New Roman"/>
        </w:rPr>
        <w:t>mg/m</w:t>
      </w:r>
      <w:r>
        <w:rPr>
          <w:rFonts w:hint="default" w:ascii="Times New Roman" w:hAnsi="Times New Roman" w:cs="Times New Roman"/>
          <w:vertAlign w:val="superscript"/>
        </w:rPr>
        <w:t>3</w:t>
      </w:r>
      <w:r>
        <w:rPr>
          <w:rFonts w:hint="default" w:ascii="Times New Roman" w:hAnsi="Times New Roman" w:cs="Times New Roman"/>
          <w:vertAlign w:val="baseline"/>
          <w:lang w:eastAsia="zh-CN"/>
        </w:rPr>
        <w:t>，氨、硫化氢</w:t>
      </w:r>
      <w:r>
        <w:rPr>
          <w:rFonts w:hint="default" w:ascii="Times New Roman" w:hAnsi="Times New Roman" w:cs="Times New Roman"/>
          <w:lang w:eastAsia="zh-CN"/>
        </w:rPr>
        <w:t>排放速率均能满足</w:t>
      </w:r>
      <w:r>
        <w:rPr>
          <w:rFonts w:hint="default" w:ascii="Times New Roman" w:hAnsi="Times New Roman" w:cs="Times New Roman"/>
        </w:rPr>
        <w:t>《</w:t>
      </w:r>
      <w:r>
        <w:rPr>
          <w:rFonts w:hint="default" w:ascii="Times New Roman" w:hAnsi="Times New Roman" w:cs="Times New Roman"/>
          <w:lang w:eastAsia="zh-CN"/>
        </w:rPr>
        <w:t>恶臭污染物排放标准</w:t>
      </w:r>
      <w:r>
        <w:rPr>
          <w:rFonts w:hint="default" w:ascii="Times New Roman" w:hAnsi="Times New Roman" w:cs="Times New Roman"/>
        </w:rPr>
        <w:t>》</w:t>
      </w:r>
      <w:r>
        <w:rPr>
          <w:rFonts w:hint="default" w:ascii="Times New Roman" w:hAnsi="Times New Roman" w:cs="Times New Roman"/>
          <w:lang w:val="en-GB"/>
        </w:rPr>
        <w:t>中</w:t>
      </w:r>
      <w:r>
        <w:rPr>
          <w:rFonts w:hint="default" w:ascii="Times New Roman" w:hAnsi="Times New Roman" w:cs="Times New Roman"/>
          <w:lang w:val="en-US" w:eastAsia="zh-CN"/>
        </w:rPr>
        <w:t>1</w:t>
      </w:r>
      <w:r>
        <w:rPr>
          <w:rFonts w:hint="default" w:ascii="Times New Roman" w:hAnsi="Times New Roman" w:cs="Times New Roman"/>
          <w:lang w:val="en-GB"/>
        </w:rPr>
        <w:t>5m高排气筒的二级标准值</w:t>
      </w:r>
      <w:r>
        <w:rPr>
          <w:rFonts w:hint="default" w:ascii="Times New Roman" w:hAnsi="Times New Roman" w:cs="Times New Roman"/>
          <w:lang w:val="en-US" w:eastAsia="zh-CN"/>
        </w:rPr>
        <w:t>要求</w:t>
      </w:r>
      <w:r>
        <w:rPr>
          <w:rFonts w:hint="default" w:ascii="Times New Roman" w:hAnsi="Times New Roman" w:cs="Times New Roman"/>
          <w:lang w:eastAsia="zh-CN"/>
        </w:rPr>
        <w:t>。</w:t>
      </w:r>
      <w:r>
        <w:rPr>
          <w:rFonts w:hint="default" w:ascii="Times New Roman" w:hAnsi="Times New Roman" w:cs="Times New Roman"/>
          <w:lang w:val="en-GB"/>
        </w:rPr>
        <w:t>建设单位在保证</w:t>
      </w:r>
      <w:r>
        <w:rPr>
          <w:rFonts w:hint="default" w:ascii="Times New Roman" w:hAnsi="Times New Roman" w:cs="Times New Roman"/>
          <w:lang w:val="en-GB" w:eastAsia="zh-CN"/>
        </w:rPr>
        <w:t>除臭系统</w:t>
      </w:r>
      <w:r>
        <w:rPr>
          <w:rFonts w:hint="default" w:ascii="Times New Roman" w:hAnsi="Times New Roman" w:cs="Times New Roman"/>
          <w:lang w:val="en-GB"/>
        </w:rPr>
        <w:t>运行顺畅、</w:t>
      </w:r>
      <w:r>
        <w:rPr>
          <w:rFonts w:hint="default" w:ascii="Times New Roman" w:hAnsi="Times New Roman" w:cs="Times New Roman"/>
          <w:lang w:val="en-GB" w:eastAsia="zh-CN"/>
        </w:rPr>
        <w:t>经常更换碱液</w:t>
      </w:r>
      <w:r>
        <w:rPr>
          <w:rFonts w:hint="default" w:ascii="Times New Roman" w:hAnsi="Times New Roman" w:cs="Times New Roman"/>
          <w:lang w:val="en-GB"/>
        </w:rPr>
        <w:t>的前</w:t>
      </w:r>
      <w:r>
        <w:rPr>
          <w:rFonts w:hint="default" w:ascii="Times New Roman" w:hAnsi="Times New Roman" w:cs="Times New Roman"/>
          <w:color w:val="auto"/>
          <w:lang w:val="en-GB"/>
        </w:rPr>
        <w:t>提下，本项目</w:t>
      </w:r>
      <w:r>
        <w:rPr>
          <w:rFonts w:hint="default" w:ascii="Times New Roman" w:hAnsi="Times New Roman" w:cs="Times New Roman"/>
          <w:color w:val="auto"/>
          <w:lang w:val="en-GB" w:eastAsia="zh-CN"/>
        </w:rPr>
        <w:t>恶臭依托除臭系统</w:t>
      </w:r>
      <w:r>
        <w:rPr>
          <w:rFonts w:hint="default" w:ascii="Times New Roman" w:hAnsi="Times New Roman" w:cs="Times New Roman"/>
          <w:color w:val="auto"/>
          <w:lang w:val="en-GB"/>
        </w:rPr>
        <w:t>进行处理是可行的。</w:t>
      </w:r>
    </w:p>
    <w:bookmarkEnd w:id="969"/>
    <w:bookmarkEnd w:id="970"/>
    <w:bookmarkEnd w:id="971"/>
    <w:bookmarkEnd w:id="972"/>
    <w:bookmarkEnd w:id="973"/>
    <w:p>
      <w:pPr>
        <w:pStyle w:val="4"/>
        <w:spacing w:before="0" w:after="0" w:line="360" w:lineRule="auto"/>
        <w:rPr>
          <w:rFonts w:hint="default" w:ascii="Times New Roman" w:hAnsi="Times New Roman" w:eastAsia="宋体" w:cs="Times New Roman"/>
          <w:color w:val="auto"/>
          <w:sz w:val="28"/>
          <w:szCs w:val="28"/>
        </w:rPr>
      </w:pPr>
      <w:bookmarkStart w:id="976" w:name="_Toc4635"/>
      <w:bookmarkStart w:id="977" w:name="_Toc15585"/>
      <w:bookmarkStart w:id="978" w:name="_Toc9906"/>
      <w:bookmarkStart w:id="979" w:name="_Toc29819"/>
      <w:bookmarkStart w:id="980" w:name="_Toc6140"/>
      <w:bookmarkStart w:id="981" w:name="_Toc18905"/>
      <w:r>
        <w:rPr>
          <w:rFonts w:hint="default" w:ascii="Times New Roman" w:hAnsi="Times New Roman" w:eastAsia="宋体" w:cs="Times New Roman"/>
          <w:color w:val="auto"/>
          <w:sz w:val="28"/>
          <w:szCs w:val="28"/>
          <w:lang w:val="en-US" w:eastAsia="zh-CN"/>
        </w:rPr>
        <w:t>6</w:t>
      </w:r>
      <w:r>
        <w:rPr>
          <w:rFonts w:hint="default" w:ascii="Times New Roman" w:hAnsi="Times New Roman" w:eastAsia="宋体" w:cs="Times New Roman"/>
          <w:color w:val="auto"/>
          <w:sz w:val="28"/>
          <w:szCs w:val="28"/>
        </w:rPr>
        <w:t>.2运营期废水治理措施</w:t>
      </w:r>
      <w:bookmarkEnd w:id="976"/>
    </w:p>
    <w:p>
      <w:pPr>
        <w:pStyle w:val="6"/>
        <w:spacing w:before="0" w:after="0" w:line="360" w:lineRule="auto"/>
        <w:rPr>
          <w:rFonts w:hint="default" w:ascii="Times New Roman" w:hAnsi="Times New Roman" w:cs="Times New Roman"/>
          <w:color w:val="auto"/>
          <w:szCs w:val="28"/>
        </w:rPr>
      </w:pPr>
      <w:bookmarkStart w:id="982" w:name="_Toc12618"/>
      <w:r>
        <w:rPr>
          <w:rFonts w:hint="default" w:ascii="Times New Roman" w:hAnsi="Times New Roman" w:cs="Times New Roman"/>
          <w:color w:val="auto"/>
          <w:szCs w:val="28"/>
          <w:lang w:val="en-US" w:eastAsia="zh-CN"/>
        </w:rPr>
        <w:t>6</w:t>
      </w:r>
      <w:r>
        <w:rPr>
          <w:rFonts w:hint="default" w:ascii="Times New Roman" w:hAnsi="Times New Roman" w:cs="Times New Roman"/>
          <w:color w:val="auto"/>
          <w:szCs w:val="28"/>
        </w:rPr>
        <w:t>.2.</w:t>
      </w:r>
      <w:r>
        <w:rPr>
          <w:rFonts w:hint="default" w:ascii="Times New Roman" w:hAnsi="Times New Roman" w:cs="Times New Roman"/>
          <w:color w:val="auto"/>
          <w:szCs w:val="28"/>
          <w:lang w:val="en-US" w:eastAsia="zh-CN"/>
        </w:rPr>
        <w:t>1</w:t>
      </w:r>
      <w:r>
        <w:rPr>
          <w:rFonts w:hint="default" w:ascii="Times New Roman" w:hAnsi="Times New Roman" w:cs="Times New Roman"/>
          <w:color w:val="auto"/>
          <w:szCs w:val="28"/>
          <w:lang w:val="en-US" w:eastAsia="zh-CN"/>
        </w:rPr>
        <w:t>含氟废水</w:t>
      </w:r>
      <w:r>
        <w:rPr>
          <w:rFonts w:hint="default" w:ascii="Times New Roman" w:hAnsi="Times New Roman" w:cs="Times New Roman"/>
          <w:color w:val="auto"/>
          <w:szCs w:val="28"/>
        </w:rPr>
        <w:t>防治措施及措施可行性</w:t>
      </w:r>
      <w:bookmarkEnd w:id="982"/>
    </w:p>
    <w:p>
      <w:pPr>
        <w:autoSpaceDE w:val="0"/>
        <w:autoSpaceDN w:val="0"/>
        <w:adjustRightInd w:val="0"/>
        <w:spacing w:line="360" w:lineRule="auto"/>
        <w:ind w:firstLine="480" w:firstLineChars="200"/>
        <w:rPr>
          <w:rFonts w:hint="default" w:ascii="Times New Roman" w:hAnsi="Times New Roman" w:cs="Times New Roman"/>
        </w:rPr>
      </w:pPr>
      <w:r>
        <w:rPr>
          <w:rFonts w:hint="default" w:ascii="Times New Roman" w:hAnsi="Times New Roman" w:cs="Times New Roman"/>
          <w:lang w:eastAsia="zh-CN"/>
        </w:rPr>
        <w:t>吸杂车间产生的</w:t>
      </w:r>
      <w:r>
        <w:rPr>
          <w:rFonts w:hint="default" w:ascii="Times New Roman" w:hAnsi="Times New Roman" w:cs="Times New Roman"/>
        </w:rPr>
        <w:t>废酸液、</w:t>
      </w:r>
      <w:r>
        <w:rPr>
          <w:rFonts w:hint="default" w:ascii="Times New Roman" w:hAnsi="Times New Roman" w:cs="Times New Roman"/>
          <w:lang w:eastAsia="zh-CN"/>
        </w:rPr>
        <w:t>四级氢氧化钠洗涤塔洗涤废水</w:t>
      </w:r>
      <w:r>
        <w:rPr>
          <w:rFonts w:hint="default" w:ascii="Times New Roman" w:hAnsi="Times New Roman" w:cs="Times New Roman"/>
        </w:rPr>
        <w:t>进入含氟废水</w:t>
      </w:r>
      <w:r>
        <w:rPr>
          <w:rFonts w:hint="default" w:ascii="Times New Roman" w:hAnsi="Times New Roman" w:cs="Times New Roman"/>
          <w:lang w:eastAsia="zh-CN"/>
        </w:rPr>
        <w:t>处理站进行处理</w:t>
      </w:r>
      <w:r>
        <w:rPr>
          <w:rFonts w:hint="default" w:ascii="Times New Roman" w:hAnsi="Times New Roman" w:cs="Times New Roman"/>
        </w:rPr>
        <w:t>。该废水中主要污染因子为pH、氟化物。含氟废水处理工艺为“混凝沉淀</w:t>
      </w:r>
      <w:r>
        <w:rPr>
          <w:rFonts w:hint="default" w:ascii="Times New Roman" w:hAnsi="Times New Roman" w:cs="Times New Roman"/>
        </w:rPr>
        <w:t>+AO</w:t>
      </w:r>
      <w:r>
        <w:rPr>
          <w:rFonts w:hint="default" w:ascii="Times New Roman" w:hAnsi="Times New Roman" w:cs="Times New Roman"/>
        </w:rPr>
        <w:t>”工艺，在废水中加入石灰，利用F</w:t>
      </w:r>
      <w:r>
        <w:rPr>
          <w:rFonts w:hint="default" w:ascii="Times New Roman" w:hAnsi="Times New Roman" w:cs="Times New Roman"/>
          <w:vertAlign w:val="superscript"/>
        </w:rPr>
        <w:t>-</w:t>
      </w:r>
      <w:r>
        <w:rPr>
          <w:rFonts w:hint="default" w:ascii="Times New Roman" w:hAnsi="Times New Roman" w:cs="Times New Roman"/>
        </w:rPr>
        <w:t>与Ca</w:t>
      </w:r>
      <w:r>
        <w:rPr>
          <w:rFonts w:hint="default" w:ascii="Times New Roman" w:hAnsi="Times New Roman" w:cs="Times New Roman"/>
          <w:vertAlign w:val="superscript"/>
        </w:rPr>
        <w:t>2 +</w:t>
      </w:r>
      <w:r>
        <w:rPr>
          <w:rFonts w:hint="default" w:ascii="Times New Roman" w:hAnsi="Times New Roman" w:cs="Times New Roman"/>
        </w:rPr>
        <w:t>反应生成难溶的CaF</w:t>
      </w:r>
      <w:r>
        <w:rPr>
          <w:rFonts w:hint="default" w:ascii="Times New Roman" w:hAnsi="Times New Roman" w:cs="Times New Roman"/>
          <w:vertAlign w:val="subscript"/>
        </w:rPr>
        <w:t>2</w:t>
      </w:r>
      <w:r>
        <w:rPr>
          <w:rFonts w:hint="default" w:ascii="Times New Roman" w:hAnsi="Times New Roman" w:cs="Times New Roman"/>
        </w:rPr>
        <w:t>沉淀，同时，也可以将废水中的pH调节至中性，经沉淀后再采用固液分离手段从污水中去除从而达到除氟的目的。其反应原理如下：</w:t>
      </w:r>
    </w:p>
    <w:p>
      <w:pPr>
        <w:autoSpaceDE w:val="0"/>
        <w:autoSpaceDN w:val="0"/>
        <w:adjustRightInd w:val="0"/>
        <w:spacing w:line="360" w:lineRule="auto"/>
        <w:ind w:firstLine="480" w:firstLineChars="200"/>
        <w:jc w:val="center"/>
        <w:rPr>
          <w:rFonts w:hint="default" w:ascii="Times New Roman" w:hAnsi="Times New Roman" w:cs="Times New Roman"/>
        </w:rPr>
      </w:pPr>
      <w:r>
        <w:rPr>
          <w:rFonts w:hint="default" w:ascii="Times New Roman" w:hAnsi="Times New Roman" w:cs="Times New Roman"/>
        </w:rPr>
        <w:t>Ca</w:t>
      </w:r>
      <w:r>
        <w:rPr>
          <w:rFonts w:hint="default" w:ascii="Times New Roman" w:hAnsi="Times New Roman" w:cs="Times New Roman"/>
          <w:vertAlign w:val="superscript"/>
        </w:rPr>
        <w:t>2+</w:t>
      </w:r>
      <w:r>
        <w:rPr>
          <w:rFonts w:hint="default" w:ascii="Times New Roman" w:hAnsi="Times New Roman" w:cs="Times New Roman"/>
        </w:rPr>
        <w:t xml:space="preserve"> + F</w:t>
      </w:r>
      <w:r>
        <w:rPr>
          <w:rFonts w:hint="default" w:ascii="Times New Roman" w:hAnsi="Times New Roman" w:cs="Times New Roman"/>
          <w:vertAlign w:val="superscript"/>
        </w:rPr>
        <w:t>-</w:t>
      </w:r>
      <w:r>
        <w:rPr>
          <w:rFonts w:hint="default" w:ascii="Times New Roman" w:hAnsi="Times New Roman" w:cs="Times New Roman"/>
        </w:rPr>
        <w:t xml:space="preserve"> = CaF</w:t>
      </w:r>
      <w:r>
        <w:rPr>
          <w:rFonts w:hint="default" w:ascii="Times New Roman" w:hAnsi="Times New Roman" w:cs="Times New Roman"/>
          <w:vertAlign w:val="subscript"/>
        </w:rPr>
        <w:t>2</w:t>
      </w:r>
      <w:r>
        <w:rPr>
          <w:rFonts w:hint="default" w:ascii="Times New Roman" w:hAnsi="Times New Roman" w:cs="Times New Roman"/>
        </w:rPr>
        <w:t>↓</w:t>
      </w:r>
    </w:p>
    <w:p>
      <w:pPr>
        <w:autoSpaceDE w:val="0"/>
        <w:autoSpaceDN w:val="0"/>
        <w:adjustRightInd w:val="0"/>
        <w:spacing w:line="360" w:lineRule="auto"/>
        <w:ind w:firstLine="480" w:firstLineChars="200"/>
        <w:rPr>
          <w:rFonts w:hint="default" w:ascii="Times New Roman" w:hAnsi="Times New Roman" w:cs="Times New Roman"/>
        </w:rPr>
      </w:pPr>
      <w:r>
        <w:rPr>
          <w:rFonts w:hint="default" w:ascii="Times New Roman" w:hAnsi="Times New Roman" w:cs="Times New Roman"/>
        </w:rPr>
        <w:t>单一采用石灰法处理，即使pH值高达12以上，也只能使沉淀后出水含氟控制在20mg/L左右，达不到稳定排放要求。其原因，一方面由于石灰乳的溶解度较小，未能提供充足的自由Ca</w:t>
      </w:r>
      <w:r>
        <w:rPr>
          <w:rFonts w:hint="default" w:ascii="Times New Roman" w:hAnsi="Times New Roman" w:cs="Times New Roman"/>
          <w:vertAlign w:val="superscript"/>
        </w:rPr>
        <w:t>2 +</w:t>
      </w:r>
      <w:r>
        <w:rPr>
          <w:rFonts w:hint="default" w:ascii="Times New Roman" w:hAnsi="Times New Roman" w:cs="Times New Roman"/>
        </w:rPr>
        <w:t>使之形成CaF</w:t>
      </w:r>
      <w:r>
        <w:rPr>
          <w:rFonts w:hint="default" w:ascii="Times New Roman" w:hAnsi="Times New Roman" w:cs="Times New Roman"/>
          <w:vertAlign w:val="subscript"/>
        </w:rPr>
        <w:t>2</w:t>
      </w:r>
      <w:r>
        <w:rPr>
          <w:rFonts w:hint="default" w:ascii="Times New Roman" w:hAnsi="Times New Roman" w:cs="Times New Roman"/>
        </w:rPr>
        <w:t>沉淀，另一方面新生成的CaF</w:t>
      </w:r>
      <w:r>
        <w:rPr>
          <w:rFonts w:hint="default" w:ascii="Times New Roman" w:hAnsi="Times New Roman" w:cs="Times New Roman"/>
          <w:vertAlign w:val="subscript"/>
        </w:rPr>
        <w:t>2</w:t>
      </w:r>
      <w:r>
        <w:rPr>
          <w:rFonts w:hint="default" w:ascii="Times New Roman" w:hAnsi="Times New Roman" w:cs="Times New Roman"/>
        </w:rPr>
        <w:t xml:space="preserve">微粒具有一定的溶解度（18 </w:t>
      </w:r>
      <w:r>
        <w:rPr>
          <w:rFonts w:hint="default" w:ascii="Times New Roman" w:hAnsi="Times New Roman" w:cs="Times New Roman"/>
        </w:rPr>
        <w:t>℃</w:t>
      </w:r>
      <w:r>
        <w:rPr>
          <w:rFonts w:hint="default" w:ascii="Times New Roman" w:hAnsi="Times New Roman" w:cs="Times New Roman"/>
        </w:rPr>
        <w:t>时为1613 mg/ L），同时，污水中SO</w:t>
      </w:r>
      <w:r>
        <w:rPr>
          <w:rFonts w:hint="default" w:ascii="Times New Roman" w:hAnsi="Times New Roman" w:cs="Times New Roman"/>
          <w:vertAlign w:val="subscript"/>
        </w:rPr>
        <w:t>4</w:t>
      </w:r>
      <w:r>
        <w:rPr>
          <w:rFonts w:hint="default" w:ascii="Times New Roman" w:hAnsi="Times New Roman" w:cs="Times New Roman"/>
          <w:vertAlign w:val="superscript"/>
        </w:rPr>
        <w:t>2 -</w:t>
      </w:r>
      <w:r>
        <w:rPr>
          <w:rFonts w:hint="default" w:ascii="Times New Roman" w:hAnsi="Times New Roman" w:cs="Times New Roman"/>
        </w:rPr>
        <w:t>、CO</w:t>
      </w:r>
      <w:r>
        <w:rPr>
          <w:rFonts w:hint="default" w:ascii="Times New Roman" w:hAnsi="Times New Roman" w:cs="Times New Roman"/>
          <w:vertAlign w:val="subscript"/>
        </w:rPr>
        <w:t>3</w:t>
      </w:r>
      <w:r>
        <w:rPr>
          <w:rFonts w:hint="default" w:ascii="Times New Roman" w:hAnsi="Times New Roman" w:cs="Times New Roman"/>
          <w:vertAlign w:val="superscript"/>
        </w:rPr>
        <w:t>2 -</w:t>
      </w:r>
      <w:r>
        <w:rPr>
          <w:rFonts w:hint="default" w:ascii="Times New Roman" w:hAnsi="Times New Roman" w:cs="Times New Roman"/>
        </w:rPr>
        <w:t>离子吸附在反应中形成的CaF</w:t>
      </w:r>
      <w:r>
        <w:rPr>
          <w:rFonts w:hint="default" w:ascii="Times New Roman" w:hAnsi="Times New Roman" w:cs="Times New Roman"/>
          <w:vertAlign w:val="subscript"/>
        </w:rPr>
        <w:t>2</w:t>
      </w:r>
      <w:r>
        <w:rPr>
          <w:rFonts w:hint="default" w:ascii="Times New Roman" w:hAnsi="Times New Roman" w:cs="Times New Roman"/>
        </w:rPr>
        <w:t>微粒上，影响CaF</w:t>
      </w:r>
      <w:r>
        <w:rPr>
          <w:rFonts w:hint="default" w:ascii="Times New Roman" w:hAnsi="Times New Roman" w:cs="Times New Roman"/>
          <w:vertAlign w:val="subscript"/>
        </w:rPr>
        <w:t>2</w:t>
      </w:r>
      <w:r>
        <w:rPr>
          <w:rFonts w:hint="default" w:ascii="Times New Roman" w:hAnsi="Times New Roman" w:cs="Times New Roman"/>
        </w:rPr>
        <w:t>的反应快速进行。</w:t>
      </w:r>
    </w:p>
    <w:p>
      <w:pPr>
        <w:autoSpaceDE w:val="0"/>
        <w:autoSpaceDN w:val="0"/>
        <w:adjustRightInd w:val="0"/>
        <w:spacing w:line="360" w:lineRule="auto"/>
        <w:ind w:firstLine="480" w:firstLineChars="200"/>
        <w:rPr>
          <w:rFonts w:hint="default" w:ascii="Times New Roman" w:hAnsi="Times New Roman" w:cs="Times New Roman"/>
        </w:rPr>
      </w:pPr>
      <w:r>
        <w:rPr>
          <w:rFonts w:hint="default" w:ascii="Times New Roman" w:hAnsi="Times New Roman" w:cs="Times New Roman"/>
        </w:rPr>
        <w:t>铝盐加入到污水中后，Al</w:t>
      </w:r>
      <w:r>
        <w:rPr>
          <w:rFonts w:hint="default" w:ascii="Times New Roman" w:hAnsi="Times New Roman" w:cs="Times New Roman"/>
          <w:vertAlign w:val="superscript"/>
        </w:rPr>
        <w:t>3 +</w:t>
      </w:r>
      <w:r>
        <w:rPr>
          <w:rFonts w:hint="default" w:ascii="Times New Roman" w:hAnsi="Times New Roman" w:cs="Times New Roman"/>
        </w:rPr>
        <w:t>与F</w:t>
      </w:r>
      <w:r>
        <w:rPr>
          <w:rFonts w:hint="default" w:ascii="Times New Roman" w:hAnsi="Times New Roman" w:cs="Times New Roman"/>
          <w:vertAlign w:val="superscript"/>
        </w:rPr>
        <w:t>-</w:t>
      </w:r>
      <w:r>
        <w:rPr>
          <w:rFonts w:hint="default" w:ascii="Times New Roman" w:hAnsi="Times New Roman" w:cs="Times New Roman"/>
        </w:rPr>
        <w:t>络合生成羟基氟化铝化合物以及铝盐水解中间产物，部分Al</w:t>
      </w:r>
      <w:r>
        <w:rPr>
          <w:rFonts w:hint="default" w:ascii="Times New Roman" w:hAnsi="Times New Roman" w:cs="Times New Roman"/>
          <w:vertAlign w:val="superscript"/>
        </w:rPr>
        <w:t>3 +</w:t>
      </w:r>
      <w:r>
        <w:rPr>
          <w:rFonts w:hint="default" w:ascii="Times New Roman" w:hAnsi="Times New Roman" w:cs="Times New Roman"/>
        </w:rPr>
        <w:t>生成Al(OH)</w:t>
      </w:r>
      <w:r>
        <w:rPr>
          <w:rFonts w:hint="default" w:ascii="Times New Roman" w:hAnsi="Times New Roman" w:cs="Times New Roman"/>
          <w:vertAlign w:val="subscript"/>
        </w:rPr>
        <w:t>3</w:t>
      </w:r>
      <w:r>
        <w:rPr>
          <w:rFonts w:hint="default" w:ascii="Times New Roman" w:hAnsi="Times New Roman" w:cs="Times New Roman"/>
        </w:rPr>
        <w:t>矾花对F</w:t>
      </w:r>
      <w:r>
        <w:rPr>
          <w:rFonts w:hint="default" w:ascii="Times New Roman" w:hAnsi="Times New Roman" w:cs="Times New Roman"/>
          <w:vertAlign w:val="superscript"/>
        </w:rPr>
        <w:t xml:space="preserve"> -</w:t>
      </w:r>
      <w:r>
        <w:rPr>
          <w:rFonts w:hint="default" w:ascii="Times New Roman" w:hAnsi="Times New Roman" w:cs="Times New Roman"/>
        </w:rPr>
        <w:t>的配位体交换、物理吸附、网捕作用而去除污水中的氟。</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因此，设计工艺采用以石灰作为中和剂，投加铝盐、聚丙烯酰胺作为混凝、助凝剂。因业主生产工艺中已投加石灰中和侵蚀酸废液，且侵蚀酸废液水量很小，故本工程仅考虑采用聚合氯化铝与聚丙烯酰胺单级絮凝沉淀，用以去除部分悬浮物质和残余氟化物，降低生化系统运行负荷，保证出水水质稳定达标。</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目含氟废水采用上述工艺处理后氟化物去除效率可达90%以上，属于《排污许可证申请与核发技术规范电子工业》（HJ1031-2019）中表</w:t>
      </w:r>
      <w:r>
        <w:rPr>
          <w:rFonts w:hint="default" w:ascii="Times New Roman" w:hAnsi="Times New Roman" w:cs="Times New Roman"/>
          <w:lang w:val="en-US" w:eastAsia="zh-CN"/>
        </w:rPr>
        <w:t>B</w:t>
      </w:r>
      <w:r>
        <w:rPr>
          <w:rFonts w:hint="default" w:ascii="Times New Roman" w:hAnsi="Times New Roman" w:cs="Times New Roman"/>
        </w:rPr>
        <w:t>.</w:t>
      </w:r>
      <w:r>
        <w:rPr>
          <w:rFonts w:hint="default" w:ascii="Times New Roman" w:hAnsi="Times New Roman" w:cs="Times New Roman"/>
          <w:lang w:val="en-US" w:eastAsia="zh-CN"/>
        </w:rPr>
        <w:t>2</w:t>
      </w:r>
      <w:r>
        <w:rPr>
          <w:rFonts w:hint="default" w:ascii="Times New Roman" w:hAnsi="Times New Roman" w:cs="Times New Roman"/>
        </w:rPr>
        <w:t>中推荐的“化学沉淀法”的可行技术，且</w:t>
      </w:r>
      <w:r>
        <w:rPr>
          <w:rFonts w:hint="default" w:ascii="Times New Roman" w:hAnsi="Times New Roman" w:cs="Times New Roman"/>
        </w:rPr>
        <w:t>处理</w:t>
      </w:r>
      <w:r>
        <w:rPr>
          <w:rFonts w:hint="default" w:ascii="Times New Roman" w:hAnsi="Times New Roman" w:cs="Times New Roman"/>
        </w:rPr>
        <w:t>后的</w:t>
      </w:r>
      <w:r>
        <w:rPr>
          <w:rFonts w:hint="default" w:ascii="Times New Roman" w:hAnsi="Times New Roman" w:cs="Times New Roman"/>
        </w:rPr>
        <w:t>含氟</w:t>
      </w:r>
      <w:r>
        <w:rPr>
          <w:rFonts w:hint="default" w:ascii="Times New Roman" w:hAnsi="Times New Roman" w:cs="Times New Roman"/>
        </w:rPr>
        <w:t>废水再进入综合污水处理站进行处理</w:t>
      </w:r>
      <w:r>
        <w:rPr>
          <w:rFonts w:hint="default" w:ascii="Times New Roman" w:hAnsi="Times New Roman" w:cs="Times New Roman"/>
        </w:rPr>
        <w:t>，</w:t>
      </w:r>
      <w:r>
        <w:rPr>
          <w:rFonts w:hint="default" w:ascii="Times New Roman" w:hAnsi="Times New Roman" w:cs="Times New Roman"/>
        </w:rPr>
        <w:t>出水水质能满足</w:t>
      </w:r>
      <w:r>
        <w:rPr>
          <w:rFonts w:hint="default" w:ascii="Times New Roman" w:hAnsi="Times New Roman" w:cs="Times New Roman" w:eastAsiaTheme="minorEastAsia"/>
          <w:lang w:eastAsia="zh-CN"/>
        </w:rPr>
        <w:t>表</w:t>
      </w:r>
      <w:r>
        <w:rPr>
          <w:rFonts w:hint="default" w:ascii="Times New Roman" w:hAnsi="Times New Roman" w:cs="Times New Roman" w:eastAsiaTheme="minorEastAsia"/>
          <w:lang w:val="en-US" w:eastAsia="zh-CN"/>
        </w:rPr>
        <w:t>1-12</w:t>
      </w:r>
      <w:r>
        <w:rPr>
          <w:rFonts w:hint="default" w:ascii="Times New Roman" w:hAnsi="Times New Roman" w:cs="Times New Roman" w:eastAsiaTheme="minorEastAsia"/>
        </w:rPr>
        <w:t>执行的标准值</w:t>
      </w:r>
      <w:r>
        <w:rPr>
          <w:rFonts w:hint="default" w:ascii="Times New Roman" w:hAnsi="Times New Roman" w:cs="Times New Roman"/>
        </w:rPr>
        <w:t>，且加投的石灰、铝盐、聚丙烯酰胺市场上较为常见、便宜，经济较为合理。因此，含氟废水采用该工艺处理经济技术合理可行。</w:t>
      </w:r>
    </w:p>
    <w:p>
      <w:pPr>
        <w:spacing w:line="360" w:lineRule="auto"/>
        <w:ind w:firstLine="480" w:firstLineChars="200"/>
        <w:rPr>
          <w:rFonts w:hint="default" w:ascii="Times New Roman" w:hAnsi="Times New Roman" w:cs="Times New Roman"/>
          <w:color w:val="FF0000"/>
          <w:lang w:eastAsia="zh-CN"/>
        </w:rPr>
      </w:pPr>
      <w:r>
        <w:rPr>
          <w:rFonts w:hint="default" w:ascii="Times New Roman" w:hAnsi="Times New Roman" w:cs="Times New Roman"/>
        </w:rPr>
        <w:t>含氟废水处理站</w:t>
      </w:r>
      <w:r>
        <w:rPr>
          <w:rFonts w:hint="default" w:ascii="Times New Roman" w:hAnsi="Times New Roman" w:cs="Times New Roman"/>
          <w:lang w:eastAsia="zh-CN"/>
        </w:rPr>
        <w:t>处理规模为</w:t>
      </w:r>
      <w:r>
        <w:rPr>
          <w:rFonts w:hint="default" w:ascii="Times New Roman" w:hAnsi="Times New Roman" w:cs="Times New Roman"/>
        </w:rPr>
        <w:t>100m</w:t>
      </w:r>
      <w:r>
        <w:rPr>
          <w:rFonts w:hint="default" w:ascii="Times New Roman" w:hAnsi="Times New Roman" w:cs="Times New Roman"/>
          <w:vertAlign w:val="superscript"/>
        </w:rPr>
        <w:t>3</w:t>
      </w:r>
      <w:r>
        <w:rPr>
          <w:rFonts w:hint="default" w:ascii="Times New Roman" w:hAnsi="Times New Roman" w:cs="Times New Roman"/>
        </w:rPr>
        <w:t>/h，项目建成后全厂含氟废水产生量为</w:t>
      </w:r>
      <w:r>
        <w:rPr>
          <w:rFonts w:hint="default" w:ascii="Times New Roman" w:hAnsi="Times New Roman" w:cs="Times New Roman"/>
          <w:lang w:val="en-US" w:eastAsia="zh-CN"/>
        </w:rPr>
        <w:t>1294.73</w:t>
      </w: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/d、</w:t>
      </w:r>
      <w:r>
        <w:rPr>
          <w:rFonts w:hint="default" w:ascii="Times New Roman" w:hAnsi="Times New Roman" w:cs="Times New Roman"/>
          <w:lang w:val="en-US" w:eastAsia="zh-CN"/>
        </w:rPr>
        <w:t>53.95</w:t>
      </w: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/h，含氟废水处理站规模能满足</w:t>
      </w:r>
      <w:r>
        <w:rPr>
          <w:rFonts w:hint="default" w:ascii="Times New Roman" w:hAnsi="Times New Roman" w:cs="Times New Roman"/>
          <w:lang w:eastAsia="zh-CN"/>
        </w:rPr>
        <w:t>全厂</w:t>
      </w:r>
      <w:r>
        <w:rPr>
          <w:rFonts w:hint="default" w:ascii="Times New Roman" w:hAnsi="Times New Roman" w:cs="Times New Roman"/>
        </w:rPr>
        <w:t>含氟废水的处置</w:t>
      </w:r>
      <w:r>
        <w:rPr>
          <w:rFonts w:hint="default" w:ascii="Times New Roman" w:hAnsi="Times New Roman" w:cs="Times New Roman"/>
          <w:lang w:eastAsia="zh-CN"/>
        </w:rPr>
        <w:t>要求</w:t>
      </w:r>
      <w:r>
        <w:rPr>
          <w:rFonts w:hint="default" w:ascii="Times New Roman" w:hAnsi="Times New Roman" w:cs="Times New Roman"/>
          <w:lang w:val="en-GB"/>
        </w:rPr>
        <w:t>。</w:t>
      </w:r>
    </w:p>
    <w:p>
      <w:pPr>
        <w:pStyle w:val="6"/>
        <w:spacing w:before="0" w:after="0" w:line="360" w:lineRule="auto"/>
        <w:rPr>
          <w:rFonts w:hint="default" w:ascii="Times New Roman" w:hAnsi="Times New Roman" w:cs="Times New Roman"/>
          <w:color w:val="auto"/>
          <w:szCs w:val="28"/>
        </w:rPr>
      </w:pPr>
      <w:r>
        <w:rPr>
          <w:rFonts w:hint="default" w:ascii="Times New Roman" w:hAnsi="Times New Roman" w:cs="Times New Roman"/>
          <w:color w:val="auto"/>
          <w:szCs w:val="28"/>
          <w:lang w:val="en-US" w:eastAsia="zh-CN"/>
        </w:rPr>
        <w:t>6</w:t>
      </w:r>
      <w:r>
        <w:rPr>
          <w:rFonts w:hint="default" w:ascii="Times New Roman" w:hAnsi="Times New Roman" w:cs="Times New Roman"/>
          <w:color w:val="auto"/>
          <w:szCs w:val="28"/>
        </w:rPr>
        <w:t>.2.</w:t>
      </w:r>
      <w:r>
        <w:rPr>
          <w:rFonts w:hint="default" w:ascii="Times New Roman" w:hAnsi="Times New Roman" w:cs="Times New Roman"/>
          <w:color w:val="auto"/>
          <w:szCs w:val="28"/>
          <w:lang w:val="en-US" w:eastAsia="zh-CN"/>
        </w:rPr>
        <w:t>2生产废水</w:t>
      </w:r>
      <w:r>
        <w:rPr>
          <w:rFonts w:hint="default" w:ascii="Times New Roman" w:hAnsi="Times New Roman" w:cs="Times New Roman"/>
          <w:color w:val="auto"/>
          <w:szCs w:val="28"/>
        </w:rPr>
        <w:t>防治措施及措施可行性</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lang w:eastAsia="zh-CN"/>
        </w:rPr>
        <w:t>项目产生的生产废水（除纯水制备产生的浓水外）进入综合污水处理站进行处理，废水量为</w:t>
      </w:r>
      <w:r>
        <w:rPr>
          <w:rFonts w:hint="default" w:ascii="Times New Roman" w:hAnsi="Times New Roman" w:cs="Times New Roman"/>
          <w:color w:val="auto"/>
          <w:lang w:val="en-US" w:eastAsia="zh-CN"/>
        </w:rPr>
        <w:t>5795.08</w:t>
      </w:r>
      <w:r>
        <w:rPr>
          <w:rFonts w:hint="default" w:ascii="Times New Roman" w:hAnsi="Times New Roman" w:cs="Times New Roman"/>
          <w:color w:val="auto"/>
          <w:lang w:val="en-US" w:eastAsia="zh-CN"/>
        </w:rPr>
        <w:t>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vertAlign w:val="baseline"/>
          <w:lang w:val="en-US" w:eastAsia="zh-CN"/>
        </w:rPr>
        <w:t>/d。废水</w:t>
      </w:r>
      <w:r>
        <w:rPr>
          <w:rFonts w:hint="default" w:ascii="Times New Roman" w:hAnsi="Times New Roman" w:cs="Times New Roman"/>
          <w:color w:val="auto"/>
        </w:rPr>
        <w:t>采用“</w:t>
      </w:r>
      <w:r>
        <w:rPr>
          <w:rFonts w:hint="default" w:ascii="Times New Roman" w:hAnsi="Times New Roman" w:cs="Times New Roman"/>
          <w:snapToGrid w:val="0"/>
          <w:color w:val="auto"/>
          <w:szCs w:val="20"/>
        </w:rPr>
        <w:t>混凝沉淀+水解酸化+A/O</w:t>
      </w:r>
      <w:r>
        <w:rPr>
          <w:rFonts w:hint="default" w:ascii="Times New Roman" w:hAnsi="Times New Roman" w:cs="Times New Roman"/>
          <w:color w:val="auto"/>
        </w:rPr>
        <w:t>”工艺。</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废水分别自流进入格栅井，通过机械格栅以拦截较大的悬浮物质，以防堵塞水泵，减少后续处理构筑物的负荷。格栅采用机械格栅。格栅井的出水自流进综合调节池。通过调节池调节水质水量。调节池出水通过污水提升泵打入混凝沉淀池1，加入混凝剂，通过混凝反应去除悬浮物和部分有机污染物。</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上清液自流入水解酸化池，通过生物水解酸化反应，将大分子有机物转变为容易降解的小分子有机物。</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水解酸化后出水进入一级AO生化池，一级AO生化池分为缺氧池和好氧池，污水首先进入一级缺氧池，在缺氧池内污泥中的反硝化菌利用剩余的有机物和回流的</w:t>
      </w:r>
      <w:r>
        <w:rPr>
          <w:rFonts w:hint="default" w:ascii="Times New Roman" w:hAnsi="Times New Roman" w:cs="Times New Roman"/>
          <w:color w:val="auto"/>
          <w:lang w:eastAsia="zh-CN"/>
        </w:rPr>
        <w:t>盐酸</w:t>
      </w:r>
      <w:r>
        <w:rPr>
          <w:rFonts w:hint="default" w:ascii="Times New Roman" w:hAnsi="Times New Roman" w:cs="Times New Roman"/>
          <w:color w:val="auto"/>
        </w:rPr>
        <w:t>盐进行反硝化作用脱氮；脱氮反应完成后，进入一级好氧池，在此污泥中的硝化菌进行硝化作用将废水中的氨氮转化为</w:t>
      </w:r>
      <w:r>
        <w:rPr>
          <w:rFonts w:hint="default" w:ascii="Times New Roman" w:hAnsi="Times New Roman" w:cs="Times New Roman"/>
          <w:color w:val="auto"/>
          <w:lang w:eastAsia="zh-CN"/>
        </w:rPr>
        <w:t>盐酸</w:t>
      </w:r>
      <w:r>
        <w:rPr>
          <w:rFonts w:hint="default" w:ascii="Times New Roman" w:hAnsi="Times New Roman" w:cs="Times New Roman"/>
          <w:color w:val="auto"/>
        </w:rPr>
        <w:t>盐，剩余的有机物也在此被好氧细菌氧化；一级好氧池出水进入二级AO生化池，通过二级缺氧池和二级好氧池进一步去除污染物；最后经二沉池进行泥水分离，出水进入混凝沉淀池2，加入混凝剂，通过混凝反应进一步去除悬浮物和有机污染物以确保出水可以达标排放，混凝沉淀池2出水进入清水池最后由排放槽达标排放，沉淀的污泥排入综合污泥池，不达标水回流至综合调节池。</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系统产生的污泥排至综合污泥池后，经污泥泵提升进入高压隔膜板框压滤机，压滤液回流至综合调节池。</w:t>
      </w:r>
    </w:p>
    <w:p>
      <w:pPr>
        <w:spacing w:line="360" w:lineRule="auto"/>
        <w:jc w:val="center"/>
        <w:rPr>
          <w:rFonts w:hint="default" w:ascii="Times New Roman" w:hAnsi="Times New Roman" w:cs="Times New Roman"/>
          <w:color w:val="FF0000"/>
        </w:rPr>
      </w:pPr>
      <w:r>
        <w:rPr>
          <w:rFonts w:hint="default" w:ascii="Times New Roman" w:hAnsi="Times New Roman" w:cs="Times New Roman"/>
          <w:color w:val="FF0000"/>
        </w:rPr>
        <w:object>
          <v:shape id="_x0000_i1030" o:spt="75" type="#_x0000_t75" style="height:359.25pt;width:216.75pt;" o:ole="t" filled="f" o:preferrelative="t" stroked="f" coordsize="21600,21600">
            <v:path/>
            <v:fill on="f" focussize="0,0"/>
            <v:stroke on="f"/>
            <v:imagedata r:id="rId42" o:title=""/>
            <o:lock v:ext="edit" aspectratio="f"/>
            <w10:wrap type="none"/>
            <w10:anchorlock/>
          </v:shape>
          <o:OLEObject Type="Embed" ProgID="Visio.Drawing.15" ShapeID="_x0000_i1030" DrawAspect="Content" ObjectID="_1468075732" r:id="rId41">
            <o:LockedField>false</o:LockedField>
          </o:OLEObject>
        </w:object>
      </w:r>
    </w:p>
    <w:p>
      <w:pPr>
        <w:spacing w:line="360" w:lineRule="auto"/>
        <w:jc w:val="center"/>
        <w:rPr>
          <w:rFonts w:hint="default" w:ascii="Times New Roman" w:hAnsi="Times New Roman" w:cs="Times New Roman"/>
          <w:b/>
          <w:bCs/>
          <w:color w:val="auto"/>
        </w:rPr>
      </w:pPr>
      <w:r>
        <w:rPr>
          <w:rFonts w:hint="default" w:ascii="Times New Roman" w:hAnsi="Times New Roman" w:cs="Times New Roman"/>
          <w:b/>
          <w:bCs/>
          <w:color w:val="auto"/>
        </w:rPr>
        <w:t>图</w:t>
      </w:r>
      <w:r>
        <w:rPr>
          <w:rFonts w:hint="default" w:ascii="Times New Roman" w:hAnsi="Times New Roman" w:cs="Times New Roman"/>
          <w:b/>
          <w:bCs/>
          <w:color w:val="auto"/>
          <w:lang w:val="en-US" w:eastAsia="zh-CN"/>
        </w:rPr>
        <w:t>6</w:t>
      </w:r>
      <w:r>
        <w:rPr>
          <w:rFonts w:hint="default" w:ascii="Times New Roman" w:hAnsi="Times New Roman" w:cs="Times New Roman"/>
          <w:b/>
          <w:bCs/>
          <w:color w:val="auto"/>
        </w:rPr>
        <w:t>-</w:t>
      </w:r>
      <w:r>
        <w:rPr>
          <w:rFonts w:hint="default" w:ascii="Times New Roman" w:hAnsi="Times New Roman" w:cs="Times New Roman"/>
          <w:b/>
          <w:bCs/>
          <w:color w:val="auto"/>
          <w:lang w:val="en-US" w:eastAsia="zh-CN"/>
        </w:rPr>
        <w:t>2</w:t>
      </w:r>
      <w:r>
        <w:rPr>
          <w:rFonts w:hint="default" w:ascii="Times New Roman" w:hAnsi="Times New Roman" w:cs="Times New Roman"/>
          <w:b/>
          <w:bCs/>
          <w:color w:val="auto"/>
          <w:lang w:val="en-US" w:eastAsia="zh-CN"/>
        </w:rPr>
        <w:t xml:space="preserve"> </w:t>
      </w:r>
      <w:r>
        <w:rPr>
          <w:rFonts w:hint="default" w:ascii="Times New Roman" w:hAnsi="Times New Roman" w:cs="Times New Roman"/>
          <w:b/>
          <w:bCs/>
          <w:color w:val="auto"/>
          <w:lang w:eastAsia="zh-CN"/>
        </w:rPr>
        <w:t>综合污水处理站</w:t>
      </w:r>
      <w:r>
        <w:rPr>
          <w:rFonts w:hint="default" w:ascii="Times New Roman" w:hAnsi="Times New Roman" w:cs="Times New Roman"/>
          <w:b/>
          <w:bCs/>
          <w:color w:val="auto"/>
        </w:rPr>
        <w:t>处理工艺流程图</w:t>
      </w:r>
    </w:p>
    <w:p>
      <w:pPr>
        <w:spacing w:line="360" w:lineRule="auto"/>
        <w:ind w:firstLine="480" w:firstLineChars="200"/>
        <w:rPr>
          <w:rFonts w:hint="default" w:ascii="Times New Roman" w:hAnsi="Times New Roman" w:eastAsia="宋体" w:cs="Times New Roman"/>
          <w:color w:val="auto"/>
          <w:vertAlign w:val="baseline"/>
          <w:lang w:val="en-US" w:eastAsia="zh-CN"/>
        </w:rPr>
      </w:pPr>
      <w:r>
        <w:rPr>
          <w:rFonts w:hint="default" w:ascii="Times New Roman" w:hAnsi="Times New Roman" w:cs="Times New Roman"/>
          <w:color w:val="auto"/>
          <w:lang w:eastAsia="zh-CN"/>
        </w:rPr>
        <w:t>综合污水处理站</w:t>
      </w:r>
      <w:r>
        <w:rPr>
          <w:rFonts w:hint="default" w:ascii="Times New Roman" w:hAnsi="Times New Roman" w:cs="Times New Roman"/>
          <w:color w:val="auto"/>
        </w:rPr>
        <w:t>处理工艺属于《排污许可证申请与核发技术规范</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rPr>
        <w:t>电子工业》（HJ1031-2019）中表B.2推荐的“生化法”的可行技术，出水水质能达到</w:t>
      </w:r>
      <w:r>
        <w:rPr>
          <w:rFonts w:hint="default" w:ascii="Times New Roman" w:hAnsi="Times New Roman" w:cs="Times New Roman"/>
          <w:color w:val="auto"/>
          <w:lang w:eastAsia="zh-CN"/>
        </w:rPr>
        <w:t>表</w:t>
      </w:r>
      <w:r>
        <w:rPr>
          <w:rFonts w:hint="default" w:ascii="Times New Roman" w:hAnsi="Times New Roman" w:cs="Times New Roman"/>
          <w:color w:val="auto"/>
          <w:lang w:val="en-US" w:eastAsia="zh-CN"/>
        </w:rPr>
        <w:t>1-1</w:t>
      </w:r>
      <w:r>
        <w:rPr>
          <w:rFonts w:hint="default" w:ascii="Times New Roman" w:hAnsi="Times New Roman" w:cs="Times New Roman"/>
          <w:color w:val="auto"/>
          <w:lang w:val="en-US" w:eastAsia="zh-CN"/>
        </w:rPr>
        <w:t>2</w:t>
      </w:r>
      <w:r>
        <w:rPr>
          <w:rFonts w:hint="default" w:ascii="Times New Roman" w:hAnsi="Times New Roman" w:cs="Times New Roman"/>
          <w:color w:val="auto"/>
          <w:lang w:val="en-US" w:eastAsia="zh-CN"/>
        </w:rPr>
        <w:t>规定的外排废水标准限值</w:t>
      </w:r>
      <w:r>
        <w:rPr>
          <w:rFonts w:hint="default" w:ascii="Times New Roman" w:hAnsi="Times New Roman" w:cs="Times New Roman"/>
          <w:color w:val="auto"/>
        </w:rPr>
        <w:t>。项目建成后</w:t>
      </w:r>
      <w:r>
        <w:rPr>
          <w:rFonts w:hint="default" w:ascii="Times New Roman" w:hAnsi="Times New Roman" w:cs="Times New Roman"/>
          <w:color w:val="auto"/>
          <w:lang w:eastAsia="zh-CN"/>
        </w:rPr>
        <w:t>综合污水处理站</w:t>
      </w:r>
      <w:r>
        <w:rPr>
          <w:rFonts w:hint="default" w:ascii="Times New Roman" w:hAnsi="Times New Roman" w:cs="Times New Roman"/>
          <w:color w:val="auto"/>
        </w:rPr>
        <w:t>废水处理量为</w:t>
      </w:r>
      <w:r>
        <w:rPr>
          <w:rFonts w:hint="default" w:ascii="Times New Roman" w:hAnsi="Times New Roman" w:cs="Times New Roman"/>
          <w:color w:val="auto"/>
          <w:lang w:val="en-US" w:eastAsia="zh-CN"/>
        </w:rPr>
        <w:t>4738.45</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/d、</w:t>
      </w:r>
      <w:r>
        <w:rPr>
          <w:rFonts w:hint="default" w:ascii="Times New Roman" w:hAnsi="Times New Roman" w:cs="Times New Roman"/>
          <w:color w:val="auto"/>
          <w:lang w:val="en-US" w:eastAsia="zh-CN"/>
        </w:rPr>
        <w:t>197.44</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/h，</w:t>
      </w:r>
      <w:r>
        <w:rPr>
          <w:rFonts w:hint="default" w:ascii="Times New Roman" w:hAnsi="Times New Roman" w:cs="Times New Roman"/>
          <w:color w:val="auto"/>
          <w:lang w:eastAsia="zh-CN"/>
        </w:rPr>
        <w:t>综合污水处理站</w:t>
      </w:r>
      <w:r>
        <w:rPr>
          <w:rFonts w:hint="default" w:ascii="Times New Roman" w:hAnsi="Times New Roman" w:cs="Times New Roman"/>
          <w:color w:val="auto"/>
        </w:rPr>
        <w:t>处理规模</w:t>
      </w:r>
      <w:r>
        <w:rPr>
          <w:rFonts w:hint="default" w:ascii="Times New Roman" w:hAnsi="Times New Roman" w:cs="Times New Roman"/>
          <w:color w:val="auto"/>
          <w:lang w:val="en-US" w:eastAsia="zh-CN"/>
        </w:rPr>
        <w:t>353</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/h能满足全厂生产废水（除</w:t>
      </w:r>
      <w:r>
        <w:rPr>
          <w:rFonts w:hint="default" w:ascii="Times New Roman" w:hAnsi="Times New Roman" w:cs="Times New Roman"/>
          <w:color w:val="auto"/>
          <w:lang w:eastAsia="zh-CN"/>
        </w:rPr>
        <w:t>纯水制备产生的浓水</w:t>
      </w:r>
      <w:r>
        <w:rPr>
          <w:rFonts w:hint="default" w:ascii="Times New Roman" w:hAnsi="Times New Roman" w:cs="Times New Roman"/>
          <w:color w:val="auto"/>
        </w:rPr>
        <w:t>外）的处理要求。</w:t>
      </w:r>
    </w:p>
    <w:p>
      <w:pPr>
        <w:pStyle w:val="6"/>
        <w:spacing w:before="0" w:after="0" w:line="360" w:lineRule="auto"/>
        <w:rPr>
          <w:rFonts w:hint="default" w:ascii="Times New Roman" w:hAnsi="Times New Roman" w:cs="Times New Roman"/>
          <w:color w:val="auto"/>
          <w:szCs w:val="28"/>
        </w:rPr>
      </w:pPr>
      <w:bookmarkStart w:id="983" w:name="_Toc18714"/>
      <w:r>
        <w:rPr>
          <w:rFonts w:hint="default" w:ascii="Times New Roman" w:hAnsi="Times New Roman" w:cs="Times New Roman"/>
          <w:color w:val="auto"/>
          <w:szCs w:val="28"/>
          <w:lang w:val="en-US" w:eastAsia="zh-CN"/>
        </w:rPr>
        <w:t>6</w:t>
      </w:r>
      <w:r>
        <w:rPr>
          <w:rFonts w:hint="default" w:ascii="Times New Roman" w:hAnsi="Times New Roman" w:cs="Times New Roman"/>
          <w:color w:val="auto"/>
          <w:szCs w:val="28"/>
        </w:rPr>
        <w:t>.2.</w:t>
      </w:r>
      <w:r>
        <w:rPr>
          <w:rFonts w:hint="default" w:ascii="Times New Roman" w:hAnsi="Times New Roman" w:cs="Times New Roman"/>
          <w:color w:val="auto"/>
          <w:szCs w:val="28"/>
          <w:lang w:val="en-US" w:eastAsia="zh-CN"/>
        </w:rPr>
        <w:t>2</w:t>
      </w:r>
      <w:r>
        <w:rPr>
          <w:rFonts w:hint="default" w:ascii="Times New Roman" w:hAnsi="Times New Roman" w:cs="Times New Roman"/>
          <w:color w:val="auto"/>
          <w:szCs w:val="28"/>
        </w:rPr>
        <w:t>生活废水防治措施及措施可行性</w:t>
      </w:r>
      <w:bookmarkEnd w:id="983"/>
    </w:p>
    <w:p>
      <w:pPr>
        <w:spacing w:line="360" w:lineRule="auto"/>
        <w:ind w:firstLine="482"/>
        <w:rPr>
          <w:rFonts w:hint="default" w:ascii="Times New Roman" w:hAnsi="Times New Roman" w:cs="Times New Roman"/>
          <w:color w:val="auto"/>
        </w:rPr>
      </w:pPr>
      <w:r>
        <w:rPr>
          <w:rFonts w:hint="default" w:ascii="Times New Roman" w:hAnsi="Times New Roman" w:cs="Times New Roman"/>
          <w:color w:val="auto"/>
        </w:rPr>
        <w:t>本项目生活废水通过</w:t>
      </w:r>
      <w:r>
        <w:rPr>
          <w:rFonts w:hint="default" w:ascii="Times New Roman" w:hAnsi="Times New Roman" w:cs="Times New Roman"/>
          <w:color w:val="auto"/>
          <w:lang w:eastAsia="zh-CN"/>
        </w:rPr>
        <w:t>隔油池、</w:t>
      </w:r>
      <w:r>
        <w:rPr>
          <w:rFonts w:hint="default" w:ascii="Times New Roman" w:hAnsi="Times New Roman" w:cs="Times New Roman"/>
          <w:color w:val="auto"/>
        </w:rPr>
        <w:t>化粪池进行治理，属于《排污许可证申请与核发技术规范电子工业》（HJ1031-2019）中表B.2推荐的“</w:t>
      </w:r>
      <w:r>
        <w:rPr>
          <w:rFonts w:hint="default" w:ascii="Times New Roman" w:hAnsi="Times New Roman" w:cs="Times New Roman"/>
          <w:color w:val="auto"/>
          <w:lang w:eastAsia="zh-CN"/>
        </w:rPr>
        <w:t>隔油池</w:t>
      </w:r>
      <w:r>
        <w:rPr>
          <w:rFonts w:hint="default" w:ascii="Times New Roman" w:hAnsi="Times New Roman" w:cs="Times New Roman"/>
          <w:color w:val="auto"/>
          <w:lang w:val="en-US" w:eastAsia="zh-CN"/>
        </w:rPr>
        <w:t>+</w:t>
      </w:r>
      <w:r>
        <w:rPr>
          <w:rFonts w:hint="default" w:ascii="Times New Roman" w:hAnsi="Times New Roman" w:cs="Times New Roman"/>
          <w:color w:val="auto"/>
        </w:rPr>
        <w:t>化粪池”的可行技术，出水水质能</w:t>
      </w:r>
      <w:r>
        <w:rPr>
          <w:rFonts w:hint="default" w:ascii="Times New Roman" w:hAnsi="Times New Roman" w:cs="Times New Roman"/>
          <w:color w:val="auto"/>
          <w:lang w:eastAsia="zh-CN"/>
        </w:rPr>
        <w:t>满足表</w:t>
      </w:r>
      <w:r>
        <w:rPr>
          <w:rFonts w:hint="default" w:ascii="Times New Roman" w:hAnsi="Times New Roman" w:cs="Times New Roman"/>
          <w:color w:val="auto"/>
          <w:lang w:val="en-US" w:eastAsia="zh-CN"/>
        </w:rPr>
        <w:t>1-1</w:t>
      </w:r>
      <w:r>
        <w:rPr>
          <w:rFonts w:hint="default" w:ascii="Times New Roman" w:hAnsi="Times New Roman" w:cs="Times New Roman"/>
          <w:color w:val="auto"/>
          <w:lang w:val="en-US" w:eastAsia="zh-CN"/>
        </w:rPr>
        <w:t>2</w:t>
      </w:r>
      <w:r>
        <w:rPr>
          <w:rFonts w:hint="default" w:ascii="Times New Roman" w:hAnsi="Times New Roman" w:cs="Times New Roman"/>
          <w:color w:val="auto"/>
          <w:lang w:val="en-US" w:eastAsia="zh-CN"/>
        </w:rPr>
        <w:t>的</w:t>
      </w:r>
      <w:r>
        <w:rPr>
          <w:rFonts w:hint="default" w:ascii="Times New Roman" w:hAnsi="Times New Roman" w:cs="Times New Roman" w:eastAsiaTheme="minorEastAsia"/>
          <w:color w:val="auto"/>
        </w:rPr>
        <w:t>排放标准值</w:t>
      </w:r>
      <w:r>
        <w:rPr>
          <w:rFonts w:hint="default" w:ascii="Times New Roman" w:hAnsi="Times New Roman" w:cs="Times New Roman"/>
          <w:color w:val="auto"/>
        </w:rPr>
        <w:t>，建设投资较低，其经济技术合理可行。</w:t>
      </w:r>
    </w:p>
    <w:p>
      <w:pPr>
        <w:spacing w:line="360" w:lineRule="auto"/>
        <w:ind w:firstLine="482"/>
        <w:rPr>
          <w:rFonts w:hint="default" w:ascii="Times New Roman" w:hAnsi="Times New Roman" w:cs="Times New Roman"/>
        </w:rPr>
      </w:pPr>
      <w:r>
        <w:rPr>
          <w:rFonts w:hint="default" w:ascii="Times New Roman" w:hAnsi="Times New Roman" w:cs="Times New Roman"/>
        </w:rPr>
        <w:t>本项目建成后，全厂食堂废水产生量为</w:t>
      </w:r>
      <w:r>
        <w:rPr>
          <w:rFonts w:hint="default" w:ascii="Times New Roman" w:hAnsi="Times New Roman" w:cs="Times New Roman"/>
          <w:lang w:val="en-US" w:eastAsia="zh-CN"/>
        </w:rPr>
        <w:t>55.4</w:t>
      </w: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/d，产生时间按3h计，则每小时产生量为</w:t>
      </w:r>
      <w:r>
        <w:rPr>
          <w:rFonts w:hint="default" w:ascii="Times New Roman" w:hAnsi="Times New Roman" w:cs="Times New Roman"/>
          <w:lang w:val="en-US" w:eastAsia="zh-CN"/>
        </w:rPr>
        <w:t>18.47</w:t>
      </w: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。根据《建筑给水排水设计规范》（GB50015-2010）规定，隔油设施水力停留时间可采用2~10min。项目已设置</w:t>
      </w:r>
      <w:r>
        <w:rPr>
          <w:rFonts w:hint="default" w:ascii="Times New Roman" w:hAnsi="Times New Roman" w:cs="Times New Roman"/>
          <w:lang w:eastAsia="zh-CN"/>
        </w:rPr>
        <w:t>两个总容积为</w:t>
      </w:r>
      <w:r>
        <w:rPr>
          <w:rFonts w:hint="default" w:ascii="Times New Roman" w:hAnsi="Times New Roman" w:cs="Times New Roman"/>
          <w:lang w:val="en-US" w:eastAsia="zh-CN"/>
        </w:rPr>
        <w:t>1</w:t>
      </w:r>
      <w:r>
        <w:rPr>
          <w:rFonts w:hint="default" w:ascii="Times New Roman" w:hAnsi="Times New Roman" w:cs="Times New Roman"/>
        </w:rPr>
        <w:t>9.52m</w:t>
      </w:r>
      <w:r>
        <w:rPr>
          <w:rFonts w:hint="default" w:ascii="Times New Roman" w:hAnsi="Times New Roman" w:cs="Times New Roman"/>
          <w:vertAlign w:val="superscript"/>
        </w:rPr>
        <w:t>3</w:t>
      </w:r>
      <w:r>
        <w:rPr>
          <w:rFonts w:hint="default" w:ascii="Times New Roman" w:hAnsi="Times New Roman" w:cs="Times New Roman"/>
          <w:vertAlign w:val="baseline"/>
          <w:lang w:eastAsia="zh-CN"/>
        </w:rPr>
        <w:t>的</w:t>
      </w:r>
      <w:r>
        <w:rPr>
          <w:rFonts w:hint="default" w:ascii="Times New Roman" w:hAnsi="Times New Roman" w:cs="Times New Roman"/>
        </w:rPr>
        <w:t>隔油池，食堂废水全部依托该隔油池进行处理时，水力停留时间为</w:t>
      </w:r>
      <w:r>
        <w:rPr>
          <w:rFonts w:hint="default" w:ascii="Times New Roman" w:hAnsi="Times New Roman" w:cs="Times New Roman"/>
          <w:lang w:val="en-US" w:eastAsia="zh-CN"/>
        </w:rPr>
        <w:t>63.4</w:t>
      </w:r>
      <w:r>
        <w:rPr>
          <w:rFonts w:hint="default" w:ascii="Times New Roman" w:hAnsi="Times New Roman" w:cs="Times New Roman"/>
        </w:rPr>
        <w:t>1min，大于设计规范规定的停留时间，停留时间越长，隔油效果越好。因此，本项目食堂废水依托</w:t>
      </w:r>
      <w:r>
        <w:rPr>
          <w:rFonts w:hint="default" w:ascii="Times New Roman" w:hAnsi="Times New Roman" w:cs="Times New Roman"/>
          <w:lang w:eastAsia="zh-CN"/>
        </w:rPr>
        <w:t>已</w:t>
      </w:r>
      <w:r>
        <w:rPr>
          <w:rFonts w:hint="default" w:ascii="Times New Roman" w:hAnsi="Times New Roman" w:cs="Times New Roman"/>
        </w:rPr>
        <w:t>设置的隔油池</w:t>
      </w:r>
      <w:r>
        <w:rPr>
          <w:rFonts w:hint="default" w:ascii="Times New Roman" w:hAnsi="Times New Roman" w:cs="Times New Roman"/>
        </w:rPr>
        <w:t>进行处理是可行的。</w:t>
      </w:r>
    </w:p>
    <w:p>
      <w:pPr>
        <w:spacing w:line="360" w:lineRule="auto"/>
        <w:ind w:firstLine="482"/>
        <w:rPr>
          <w:rFonts w:hint="default" w:ascii="Times New Roman" w:hAnsi="Times New Roman" w:cs="Times New Roman"/>
        </w:rPr>
      </w:pPr>
      <w:r>
        <w:rPr>
          <w:rFonts w:hint="default" w:ascii="Times New Roman" w:hAnsi="Times New Roman" w:cs="Times New Roman"/>
        </w:rPr>
        <w:t>（2）本项目建成后</w:t>
      </w:r>
      <w:r>
        <w:rPr>
          <w:rFonts w:hint="default" w:ascii="Times New Roman" w:hAnsi="Times New Roman" w:cs="Times New Roman"/>
        </w:rPr>
        <w:t>全厂</w:t>
      </w:r>
      <w:r>
        <w:rPr>
          <w:rFonts w:hint="default" w:ascii="Times New Roman" w:hAnsi="Times New Roman" w:cs="Times New Roman"/>
        </w:rPr>
        <w:t>生活废水产生</w:t>
      </w:r>
      <w:r>
        <w:rPr>
          <w:rFonts w:hint="default" w:ascii="Times New Roman" w:hAnsi="Times New Roman" w:cs="Times New Roman"/>
          <w:lang w:eastAsia="zh-CN"/>
        </w:rPr>
        <w:t>量</w:t>
      </w:r>
      <w:r>
        <w:rPr>
          <w:rFonts w:hint="default" w:ascii="Times New Roman" w:hAnsi="Times New Roman" w:cs="Times New Roman"/>
        </w:rPr>
        <w:t>为</w:t>
      </w:r>
      <w:r>
        <w:rPr>
          <w:rFonts w:hint="default" w:ascii="Times New Roman" w:hAnsi="Times New Roman" w:cs="Times New Roman"/>
          <w:lang w:val="en-US" w:eastAsia="zh-CN"/>
        </w:rPr>
        <w:t>75.6</w:t>
      </w: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/d。根据《建筑给水排水设计规范》（GB50015-2010）规定，化粪池水力停留时间可采用12~24h。</w:t>
      </w:r>
      <w:r>
        <w:rPr>
          <w:rFonts w:hint="default" w:ascii="Times New Roman" w:hAnsi="Times New Roman" w:cs="Times New Roman"/>
          <w:lang w:eastAsia="zh-CN"/>
        </w:rPr>
        <w:t>现有</w:t>
      </w:r>
      <w:r>
        <w:rPr>
          <w:rFonts w:hint="default" w:ascii="Times New Roman" w:hAnsi="Times New Roman" w:cs="Times New Roman"/>
        </w:rPr>
        <w:t>化粪池</w:t>
      </w:r>
      <w:r>
        <w:rPr>
          <w:rFonts w:hint="default" w:ascii="Times New Roman" w:hAnsi="Times New Roman" w:cs="Times New Roman"/>
          <w:lang w:eastAsia="zh-CN"/>
        </w:rPr>
        <w:t>工</w:t>
      </w:r>
      <w:r>
        <w:rPr>
          <w:rFonts w:hint="default" w:ascii="Times New Roman" w:hAnsi="Times New Roman" w:cs="Times New Roman"/>
          <w:lang w:val="en-US" w:eastAsia="zh-CN"/>
        </w:rPr>
        <w:t>9个，</w:t>
      </w:r>
      <w:r>
        <w:rPr>
          <w:rFonts w:hint="default" w:ascii="Times New Roman" w:hAnsi="Times New Roman" w:cs="Times New Roman"/>
        </w:rPr>
        <w:t>总容积为</w:t>
      </w:r>
      <w:r>
        <w:rPr>
          <w:rFonts w:hint="default" w:ascii="Times New Roman" w:hAnsi="Times New Roman" w:cs="Times New Roman"/>
          <w:lang w:val="en-US" w:eastAsia="zh-CN"/>
        </w:rPr>
        <w:t>207.52</w:t>
      </w: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，则水力停留时间为</w:t>
      </w:r>
      <w:r>
        <w:rPr>
          <w:rFonts w:hint="default" w:ascii="Times New Roman" w:hAnsi="Times New Roman" w:cs="Times New Roman"/>
          <w:lang w:val="en-US" w:eastAsia="zh-CN"/>
        </w:rPr>
        <w:t>65.88</w:t>
      </w:r>
      <w:r>
        <w:rPr>
          <w:rFonts w:hint="default" w:ascii="Times New Roman" w:hAnsi="Times New Roman" w:cs="Times New Roman"/>
        </w:rPr>
        <w:t>h，能满足设计规范要求。因此，本项目</w:t>
      </w:r>
      <w:r>
        <w:rPr>
          <w:rFonts w:hint="default" w:ascii="Times New Roman" w:hAnsi="Times New Roman" w:cs="Times New Roman"/>
          <w:lang w:eastAsia="zh-CN"/>
        </w:rPr>
        <w:t>生活废水</w:t>
      </w:r>
      <w:r>
        <w:rPr>
          <w:rFonts w:hint="default" w:ascii="Times New Roman" w:hAnsi="Times New Roman" w:cs="Times New Roman"/>
        </w:rPr>
        <w:t>依托</w:t>
      </w:r>
      <w:r>
        <w:rPr>
          <w:rFonts w:hint="default" w:ascii="Times New Roman" w:hAnsi="Times New Roman" w:cs="Times New Roman"/>
          <w:lang w:eastAsia="zh-CN"/>
        </w:rPr>
        <w:t>已</w:t>
      </w:r>
      <w:r>
        <w:rPr>
          <w:rFonts w:hint="default" w:ascii="Times New Roman" w:hAnsi="Times New Roman" w:cs="Times New Roman"/>
        </w:rPr>
        <w:t>设置的</w:t>
      </w:r>
      <w:r>
        <w:rPr>
          <w:rFonts w:hint="default" w:ascii="Times New Roman" w:hAnsi="Times New Roman" w:cs="Times New Roman"/>
          <w:lang w:eastAsia="zh-CN"/>
        </w:rPr>
        <w:t>化粪池</w:t>
      </w:r>
      <w:r>
        <w:rPr>
          <w:rFonts w:hint="default" w:ascii="Times New Roman" w:hAnsi="Times New Roman" w:cs="Times New Roman"/>
        </w:rPr>
        <w:t>进行处理是可行的。</w:t>
      </w:r>
    </w:p>
    <w:p>
      <w:pPr>
        <w:pStyle w:val="6"/>
        <w:spacing w:before="0" w:after="0" w:line="360" w:lineRule="auto"/>
        <w:rPr>
          <w:rFonts w:hint="default" w:ascii="Times New Roman" w:hAnsi="Times New Roman" w:eastAsia="宋体" w:cs="Times New Roman"/>
          <w:color w:val="auto"/>
          <w:szCs w:val="28"/>
          <w:lang w:eastAsia="zh-CN"/>
        </w:rPr>
      </w:pPr>
      <w:bookmarkStart w:id="984" w:name="_Toc14534"/>
      <w:r>
        <w:rPr>
          <w:rFonts w:hint="default" w:ascii="Times New Roman" w:hAnsi="Times New Roman" w:cs="Times New Roman"/>
          <w:color w:val="auto"/>
          <w:szCs w:val="28"/>
          <w:lang w:val="en-US" w:eastAsia="zh-CN"/>
        </w:rPr>
        <w:t>6</w:t>
      </w:r>
      <w:r>
        <w:rPr>
          <w:rFonts w:hint="default" w:ascii="Times New Roman" w:hAnsi="Times New Roman" w:cs="Times New Roman"/>
          <w:color w:val="auto"/>
          <w:szCs w:val="28"/>
        </w:rPr>
        <w:t>.2.</w:t>
      </w:r>
      <w:r>
        <w:rPr>
          <w:rFonts w:hint="default" w:ascii="Times New Roman" w:hAnsi="Times New Roman" w:cs="Times New Roman"/>
          <w:color w:val="auto"/>
          <w:szCs w:val="28"/>
          <w:lang w:val="en-US" w:eastAsia="zh-CN"/>
        </w:rPr>
        <w:t>3</w:t>
      </w:r>
      <w:r>
        <w:rPr>
          <w:rFonts w:hint="default" w:ascii="Times New Roman" w:hAnsi="Times New Roman" w:cs="Times New Roman"/>
          <w:color w:val="auto"/>
          <w:szCs w:val="28"/>
        </w:rPr>
        <w:t>初期雨水池、事故水池</w:t>
      </w:r>
      <w:r>
        <w:rPr>
          <w:rFonts w:hint="default" w:ascii="Times New Roman" w:hAnsi="Times New Roman" w:cs="Times New Roman"/>
          <w:color w:val="auto"/>
          <w:szCs w:val="28"/>
          <w:lang w:eastAsia="zh-CN"/>
        </w:rPr>
        <w:t>依托</w:t>
      </w:r>
      <w:r>
        <w:rPr>
          <w:rFonts w:hint="default" w:ascii="Times New Roman" w:hAnsi="Times New Roman" w:cs="Times New Roman"/>
          <w:color w:val="auto"/>
          <w:szCs w:val="28"/>
          <w:lang w:eastAsia="zh-CN"/>
        </w:rPr>
        <w:t>可行性</w:t>
      </w:r>
      <w:bookmarkEnd w:id="984"/>
      <w:r>
        <w:rPr>
          <w:rFonts w:hint="default" w:ascii="Times New Roman" w:hAnsi="Times New Roman" w:cs="Times New Roman"/>
          <w:color w:val="auto"/>
          <w:szCs w:val="28"/>
          <w:lang w:eastAsia="zh-CN"/>
        </w:rPr>
        <w:t>分析</w:t>
      </w:r>
    </w:p>
    <w:p>
      <w:pPr>
        <w:spacing w:line="360" w:lineRule="auto"/>
        <w:ind w:firstLine="482"/>
        <w:rPr>
          <w:rFonts w:hint="default" w:ascii="Times New Roman" w:hAnsi="Times New Roman" w:cs="Times New Roman"/>
        </w:rPr>
      </w:pPr>
      <w:bookmarkStart w:id="985" w:name="_Toc16094"/>
      <w:r>
        <w:rPr>
          <w:rFonts w:hint="default" w:ascii="Times New Roman" w:hAnsi="Times New Roman" w:cs="Times New Roman"/>
        </w:rPr>
        <w:t>1、初期雨水池</w:t>
      </w:r>
    </w:p>
    <w:p>
      <w:pPr>
        <w:spacing w:line="360" w:lineRule="auto"/>
        <w:ind w:firstLine="482"/>
        <w:rPr>
          <w:rFonts w:hint="default" w:ascii="Times New Roman" w:hAnsi="Times New Roman" w:cs="Times New Roman"/>
        </w:rPr>
      </w:pPr>
      <w:r>
        <w:rPr>
          <w:rFonts w:hint="default" w:ascii="Times New Roman" w:hAnsi="Times New Roman" w:cs="Times New Roman"/>
          <w:lang w:eastAsia="zh-CN"/>
        </w:rPr>
        <w:t>厂区</w:t>
      </w:r>
      <w:r>
        <w:rPr>
          <w:rFonts w:hint="default" w:ascii="Times New Roman" w:hAnsi="Times New Roman" w:cs="Times New Roman"/>
        </w:rPr>
        <w:t>已设置初期雨水池1座，容积为150m</w:t>
      </w:r>
      <w:r>
        <w:rPr>
          <w:rFonts w:hint="default" w:ascii="Times New Roman" w:hAnsi="Times New Roman" w:cs="Times New Roman"/>
          <w:vertAlign w:val="superscript"/>
        </w:rPr>
        <w:t>3</w:t>
      </w:r>
      <w:r>
        <w:rPr>
          <w:rFonts w:hint="default" w:ascii="Times New Roman" w:hAnsi="Times New Roman" w:cs="Times New Roman"/>
        </w:rPr>
        <w:t>，主要收集范围为</w:t>
      </w:r>
      <w:r>
        <w:rPr>
          <w:rFonts w:hint="default" w:ascii="Times New Roman" w:hAnsi="Times New Roman" w:cs="Times New Roman"/>
          <w:lang w:eastAsia="zh-CN"/>
        </w:rPr>
        <w:t>含氟</w:t>
      </w:r>
      <w:r>
        <w:rPr>
          <w:rFonts w:hint="default" w:ascii="Times New Roman" w:hAnsi="Times New Roman" w:cs="Times New Roman"/>
        </w:rPr>
        <w:t>废水处理站、化学品库、清洗车间等区域，初期雨水收集面积为1.5ha。</w:t>
      </w:r>
    </w:p>
    <w:p>
      <w:pPr>
        <w:spacing w:line="360" w:lineRule="auto"/>
        <w:ind w:firstLine="480" w:firstLineChars="200"/>
        <w:jc w:val="left"/>
        <w:rPr>
          <w:rFonts w:hint="default" w:ascii="Times New Roman" w:hAnsi="Times New Roman" w:cs="Times New Roman"/>
        </w:rPr>
      </w:pPr>
      <w:r>
        <w:rPr>
          <w:rFonts w:hint="default" w:ascii="Times New Roman" w:hAnsi="Times New Roman" w:cs="Times New Roman"/>
        </w:rPr>
        <w:t>根据楚雄州暴雨强度公式：</w:t>
      </w:r>
    </w:p>
    <w:p>
      <w:pPr>
        <w:spacing w:line="360" w:lineRule="auto"/>
        <w:ind w:firstLine="480" w:firstLineChars="200"/>
        <w:jc w:val="left"/>
        <w:rPr>
          <w:rFonts w:hint="default" w:ascii="Times New Roman" w:hAnsi="Times New Roman" w:cs="Times New Roman"/>
        </w:rPr>
      </w:pPr>
      <w:r>
        <w:rPr>
          <w:rFonts w:hint="default" w:ascii="Times New Roman" w:hAnsi="Times New Roman" w:cs="Times New Roman"/>
        </w:rPr>
        <w:drawing>
          <wp:inline distT="0" distB="0" distL="0" distR="0">
            <wp:extent cx="2254250" cy="673100"/>
            <wp:effectExtent l="0" t="0" r="12700" b="12700"/>
            <wp:docPr id="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
                    <pic:cNvPicPr>
                      <a:picLocks noChangeAspect="1" noChangeArrowheads="1"/>
                    </pic:cNvPicPr>
                  </pic:nvPicPr>
                  <pic:blipFill>
                    <a:blip r:embed="rId43" cstate="print"/>
                    <a:srcRect/>
                    <a:stretch>
                      <a:fillRect/>
                    </a:stretch>
                  </pic:blipFill>
                  <pic:spPr>
                    <a:xfrm>
                      <a:off x="0" y="0"/>
                      <a:ext cx="2254250" cy="673100"/>
                    </a:xfrm>
                    <a:prstGeom prst="rect">
                      <a:avLst/>
                    </a:prstGeom>
                    <a:noFill/>
                    <a:ln w="9525">
                      <a:noFill/>
                      <a:miter lim="800000"/>
                      <a:headEnd/>
                      <a:tailEnd/>
                    </a:ln>
                  </pic:spPr>
                </pic:pic>
              </a:graphicData>
            </a:graphic>
          </wp:inline>
        </w:drawing>
      </w:r>
    </w:p>
    <w:p>
      <w:pPr>
        <w:spacing w:line="360" w:lineRule="auto"/>
        <w:ind w:firstLine="480" w:firstLineChars="200"/>
        <w:jc w:val="left"/>
        <w:rPr>
          <w:rFonts w:hint="default" w:ascii="Times New Roman" w:hAnsi="Times New Roman" w:cs="Times New Roman"/>
        </w:rPr>
      </w:pPr>
      <w:r>
        <w:rPr>
          <w:rFonts w:hint="default" w:ascii="Times New Roman" w:hAnsi="Times New Roman" w:cs="Times New Roman"/>
        </w:rPr>
        <w:t>式中：i——暴雨强度（mm/秒·公顷）；</w:t>
      </w:r>
    </w:p>
    <w:p>
      <w:pPr>
        <w:spacing w:line="360" w:lineRule="auto"/>
        <w:ind w:firstLine="480" w:firstLineChars="200"/>
        <w:jc w:val="left"/>
        <w:rPr>
          <w:rFonts w:hint="default" w:ascii="Times New Roman" w:hAnsi="Times New Roman" w:cs="Times New Roman"/>
        </w:rPr>
      </w:pPr>
      <w:r>
        <w:rPr>
          <w:rFonts w:hint="default" w:ascii="Times New Roman" w:hAnsi="Times New Roman" w:cs="Times New Roman"/>
        </w:rPr>
        <w:t xml:space="preserve">      t——降雨历时（取前100分钟）</w:t>
      </w:r>
    </w:p>
    <w:p>
      <w:pPr>
        <w:spacing w:line="360" w:lineRule="auto"/>
        <w:ind w:firstLine="480" w:firstLineChars="200"/>
        <w:jc w:val="left"/>
        <w:rPr>
          <w:rFonts w:hint="default" w:ascii="Times New Roman" w:hAnsi="Times New Roman" w:cs="Times New Roman"/>
        </w:rPr>
      </w:pPr>
      <w:r>
        <w:rPr>
          <w:rFonts w:hint="default" w:ascii="Times New Roman" w:hAnsi="Times New Roman" w:cs="Times New Roman"/>
        </w:rPr>
        <w:t>则暴雨强度为i=0.71mm/min</w:t>
      </w:r>
    </w:p>
    <w:p>
      <w:pPr>
        <w:spacing w:line="360" w:lineRule="auto"/>
        <w:ind w:firstLine="480" w:firstLineChars="200"/>
        <w:jc w:val="left"/>
        <w:rPr>
          <w:rFonts w:hint="default" w:ascii="Times New Roman" w:hAnsi="Times New Roman" w:cs="Times New Roman"/>
        </w:rPr>
      </w:pPr>
      <w:r>
        <w:rPr>
          <w:rFonts w:hint="default" w:ascii="Times New Roman" w:hAnsi="Times New Roman" w:cs="Times New Roman"/>
        </w:rPr>
        <w:t>与q单位L/s·ha的转换为q=166.7i。计算q=118.98L/s·ha</w:t>
      </w:r>
    </w:p>
    <w:p>
      <w:pPr>
        <w:spacing w:line="360" w:lineRule="auto"/>
        <w:ind w:firstLine="480" w:firstLineChars="200"/>
        <w:jc w:val="left"/>
        <w:rPr>
          <w:rFonts w:hint="default" w:ascii="Times New Roman" w:hAnsi="Times New Roman" w:cs="Times New Roman"/>
        </w:rPr>
      </w:pPr>
      <w:r>
        <w:rPr>
          <w:rFonts w:hint="default" w:ascii="Times New Roman" w:hAnsi="Times New Roman" w:cs="Times New Roman"/>
        </w:rPr>
        <w:t>雨量公式：</w:t>
      </w:r>
    </w:p>
    <w:p>
      <w:pPr>
        <w:spacing w:line="360" w:lineRule="auto"/>
        <w:ind w:firstLine="480" w:firstLineChars="200"/>
        <w:jc w:val="center"/>
        <w:rPr>
          <w:rFonts w:hint="default" w:ascii="Times New Roman" w:hAnsi="Times New Roman" w:cs="Times New Roman"/>
        </w:rPr>
      </w:pPr>
      <w:r>
        <w:rPr>
          <w:rFonts w:hint="default" w:ascii="Times New Roman" w:hAnsi="Times New Roman" w:cs="Times New Roman"/>
          <w:position w:val="-10"/>
        </w:rPr>
        <w:object>
          <v:shape id="_x0000_i1031" o:spt="75" type="#_x0000_t75" style="height:15pt;width:64.5pt;" o:ole="t" filled="f" o:preferrelative="t" stroked="f" coordsize="21600,21600">
            <v:path/>
            <v:fill on="f" focussize="0,0"/>
            <v:stroke on="f" joinstyle="miter"/>
            <v:imagedata r:id="rId45" o:title=""/>
            <o:lock v:ext="edit" aspectratio="t"/>
            <w10:wrap type="none"/>
            <w10:anchorlock/>
          </v:shape>
          <o:OLEObject Type="Embed" ProgID="Equation.DSMT4" ShapeID="_x0000_i1031" DrawAspect="Content" ObjectID="_1468075733" r:id="rId44">
            <o:LockedField>false</o:LockedField>
          </o:OLEObject>
        </w:object>
      </w:r>
    </w:p>
    <w:p>
      <w:pPr>
        <w:spacing w:line="360" w:lineRule="auto"/>
        <w:ind w:firstLine="480" w:firstLineChars="200"/>
        <w:jc w:val="left"/>
        <w:rPr>
          <w:rFonts w:hint="default" w:ascii="Times New Roman" w:hAnsi="Times New Roman" w:cs="Times New Roman"/>
        </w:rPr>
      </w:pPr>
      <w:r>
        <w:rPr>
          <w:rFonts w:hint="default" w:ascii="Times New Roman" w:hAnsi="Times New Roman" w:cs="Times New Roman"/>
        </w:rPr>
        <w:t>式中：Q—降雨量；</w:t>
      </w:r>
    </w:p>
    <w:p>
      <w:pPr>
        <w:spacing w:line="360" w:lineRule="auto"/>
        <w:ind w:firstLine="480" w:firstLineChars="200"/>
        <w:jc w:val="left"/>
        <w:rPr>
          <w:rFonts w:hint="default" w:ascii="Times New Roman" w:hAnsi="Times New Roman" w:cs="Times New Roman"/>
        </w:rPr>
      </w:pPr>
      <w:r>
        <w:rPr>
          <w:rFonts w:hint="default" w:ascii="Times New Roman" w:hAnsi="Times New Roman" w:cs="Times New Roman"/>
        </w:rPr>
        <w:t xml:space="preserve">      q——由暴雨强度公式计算得118.98L/s·ha；</w:t>
      </w:r>
    </w:p>
    <w:p>
      <w:pPr>
        <w:spacing w:line="360" w:lineRule="auto"/>
        <w:ind w:firstLine="480" w:firstLineChars="200"/>
        <w:jc w:val="left"/>
        <w:rPr>
          <w:rFonts w:hint="default" w:ascii="Times New Roman" w:hAnsi="Times New Roman" w:cs="Times New Roman"/>
        </w:rPr>
      </w:pPr>
      <w:r>
        <w:rPr>
          <w:rFonts w:hint="default" w:ascii="Times New Roman" w:hAnsi="Times New Roman" w:cs="Times New Roman"/>
        </w:rPr>
        <w:t>Ψ——径流系数，厂区硬地取0.9；</w:t>
      </w:r>
    </w:p>
    <w:p>
      <w:pPr>
        <w:spacing w:line="360" w:lineRule="auto"/>
        <w:ind w:firstLine="480" w:firstLineChars="200"/>
        <w:jc w:val="left"/>
        <w:rPr>
          <w:rFonts w:hint="default" w:ascii="Times New Roman" w:hAnsi="Times New Roman" w:cs="Times New Roman"/>
        </w:rPr>
      </w:pPr>
      <w:r>
        <w:rPr>
          <w:rFonts w:hint="default" w:ascii="Times New Roman" w:hAnsi="Times New Roman" w:cs="Times New Roman"/>
        </w:rPr>
        <w:t xml:space="preserve">      F——汇水面积(ha)，1.5ha；</w:t>
      </w:r>
    </w:p>
    <w:p>
      <w:pPr>
        <w:spacing w:line="360" w:lineRule="auto"/>
        <w:ind w:firstLine="480" w:firstLineChars="200"/>
        <w:jc w:val="left"/>
        <w:rPr>
          <w:rFonts w:hint="default" w:ascii="Times New Roman" w:hAnsi="Times New Roman" w:cs="Times New Roman"/>
        </w:rPr>
      </w:pPr>
      <w:r>
        <w:rPr>
          <w:rFonts w:hint="default" w:ascii="Times New Roman" w:hAnsi="Times New Roman" w:cs="Times New Roman"/>
        </w:rPr>
        <w:t>根据雨水量计算公式、汇水面积和径流系数，可得出Q为160.6L/s，初期雨水按前15min计算，则项目全厂的初期雨水量为144.5m</w:t>
      </w:r>
      <w:r>
        <w:rPr>
          <w:rFonts w:hint="default" w:ascii="Times New Roman" w:hAnsi="Times New Roman" w:cs="Times New Roman"/>
          <w:vertAlign w:val="superscript"/>
        </w:rPr>
        <w:t>3</w:t>
      </w:r>
      <w:r>
        <w:rPr>
          <w:rFonts w:hint="default" w:ascii="Times New Roman" w:hAnsi="Times New Roman" w:cs="Times New Roman"/>
        </w:rPr>
        <w:t>/次，初期雨水量为144.5m</w:t>
      </w:r>
      <w:r>
        <w:rPr>
          <w:rFonts w:hint="default" w:ascii="Times New Roman" w:hAnsi="Times New Roman" w:cs="Times New Roman"/>
          <w:vertAlign w:val="superscript"/>
        </w:rPr>
        <w:t>3</w:t>
      </w:r>
      <w:r>
        <w:rPr>
          <w:rFonts w:hint="default" w:ascii="Times New Roman" w:hAnsi="Times New Roman" w:cs="Times New Roman"/>
        </w:rPr>
        <w:t>/次。本项目依托</w:t>
      </w:r>
      <w:r>
        <w:rPr>
          <w:rFonts w:hint="default" w:ascii="Times New Roman" w:hAnsi="Times New Roman" w:cs="Times New Roman"/>
          <w:lang w:eastAsia="zh-CN"/>
        </w:rPr>
        <w:t>厂区现有基础设施</w:t>
      </w:r>
      <w:r>
        <w:rPr>
          <w:rFonts w:hint="default" w:ascii="Times New Roman" w:hAnsi="Times New Roman" w:cs="Times New Roman"/>
        </w:rPr>
        <w:t>，不新增占地，初期雨水收集面积不变，初期雨水产生量不变。因此，本项目依托</w:t>
      </w:r>
      <w:r>
        <w:rPr>
          <w:rFonts w:hint="default" w:ascii="Times New Roman" w:hAnsi="Times New Roman" w:cs="Times New Roman"/>
          <w:lang w:eastAsia="zh-CN"/>
        </w:rPr>
        <w:t>已</w:t>
      </w:r>
      <w:r>
        <w:rPr>
          <w:rFonts w:hint="default" w:ascii="Times New Roman" w:hAnsi="Times New Roman" w:cs="Times New Roman"/>
        </w:rPr>
        <w:t>建设的</w:t>
      </w:r>
      <w:r>
        <w:rPr>
          <w:rFonts w:hint="default" w:ascii="Times New Roman" w:hAnsi="Times New Roman" w:cs="Times New Roman"/>
        </w:rPr>
        <w:t>初期雨水池是可行的。</w:t>
      </w:r>
    </w:p>
    <w:p>
      <w:pPr>
        <w:spacing w:line="360" w:lineRule="auto"/>
        <w:ind w:firstLine="482"/>
        <w:rPr>
          <w:rFonts w:hint="default" w:ascii="Times New Roman" w:hAnsi="Times New Roman" w:cs="Times New Roman"/>
        </w:rPr>
      </w:pPr>
      <w:r>
        <w:rPr>
          <w:rFonts w:hint="default" w:ascii="Times New Roman" w:hAnsi="Times New Roman" w:cs="Times New Roman"/>
        </w:rPr>
        <w:t>2、事故水池</w:t>
      </w:r>
    </w:p>
    <w:p>
      <w:pPr>
        <w:spacing w:line="360" w:lineRule="auto"/>
        <w:ind w:firstLine="480" w:firstLineChars="200"/>
        <w:jc w:val="left"/>
        <w:rPr>
          <w:rFonts w:hint="default" w:ascii="Times New Roman" w:hAnsi="Times New Roman" w:cs="Times New Roman"/>
        </w:rPr>
      </w:pPr>
      <w:r>
        <w:rPr>
          <w:rFonts w:hint="default" w:ascii="Times New Roman" w:hAnsi="Times New Roman" w:cs="Times New Roman"/>
          <w:lang w:eastAsia="zh-CN"/>
        </w:rPr>
        <w:t>厂区</w:t>
      </w:r>
      <w:r>
        <w:rPr>
          <w:rFonts w:hint="default" w:ascii="Times New Roman" w:hAnsi="Times New Roman" w:cs="Times New Roman"/>
        </w:rPr>
        <w:t>已设置事故水池</w:t>
      </w:r>
      <w:r>
        <w:rPr>
          <w:rFonts w:hint="default" w:ascii="Times New Roman" w:hAnsi="Times New Roman" w:cs="Times New Roman"/>
          <w:lang w:val="en-US" w:eastAsia="zh-CN"/>
        </w:rPr>
        <w:t>2</w:t>
      </w:r>
      <w:r>
        <w:rPr>
          <w:rFonts w:hint="default" w:ascii="Times New Roman" w:hAnsi="Times New Roman" w:cs="Times New Roman"/>
        </w:rPr>
        <w:t>座，</w:t>
      </w:r>
      <w:r>
        <w:rPr>
          <w:rFonts w:hint="default" w:ascii="Times New Roman" w:hAnsi="Times New Roman" w:cs="Times New Roman"/>
          <w:lang w:val="en-US" w:eastAsia="zh-CN"/>
        </w:rPr>
        <w:t>1座</w:t>
      </w:r>
      <w:r>
        <w:rPr>
          <w:rFonts w:hint="default" w:ascii="Times New Roman" w:hAnsi="Times New Roman" w:cs="Times New Roman"/>
        </w:rPr>
        <w:t>容积为720m</w:t>
      </w:r>
      <w:r>
        <w:rPr>
          <w:rFonts w:hint="default" w:ascii="Times New Roman" w:hAnsi="Times New Roman" w:cs="Times New Roman"/>
          <w:vertAlign w:val="superscript"/>
        </w:rPr>
        <w:t>3</w:t>
      </w:r>
      <w:r>
        <w:rPr>
          <w:rFonts w:hint="default" w:ascii="Times New Roman" w:hAnsi="Times New Roman" w:cs="Times New Roman"/>
        </w:rPr>
        <w:t>，主要收集含氟废水处理站事故废水、一期消防废水</w:t>
      </w:r>
      <w:r>
        <w:rPr>
          <w:rFonts w:hint="default" w:ascii="Times New Roman" w:hAnsi="Times New Roman" w:cs="Times New Roman"/>
          <w:lang w:eastAsia="zh-CN"/>
        </w:rPr>
        <w:t>；</w:t>
      </w:r>
      <w:r>
        <w:rPr>
          <w:rFonts w:hint="default" w:ascii="Times New Roman" w:hAnsi="Times New Roman" w:cs="Times New Roman"/>
          <w:lang w:val="en-US" w:eastAsia="zh-CN"/>
        </w:rPr>
        <w:t>1座容积为3000m</w:t>
      </w:r>
      <w:r>
        <w:rPr>
          <w:rFonts w:hint="default" w:ascii="Times New Roman" w:hAnsi="Times New Roman" w:cs="Times New Roman"/>
          <w:vertAlign w:val="superscript"/>
          <w:lang w:val="en-US" w:eastAsia="zh-CN"/>
        </w:rPr>
        <w:t>3</w:t>
      </w:r>
      <w:r>
        <w:rPr>
          <w:rFonts w:hint="default" w:ascii="Times New Roman" w:hAnsi="Times New Roman" w:cs="Times New Roman"/>
          <w:vertAlign w:val="baseline"/>
          <w:lang w:val="en-US" w:eastAsia="zh-CN"/>
        </w:rPr>
        <w:t>，主要收集综合污水处理站事故废水、全厂消防废水。由于本项目依托现有厂区基础设施，没有新增额外用地，事故废水收集范围未发生改变，事故废水产生量不变，因此，本项目依托已建设的事故水池是可行的。</w:t>
      </w:r>
    </w:p>
    <w:p>
      <w:pPr>
        <w:pStyle w:val="4"/>
        <w:spacing w:before="0" w:after="0" w:line="360" w:lineRule="auto"/>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lang w:val="en-US" w:eastAsia="zh-CN"/>
        </w:rPr>
        <w:t>6</w:t>
      </w:r>
      <w:r>
        <w:rPr>
          <w:rFonts w:hint="default" w:ascii="Times New Roman" w:hAnsi="Times New Roman" w:eastAsia="宋体" w:cs="Times New Roman"/>
          <w:color w:val="auto"/>
          <w:sz w:val="28"/>
          <w:szCs w:val="28"/>
        </w:rPr>
        <w:t>.3运营期噪声治理措施</w:t>
      </w:r>
      <w:bookmarkEnd w:id="985"/>
    </w:p>
    <w:p>
      <w:pPr>
        <w:spacing w:line="360" w:lineRule="auto"/>
        <w:ind w:firstLine="480" w:firstLineChars="200"/>
        <w:rPr>
          <w:rFonts w:hint="default" w:ascii="Times New Roman" w:hAnsi="Times New Roman" w:eastAsia="宋体" w:cs="Times New Roman"/>
          <w:color w:val="auto"/>
          <w:lang w:eastAsia="zh-CN"/>
        </w:rPr>
      </w:pPr>
      <w:r>
        <w:rPr>
          <w:rFonts w:hint="default" w:ascii="Times New Roman" w:hAnsi="Times New Roman" w:cs="Times New Roman"/>
          <w:color w:val="auto"/>
        </w:rPr>
        <w:t>本项目工艺过程中产生的工业噪声污染源主要生产设备运行时产生的机械噪声</w:t>
      </w:r>
      <w:r>
        <w:rPr>
          <w:rFonts w:hint="default" w:ascii="Times New Roman" w:hAnsi="Times New Roman" w:cs="Times New Roman"/>
          <w:color w:val="auto"/>
          <w:lang w:eastAsia="zh-CN"/>
        </w:rPr>
        <w:t>，</w:t>
      </w:r>
      <w:r>
        <w:rPr>
          <w:rFonts w:hint="default" w:ascii="Times New Roman" w:hAnsi="Times New Roman" w:cs="Times New Roman"/>
          <w:color w:val="auto"/>
        </w:rPr>
        <w:t>声压级为</w:t>
      </w:r>
      <w:r>
        <w:rPr>
          <w:rFonts w:hint="default" w:ascii="Times New Roman" w:hAnsi="Times New Roman" w:cs="Times New Roman"/>
          <w:color w:val="auto"/>
          <w:lang w:val="en-US" w:eastAsia="zh-CN"/>
        </w:rPr>
        <w:t>70</w:t>
      </w:r>
      <w:r>
        <w:rPr>
          <w:rFonts w:hint="default" w:ascii="Times New Roman" w:hAnsi="Times New Roman" w:cs="Times New Roman"/>
          <w:color w:val="auto"/>
        </w:rPr>
        <w:t>～</w:t>
      </w:r>
      <w:r>
        <w:rPr>
          <w:rFonts w:hint="default" w:ascii="Times New Roman" w:hAnsi="Times New Roman" w:cs="Times New Roman"/>
          <w:color w:val="auto"/>
          <w:lang w:val="en-US" w:eastAsia="zh-CN"/>
        </w:rPr>
        <w:t>80</w:t>
      </w:r>
      <w:r>
        <w:rPr>
          <w:rFonts w:hint="default" w:ascii="Times New Roman" w:hAnsi="Times New Roman" w:cs="Times New Roman"/>
          <w:color w:val="auto"/>
        </w:rPr>
        <w:t>dB（A）。主要采取以下措施降低发声源对外环境的影响</w:t>
      </w:r>
      <w:r>
        <w:rPr>
          <w:rFonts w:hint="default" w:ascii="Times New Roman" w:hAnsi="Times New Roman" w:cs="Times New Roman"/>
          <w:color w:val="auto"/>
          <w:lang w:eastAsia="zh-CN"/>
        </w:rPr>
        <w:t>：</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1、设计部门应严格遵守《工业企业噪声控制设计规范》中的有关规定进行噪声控制设计。</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2、尽量选用低噪声设备，严把定、进货渠道，对设备供货商提出降低和控制设备噪声的要求，力求在根源上解决问题。</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3、生产设备机械噪声采取减振措施；鼓引风机采取减震、鼓风机房隔声措施；泵类采取半地下安置、减震、隔声措施。</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根据预测结果，本项目各噪声源在采取相应的措施情况下，厂界昼夜间</w:t>
      </w:r>
      <w:r>
        <w:rPr>
          <w:rFonts w:hint="default" w:ascii="Times New Roman" w:hAnsi="Times New Roman" w:cs="Times New Roman"/>
          <w:color w:val="auto"/>
          <w:lang w:eastAsia="zh-CN"/>
        </w:rPr>
        <w:t>最大</w:t>
      </w:r>
      <w:r>
        <w:rPr>
          <w:rFonts w:hint="default" w:ascii="Times New Roman" w:hAnsi="Times New Roman" w:cs="Times New Roman"/>
          <w:color w:val="auto"/>
        </w:rPr>
        <w:t>噪声</w:t>
      </w:r>
      <w:r>
        <w:rPr>
          <w:rFonts w:hint="default" w:ascii="Times New Roman" w:hAnsi="Times New Roman" w:cs="Times New Roman"/>
          <w:color w:val="auto"/>
          <w:lang w:eastAsia="zh-CN"/>
        </w:rPr>
        <w:t>贡献值能</w:t>
      </w:r>
      <w:r>
        <w:rPr>
          <w:rFonts w:hint="default" w:ascii="Times New Roman" w:hAnsi="Times New Roman" w:cs="Times New Roman"/>
          <w:color w:val="auto"/>
        </w:rPr>
        <w:t>满足《工业企业厂界环境噪声排放标准》（GB12348-2008）中的3类标准的要求，因此本项目运营期噪声对周围环境影响较小，不会改变当地声环境功能，措施可行。</w:t>
      </w:r>
    </w:p>
    <w:p>
      <w:pPr>
        <w:pStyle w:val="4"/>
        <w:spacing w:before="0" w:after="0" w:line="360" w:lineRule="auto"/>
        <w:rPr>
          <w:rFonts w:hint="default" w:ascii="Times New Roman" w:hAnsi="Times New Roman" w:eastAsia="宋体" w:cs="Times New Roman"/>
          <w:color w:val="auto"/>
          <w:sz w:val="28"/>
          <w:szCs w:val="28"/>
        </w:rPr>
      </w:pPr>
      <w:bookmarkStart w:id="986" w:name="_Toc32239"/>
      <w:r>
        <w:rPr>
          <w:rFonts w:hint="default" w:ascii="Times New Roman" w:hAnsi="Times New Roman" w:eastAsia="宋体" w:cs="Times New Roman"/>
          <w:color w:val="auto"/>
          <w:sz w:val="28"/>
          <w:szCs w:val="28"/>
          <w:lang w:val="en-US" w:eastAsia="zh-CN"/>
        </w:rPr>
        <w:t>6</w:t>
      </w:r>
      <w:r>
        <w:rPr>
          <w:rFonts w:hint="default" w:ascii="Times New Roman" w:hAnsi="Times New Roman" w:eastAsia="宋体" w:cs="Times New Roman"/>
          <w:color w:val="auto"/>
          <w:sz w:val="28"/>
          <w:szCs w:val="28"/>
        </w:rPr>
        <w:t>.4运营期固体废物处置措施及可行性分析</w:t>
      </w:r>
      <w:bookmarkEnd w:id="986"/>
    </w:p>
    <w:p>
      <w:pPr>
        <w:pStyle w:val="172"/>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项目固废主要包括生产过程中产生</w:t>
      </w:r>
      <w:r>
        <w:rPr>
          <w:rFonts w:hint="default" w:ascii="Times New Roman" w:hAnsi="Times New Roman" w:cs="Times New Roman"/>
          <w:color w:val="auto"/>
          <w:lang w:eastAsia="zh-CN"/>
        </w:rPr>
        <w:t>的</w:t>
      </w:r>
      <w:r>
        <w:rPr>
          <w:rFonts w:hint="default" w:ascii="Times New Roman" w:hAnsi="Times New Roman" w:cs="Times New Roman"/>
          <w:color w:val="auto"/>
        </w:rPr>
        <w:t>废金刚线</w:t>
      </w:r>
      <w:r>
        <w:rPr>
          <w:rFonts w:hint="default" w:ascii="Times New Roman" w:hAnsi="Times New Roman" w:cs="Times New Roman"/>
          <w:color w:val="auto"/>
          <w:lang w:eastAsia="zh-CN"/>
        </w:rPr>
        <w:t>、</w:t>
      </w:r>
      <w:r>
        <w:rPr>
          <w:rFonts w:hint="default" w:ascii="Times New Roman" w:hAnsi="Times New Roman" w:cs="Times New Roman"/>
          <w:color w:val="auto"/>
        </w:rPr>
        <w:t>废胶、废活性炭、压滤硅泥、</w:t>
      </w:r>
      <w:r>
        <w:rPr>
          <w:rFonts w:hint="default" w:ascii="Times New Roman" w:hAnsi="Times New Roman" w:cs="Times New Roman"/>
          <w:color w:val="auto"/>
          <w:lang w:eastAsia="zh-CN"/>
        </w:rPr>
        <w:t>综合污水处理站</w:t>
      </w:r>
      <w:r>
        <w:rPr>
          <w:rFonts w:hint="default" w:ascii="Times New Roman" w:hAnsi="Times New Roman" w:cs="Times New Roman"/>
          <w:color w:val="auto"/>
        </w:rPr>
        <w:t>污泥、</w:t>
      </w:r>
      <w:r>
        <w:rPr>
          <w:rFonts w:hint="default" w:ascii="Times New Roman" w:hAnsi="Times New Roman" w:cs="Times New Roman"/>
          <w:color w:val="auto"/>
          <w:lang w:eastAsia="zh-CN"/>
        </w:rPr>
        <w:t>废切片、</w:t>
      </w:r>
      <w:r>
        <w:rPr>
          <w:rFonts w:hint="default" w:ascii="Times New Roman" w:hAnsi="Times New Roman" w:cs="Times New Roman"/>
          <w:color w:val="auto"/>
        </w:rPr>
        <w:t>废包装及容器</w:t>
      </w:r>
      <w:r>
        <w:rPr>
          <w:rFonts w:hint="default" w:ascii="Times New Roman" w:hAnsi="Times New Roman" w:cs="Times New Roman"/>
          <w:color w:val="auto"/>
          <w:lang w:eastAsia="zh-CN"/>
        </w:rPr>
        <w:t>、废反渗透膜和废离子交换树脂、</w:t>
      </w:r>
      <w:r>
        <w:rPr>
          <w:rFonts w:hint="default" w:ascii="Times New Roman" w:hAnsi="Times New Roman" w:cs="Times New Roman"/>
          <w:color w:val="auto"/>
        </w:rPr>
        <w:t>生活垃圾。</w:t>
      </w:r>
    </w:p>
    <w:p>
      <w:pPr>
        <w:pStyle w:val="5"/>
        <w:spacing w:line="360" w:lineRule="auto"/>
        <w:ind w:left="-120" w:firstLine="480"/>
        <w:rPr>
          <w:rFonts w:hint="default" w:ascii="Times New Roman" w:hAnsi="Times New Roman" w:cs="Times New Roman"/>
          <w:color w:val="auto"/>
        </w:rPr>
      </w:pPr>
      <w:r>
        <w:rPr>
          <w:rFonts w:hint="default" w:ascii="Times New Roman" w:hAnsi="Times New Roman" w:cs="Times New Roman"/>
          <w:color w:val="auto"/>
          <w:lang w:eastAsia="zh-CN"/>
        </w:rPr>
        <w:t>危险废物包括废胶和废活性炭，收集后暂存在</w:t>
      </w:r>
      <w:r>
        <w:rPr>
          <w:rFonts w:hint="default" w:ascii="Times New Roman" w:hAnsi="Times New Roman" w:cs="Times New Roman"/>
          <w:color w:val="auto"/>
          <w:lang w:eastAsia="zh-CN"/>
        </w:rPr>
        <w:t>危废库内</w:t>
      </w:r>
      <w:r>
        <w:rPr>
          <w:rFonts w:hint="default" w:ascii="Times New Roman" w:hAnsi="Times New Roman" w:cs="Times New Roman"/>
          <w:color w:val="auto"/>
          <w:lang w:val="en-US" w:eastAsia="zh-CN"/>
        </w:rPr>
        <w:t>，由有危废处置资质的单位进行处置；一般工业固废包括废金刚线、压滤硅泥、废切片、废包装及容器、废反渗透膜和废离子交换树脂，废金刚线、废包装及容器暂存在硅泥库，委托废旧资源回收公司回收综合利用，压滤硅泥</w:t>
      </w:r>
      <w:r>
        <w:rPr>
          <w:rFonts w:hint="default" w:ascii="Times New Roman" w:hAnsi="Times New Roman" w:cs="Times New Roman"/>
          <w:color w:val="auto"/>
          <w:kern w:val="44"/>
        </w:rPr>
        <w:t>暂存在</w:t>
      </w:r>
      <w:r>
        <w:rPr>
          <w:rFonts w:hint="default" w:ascii="Times New Roman" w:hAnsi="Times New Roman" w:cs="Times New Roman"/>
          <w:color w:val="auto"/>
          <w:kern w:val="44"/>
          <w:lang w:eastAsia="zh-CN"/>
        </w:rPr>
        <w:t>硅泥库内</w:t>
      </w:r>
      <w:r>
        <w:rPr>
          <w:rFonts w:hint="default" w:ascii="Times New Roman" w:hAnsi="Times New Roman" w:cs="Times New Roman"/>
          <w:color w:val="auto"/>
          <w:kern w:val="44"/>
        </w:rPr>
        <w:t>，</w:t>
      </w:r>
      <w:r>
        <w:rPr>
          <w:rFonts w:hint="default" w:ascii="Times New Roman" w:hAnsi="Times New Roman" w:cs="Times New Roman"/>
          <w:color w:val="auto"/>
          <w:lang w:eastAsia="zh-CN"/>
        </w:rPr>
        <w:t>外售给工业硅生产企业，废切片破碎后回用于生产</w:t>
      </w:r>
      <w:r>
        <w:rPr>
          <w:rFonts w:hint="default" w:ascii="Times New Roman" w:hAnsi="Times New Roman" w:cs="Times New Roman"/>
          <w:snapToGrid w:val="0"/>
          <w:color w:val="auto"/>
          <w:szCs w:val="20"/>
          <w:lang w:eastAsia="zh-CN"/>
        </w:rPr>
        <w:t>，</w:t>
      </w:r>
      <w:r>
        <w:rPr>
          <w:rFonts w:hint="default" w:ascii="Times New Roman" w:hAnsi="Times New Roman" w:cs="Times New Roman"/>
          <w:color w:val="auto"/>
          <w:lang w:val="en-US" w:eastAsia="zh-CN"/>
        </w:rPr>
        <w:t>废反渗透膜和废离子交换树脂</w:t>
      </w:r>
      <w:r>
        <w:rPr>
          <w:rFonts w:hint="default" w:ascii="Times New Roman" w:hAnsi="Times New Roman" w:cs="Times New Roman"/>
          <w:color w:val="auto"/>
          <w:kern w:val="44"/>
          <w:lang w:val="en-US" w:eastAsia="zh-CN"/>
        </w:rPr>
        <w:t>由生产厂家上门回收再生处理；综合污水处理站污泥需进行固废属性鉴别，若</w:t>
      </w:r>
      <w:r>
        <w:rPr>
          <w:rFonts w:hint="default" w:ascii="Times New Roman" w:hAnsi="Times New Roman" w:cs="Times New Roman"/>
          <w:color w:val="auto"/>
          <w:kern w:val="21"/>
          <w:lang w:bidi="ar"/>
        </w:rPr>
        <w:t>属于危险废物，则</w:t>
      </w:r>
      <w:r>
        <w:rPr>
          <w:rFonts w:hint="default" w:ascii="Times New Roman" w:hAnsi="Times New Roman" w:cs="Times New Roman"/>
          <w:color w:val="auto"/>
          <w:kern w:val="21"/>
          <w:lang w:eastAsia="zh-CN" w:bidi="ar"/>
        </w:rPr>
        <w:t>应</w:t>
      </w:r>
      <w:r>
        <w:rPr>
          <w:rFonts w:hint="default" w:ascii="Times New Roman" w:hAnsi="Times New Roman" w:cs="Times New Roman"/>
          <w:color w:val="auto"/>
          <w:kern w:val="21"/>
          <w:lang w:bidi="ar"/>
        </w:rPr>
        <w:t>委托有</w:t>
      </w:r>
      <w:r>
        <w:rPr>
          <w:rFonts w:hint="default" w:ascii="Times New Roman" w:hAnsi="Times New Roman" w:cs="Times New Roman"/>
          <w:color w:val="auto"/>
          <w:kern w:val="21"/>
          <w:lang w:eastAsia="zh-CN" w:bidi="ar"/>
        </w:rPr>
        <w:t>危废</w:t>
      </w:r>
      <w:r>
        <w:rPr>
          <w:rFonts w:hint="default" w:ascii="Times New Roman" w:hAnsi="Times New Roman" w:cs="Times New Roman"/>
          <w:color w:val="auto"/>
          <w:kern w:val="21"/>
          <w:lang w:bidi="ar"/>
        </w:rPr>
        <w:t>资质的单位处置</w:t>
      </w:r>
      <w:r>
        <w:rPr>
          <w:rFonts w:hint="default" w:ascii="Times New Roman" w:hAnsi="Times New Roman" w:cs="Times New Roman"/>
          <w:color w:val="auto"/>
          <w:kern w:val="21"/>
          <w:lang w:eastAsia="zh-CN" w:bidi="ar"/>
        </w:rPr>
        <w:t>，不属于危废则外售给污泥综合利用公司进行处置；生活垃圾</w:t>
      </w:r>
      <w:r>
        <w:rPr>
          <w:rFonts w:hint="default" w:ascii="Times New Roman" w:hAnsi="Times New Roman" w:cs="Times New Roman"/>
          <w:color w:val="auto"/>
        </w:rPr>
        <w:t>收集后交由环卫部门定期清运处置。</w:t>
      </w:r>
    </w:p>
    <w:p>
      <w:pPr>
        <w:pStyle w:val="5"/>
        <w:spacing w:line="360" w:lineRule="auto"/>
        <w:ind w:left="-120" w:firstLine="480"/>
        <w:rPr>
          <w:rFonts w:hint="default" w:ascii="Times New Roman" w:hAnsi="Times New Roman" w:cs="Times New Roman"/>
          <w:color w:val="auto"/>
        </w:rPr>
      </w:pPr>
      <w:r>
        <w:rPr>
          <w:rFonts w:hint="default" w:ascii="Times New Roman" w:hAnsi="Times New Roman" w:cs="Times New Roman"/>
          <w:color w:val="auto"/>
          <w:szCs w:val="24"/>
        </w:rPr>
        <w:t>通过采取上述措施后，可确保该项目固体废物处置率达到100%；建设单位应及时清运堆放于厂区的固体废物，尽量减少在厂区的堆放量，并加强对厂区内暂存处的管理，做好地面硬化工作。对固体废物处置实行专人管理，固体废物在产生和处置过程中应进行登记，按《</w:t>
      </w:r>
      <w:r>
        <w:rPr>
          <w:rFonts w:hint="default" w:ascii="Times New Roman" w:hAnsi="Times New Roman" w:cs="Times New Roman"/>
          <w:color w:val="auto"/>
        </w:rPr>
        <w:t>一般工业固体废物贮存和填埋污染控制标准</w:t>
      </w:r>
      <w:r>
        <w:rPr>
          <w:rFonts w:hint="default" w:ascii="Times New Roman" w:hAnsi="Times New Roman" w:cs="Times New Roman"/>
          <w:color w:val="auto"/>
          <w:szCs w:val="24"/>
        </w:rPr>
        <w:t>》（GB18599-2020）、</w:t>
      </w:r>
      <w:r>
        <w:rPr>
          <w:rFonts w:hint="default" w:ascii="Times New Roman" w:hAnsi="Times New Roman" w:cs="Times New Roman"/>
          <w:color w:val="auto"/>
        </w:rPr>
        <w:t>《危险废物贮存污染控制标准》（GB 18597-2001）</w:t>
      </w:r>
      <w:r>
        <w:rPr>
          <w:rFonts w:hint="default" w:ascii="Times New Roman" w:hAnsi="Times New Roman" w:cs="Times New Roman"/>
          <w:color w:val="auto"/>
          <w:szCs w:val="24"/>
        </w:rPr>
        <w:t>进行安全处置。固体废物转运过程中应采用篷布封盖运输，运输途中不得散落。职工生活垃圾集中收集至厂区内的垃圾收集设施内，统一交给环卫部门清运处置。由以上分析可见，项目产生的固体废物均得到综合处置，项目固体废物对环境的影响不大。</w:t>
      </w:r>
      <w:r>
        <w:rPr>
          <w:rFonts w:hint="default" w:ascii="Times New Roman" w:hAnsi="Times New Roman" w:cs="Times New Roman"/>
          <w:bCs/>
          <w:color w:val="auto"/>
          <w:szCs w:val="24"/>
        </w:rPr>
        <w:t>从经济、技术角度分析，处置措施可行可靠。</w:t>
      </w:r>
    </w:p>
    <w:p>
      <w:pPr>
        <w:pStyle w:val="4"/>
        <w:spacing w:before="0" w:after="0" w:line="360" w:lineRule="auto"/>
        <w:rPr>
          <w:rFonts w:hint="default" w:ascii="Times New Roman" w:hAnsi="Times New Roman" w:eastAsia="宋体" w:cs="Times New Roman"/>
          <w:color w:val="auto"/>
          <w:sz w:val="28"/>
          <w:szCs w:val="28"/>
        </w:rPr>
      </w:pPr>
      <w:bookmarkStart w:id="987" w:name="_Toc6813"/>
      <w:r>
        <w:rPr>
          <w:rFonts w:hint="default" w:ascii="Times New Roman" w:hAnsi="Times New Roman" w:eastAsia="宋体" w:cs="Times New Roman"/>
          <w:color w:val="auto"/>
          <w:sz w:val="28"/>
          <w:szCs w:val="28"/>
          <w:lang w:val="en-US" w:eastAsia="zh-CN"/>
        </w:rPr>
        <w:t>6</w:t>
      </w:r>
      <w:r>
        <w:rPr>
          <w:rFonts w:hint="default" w:ascii="Times New Roman" w:hAnsi="Times New Roman" w:eastAsia="宋体" w:cs="Times New Roman"/>
          <w:color w:val="auto"/>
          <w:sz w:val="28"/>
          <w:szCs w:val="28"/>
        </w:rPr>
        <w:t>.5地下水防渗措施及可行性分析</w:t>
      </w:r>
      <w:bookmarkEnd w:id="987"/>
    </w:p>
    <w:p>
      <w:pPr>
        <w:pStyle w:val="5"/>
        <w:spacing w:line="360" w:lineRule="auto"/>
        <w:ind w:left="-120" w:firstLine="480"/>
        <w:rPr>
          <w:rFonts w:hint="default" w:ascii="Times New Roman" w:hAnsi="Times New Roman" w:cs="Times New Roman"/>
          <w:b/>
          <w:color w:val="auto"/>
        </w:rPr>
      </w:pPr>
      <w:r>
        <w:rPr>
          <w:rFonts w:hint="default" w:ascii="Times New Roman" w:hAnsi="Times New Roman" w:cs="Times New Roman"/>
          <w:b/>
          <w:color w:val="auto"/>
        </w:rPr>
        <w:t>1、地下水的影响的可能途径</w:t>
      </w:r>
    </w:p>
    <w:p>
      <w:pPr>
        <w:pStyle w:val="5"/>
        <w:spacing w:line="360" w:lineRule="auto"/>
        <w:ind w:left="-120" w:firstLine="480"/>
        <w:rPr>
          <w:rFonts w:hint="default" w:ascii="Times New Roman" w:hAnsi="Times New Roman" w:cs="Times New Roman"/>
          <w:color w:val="auto"/>
        </w:rPr>
      </w:pPr>
      <w:r>
        <w:rPr>
          <w:rFonts w:hint="default" w:ascii="Times New Roman" w:hAnsi="Times New Roman" w:cs="Times New Roman"/>
          <w:color w:val="auto"/>
        </w:rPr>
        <w:t>项目对地下水的影响的可能途径为：（1）化学品库原料存储过程中泄漏造成的下渗；（</w:t>
      </w:r>
      <w:r>
        <w:rPr>
          <w:rFonts w:hint="default" w:ascii="Times New Roman" w:hAnsi="Times New Roman" w:cs="Times New Roman"/>
          <w:color w:val="auto"/>
          <w:lang w:val="en-US" w:eastAsia="zh-CN"/>
        </w:rPr>
        <w:t>2</w:t>
      </w:r>
      <w:r>
        <w:rPr>
          <w:rFonts w:hint="default" w:ascii="Times New Roman" w:hAnsi="Times New Roman" w:cs="Times New Roman"/>
          <w:color w:val="auto"/>
        </w:rPr>
        <w:t>）生产废水收集处理系统和生活废水收集处理系统防渗出现问题造成的下渗。</w:t>
      </w:r>
    </w:p>
    <w:p>
      <w:pPr>
        <w:pStyle w:val="5"/>
        <w:spacing w:line="360" w:lineRule="auto"/>
        <w:ind w:left="-120" w:firstLine="480"/>
        <w:rPr>
          <w:rFonts w:hint="default" w:ascii="Times New Roman" w:hAnsi="Times New Roman" w:cs="Times New Roman"/>
          <w:color w:val="auto"/>
        </w:rPr>
      </w:pPr>
      <w:r>
        <w:rPr>
          <w:rFonts w:hint="default" w:ascii="Times New Roman" w:hAnsi="Times New Roman" w:cs="Times New Roman"/>
          <w:color w:val="auto"/>
        </w:rPr>
        <w:t>污染物进入地下，其在地下的迁移转化受污染物的性质和地下水文特性的共同影响，要准确预测是非常困难的。一般情况下，主要是从源头控制采取对策措施，避免或减轻其影响。</w:t>
      </w:r>
    </w:p>
    <w:p>
      <w:pPr>
        <w:pStyle w:val="5"/>
        <w:spacing w:line="360" w:lineRule="auto"/>
        <w:ind w:left="-120" w:firstLine="480"/>
        <w:rPr>
          <w:rFonts w:hint="default" w:ascii="Times New Roman" w:hAnsi="Times New Roman" w:cs="Times New Roman"/>
          <w:b/>
          <w:color w:val="auto"/>
        </w:rPr>
      </w:pPr>
      <w:r>
        <w:rPr>
          <w:rFonts w:hint="default" w:ascii="Times New Roman" w:hAnsi="Times New Roman" w:cs="Times New Roman"/>
          <w:b/>
          <w:color w:val="auto"/>
          <w:lang w:val="en-US" w:eastAsia="zh-CN"/>
        </w:rPr>
        <w:t>2</w:t>
      </w:r>
      <w:r>
        <w:rPr>
          <w:rFonts w:hint="default" w:ascii="Times New Roman" w:hAnsi="Times New Roman" w:cs="Times New Roman"/>
          <w:b/>
          <w:color w:val="auto"/>
        </w:rPr>
        <w:t>、</w:t>
      </w:r>
      <w:r>
        <w:rPr>
          <w:rFonts w:hint="default" w:ascii="Times New Roman" w:hAnsi="Times New Roman" w:cs="Times New Roman"/>
          <w:b/>
          <w:color w:val="auto"/>
          <w:lang w:eastAsia="zh-CN"/>
        </w:rPr>
        <w:t>地下水</w:t>
      </w:r>
      <w:r>
        <w:rPr>
          <w:rFonts w:hint="default" w:ascii="Times New Roman" w:hAnsi="Times New Roman" w:cs="Times New Roman"/>
          <w:b/>
          <w:color w:val="auto"/>
        </w:rPr>
        <w:t>防治措施</w:t>
      </w:r>
    </w:p>
    <w:p>
      <w:pPr>
        <w:pStyle w:val="5"/>
        <w:spacing w:line="360" w:lineRule="auto"/>
        <w:ind w:left="-120" w:firstLine="480"/>
        <w:rPr>
          <w:rFonts w:hint="default" w:ascii="Times New Roman" w:hAnsi="Times New Roman" w:cs="Times New Roman"/>
          <w:color w:val="auto"/>
        </w:rPr>
      </w:pPr>
      <w:r>
        <w:rPr>
          <w:rFonts w:hint="default" w:ascii="Times New Roman" w:hAnsi="Times New Roman" w:cs="Times New Roman"/>
          <w:color w:val="auto"/>
        </w:rPr>
        <w:t>本项目提出以下地下水污染防控措施如下：</w:t>
      </w:r>
    </w:p>
    <w:p>
      <w:pPr>
        <w:pStyle w:val="5"/>
        <w:spacing w:line="360" w:lineRule="auto"/>
        <w:ind w:left="0" w:leftChars="0"/>
        <w:rPr>
          <w:rFonts w:hint="default" w:ascii="Times New Roman" w:hAnsi="Times New Roman" w:cs="Times New Roman"/>
          <w:color w:val="auto"/>
        </w:rPr>
      </w:pPr>
      <w:r>
        <w:rPr>
          <w:rFonts w:hint="default" w:ascii="Times New Roman" w:hAnsi="Times New Roman" w:cs="Times New Roman"/>
          <w:color w:val="auto"/>
        </w:rPr>
        <w:t>（1）源头控制</w:t>
      </w:r>
    </w:p>
    <w:p>
      <w:pPr>
        <w:pStyle w:val="5"/>
        <w:spacing w:line="360" w:lineRule="auto"/>
        <w:ind w:left="0" w:leftChars="0"/>
        <w:rPr>
          <w:rFonts w:hint="default" w:ascii="Times New Roman" w:hAnsi="Times New Roman" w:cs="Times New Roman"/>
          <w:color w:val="auto"/>
        </w:rPr>
      </w:pPr>
      <w:r>
        <w:rPr>
          <w:rFonts w:hint="default" w:ascii="Times New Roman" w:hAnsi="Times New Roman" w:cs="Times New Roman"/>
          <w:color w:val="auto"/>
        </w:rPr>
        <w:t>①开挖施工过程中，如遇到原有工勘钻孔，应及时进行封堵，应使用隔水性能良好且毒性小的材料进行封堵。</w:t>
      </w:r>
    </w:p>
    <w:p>
      <w:pPr>
        <w:pStyle w:val="5"/>
        <w:spacing w:line="360" w:lineRule="auto"/>
        <w:ind w:left="0" w:leftChars="0"/>
        <w:rPr>
          <w:rFonts w:hint="default" w:ascii="Times New Roman" w:hAnsi="Times New Roman" w:cs="Times New Roman"/>
          <w:color w:val="auto"/>
        </w:rPr>
      </w:pPr>
      <w:r>
        <w:rPr>
          <w:rFonts w:hint="default" w:ascii="Times New Roman" w:hAnsi="Times New Roman" w:cs="Times New Roman"/>
          <w:color w:val="auto"/>
        </w:rPr>
        <w:t>②建设单位在施工阶段聘请有资质的第三方作为工程监理单位，对重点防渗区等工程进行严格监理，阶段性施工结束后，应进行工程验收，合格后方能开展下一阶段施工，不合格的施工项目责令施工单位返工，企业应确保本项目的防渗工程措施到位和环保监理及记录，录像相关影像资料存档备查。</w:t>
      </w:r>
    </w:p>
    <w:p>
      <w:pPr>
        <w:pStyle w:val="5"/>
        <w:spacing w:line="360" w:lineRule="auto"/>
        <w:ind w:left="0" w:leftChars="0"/>
        <w:rPr>
          <w:rFonts w:hint="default" w:ascii="Times New Roman" w:hAnsi="Times New Roman" w:cs="Times New Roman"/>
          <w:color w:val="auto"/>
        </w:rPr>
      </w:pPr>
      <w:r>
        <w:rPr>
          <w:rFonts w:hint="default" w:ascii="Times New Roman" w:hAnsi="Times New Roman" w:cs="Times New Roman"/>
          <w:color w:val="auto"/>
        </w:rPr>
        <w:t>③项目应严格执行雨污分流及清污分流，即废水、雨水要有组织地分别排入对应的系统管网和处理系统处理，同时做到达标排放。</w:t>
      </w:r>
    </w:p>
    <w:p>
      <w:pPr>
        <w:pStyle w:val="5"/>
        <w:spacing w:line="360" w:lineRule="auto"/>
        <w:ind w:left="0" w:leftChars="0" w:firstLine="480" w:firstLineChars="200"/>
        <w:rPr>
          <w:rFonts w:hint="default" w:ascii="Times New Roman" w:hAnsi="Times New Roman" w:cs="Times New Roman"/>
          <w:color w:val="auto"/>
        </w:rPr>
      </w:pPr>
      <w:r>
        <w:rPr>
          <w:rFonts w:hint="default" w:ascii="Times New Roman" w:hAnsi="Times New Roman" w:cs="Times New Roman"/>
          <w:color w:val="auto"/>
        </w:rPr>
        <w:t>（2）分区防渗</w:t>
      </w:r>
    </w:p>
    <w:p>
      <w:pPr>
        <w:spacing w:line="360" w:lineRule="auto"/>
        <w:ind w:firstLine="482"/>
        <w:rPr>
          <w:rFonts w:hint="default" w:ascii="Times New Roman" w:hAnsi="Times New Roman" w:cs="Times New Roman"/>
          <w:color w:val="auto"/>
        </w:rPr>
      </w:pPr>
      <w:r>
        <w:rPr>
          <w:rFonts w:hint="default" w:ascii="Times New Roman" w:hAnsi="Times New Roman" w:cs="Times New Roman"/>
          <w:color w:val="auto"/>
          <w:lang w:eastAsia="zh-CN"/>
        </w:rPr>
        <w:t>环评要求项目对厂区</w:t>
      </w:r>
      <w:r>
        <w:rPr>
          <w:rFonts w:hint="default" w:ascii="Times New Roman" w:hAnsi="Times New Roman" w:cs="Times New Roman"/>
          <w:color w:val="auto"/>
        </w:rPr>
        <w:t>进行分区防渗。其中：</w:t>
      </w:r>
      <w:r>
        <w:rPr>
          <w:rFonts w:hint="default" w:ascii="Times New Roman" w:hAnsi="Times New Roman" w:cs="Times New Roman"/>
          <w:color w:val="auto"/>
          <w:lang w:eastAsia="zh-CN"/>
        </w:rPr>
        <w:t>化学品库</w:t>
      </w:r>
      <w:r>
        <w:rPr>
          <w:rFonts w:hint="default" w:ascii="Times New Roman" w:hAnsi="Times New Roman" w:cs="Times New Roman"/>
          <w:color w:val="auto"/>
          <w:lang w:val="en-US" w:eastAsia="zh-CN"/>
        </w:rPr>
        <w:t>、</w:t>
      </w:r>
      <w:r>
        <w:rPr>
          <w:rFonts w:hint="default" w:ascii="Times New Roman" w:hAnsi="Times New Roman" w:cs="Times New Roman"/>
          <w:color w:val="auto"/>
        </w:rPr>
        <w:t>初期雨水池、</w:t>
      </w:r>
      <w:r>
        <w:rPr>
          <w:rFonts w:hint="default" w:ascii="Times New Roman" w:hAnsi="Times New Roman" w:cs="Times New Roman"/>
          <w:color w:val="auto"/>
          <w:lang w:eastAsia="zh-CN"/>
        </w:rPr>
        <w:t>综合污水处理站</w:t>
      </w:r>
      <w:r>
        <w:rPr>
          <w:rFonts w:hint="default" w:ascii="Times New Roman" w:hAnsi="Times New Roman" w:cs="Times New Roman"/>
          <w:color w:val="auto"/>
        </w:rPr>
        <w:t>、事故水池等区域为重点防渗区；</w:t>
      </w:r>
      <w:r>
        <w:rPr>
          <w:rFonts w:hint="default" w:ascii="Times New Roman" w:hAnsi="Times New Roman" w:cs="Times New Roman"/>
          <w:color w:val="auto"/>
          <w:lang w:eastAsia="zh-CN"/>
        </w:rPr>
        <w:t>切片</w:t>
      </w:r>
      <w:r>
        <w:rPr>
          <w:rFonts w:hint="default" w:ascii="Times New Roman" w:hAnsi="Times New Roman" w:cs="Times New Roman"/>
          <w:color w:val="auto"/>
        </w:rPr>
        <w:t>车间、</w:t>
      </w:r>
      <w:r>
        <w:rPr>
          <w:rFonts w:hint="default" w:ascii="Times New Roman" w:hAnsi="Times New Roman" w:cs="Times New Roman"/>
          <w:color w:val="auto"/>
          <w:lang w:eastAsia="zh-CN"/>
        </w:rPr>
        <w:t>硅泥库</w:t>
      </w:r>
      <w:r>
        <w:rPr>
          <w:rFonts w:hint="default" w:ascii="Times New Roman" w:hAnsi="Times New Roman" w:cs="Times New Roman"/>
          <w:color w:val="auto"/>
        </w:rPr>
        <w:t>等区域为一般防渗区；上述区域之外的区域为简单防渗区。</w:t>
      </w:r>
    </w:p>
    <w:p>
      <w:pPr>
        <w:widowControl/>
        <w:spacing w:line="360" w:lineRule="auto"/>
        <w:ind w:firstLine="480" w:firstLineChars="200"/>
        <w:jc w:val="left"/>
        <w:rPr>
          <w:rFonts w:hint="default" w:ascii="Times New Roman" w:hAnsi="Times New Roman" w:cs="Times New Roman"/>
          <w:color w:val="auto"/>
        </w:rPr>
      </w:pPr>
      <w:r>
        <w:rPr>
          <w:rFonts w:hint="default" w:ascii="Times New Roman" w:hAnsi="Times New Roman" w:cs="Times New Roman"/>
          <w:color w:val="auto"/>
        </w:rPr>
        <w:t>重点防渗区：</w:t>
      </w:r>
      <w:r>
        <w:rPr>
          <w:rFonts w:hint="default" w:ascii="Times New Roman" w:hAnsi="Times New Roman" w:cs="Times New Roman"/>
          <w:color w:val="auto"/>
          <w:lang w:eastAsia="zh-CN"/>
        </w:rPr>
        <w:t>化学品库</w:t>
      </w:r>
      <w:r>
        <w:rPr>
          <w:rFonts w:hint="default" w:ascii="Times New Roman" w:hAnsi="Times New Roman" w:cs="Times New Roman"/>
          <w:color w:val="auto"/>
          <w:lang w:val="en-US" w:eastAsia="zh-CN"/>
        </w:rPr>
        <w:t>、</w:t>
      </w:r>
      <w:r>
        <w:rPr>
          <w:rFonts w:hint="default" w:ascii="Times New Roman" w:hAnsi="Times New Roman" w:cs="Times New Roman"/>
          <w:color w:val="auto"/>
        </w:rPr>
        <w:t>初期雨水池、</w:t>
      </w:r>
      <w:r>
        <w:rPr>
          <w:rFonts w:hint="default" w:ascii="Times New Roman" w:hAnsi="Times New Roman" w:cs="Times New Roman"/>
          <w:color w:val="auto"/>
          <w:lang w:eastAsia="zh-CN"/>
        </w:rPr>
        <w:t>综合污水处理站</w:t>
      </w:r>
      <w:r>
        <w:rPr>
          <w:rFonts w:hint="default" w:ascii="Times New Roman" w:hAnsi="Times New Roman" w:cs="Times New Roman"/>
          <w:color w:val="auto"/>
        </w:rPr>
        <w:t>、事故水池</w:t>
      </w:r>
      <w:r>
        <w:rPr>
          <w:rFonts w:hint="default" w:ascii="Times New Roman" w:hAnsi="Times New Roman" w:cs="Times New Roman"/>
          <w:color w:val="auto"/>
          <w:lang w:eastAsia="zh-CN"/>
        </w:rPr>
        <w:t>应</w:t>
      </w:r>
      <w:r>
        <w:rPr>
          <w:rFonts w:hint="default" w:ascii="Times New Roman" w:hAnsi="Times New Roman" w:cs="Times New Roman"/>
          <w:color w:val="auto"/>
        </w:rPr>
        <w:t>按照《危险废物贮存污染控制标准》（GB18597-2001）及修改单要求进行建设，确保防渗能力相当于6.0m厚黏土层、渗透系数≤10</w:t>
      </w:r>
      <w:r>
        <w:rPr>
          <w:rFonts w:hint="default" w:ascii="Times New Roman" w:hAnsi="Times New Roman" w:cs="Times New Roman"/>
          <w:color w:val="auto"/>
          <w:vertAlign w:val="superscript"/>
        </w:rPr>
        <w:t>-7</w:t>
      </w:r>
      <w:r>
        <w:rPr>
          <w:rFonts w:hint="default" w:ascii="Times New Roman" w:hAnsi="Times New Roman" w:cs="Times New Roman"/>
          <w:color w:val="auto"/>
        </w:rPr>
        <w:t>cm/s的防渗能力。</w:t>
      </w:r>
      <w:r>
        <w:rPr>
          <w:rFonts w:hint="default" w:ascii="Times New Roman" w:hAnsi="Times New Roman" w:cs="Times New Roman"/>
          <w:color w:val="auto"/>
          <w:lang w:eastAsia="zh-CN"/>
        </w:rPr>
        <w:t>化学品库</w:t>
      </w:r>
      <w:r>
        <w:rPr>
          <w:rFonts w:hint="default" w:ascii="Times New Roman" w:hAnsi="Times New Roman" w:cs="Times New Roman"/>
          <w:color w:val="auto"/>
          <w:lang w:val="en-US" w:eastAsia="zh-CN"/>
        </w:rPr>
        <w:t>内的</w:t>
      </w:r>
      <w:r>
        <w:rPr>
          <w:rFonts w:hint="default" w:ascii="Times New Roman" w:hAnsi="Times New Roman" w:cs="Times New Roman"/>
          <w:color w:val="auto"/>
          <w:lang w:eastAsia="zh-CN"/>
        </w:rPr>
        <w:t>危废暂存间</w:t>
      </w:r>
      <w:r>
        <w:rPr>
          <w:rFonts w:hint="default" w:ascii="Times New Roman" w:hAnsi="Times New Roman" w:cs="Times New Roman"/>
          <w:color w:val="auto"/>
        </w:rPr>
        <w:t>按《危险废物贮存污染控制标准》的要求进行建设，防渗层的防渗性能应等效于厚度Mb≥6m，渗透系数≤1.0×10</w:t>
      </w:r>
      <w:r>
        <w:rPr>
          <w:rFonts w:hint="default" w:ascii="Times New Roman" w:hAnsi="Times New Roman" w:cs="Times New Roman"/>
          <w:color w:val="auto"/>
          <w:vertAlign w:val="superscript"/>
        </w:rPr>
        <w:t>-10</w:t>
      </w:r>
      <w:r>
        <w:rPr>
          <w:rFonts w:hint="default" w:ascii="Times New Roman" w:hAnsi="Times New Roman" w:cs="Times New Roman"/>
          <w:color w:val="auto"/>
        </w:rPr>
        <w:t>cm/s。</w:t>
      </w:r>
    </w:p>
    <w:p>
      <w:pPr>
        <w:spacing w:line="360" w:lineRule="auto"/>
        <w:ind w:firstLine="482"/>
        <w:rPr>
          <w:rFonts w:hint="default" w:ascii="Times New Roman" w:hAnsi="Times New Roman" w:cs="Times New Roman"/>
          <w:color w:val="auto"/>
        </w:rPr>
      </w:pPr>
      <w:r>
        <w:rPr>
          <w:rFonts w:hint="default" w:ascii="Times New Roman" w:hAnsi="Times New Roman" w:cs="Times New Roman"/>
          <w:color w:val="auto"/>
        </w:rPr>
        <w:t>一般防渗区：</w:t>
      </w:r>
      <w:r>
        <w:rPr>
          <w:rFonts w:hint="default" w:ascii="Times New Roman" w:hAnsi="Times New Roman" w:cs="Times New Roman"/>
          <w:color w:val="auto"/>
          <w:lang w:eastAsia="zh-CN"/>
        </w:rPr>
        <w:t>切片车间、硅泥库的</w:t>
      </w:r>
      <w:r>
        <w:rPr>
          <w:rFonts w:hint="default" w:ascii="Times New Roman" w:hAnsi="Times New Roman" w:cs="Times New Roman"/>
          <w:color w:val="auto"/>
        </w:rPr>
        <w:t>防渗层</w:t>
      </w:r>
      <w:r>
        <w:rPr>
          <w:rFonts w:hint="default" w:ascii="Times New Roman" w:hAnsi="Times New Roman" w:cs="Times New Roman"/>
          <w:color w:val="auto"/>
          <w:lang w:eastAsia="zh-CN"/>
        </w:rPr>
        <w:t>应满足</w:t>
      </w:r>
      <w:r>
        <w:rPr>
          <w:rFonts w:hint="default" w:ascii="Times New Roman" w:hAnsi="Times New Roman" w:cs="Times New Roman"/>
          <w:color w:val="auto"/>
        </w:rPr>
        <w:t>防渗效果等效黏土防渗层Mb≥1.5m，渗透系数≤1×10</w:t>
      </w:r>
      <w:r>
        <w:rPr>
          <w:rFonts w:hint="default" w:ascii="Times New Roman" w:hAnsi="Times New Roman" w:cs="Times New Roman"/>
          <w:color w:val="auto"/>
          <w:vertAlign w:val="superscript"/>
        </w:rPr>
        <w:t>-7</w:t>
      </w:r>
      <w:r>
        <w:rPr>
          <w:rFonts w:hint="default" w:ascii="Times New Roman" w:hAnsi="Times New Roman" w:cs="Times New Roman"/>
          <w:color w:val="auto"/>
        </w:rPr>
        <w:t>cm/s</w:t>
      </w:r>
      <w:r>
        <w:rPr>
          <w:rFonts w:hint="default" w:ascii="Times New Roman" w:hAnsi="Times New Roman" w:cs="Times New Roman"/>
          <w:color w:val="auto"/>
          <w:lang w:eastAsia="zh-CN"/>
        </w:rPr>
        <w:t>的</w:t>
      </w:r>
      <w:r>
        <w:rPr>
          <w:rFonts w:hint="default" w:ascii="Times New Roman" w:hAnsi="Times New Roman" w:cs="Times New Roman"/>
          <w:color w:val="auto"/>
        </w:rPr>
        <w:t>要求。</w:t>
      </w:r>
    </w:p>
    <w:p>
      <w:pPr>
        <w:spacing w:line="360" w:lineRule="auto"/>
        <w:ind w:firstLine="482"/>
        <w:rPr>
          <w:rFonts w:hint="default" w:ascii="Times New Roman" w:hAnsi="Times New Roman" w:cs="Times New Roman"/>
          <w:color w:val="auto"/>
        </w:rPr>
      </w:pPr>
      <w:r>
        <w:rPr>
          <w:rFonts w:hint="default" w:ascii="Times New Roman" w:hAnsi="Times New Roman" w:cs="Times New Roman"/>
          <w:color w:val="auto"/>
        </w:rPr>
        <w:t>简单防渗区：不采取专门针对地下水污染的防治措施，地基处理分层压实系数94%，地面进行硬化措施，符合抗水验收要求。</w:t>
      </w:r>
    </w:p>
    <w:p>
      <w:pPr>
        <w:adjustRightInd w:val="0"/>
        <w:snapToGrid w:val="0"/>
        <w:spacing w:line="360" w:lineRule="auto"/>
        <w:ind w:firstLine="482"/>
        <w:rPr>
          <w:rFonts w:hint="default" w:ascii="Times New Roman" w:hAnsi="Times New Roman" w:cs="Times New Roman"/>
          <w:color w:val="auto"/>
        </w:rPr>
      </w:pPr>
      <w:r>
        <w:rPr>
          <w:rFonts w:hint="default" w:ascii="Times New Roman" w:hAnsi="Times New Roman" w:cs="Times New Roman"/>
          <w:color w:val="auto"/>
        </w:rPr>
        <w:t>（3）地下水污染监控措施</w:t>
      </w:r>
    </w:p>
    <w:p>
      <w:pPr>
        <w:spacing w:line="360" w:lineRule="auto"/>
        <w:ind w:firstLine="482"/>
        <w:rPr>
          <w:rFonts w:hint="default" w:ascii="Times New Roman" w:hAnsi="Times New Roman" w:cs="Times New Roman"/>
          <w:color w:val="auto"/>
        </w:rPr>
      </w:pPr>
      <w:r>
        <w:rPr>
          <w:rFonts w:hint="default" w:ascii="Times New Roman" w:hAnsi="Times New Roman" w:cs="Times New Roman"/>
          <w:color w:val="auto"/>
        </w:rPr>
        <w:t>建立项目区的地下水环境监控体系，主要为建立防渗系统检查计划和环境管理体系、配备必要的检测仪器和设备，以便及时发现问题，及时采取措施。</w:t>
      </w:r>
    </w:p>
    <w:p>
      <w:pPr>
        <w:pStyle w:val="5"/>
        <w:spacing w:line="360" w:lineRule="auto"/>
        <w:ind w:left="-120" w:firstLine="480"/>
        <w:rPr>
          <w:rFonts w:hint="default" w:ascii="Times New Roman" w:hAnsi="Times New Roman" w:cs="Times New Roman"/>
          <w:b/>
          <w:color w:val="auto"/>
        </w:rPr>
      </w:pPr>
      <w:r>
        <w:rPr>
          <w:rFonts w:hint="default" w:ascii="Times New Roman" w:hAnsi="Times New Roman" w:cs="Times New Roman"/>
          <w:b/>
          <w:color w:val="auto"/>
          <w:lang w:val="en-US" w:eastAsia="zh-CN"/>
        </w:rPr>
        <w:t>3</w:t>
      </w:r>
      <w:r>
        <w:rPr>
          <w:rFonts w:hint="default" w:ascii="Times New Roman" w:hAnsi="Times New Roman" w:cs="Times New Roman"/>
          <w:b/>
          <w:color w:val="auto"/>
        </w:rPr>
        <w:t>、项目生产对地下水环境的影响</w:t>
      </w:r>
    </w:p>
    <w:p>
      <w:pPr>
        <w:adjustRightInd w:val="0"/>
        <w:snapToGrid w:val="0"/>
        <w:spacing w:line="360" w:lineRule="auto"/>
        <w:ind w:firstLine="482"/>
        <w:rPr>
          <w:rFonts w:hint="default" w:ascii="Times New Roman" w:hAnsi="Times New Roman" w:cs="Times New Roman"/>
          <w:color w:val="auto"/>
        </w:rPr>
      </w:pPr>
      <w:r>
        <w:rPr>
          <w:rFonts w:hint="default" w:ascii="Times New Roman" w:hAnsi="Times New Roman" w:cs="Times New Roman"/>
          <w:color w:val="auto"/>
        </w:rPr>
        <w:t>本项目废水处理达到</w:t>
      </w:r>
      <w:r>
        <w:rPr>
          <w:rFonts w:hint="default" w:ascii="Times New Roman" w:hAnsi="Times New Roman" w:cs="Times New Roman"/>
          <w:color w:val="auto"/>
          <w:lang w:eastAsia="zh-CN"/>
        </w:rPr>
        <w:t>表</w:t>
      </w:r>
      <w:r>
        <w:rPr>
          <w:rFonts w:hint="default" w:ascii="Times New Roman" w:hAnsi="Times New Roman" w:cs="Times New Roman"/>
          <w:color w:val="auto"/>
          <w:lang w:val="en-US" w:eastAsia="zh-CN"/>
        </w:rPr>
        <w:t>1-1</w:t>
      </w:r>
      <w:r>
        <w:rPr>
          <w:rFonts w:hint="default" w:ascii="Times New Roman" w:hAnsi="Times New Roman" w:cs="Times New Roman"/>
          <w:color w:val="auto"/>
          <w:lang w:val="en-US" w:eastAsia="zh-CN"/>
        </w:rPr>
        <w:t>2</w:t>
      </w:r>
      <w:r>
        <w:rPr>
          <w:rFonts w:hint="default" w:ascii="Times New Roman" w:hAnsi="Times New Roman" w:cs="Times New Roman" w:eastAsiaTheme="minorEastAsia"/>
          <w:color w:val="auto"/>
        </w:rPr>
        <w:t>标准值后排入市政污水管网，最终进入</w:t>
      </w:r>
      <w:r>
        <w:rPr>
          <w:rFonts w:hint="default" w:ascii="Times New Roman" w:hAnsi="Times New Roman" w:cs="Times New Roman" w:eastAsiaTheme="minorEastAsia"/>
          <w:color w:val="auto"/>
          <w:lang w:eastAsia="zh-CN"/>
        </w:rPr>
        <w:t>楚雄市富民工业园区</w:t>
      </w:r>
      <w:r>
        <w:rPr>
          <w:rFonts w:hint="default" w:ascii="Times New Roman" w:hAnsi="Times New Roman" w:cs="Times New Roman" w:eastAsiaTheme="minorEastAsia"/>
          <w:color w:val="auto"/>
        </w:rPr>
        <w:t>污水处理厂进行处理</w:t>
      </w:r>
      <w:r>
        <w:rPr>
          <w:rFonts w:hint="default" w:ascii="Times New Roman" w:hAnsi="Times New Roman" w:cs="Times New Roman"/>
          <w:color w:val="auto"/>
        </w:rPr>
        <w:t>。化学品库、初期雨水池</w:t>
      </w:r>
      <w:r>
        <w:rPr>
          <w:rFonts w:hint="default" w:ascii="Times New Roman" w:hAnsi="Times New Roman" w:cs="Times New Roman"/>
          <w:color w:val="auto"/>
          <w:lang w:eastAsia="zh-CN"/>
        </w:rPr>
        <w:t>、事故水池、综合污水处理站</w:t>
      </w:r>
      <w:r>
        <w:rPr>
          <w:rFonts w:hint="default" w:ascii="Times New Roman" w:hAnsi="Times New Roman" w:cs="Times New Roman"/>
          <w:color w:val="auto"/>
        </w:rPr>
        <w:t>等区域均采取有效的防渗措施</w:t>
      </w:r>
      <w:r>
        <w:rPr>
          <w:rFonts w:hint="default" w:ascii="Times New Roman" w:hAnsi="Times New Roman" w:cs="Times New Roman"/>
          <w:color w:val="auto"/>
          <w:lang w:eastAsia="zh-CN"/>
        </w:rPr>
        <w:t>，</w:t>
      </w:r>
      <w:r>
        <w:rPr>
          <w:rFonts w:hint="default" w:ascii="Times New Roman" w:hAnsi="Times New Roman" w:cs="Times New Roman"/>
          <w:color w:val="auto"/>
        </w:rPr>
        <w:t>在正常情况下，做好了各池体、管道的防渗工程处理，项目区基本不会对地下水的水质造成明显不利影响。</w:t>
      </w:r>
    </w:p>
    <w:p>
      <w:pPr>
        <w:spacing w:line="360" w:lineRule="auto"/>
        <w:ind w:firstLine="482"/>
        <w:rPr>
          <w:rFonts w:hint="default" w:ascii="Times New Roman" w:hAnsi="Times New Roman" w:cs="Times New Roman"/>
          <w:color w:val="auto"/>
        </w:rPr>
      </w:pPr>
      <w:r>
        <w:rPr>
          <w:rFonts w:hint="default" w:ascii="Times New Roman" w:hAnsi="Times New Roman" w:cs="Times New Roman"/>
          <w:color w:val="auto"/>
        </w:rPr>
        <w:t>总体来说，严格落实上述提出的各项防控措施，运行期加强维护和管理情况下，化学品及废污水发生渗漏或泄漏的可能性较小，防控措施经济技术上合理可行。</w:t>
      </w:r>
    </w:p>
    <w:bookmarkEnd w:id="977"/>
    <w:bookmarkEnd w:id="978"/>
    <w:bookmarkEnd w:id="979"/>
    <w:bookmarkEnd w:id="980"/>
    <w:bookmarkEnd w:id="981"/>
    <w:p>
      <w:pPr>
        <w:pStyle w:val="4"/>
        <w:spacing w:before="0" w:after="0" w:line="360" w:lineRule="auto"/>
        <w:rPr>
          <w:rFonts w:hint="default" w:ascii="Times New Roman" w:hAnsi="Times New Roman" w:eastAsia="宋体" w:cs="Times New Roman"/>
          <w:color w:val="auto"/>
          <w:sz w:val="28"/>
          <w:szCs w:val="28"/>
        </w:rPr>
      </w:pPr>
      <w:bookmarkStart w:id="988" w:name="_Toc3363"/>
      <w:r>
        <w:rPr>
          <w:rFonts w:hint="default" w:ascii="Times New Roman" w:hAnsi="Times New Roman" w:eastAsia="宋体" w:cs="Times New Roman"/>
          <w:color w:val="auto"/>
          <w:sz w:val="28"/>
          <w:szCs w:val="28"/>
          <w:lang w:val="en-US" w:eastAsia="zh-CN"/>
        </w:rPr>
        <w:t>6</w:t>
      </w:r>
      <w:r>
        <w:rPr>
          <w:rFonts w:hint="default" w:ascii="Times New Roman" w:hAnsi="Times New Roman" w:eastAsia="宋体" w:cs="Times New Roman"/>
          <w:color w:val="auto"/>
          <w:sz w:val="28"/>
          <w:szCs w:val="28"/>
        </w:rPr>
        <w:t>.6运营期土壤污染防治措施及可行性分析</w:t>
      </w:r>
      <w:bookmarkEnd w:id="988"/>
    </w:p>
    <w:p>
      <w:pPr>
        <w:spacing w:line="360" w:lineRule="auto"/>
        <w:ind w:firstLine="480" w:firstLineChars="200"/>
        <w:jc w:val="left"/>
        <w:rPr>
          <w:rFonts w:hint="default" w:ascii="Times New Roman" w:hAnsi="Times New Roman" w:cs="Times New Roman"/>
          <w:color w:val="auto"/>
        </w:rPr>
      </w:pPr>
      <w:r>
        <w:rPr>
          <w:rFonts w:hint="default" w:ascii="Times New Roman" w:hAnsi="Times New Roman" w:cs="Times New Roman"/>
          <w:color w:val="auto"/>
        </w:rPr>
        <w:t>项目土壤污染途径主要为</w:t>
      </w:r>
      <w:r>
        <w:rPr>
          <w:rFonts w:hint="default" w:ascii="Times New Roman" w:hAnsi="Times New Roman" w:cs="Times New Roman"/>
          <w:color w:val="auto"/>
          <w:lang w:eastAsia="zh-CN"/>
        </w:rPr>
        <w:t>化学品库</w:t>
      </w:r>
      <w:r>
        <w:rPr>
          <w:rFonts w:hint="default" w:ascii="Times New Roman" w:hAnsi="Times New Roman" w:cs="Times New Roman"/>
          <w:color w:val="auto"/>
          <w:lang w:eastAsia="zh-CN"/>
        </w:rPr>
        <w:t>盐酸、氢氟酸以及废水</w:t>
      </w:r>
      <w:r>
        <w:rPr>
          <w:rFonts w:hint="default" w:ascii="Times New Roman" w:hAnsi="Times New Roman" w:cs="Times New Roman"/>
          <w:color w:val="auto"/>
          <w:lang w:eastAsia="zh-CN"/>
        </w:rPr>
        <w:t>泄漏导致的漫流、入渗</w:t>
      </w:r>
      <w:r>
        <w:rPr>
          <w:rFonts w:hint="default" w:ascii="Times New Roman" w:hAnsi="Times New Roman" w:cs="Times New Roman"/>
          <w:color w:val="auto"/>
        </w:rPr>
        <w:t>。</w:t>
      </w:r>
    </w:p>
    <w:p>
      <w:pPr>
        <w:spacing w:line="360" w:lineRule="auto"/>
        <w:ind w:firstLine="480" w:firstLineChars="200"/>
        <w:jc w:val="left"/>
        <w:rPr>
          <w:rFonts w:hint="default" w:ascii="Times New Roman" w:hAnsi="Times New Roman" w:cs="Times New Roman"/>
          <w:color w:val="auto"/>
        </w:rPr>
        <w:sectPr>
          <w:pgSz w:w="11906" w:h="16838"/>
          <w:pgMar w:top="1440" w:right="1797" w:bottom="1440" w:left="1797" w:header="851" w:footer="992" w:gutter="0"/>
          <w:pgBorders>
            <w:top w:val="none" w:sz="0" w:space="0"/>
            <w:left w:val="none" w:sz="0" w:space="0"/>
            <w:bottom w:val="none" w:sz="0" w:space="0"/>
            <w:right w:val="none" w:sz="0" w:space="0"/>
          </w:pgBorders>
          <w:cols w:space="720" w:num="1"/>
          <w:docGrid w:linePitch="312" w:charSpace="0"/>
        </w:sectPr>
      </w:pPr>
      <w:r>
        <w:rPr>
          <w:rFonts w:hint="default" w:ascii="Times New Roman" w:hAnsi="Times New Roman" w:cs="Times New Roman"/>
          <w:color w:val="auto"/>
        </w:rPr>
        <w:t>土壤污染防治措施主要为：（1）建设单位在做好地下水防渗措施的同时即能杜绝污染物下渗至防渗层以下污染土壤；（2）废水事故泄漏时，将废水引入事故水池内暂存，通过酸碱中和处理或委托有危废处置资质的单位进行处理。通过上述措施的实施，可降低土壤污染事件的发生，且经济技术合理可行。</w:t>
      </w:r>
    </w:p>
    <w:p>
      <w:pPr>
        <w:pStyle w:val="3"/>
        <w:spacing w:before="468" w:after="468"/>
        <w:jc w:val="center"/>
        <w:rPr>
          <w:rFonts w:hint="default" w:ascii="Times New Roman" w:hAnsi="Times New Roman" w:cs="Times New Roman"/>
          <w:color w:val="auto"/>
        </w:rPr>
      </w:pPr>
      <w:bookmarkStart w:id="989" w:name="_Toc16165"/>
      <w:bookmarkStart w:id="990" w:name="_Toc1735"/>
      <w:bookmarkStart w:id="991" w:name="_Toc7036"/>
      <w:bookmarkStart w:id="992" w:name="_Toc25299"/>
      <w:bookmarkStart w:id="993" w:name="_Toc27757"/>
      <w:bookmarkStart w:id="994" w:name="_Toc6480"/>
      <w:r>
        <w:rPr>
          <w:rFonts w:hint="default" w:ascii="Times New Roman" w:hAnsi="Times New Roman" w:cs="Times New Roman"/>
          <w:b/>
          <w:color w:val="auto"/>
          <w:kern w:val="44"/>
          <w:sz w:val="44"/>
          <w:szCs w:val="44"/>
          <w:lang w:val="en-US" w:eastAsia="zh-CN"/>
        </w:rPr>
        <w:t>7</w:t>
      </w:r>
      <w:r>
        <w:rPr>
          <w:rFonts w:hint="default" w:ascii="Times New Roman" w:hAnsi="Times New Roman" w:cs="Times New Roman"/>
          <w:b/>
          <w:color w:val="auto"/>
          <w:kern w:val="44"/>
          <w:sz w:val="44"/>
          <w:szCs w:val="44"/>
        </w:rPr>
        <w:t>环境影响经济损益分析</w:t>
      </w:r>
      <w:bookmarkEnd w:id="989"/>
      <w:bookmarkEnd w:id="990"/>
      <w:bookmarkEnd w:id="991"/>
      <w:bookmarkEnd w:id="992"/>
      <w:bookmarkEnd w:id="993"/>
      <w:bookmarkEnd w:id="994"/>
    </w:p>
    <w:p>
      <w:pPr>
        <w:adjustRightInd w:val="0"/>
        <w:snapToGrid w:val="0"/>
        <w:spacing w:line="360" w:lineRule="auto"/>
        <w:ind w:firstLine="480" w:firstLineChars="200"/>
        <w:rPr>
          <w:rStyle w:val="104"/>
          <w:rFonts w:hint="default" w:ascii="Times New Roman" w:hAnsi="Times New Roman" w:cs="Times New Roman"/>
          <w:color w:val="auto"/>
          <w:sz w:val="44"/>
        </w:rPr>
      </w:pPr>
      <w:bookmarkStart w:id="995" w:name="_Toc754"/>
      <w:bookmarkStart w:id="996" w:name="_Toc20622"/>
      <w:bookmarkStart w:id="997" w:name="_Toc22082"/>
      <w:bookmarkStart w:id="998" w:name="_Toc2239"/>
      <w:bookmarkStart w:id="999" w:name="_Toc22230"/>
      <w:r>
        <w:rPr>
          <w:rFonts w:hint="default" w:ascii="Times New Roman" w:hAnsi="Times New Roman" w:cs="Times New Roman"/>
          <w:color w:val="auto"/>
        </w:rPr>
        <w:t>环境经济损益分析是建设项目环境影响评价的一个重要组成部分。《中华人民共和国环境影响评价法》第三章第十七条明确规定，要对建设项目的环境影响进行经济损益分析。与工程经济分析不同，在环境经济损益分析中除了需计算用于环境保护所需的投资费用外，还要核算环境保护投资可能收到的环境经济效益、社会环境效益。通过对建设项目环境的损益分析，综合反映项目投资的社会环境效益和环境经济效益。</w:t>
      </w:r>
    </w:p>
    <w:p>
      <w:pPr>
        <w:pStyle w:val="4"/>
        <w:spacing w:before="0" w:after="0" w:line="360" w:lineRule="auto"/>
        <w:rPr>
          <w:rFonts w:hint="default" w:ascii="Times New Roman" w:hAnsi="Times New Roman" w:eastAsia="宋体" w:cs="Times New Roman"/>
          <w:color w:val="auto"/>
          <w:sz w:val="28"/>
          <w:szCs w:val="28"/>
        </w:rPr>
      </w:pPr>
      <w:bookmarkStart w:id="1000" w:name="_Toc20798"/>
      <w:r>
        <w:rPr>
          <w:rFonts w:hint="default" w:ascii="Times New Roman" w:hAnsi="Times New Roman" w:eastAsia="宋体" w:cs="Times New Roman"/>
          <w:color w:val="auto"/>
          <w:sz w:val="28"/>
          <w:szCs w:val="28"/>
          <w:lang w:val="en-US" w:eastAsia="zh-CN"/>
        </w:rPr>
        <w:t>7</w:t>
      </w:r>
      <w:r>
        <w:rPr>
          <w:rFonts w:hint="default" w:ascii="Times New Roman" w:hAnsi="Times New Roman" w:eastAsia="宋体" w:cs="Times New Roman"/>
          <w:color w:val="auto"/>
          <w:sz w:val="28"/>
          <w:szCs w:val="28"/>
        </w:rPr>
        <w:t>.1环保投资估算</w:t>
      </w:r>
      <w:bookmarkEnd w:id="995"/>
      <w:bookmarkEnd w:id="996"/>
      <w:bookmarkEnd w:id="997"/>
      <w:bookmarkEnd w:id="998"/>
      <w:bookmarkEnd w:id="999"/>
      <w:bookmarkEnd w:id="1000"/>
    </w:p>
    <w:p>
      <w:pPr>
        <w:adjustRightInd w:val="0"/>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本项目环保设施建设投资</w:t>
      </w:r>
      <w:r>
        <w:rPr>
          <w:rFonts w:hint="default" w:ascii="Times New Roman" w:hAnsi="Times New Roman" w:cs="Times New Roman"/>
          <w:color w:val="auto"/>
          <w:lang w:val="en-US" w:eastAsia="zh-CN"/>
        </w:rPr>
        <w:t>45</w:t>
      </w:r>
      <w:r>
        <w:rPr>
          <w:rFonts w:hint="default" w:ascii="Times New Roman" w:hAnsi="Times New Roman" w:cs="Times New Roman"/>
          <w:color w:val="auto"/>
        </w:rPr>
        <w:t>万元，</w:t>
      </w:r>
      <w:r>
        <w:rPr>
          <w:rFonts w:hint="default" w:ascii="Times New Roman" w:hAnsi="Times New Roman" w:cs="Times New Roman"/>
          <w:color w:val="auto"/>
          <w:lang w:eastAsia="zh-CN"/>
        </w:rPr>
        <w:t>主要是由于本项目绝大部分三废治理设施均为依托原有项目已建成设施</w:t>
      </w:r>
      <w:r>
        <w:rPr>
          <w:rFonts w:hint="default" w:ascii="Times New Roman" w:hAnsi="Times New Roman" w:cs="Times New Roman"/>
          <w:color w:val="auto"/>
        </w:rPr>
        <w:t>。环保设施投资估算列表如下：</w:t>
      </w:r>
    </w:p>
    <w:p>
      <w:pPr>
        <w:pStyle w:val="133"/>
        <w:numPr>
          <w:ilvl w:val="0"/>
          <w:numId w:val="20"/>
        </w:numPr>
        <w:spacing w:line="360" w:lineRule="auto"/>
        <w:ind w:left="0" w:leftChars="0" w:firstLine="0" w:firstLineChars="0"/>
        <w:jc w:val="center"/>
        <w:rPr>
          <w:rFonts w:hint="default" w:ascii="Times New Roman" w:hAnsi="Times New Roman" w:cs="Times New Roman"/>
          <w:b/>
          <w:bCs/>
          <w:color w:val="auto"/>
        </w:rPr>
      </w:pPr>
      <w:r>
        <w:rPr>
          <w:rFonts w:hint="default" w:ascii="Times New Roman" w:hAnsi="Times New Roman" w:cs="Times New Roman"/>
          <w:b/>
          <w:bCs/>
          <w:color w:val="auto"/>
        </w:rPr>
        <w:t>主要环保设施投资估算明细表</w:t>
      </w:r>
    </w:p>
    <w:tbl>
      <w:tblPr>
        <w:tblStyle w:val="44"/>
        <w:tblW w:w="5096" w:type="pct"/>
        <w:tblInd w:w="0" w:type="dxa"/>
        <w:tblLayout w:type="autofit"/>
        <w:tblCellMar>
          <w:top w:w="0" w:type="dxa"/>
          <w:left w:w="108" w:type="dxa"/>
          <w:bottom w:w="0" w:type="dxa"/>
          <w:right w:w="108" w:type="dxa"/>
        </w:tblCellMar>
      </w:tblPr>
      <w:tblGrid>
        <w:gridCol w:w="581"/>
        <w:gridCol w:w="1680"/>
        <w:gridCol w:w="4763"/>
        <w:gridCol w:w="748"/>
        <w:gridCol w:w="920"/>
      </w:tblGrid>
      <w:tr>
        <w:tblPrEx>
          <w:tblCellMar>
            <w:top w:w="0" w:type="dxa"/>
            <w:left w:w="108" w:type="dxa"/>
            <w:bottom w:w="0" w:type="dxa"/>
            <w:right w:w="108" w:type="dxa"/>
          </w:tblCellMar>
        </w:tblPrEx>
        <w:trPr>
          <w:trHeight w:val="340" w:hRule="atLeast"/>
          <w:tblHeader/>
        </w:trPr>
        <w:tc>
          <w:tcPr>
            <w:tcW w:w="33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b/>
                <w:bCs/>
                <w:color w:val="auto"/>
                <w:kern w:val="0"/>
                <w:sz w:val="21"/>
                <w:szCs w:val="21"/>
              </w:rPr>
            </w:pPr>
            <w:bookmarkStart w:id="1001" w:name="_Toc8572"/>
            <w:bookmarkStart w:id="1002" w:name="_Toc25150"/>
            <w:bookmarkStart w:id="1003" w:name="_Toc32051"/>
            <w:bookmarkStart w:id="1004" w:name="_Toc27335"/>
            <w:bookmarkStart w:id="1005" w:name="_Toc30667"/>
            <w:r>
              <w:rPr>
                <w:rFonts w:hint="default" w:ascii="Times New Roman" w:hAnsi="Times New Roman" w:cs="Times New Roman"/>
                <w:b/>
                <w:bCs/>
                <w:color w:val="auto"/>
                <w:kern w:val="0"/>
                <w:sz w:val="21"/>
                <w:szCs w:val="21"/>
              </w:rPr>
              <w:t>类别</w:t>
            </w:r>
          </w:p>
        </w:tc>
        <w:tc>
          <w:tcPr>
            <w:tcW w:w="966"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项目</w:t>
            </w:r>
          </w:p>
        </w:tc>
        <w:tc>
          <w:tcPr>
            <w:tcW w:w="2738"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主要控制措施</w:t>
            </w:r>
          </w:p>
        </w:tc>
        <w:tc>
          <w:tcPr>
            <w:tcW w:w="430"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环保投资</w:t>
            </w:r>
          </w:p>
        </w:tc>
        <w:tc>
          <w:tcPr>
            <w:tcW w:w="529"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b/>
                <w:bCs/>
                <w:color w:val="auto"/>
                <w:kern w:val="0"/>
                <w:sz w:val="21"/>
                <w:szCs w:val="21"/>
                <w:lang w:eastAsia="zh-CN"/>
              </w:rPr>
            </w:pPr>
            <w:r>
              <w:rPr>
                <w:rFonts w:hint="default" w:ascii="Times New Roman" w:hAnsi="Times New Roman" w:cs="Times New Roman"/>
                <w:b/>
                <w:bCs/>
                <w:color w:val="auto"/>
                <w:kern w:val="0"/>
                <w:sz w:val="21"/>
                <w:szCs w:val="21"/>
                <w:lang w:eastAsia="zh-CN"/>
              </w:rPr>
              <w:t>备注</w:t>
            </w:r>
          </w:p>
        </w:tc>
      </w:tr>
      <w:tr>
        <w:tblPrEx>
          <w:tblCellMar>
            <w:top w:w="0" w:type="dxa"/>
            <w:left w:w="108" w:type="dxa"/>
            <w:bottom w:w="0" w:type="dxa"/>
            <w:right w:w="108" w:type="dxa"/>
          </w:tblCellMar>
        </w:tblPrEx>
        <w:trPr>
          <w:trHeight w:val="340" w:hRule="atLeast"/>
        </w:trPr>
        <w:tc>
          <w:tcPr>
            <w:tcW w:w="447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营运期</w:t>
            </w:r>
          </w:p>
        </w:tc>
        <w:tc>
          <w:tcPr>
            <w:tcW w:w="52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b/>
                <w:bCs/>
                <w:color w:val="auto"/>
                <w:kern w:val="0"/>
                <w:sz w:val="21"/>
                <w:szCs w:val="21"/>
              </w:rPr>
            </w:pPr>
          </w:p>
        </w:tc>
      </w:tr>
      <w:tr>
        <w:tblPrEx>
          <w:tblCellMar>
            <w:top w:w="0" w:type="dxa"/>
            <w:left w:w="108" w:type="dxa"/>
            <w:bottom w:w="0" w:type="dxa"/>
            <w:right w:w="108" w:type="dxa"/>
          </w:tblCellMar>
        </w:tblPrEx>
        <w:trPr>
          <w:trHeight w:val="305" w:hRule="atLeast"/>
        </w:trPr>
        <w:tc>
          <w:tcPr>
            <w:tcW w:w="335" w:type="pct"/>
            <w:vMerge w:val="restart"/>
            <w:tcBorders>
              <w:top w:val="nil"/>
              <w:left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废气</w:t>
            </w:r>
          </w:p>
        </w:tc>
        <w:tc>
          <w:tcPr>
            <w:tcW w:w="966" w:type="pct"/>
            <w:tcBorders>
              <w:top w:val="single" w:color="auto" w:sz="4" w:space="0"/>
              <w:left w:val="nil"/>
              <w:right w:val="single" w:color="auto" w:sz="4" w:space="0"/>
            </w:tcBorders>
            <w:shd w:val="clear" w:color="auto" w:fill="auto"/>
            <w:vAlign w:val="center"/>
          </w:tcPr>
          <w:p>
            <w:pPr>
              <w:widowControl/>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rPr>
              <w:t>有机废气</w:t>
            </w:r>
          </w:p>
        </w:tc>
        <w:tc>
          <w:tcPr>
            <w:tcW w:w="273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eastAsia="zh-CN"/>
              </w:rPr>
              <w:t>设置</w:t>
            </w:r>
            <w:r>
              <w:rPr>
                <w:rFonts w:hint="default" w:ascii="Times New Roman" w:hAnsi="Times New Roman" w:cs="Times New Roman"/>
                <w:color w:val="auto"/>
                <w:kern w:val="0"/>
                <w:sz w:val="21"/>
                <w:szCs w:val="21"/>
              </w:rPr>
              <w:t>1套活性炭吸附塔处理有机废气，处理效率为60%，废气处理后由</w:t>
            </w:r>
            <w:r>
              <w:rPr>
                <w:rFonts w:hint="default" w:ascii="Times New Roman" w:hAnsi="Times New Roman" w:cs="Times New Roman"/>
                <w:color w:val="auto"/>
                <w:kern w:val="0"/>
                <w:sz w:val="21"/>
                <w:szCs w:val="21"/>
                <w:lang w:val="en-US" w:eastAsia="zh-CN"/>
              </w:rPr>
              <w:t>15m</w:t>
            </w:r>
            <w:r>
              <w:rPr>
                <w:rFonts w:hint="default" w:ascii="Times New Roman" w:hAnsi="Times New Roman" w:cs="Times New Roman"/>
                <w:color w:val="auto"/>
                <w:kern w:val="0"/>
                <w:sz w:val="21"/>
                <w:szCs w:val="21"/>
              </w:rPr>
              <w:t>排气筒</w:t>
            </w:r>
            <w:r>
              <w:rPr>
                <w:rFonts w:hint="default" w:ascii="Times New Roman" w:hAnsi="Times New Roman" w:cs="Times New Roman"/>
                <w:color w:val="auto"/>
                <w:kern w:val="0"/>
                <w:sz w:val="21"/>
                <w:szCs w:val="21"/>
                <w:lang w:eastAsia="zh-CN"/>
              </w:rPr>
              <w:t>DA008</w:t>
            </w:r>
            <w:r>
              <w:rPr>
                <w:rFonts w:hint="default" w:ascii="Times New Roman" w:hAnsi="Times New Roman" w:cs="Times New Roman"/>
                <w:color w:val="auto"/>
                <w:kern w:val="0"/>
                <w:sz w:val="21"/>
                <w:szCs w:val="21"/>
              </w:rPr>
              <w:t>排放。</w:t>
            </w:r>
          </w:p>
        </w:tc>
        <w:tc>
          <w:tcPr>
            <w:tcW w:w="430"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rPr>
              <w:t>0</w:t>
            </w:r>
          </w:p>
        </w:tc>
        <w:tc>
          <w:tcPr>
            <w:tcW w:w="529"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依托</w:t>
            </w:r>
          </w:p>
        </w:tc>
      </w:tr>
      <w:tr>
        <w:tblPrEx>
          <w:tblCellMar>
            <w:top w:w="0" w:type="dxa"/>
            <w:left w:w="108" w:type="dxa"/>
            <w:bottom w:w="0" w:type="dxa"/>
            <w:right w:w="108" w:type="dxa"/>
          </w:tblCellMar>
        </w:tblPrEx>
        <w:trPr>
          <w:trHeight w:val="305" w:hRule="atLeast"/>
        </w:trPr>
        <w:tc>
          <w:tcPr>
            <w:tcW w:w="335" w:type="pct"/>
            <w:vMerge w:val="continue"/>
            <w:tcBorders>
              <w:left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auto"/>
                <w:kern w:val="0"/>
                <w:sz w:val="21"/>
                <w:szCs w:val="21"/>
              </w:rPr>
            </w:pPr>
          </w:p>
        </w:tc>
        <w:tc>
          <w:tcPr>
            <w:tcW w:w="966" w:type="pct"/>
            <w:tcBorders>
              <w:top w:val="single" w:color="auto" w:sz="4" w:space="0"/>
              <w:left w:val="nil"/>
              <w:right w:val="single" w:color="auto" w:sz="4" w:space="0"/>
            </w:tcBorders>
            <w:shd w:val="clear" w:color="auto" w:fill="auto"/>
            <w:vAlign w:val="center"/>
          </w:tcPr>
          <w:p>
            <w:pPr>
              <w:widowControl/>
              <w:jc w:val="center"/>
              <w:rPr>
                <w:rFonts w:hint="default" w:ascii="Times New Roman" w:hAnsi="Times New Roman" w:eastAsia="宋体" w:cs="Times New Roman"/>
                <w:color w:val="auto"/>
                <w:kern w:val="0"/>
                <w:sz w:val="21"/>
                <w:szCs w:val="21"/>
                <w:lang w:eastAsia="zh-CN"/>
              </w:rPr>
            </w:pPr>
            <w:r>
              <w:rPr>
                <w:rFonts w:hint="default" w:ascii="Times New Roman" w:hAnsi="Times New Roman" w:cs="Times New Roman"/>
                <w:color w:val="auto"/>
                <w:kern w:val="0"/>
                <w:sz w:val="21"/>
                <w:szCs w:val="21"/>
                <w:lang w:eastAsia="zh-CN"/>
              </w:rPr>
              <w:t>切片废气</w:t>
            </w:r>
          </w:p>
        </w:tc>
        <w:tc>
          <w:tcPr>
            <w:tcW w:w="273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Times New Roman" w:hAnsi="Times New Roman" w:cs="Times New Roman"/>
                <w:color w:val="auto"/>
                <w:kern w:val="0"/>
                <w:sz w:val="21"/>
                <w:szCs w:val="21"/>
                <w:lang w:eastAsia="zh-CN"/>
              </w:rPr>
            </w:pPr>
            <w:r>
              <w:rPr>
                <w:rFonts w:hint="default" w:ascii="Times New Roman" w:hAnsi="Times New Roman" w:cs="Times New Roman"/>
                <w:color w:val="auto"/>
                <w:kern w:val="0"/>
                <w:sz w:val="21"/>
                <w:szCs w:val="21"/>
                <w:lang w:eastAsia="zh-CN"/>
              </w:rPr>
              <w:t>设置</w:t>
            </w:r>
            <w:r>
              <w:rPr>
                <w:rFonts w:hint="default" w:ascii="Times New Roman" w:hAnsi="Times New Roman" w:cs="Times New Roman"/>
                <w:color w:val="auto"/>
                <w:kern w:val="0"/>
                <w:sz w:val="21"/>
                <w:szCs w:val="21"/>
              </w:rPr>
              <w:t>1套</w:t>
            </w:r>
            <w:r>
              <w:rPr>
                <w:rFonts w:hint="default" w:ascii="Times New Roman" w:hAnsi="Times New Roman" w:cs="Times New Roman"/>
                <w:color w:val="auto"/>
                <w:kern w:val="0"/>
                <w:sz w:val="21"/>
                <w:szCs w:val="21"/>
                <w:lang w:eastAsia="zh-CN"/>
              </w:rPr>
              <w:t>文丘里洗涤塔</w:t>
            </w:r>
            <w:r>
              <w:rPr>
                <w:rFonts w:hint="default" w:ascii="Times New Roman" w:hAnsi="Times New Roman" w:cs="Times New Roman"/>
                <w:color w:val="auto"/>
                <w:kern w:val="0"/>
                <w:sz w:val="21"/>
                <w:szCs w:val="21"/>
              </w:rPr>
              <w:t>处理</w:t>
            </w:r>
            <w:r>
              <w:rPr>
                <w:rFonts w:hint="default" w:ascii="Times New Roman" w:hAnsi="Times New Roman" w:cs="Times New Roman"/>
                <w:color w:val="auto"/>
                <w:kern w:val="0"/>
                <w:sz w:val="21"/>
                <w:szCs w:val="21"/>
                <w:lang w:eastAsia="zh-CN"/>
              </w:rPr>
              <w:t>切割粉尘</w:t>
            </w:r>
            <w:r>
              <w:rPr>
                <w:rFonts w:hint="default" w:ascii="Times New Roman" w:hAnsi="Times New Roman" w:cs="Times New Roman"/>
                <w:color w:val="auto"/>
                <w:kern w:val="0"/>
                <w:sz w:val="21"/>
                <w:szCs w:val="21"/>
              </w:rPr>
              <w:t>，废气处理后由</w:t>
            </w:r>
            <w:r>
              <w:rPr>
                <w:rFonts w:hint="default" w:ascii="Times New Roman" w:hAnsi="Times New Roman" w:cs="Times New Roman"/>
                <w:color w:val="auto"/>
                <w:kern w:val="0"/>
                <w:sz w:val="21"/>
                <w:szCs w:val="21"/>
                <w:lang w:val="en-US" w:eastAsia="zh-CN"/>
              </w:rPr>
              <w:t>15m</w:t>
            </w:r>
            <w:r>
              <w:rPr>
                <w:rFonts w:hint="default" w:ascii="Times New Roman" w:hAnsi="Times New Roman" w:cs="Times New Roman"/>
                <w:color w:val="auto"/>
                <w:kern w:val="0"/>
                <w:sz w:val="21"/>
                <w:szCs w:val="21"/>
              </w:rPr>
              <w:t>排气筒</w:t>
            </w:r>
            <w:r>
              <w:rPr>
                <w:rFonts w:hint="default" w:ascii="Times New Roman" w:hAnsi="Times New Roman" w:cs="Times New Roman"/>
                <w:color w:val="auto"/>
                <w:kern w:val="0"/>
                <w:sz w:val="21"/>
                <w:szCs w:val="21"/>
                <w:lang w:eastAsia="zh-CN"/>
              </w:rPr>
              <w:t>DA00</w:t>
            </w:r>
            <w:r>
              <w:rPr>
                <w:rFonts w:hint="default" w:ascii="Times New Roman" w:hAnsi="Times New Roman" w:cs="Times New Roman"/>
                <w:color w:val="auto"/>
                <w:kern w:val="0"/>
                <w:sz w:val="21"/>
                <w:szCs w:val="21"/>
                <w:lang w:val="en-US" w:eastAsia="zh-CN"/>
              </w:rPr>
              <w:t>9</w:t>
            </w:r>
            <w:r>
              <w:rPr>
                <w:rFonts w:hint="default" w:ascii="Times New Roman" w:hAnsi="Times New Roman" w:cs="Times New Roman"/>
                <w:color w:val="auto"/>
                <w:kern w:val="0"/>
                <w:sz w:val="21"/>
                <w:szCs w:val="21"/>
              </w:rPr>
              <w:t>排放。</w:t>
            </w:r>
          </w:p>
        </w:tc>
        <w:tc>
          <w:tcPr>
            <w:tcW w:w="430"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w:t>
            </w:r>
          </w:p>
        </w:tc>
        <w:tc>
          <w:tcPr>
            <w:tcW w:w="529"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依托</w:t>
            </w:r>
          </w:p>
        </w:tc>
      </w:tr>
      <w:tr>
        <w:tblPrEx>
          <w:tblCellMar>
            <w:top w:w="0" w:type="dxa"/>
            <w:left w:w="108" w:type="dxa"/>
            <w:bottom w:w="0" w:type="dxa"/>
            <w:right w:w="108" w:type="dxa"/>
          </w:tblCellMar>
        </w:tblPrEx>
        <w:trPr>
          <w:trHeight w:val="305" w:hRule="atLeast"/>
        </w:trPr>
        <w:tc>
          <w:tcPr>
            <w:tcW w:w="335" w:type="pct"/>
            <w:vMerge w:val="continue"/>
            <w:tcBorders>
              <w:left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auto"/>
                <w:kern w:val="0"/>
                <w:sz w:val="21"/>
                <w:szCs w:val="21"/>
              </w:rPr>
            </w:pPr>
          </w:p>
        </w:tc>
        <w:tc>
          <w:tcPr>
            <w:tcW w:w="966" w:type="pct"/>
            <w:tcBorders>
              <w:top w:val="single" w:color="auto" w:sz="4" w:space="0"/>
              <w:left w:val="nil"/>
              <w:right w:val="single" w:color="auto" w:sz="4" w:space="0"/>
            </w:tcBorders>
            <w:shd w:val="clear" w:color="auto" w:fill="auto"/>
            <w:vAlign w:val="center"/>
          </w:tcPr>
          <w:p>
            <w:pPr>
              <w:widowControl/>
              <w:jc w:val="center"/>
              <w:rPr>
                <w:rFonts w:hint="default" w:ascii="Times New Roman" w:hAnsi="Times New Roman" w:eastAsia="宋体" w:cs="Times New Roman"/>
                <w:color w:val="auto"/>
                <w:kern w:val="0"/>
                <w:sz w:val="21"/>
                <w:szCs w:val="21"/>
                <w:lang w:eastAsia="zh-CN"/>
              </w:rPr>
            </w:pPr>
            <w:r>
              <w:rPr>
                <w:rFonts w:hint="default" w:ascii="Times New Roman" w:hAnsi="Times New Roman" w:cs="Times New Roman"/>
                <w:color w:val="auto"/>
                <w:kern w:val="0"/>
                <w:sz w:val="21"/>
                <w:szCs w:val="21"/>
                <w:lang w:eastAsia="zh-CN"/>
              </w:rPr>
              <w:t>酸洗废气</w:t>
            </w:r>
          </w:p>
        </w:tc>
        <w:tc>
          <w:tcPr>
            <w:tcW w:w="273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eastAsia="zh-CN"/>
              </w:rPr>
              <w:t>设置</w:t>
            </w:r>
            <w:r>
              <w:rPr>
                <w:rFonts w:hint="default" w:ascii="Times New Roman" w:hAnsi="Times New Roman" w:cs="Times New Roman"/>
                <w:color w:val="auto"/>
                <w:kern w:val="0"/>
                <w:sz w:val="21"/>
                <w:szCs w:val="21"/>
                <w:lang w:val="en-US" w:eastAsia="zh-CN"/>
              </w:rPr>
              <w:t>1套四级氢氧化钠洗涤塔处理吸杂车间酸洗废气，处理后由1根15m排气筒DA011排放</w:t>
            </w:r>
          </w:p>
        </w:tc>
        <w:tc>
          <w:tcPr>
            <w:tcW w:w="430"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30</w:t>
            </w:r>
          </w:p>
        </w:tc>
        <w:tc>
          <w:tcPr>
            <w:tcW w:w="529"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新建</w:t>
            </w:r>
          </w:p>
        </w:tc>
      </w:tr>
      <w:tr>
        <w:tblPrEx>
          <w:tblCellMar>
            <w:top w:w="0" w:type="dxa"/>
            <w:left w:w="108" w:type="dxa"/>
            <w:bottom w:w="0" w:type="dxa"/>
            <w:right w:w="108" w:type="dxa"/>
          </w:tblCellMar>
        </w:tblPrEx>
        <w:trPr>
          <w:trHeight w:val="305" w:hRule="atLeast"/>
        </w:trPr>
        <w:tc>
          <w:tcPr>
            <w:tcW w:w="335" w:type="pct"/>
            <w:vMerge w:val="continue"/>
            <w:tcBorders>
              <w:left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auto"/>
                <w:kern w:val="0"/>
                <w:sz w:val="21"/>
                <w:szCs w:val="21"/>
              </w:rPr>
            </w:pPr>
          </w:p>
        </w:tc>
        <w:tc>
          <w:tcPr>
            <w:tcW w:w="966" w:type="pct"/>
            <w:tcBorders>
              <w:top w:val="single" w:color="auto" w:sz="4" w:space="0"/>
              <w:left w:val="nil"/>
              <w:right w:val="single" w:color="auto" w:sz="4" w:space="0"/>
            </w:tcBorders>
            <w:shd w:val="clear" w:color="auto" w:fill="auto"/>
            <w:vAlign w:val="center"/>
          </w:tcPr>
          <w:p>
            <w:pPr>
              <w:widowControl/>
              <w:jc w:val="center"/>
              <w:rPr>
                <w:rFonts w:hint="default" w:ascii="Times New Roman" w:hAnsi="Times New Roman" w:eastAsia="宋体" w:cs="Times New Roman"/>
                <w:color w:val="auto"/>
                <w:kern w:val="0"/>
                <w:sz w:val="21"/>
                <w:szCs w:val="21"/>
                <w:lang w:eastAsia="zh-CN"/>
              </w:rPr>
            </w:pPr>
            <w:r>
              <w:rPr>
                <w:rFonts w:hint="default" w:ascii="Times New Roman" w:hAnsi="Times New Roman" w:cs="Times New Roman"/>
                <w:color w:val="auto"/>
                <w:kern w:val="0"/>
                <w:sz w:val="21"/>
                <w:szCs w:val="21"/>
                <w:lang w:eastAsia="zh-CN"/>
              </w:rPr>
              <w:t>综合污水处理站恶臭</w:t>
            </w:r>
          </w:p>
        </w:tc>
        <w:tc>
          <w:tcPr>
            <w:tcW w:w="273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eastAsia="zh-CN"/>
              </w:rPr>
              <w:t>设置</w:t>
            </w:r>
            <w:r>
              <w:rPr>
                <w:rFonts w:hint="default" w:ascii="Times New Roman" w:hAnsi="Times New Roman" w:cs="Times New Roman"/>
                <w:color w:val="auto"/>
                <w:kern w:val="0"/>
                <w:sz w:val="21"/>
                <w:szCs w:val="21"/>
                <w:lang w:val="en-US" w:eastAsia="zh-CN"/>
              </w:rPr>
              <w:t>1套除臭系统治理污水处理站恶臭，处理后由1根15m排气筒DA010排放</w:t>
            </w:r>
          </w:p>
        </w:tc>
        <w:tc>
          <w:tcPr>
            <w:tcW w:w="430"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w:t>
            </w:r>
          </w:p>
        </w:tc>
        <w:tc>
          <w:tcPr>
            <w:tcW w:w="529"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依托</w:t>
            </w:r>
          </w:p>
        </w:tc>
      </w:tr>
      <w:tr>
        <w:tblPrEx>
          <w:tblCellMar>
            <w:top w:w="0" w:type="dxa"/>
            <w:left w:w="108" w:type="dxa"/>
            <w:bottom w:w="0" w:type="dxa"/>
            <w:right w:w="108" w:type="dxa"/>
          </w:tblCellMar>
        </w:tblPrEx>
        <w:trPr>
          <w:trHeight w:val="340" w:hRule="atLeast"/>
        </w:trPr>
        <w:tc>
          <w:tcPr>
            <w:tcW w:w="335" w:type="pct"/>
            <w:vMerge w:val="restart"/>
            <w:tcBorders>
              <w:top w:val="single" w:color="auto" w:sz="4" w:space="0"/>
              <w:left w:val="single" w:color="auto" w:sz="4" w:space="0"/>
              <w:right w:val="single" w:color="auto" w:sz="4" w:space="0"/>
            </w:tcBorders>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废水</w:t>
            </w:r>
          </w:p>
        </w:tc>
        <w:tc>
          <w:tcPr>
            <w:tcW w:w="966"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color w:val="auto"/>
                <w:kern w:val="0"/>
                <w:sz w:val="21"/>
                <w:szCs w:val="21"/>
                <w:lang w:eastAsia="zh-CN"/>
              </w:rPr>
            </w:pPr>
            <w:r>
              <w:rPr>
                <w:rFonts w:hint="default" w:ascii="Times New Roman" w:hAnsi="Times New Roman" w:cs="Times New Roman"/>
                <w:color w:val="auto"/>
                <w:kern w:val="0"/>
                <w:sz w:val="21"/>
                <w:szCs w:val="21"/>
                <w:lang w:eastAsia="zh-CN"/>
              </w:rPr>
              <w:t>食堂废水</w:t>
            </w:r>
          </w:p>
        </w:tc>
        <w:tc>
          <w:tcPr>
            <w:tcW w:w="2738" w:type="pct"/>
            <w:tcBorders>
              <w:top w:val="single" w:color="auto" w:sz="4" w:space="0"/>
              <w:left w:val="nil"/>
              <w:bottom w:val="single" w:color="auto" w:sz="4" w:space="0"/>
              <w:right w:val="single" w:color="auto" w:sz="4" w:space="0"/>
            </w:tcBorders>
            <w:shd w:val="clear" w:color="auto" w:fill="auto"/>
            <w:vAlign w:val="center"/>
          </w:tcPr>
          <w:p>
            <w:pPr>
              <w:widowControl/>
              <w:jc w:val="left"/>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eastAsia="zh-CN"/>
              </w:rPr>
              <w:t>设置</w:t>
            </w:r>
            <w:r>
              <w:rPr>
                <w:rFonts w:hint="default" w:ascii="Times New Roman" w:hAnsi="Times New Roman" w:cs="Times New Roman"/>
                <w:color w:val="auto"/>
                <w:kern w:val="0"/>
                <w:sz w:val="21"/>
                <w:szCs w:val="21"/>
                <w:lang w:val="en-US" w:eastAsia="zh-CN"/>
              </w:rPr>
              <w:t>2</w:t>
            </w:r>
            <w:r>
              <w:rPr>
                <w:rFonts w:hint="default" w:ascii="Times New Roman" w:hAnsi="Times New Roman" w:cs="Times New Roman"/>
                <w:color w:val="auto"/>
                <w:kern w:val="0"/>
                <w:sz w:val="21"/>
                <w:szCs w:val="21"/>
                <w:lang w:eastAsia="zh-CN"/>
              </w:rPr>
              <w:t>个总容积为</w:t>
            </w:r>
            <w:r>
              <w:rPr>
                <w:rFonts w:hint="default" w:ascii="Times New Roman" w:hAnsi="Times New Roman" w:cs="Times New Roman"/>
                <w:color w:val="auto"/>
                <w:kern w:val="0"/>
                <w:sz w:val="21"/>
                <w:szCs w:val="21"/>
                <w:lang w:val="en-US" w:eastAsia="zh-CN"/>
              </w:rPr>
              <w:t>19.52</w:t>
            </w:r>
            <w:r>
              <w:rPr>
                <w:rFonts w:hint="default" w:ascii="Times New Roman" w:hAnsi="Times New Roman" w:cs="Times New Roman"/>
                <w:color w:val="auto"/>
                <w:kern w:val="0"/>
                <w:sz w:val="21"/>
                <w:szCs w:val="21"/>
              </w:rPr>
              <w:t>m³的</w:t>
            </w:r>
            <w:r>
              <w:rPr>
                <w:rFonts w:hint="default" w:ascii="Times New Roman" w:hAnsi="Times New Roman" w:cs="Times New Roman"/>
                <w:color w:val="auto"/>
                <w:kern w:val="0"/>
                <w:sz w:val="21"/>
                <w:szCs w:val="21"/>
                <w:lang w:eastAsia="zh-CN"/>
              </w:rPr>
              <w:t>隔油池</w:t>
            </w:r>
          </w:p>
        </w:tc>
        <w:tc>
          <w:tcPr>
            <w:tcW w:w="430"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w:t>
            </w:r>
          </w:p>
        </w:tc>
        <w:tc>
          <w:tcPr>
            <w:tcW w:w="529"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依托</w:t>
            </w:r>
          </w:p>
        </w:tc>
      </w:tr>
      <w:tr>
        <w:tblPrEx>
          <w:tblCellMar>
            <w:top w:w="0" w:type="dxa"/>
            <w:left w:w="108" w:type="dxa"/>
            <w:bottom w:w="0" w:type="dxa"/>
            <w:right w:w="108" w:type="dxa"/>
          </w:tblCellMar>
        </w:tblPrEx>
        <w:trPr>
          <w:trHeight w:val="340" w:hRule="atLeast"/>
        </w:trPr>
        <w:tc>
          <w:tcPr>
            <w:tcW w:w="335" w:type="pct"/>
            <w:vMerge w:val="continue"/>
            <w:tcBorders>
              <w:left w:val="single" w:color="auto" w:sz="4" w:space="0"/>
              <w:right w:val="single" w:color="auto" w:sz="4" w:space="0"/>
            </w:tcBorders>
            <w:vAlign w:val="center"/>
          </w:tcPr>
          <w:p>
            <w:pPr>
              <w:widowControl/>
              <w:jc w:val="center"/>
              <w:rPr>
                <w:rFonts w:hint="default" w:ascii="Times New Roman" w:hAnsi="Times New Roman" w:cs="Times New Roman"/>
                <w:color w:val="auto"/>
                <w:kern w:val="0"/>
                <w:sz w:val="21"/>
                <w:szCs w:val="21"/>
              </w:rPr>
            </w:pPr>
          </w:p>
        </w:tc>
        <w:tc>
          <w:tcPr>
            <w:tcW w:w="966"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生活废水</w:t>
            </w:r>
          </w:p>
        </w:tc>
        <w:tc>
          <w:tcPr>
            <w:tcW w:w="2738" w:type="pct"/>
            <w:tcBorders>
              <w:top w:val="single" w:color="auto" w:sz="4" w:space="0"/>
              <w:left w:val="nil"/>
              <w:bottom w:val="single" w:color="auto" w:sz="4" w:space="0"/>
              <w:right w:val="single" w:color="auto" w:sz="4" w:space="0"/>
            </w:tcBorders>
            <w:shd w:val="clear" w:color="auto" w:fill="auto"/>
            <w:vAlign w:val="center"/>
          </w:tcPr>
          <w:p>
            <w:pPr>
              <w:widowControl/>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lang w:eastAsia="zh-CN"/>
              </w:rPr>
              <w:t>设置</w:t>
            </w:r>
            <w:r>
              <w:rPr>
                <w:rFonts w:hint="default" w:ascii="Times New Roman" w:hAnsi="Times New Roman" w:cs="Times New Roman"/>
                <w:color w:val="auto"/>
                <w:kern w:val="0"/>
                <w:sz w:val="21"/>
                <w:szCs w:val="21"/>
                <w:lang w:val="en-US" w:eastAsia="zh-CN"/>
              </w:rPr>
              <w:t>7个</w:t>
            </w:r>
            <w:r>
              <w:rPr>
                <w:rFonts w:hint="default" w:ascii="Times New Roman" w:hAnsi="Times New Roman" w:cs="Times New Roman"/>
                <w:color w:val="auto"/>
                <w:kern w:val="0"/>
                <w:sz w:val="21"/>
                <w:szCs w:val="21"/>
              </w:rPr>
              <w:t>总容积为</w:t>
            </w:r>
            <w:r>
              <w:rPr>
                <w:rFonts w:hint="default" w:ascii="Times New Roman" w:hAnsi="Times New Roman" w:cs="Times New Roman"/>
                <w:color w:val="auto"/>
                <w:kern w:val="0"/>
                <w:sz w:val="21"/>
                <w:szCs w:val="21"/>
                <w:lang w:val="en-US" w:eastAsia="zh-CN"/>
              </w:rPr>
              <w:t>207.52</w:t>
            </w:r>
            <w:r>
              <w:rPr>
                <w:rFonts w:hint="default" w:ascii="Times New Roman" w:hAnsi="Times New Roman" w:cs="Times New Roman"/>
                <w:color w:val="auto"/>
                <w:kern w:val="0"/>
                <w:sz w:val="21"/>
                <w:szCs w:val="21"/>
              </w:rPr>
              <w:t>m³的化粪池</w:t>
            </w:r>
          </w:p>
        </w:tc>
        <w:tc>
          <w:tcPr>
            <w:tcW w:w="430"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w:t>
            </w:r>
          </w:p>
        </w:tc>
        <w:tc>
          <w:tcPr>
            <w:tcW w:w="529"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依托</w:t>
            </w:r>
          </w:p>
        </w:tc>
      </w:tr>
      <w:tr>
        <w:tblPrEx>
          <w:tblCellMar>
            <w:top w:w="0" w:type="dxa"/>
            <w:left w:w="108" w:type="dxa"/>
            <w:bottom w:w="0" w:type="dxa"/>
            <w:right w:w="108" w:type="dxa"/>
          </w:tblCellMar>
        </w:tblPrEx>
        <w:trPr>
          <w:trHeight w:val="90" w:hRule="atLeast"/>
        </w:trPr>
        <w:tc>
          <w:tcPr>
            <w:tcW w:w="335"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auto"/>
                <w:kern w:val="0"/>
                <w:sz w:val="21"/>
                <w:szCs w:val="21"/>
              </w:rPr>
            </w:pPr>
          </w:p>
        </w:tc>
        <w:tc>
          <w:tcPr>
            <w:tcW w:w="966" w:type="pct"/>
            <w:vMerge w:val="restart"/>
            <w:tcBorders>
              <w:top w:val="single" w:color="auto" w:sz="4" w:space="0"/>
              <w:left w:val="nil"/>
              <w:right w:val="single" w:color="auto" w:sz="4" w:space="0"/>
            </w:tcBorders>
            <w:shd w:val="clear" w:color="auto" w:fill="auto"/>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生产废水</w:t>
            </w:r>
          </w:p>
        </w:tc>
        <w:tc>
          <w:tcPr>
            <w:tcW w:w="2738" w:type="pct"/>
            <w:tcBorders>
              <w:top w:val="single" w:color="auto" w:sz="4" w:space="0"/>
              <w:left w:val="nil"/>
              <w:right w:val="single" w:color="auto" w:sz="4" w:space="0"/>
            </w:tcBorders>
            <w:shd w:val="clear" w:color="auto" w:fill="auto"/>
            <w:vAlign w:val="center"/>
          </w:tcPr>
          <w:p>
            <w:pPr>
              <w:widowControl/>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设置的1套处理规模为</w:t>
            </w:r>
            <w:r>
              <w:rPr>
                <w:rFonts w:hint="default" w:ascii="Times New Roman" w:hAnsi="Times New Roman" w:cs="Times New Roman"/>
                <w:color w:val="auto"/>
                <w:sz w:val="21"/>
                <w:szCs w:val="21"/>
                <w:lang w:val="en-US" w:eastAsia="zh-CN"/>
              </w:rPr>
              <w:t>353</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/h的综合</w:t>
            </w:r>
            <w:r>
              <w:rPr>
                <w:rFonts w:hint="default" w:ascii="Times New Roman" w:hAnsi="Times New Roman" w:cs="Times New Roman"/>
                <w:color w:val="auto"/>
                <w:sz w:val="21"/>
                <w:szCs w:val="21"/>
                <w:lang w:eastAsia="zh-CN"/>
              </w:rPr>
              <w:t>综合污水处理站</w:t>
            </w:r>
          </w:p>
        </w:tc>
        <w:tc>
          <w:tcPr>
            <w:tcW w:w="430"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w:t>
            </w:r>
          </w:p>
        </w:tc>
        <w:tc>
          <w:tcPr>
            <w:tcW w:w="529"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依托</w:t>
            </w:r>
          </w:p>
        </w:tc>
      </w:tr>
      <w:tr>
        <w:tblPrEx>
          <w:tblCellMar>
            <w:top w:w="0" w:type="dxa"/>
            <w:left w:w="108" w:type="dxa"/>
            <w:bottom w:w="0" w:type="dxa"/>
            <w:right w:w="108" w:type="dxa"/>
          </w:tblCellMar>
        </w:tblPrEx>
        <w:trPr>
          <w:trHeight w:val="340" w:hRule="atLeast"/>
        </w:trPr>
        <w:tc>
          <w:tcPr>
            <w:tcW w:w="335"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auto"/>
                <w:kern w:val="0"/>
                <w:sz w:val="21"/>
                <w:szCs w:val="21"/>
              </w:rPr>
            </w:pPr>
          </w:p>
        </w:tc>
        <w:tc>
          <w:tcPr>
            <w:tcW w:w="966" w:type="pct"/>
            <w:vMerge w:val="continue"/>
            <w:tcBorders>
              <w:left w:val="nil"/>
              <w:right w:val="single" w:color="auto" w:sz="4" w:space="0"/>
            </w:tcBorders>
            <w:shd w:val="clear" w:color="auto" w:fill="auto"/>
            <w:vAlign w:val="center"/>
          </w:tcPr>
          <w:p>
            <w:pPr>
              <w:widowControl/>
              <w:jc w:val="center"/>
              <w:rPr>
                <w:rFonts w:hint="default" w:ascii="Times New Roman" w:hAnsi="Times New Roman" w:cs="Times New Roman"/>
                <w:color w:val="auto"/>
                <w:kern w:val="0"/>
                <w:sz w:val="21"/>
                <w:szCs w:val="21"/>
              </w:rPr>
            </w:pPr>
          </w:p>
        </w:tc>
        <w:tc>
          <w:tcPr>
            <w:tcW w:w="2738" w:type="pct"/>
            <w:tcBorders>
              <w:top w:val="single" w:color="auto" w:sz="4" w:space="0"/>
              <w:left w:val="nil"/>
              <w:bottom w:val="single" w:color="auto" w:sz="4" w:space="0"/>
              <w:right w:val="single" w:color="auto" w:sz="4" w:space="0"/>
            </w:tcBorders>
            <w:shd w:val="clear" w:color="auto" w:fill="auto"/>
            <w:vAlign w:val="center"/>
          </w:tcPr>
          <w:p>
            <w:pPr>
              <w:widowControl/>
              <w:jc w:val="left"/>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lang w:eastAsia="zh-CN"/>
              </w:rPr>
              <w:t>设置</w:t>
            </w:r>
            <w:r>
              <w:rPr>
                <w:rFonts w:hint="default" w:ascii="Times New Roman" w:hAnsi="Times New Roman" w:cs="Times New Roman"/>
                <w:color w:val="auto"/>
                <w:kern w:val="0"/>
                <w:sz w:val="21"/>
                <w:szCs w:val="21"/>
                <w:lang w:val="en-US" w:eastAsia="zh-CN"/>
              </w:rPr>
              <w:t>1</w:t>
            </w:r>
            <w:r>
              <w:rPr>
                <w:rFonts w:hint="default" w:ascii="Times New Roman" w:hAnsi="Times New Roman" w:cs="Times New Roman"/>
                <w:color w:val="auto"/>
                <w:kern w:val="0"/>
                <w:sz w:val="21"/>
                <w:szCs w:val="21"/>
                <w:lang w:val="en-US" w:eastAsia="zh-CN"/>
              </w:rPr>
              <w:t>1</w:t>
            </w:r>
            <w:r>
              <w:rPr>
                <w:rFonts w:hint="default" w:ascii="Times New Roman" w:hAnsi="Times New Roman" w:cs="Times New Roman"/>
                <w:color w:val="auto"/>
                <w:kern w:val="0"/>
                <w:sz w:val="21"/>
                <w:szCs w:val="21"/>
                <w:lang w:val="en-US" w:eastAsia="zh-CN"/>
              </w:rPr>
              <w:t>套</w:t>
            </w:r>
            <w:r>
              <w:rPr>
                <w:rFonts w:hint="default" w:ascii="Times New Roman" w:hAnsi="Times New Roman" w:cs="Times New Roman"/>
                <w:color w:val="auto"/>
                <w:kern w:val="0"/>
                <w:sz w:val="21"/>
                <w:szCs w:val="21"/>
                <w:lang w:val="en-US" w:eastAsia="zh-CN"/>
              </w:rPr>
              <w:t>总</w:t>
            </w:r>
            <w:r>
              <w:rPr>
                <w:rFonts w:hint="default" w:ascii="Times New Roman" w:hAnsi="Times New Roman" w:cs="Times New Roman"/>
                <w:color w:val="auto"/>
                <w:kern w:val="0"/>
                <w:sz w:val="21"/>
                <w:szCs w:val="21"/>
                <w:lang w:val="en-US" w:eastAsia="zh-CN"/>
              </w:rPr>
              <w:t>处理规模为</w:t>
            </w:r>
            <w:r>
              <w:rPr>
                <w:rFonts w:hint="default" w:ascii="Times New Roman" w:hAnsi="Times New Roman" w:cs="Times New Roman"/>
                <w:color w:val="auto"/>
                <w:kern w:val="0"/>
                <w:sz w:val="21"/>
                <w:szCs w:val="21"/>
                <w:lang w:val="en-US" w:eastAsia="zh-CN"/>
              </w:rPr>
              <w:t>55</w:t>
            </w:r>
            <w:r>
              <w:rPr>
                <w:rFonts w:hint="default" w:ascii="Times New Roman" w:hAnsi="Times New Roman" w:cs="Times New Roman"/>
                <w:color w:val="auto"/>
                <w:kern w:val="0"/>
                <w:sz w:val="21"/>
                <w:szCs w:val="21"/>
                <w:lang w:val="en-US" w:eastAsia="zh-CN"/>
              </w:rPr>
              <w:t>m</w:t>
            </w:r>
            <w:r>
              <w:rPr>
                <w:rFonts w:hint="default" w:ascii="Times New Roman" w:hAnsi="Times New Roman" w:cs="Times New Roman"/>
                <w:color w:val="auto"/>
                <w:kern w:val="0"/>
                <w:sz w:val="21"/>
                <w:szCs w:val="21"/>
                <w:vertAlign w:val="superscript"/>
                <w:lang w:val="en-US" w:eastAsia="zh-CN"/>
              </w:rPr>
              <w:t>3</w:t>
            </w:r>
            <w:r>
              <w:rPr>
                <w:rFonts w:hint="default" w:ascii="Times New Roman" w:hAnsi="Times New Roman" w:cs="Times New Roman"/>
                <w:color w:val="auto"/>
                <w:kern w:val="0"/>
                <w:sz w:val="21"/>
                <w:szCs w:val="21"/>
                <w:vertAlign w:val="baseline"/>
                <w:lang w:val="en-US" w:eastAsia="zh-CN"/>
              </w:rPr>
              <w:t>/h的隔膜板框压滤机处理切割废水</w:t>
            </w:r>
          </w:p>
        </w:tc>
        <w:tc>
          <w:tcPr>
            <w:tcW w:w="430"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w:t>
            </w:r>
          </w:p>
        </w:tc>
        <w:tc>
          <w:tcPr>
            <w:tcW w:w="529"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依托</w:t>
            </w:r>
          </w:p>
        </w:tc>
      </w:tr>
      <w:tr>
        <w:tblPrEx>
          <w:tblCellMar>
            <w:top w:w="0" w:type="dxa"/>
            <w:left w:w="108" w:type="dxa"/>
            <w:bottom w:w="0" w:type="dxa"/>
            <w:right w:w="108" w:type="dxa"/>
          </w:tblCellMar>
        </w:tblPrEx>
        <w:trPr>
          <w:trHeight w:val="340" w:hRule="atLeast"/>
        </w:trPr>
        <w:tc>
          <w:tcPr>
            <w:tcW w:w="335"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auto"/>
                <w:kern w:val="0"/>
                <w:sz w:val="21"/>
                <w:szCs w:val="21"/>
              </w:rPr>
            </w:pPr>
          </w:p>
        </w:tc>
        <w:tc>
          <w:tcPr>
            <w:tcW w:w="966" w:type="pct"/>
            <w:vMerge w:val="continue"/>
            <w:tcBorders>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auto"/>
                <w:kern w:val="0"/>
                <w:sz w:val="21"/>
                <w:szCs w:val="21"/>
              </w:rPr>
            </w:pPr>
          </w:p>
        </w:tc>
        <w:tc>
          <w:tcPr>
            <w:tcW w:w="2738" w:type="pct"/>
            <w:tcBorders>
              <w:top w:val="single" w:color="auto" w:sz="4" w:space="0"/>
              <w:left w:val="nil"/>
              <w:bottom w:val="single" w:color="auto" w:sz="4" w:space="0"/>
              <w:right w:val="single" w:color="auto" w:sz="4" w:space="0"/>
            </w:tcBorders>
            <w:shd w:val="clear" w:color="auto" w:fill="auto"/>
            <w:vAlign w:val="center"/>
          </w:tcPr>
          <w:p>
            <w:pPr>
              <w:widowControl/>
              <w:jc w:val="left"/>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lang w:eastAsia="zh-CN"/>
              </w:rPr>
              <w:t>设置</w:t>
            </w:r>
            <w:r>
              <w:rPr>
                <w:rFonts w:hint="default" w:ascii="Times New Roman" w:hAnsi="Times New Roman" w:cs="Times New Roman"/>
                <w:color w:val="auto"/>
                <w:kern w:val="0"/>
                <w:sz w:val="21"/>
                <w:szCs w:val="21"/>
                <w:lang w:val="en-US" w:eastAsia="zh-CN"/>
              </w:rPr>
              <w:t>1套处理规模为100m</w:t>
            </w:r>
            <w:r>
              <w:rPr>
                <w:rFonts w:hint="default" w:ascii="Times New Roman" w:hAnsi="Times New Roman" w:cs="Times New Roman"/>
                <w:color w:val="auto"/>
                <w:kern w:val="0"/>
                <w:sz w:val="21"/>
                <w:szCs w:val="21"/>
                <w:vertAlign w:val="superscript"/>
                <w:lang w:val="en-US" w:eastAsia="zh-CN"/>
              </w:rPr>
              <w:t>3</w:t>
            </w:r>
            <w:r>
              <w:rPr>
                <w:rFonts w:hint="default" w:ascii="Times New Roman" w:hAnsi="Times New Roman" w:cs="Times New Roman"/>
                <w:color w:val="auto"/>
                <w:kern w:val="0"/>
                <w:sz w:val="21"/>
                <w:szCs w:val="21"/>
                <w:vertAlign w:val="baseline"/>
                <w:lang w:val="en-US" w:eastAsia="zh-CN"/>
              </w:rPr>
              <w:t>/h的含氟废水处理站处理含氟废水</w:t>
            </w:r>
          </w:p>
        </w:tc>
        <w:tc>
          <w:tcPr>
            <w:tcW w:w="430"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w:t>
            </w:r>
          </w:p>
        </w:tc>
        <w:tc>
          <w:tcPr>
            <w:tcW w:w="529"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依托</w:t>
            </w:r>
          </w:p>
        </w:tc>
      </w:tr>
      <w:tr>
        <w:tblPrEx>
          <w:tblCellMar>
            <w:top w:w="0" w:type="dxa"/>
            <w:left w:w="108" w:type="dxa"/>
            <w:bottom w:w="0" w:type="dxa"/>
            <w:right w:w="108" w:type="dxa"/>
          </w:tblCellMar>
        </w:tblPrEx>
        <w:trPr>
          <w:trHeight w:val="340" w:hRule="atLeast"/>
        </w:trPr>
        <w:tc>
          <w:tcPr>
            <w:tcW w:w="335"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auto"/>
                <w:kern w:val="0"/>
                <w:sz w:val="21"/>
                <w:szCs w:val="21"/>
              </w:rPr>
            </w:pPr>
          </w:p>
        </w:tc>
        <w:tc>
          <w:tcPr>
            <w:tcW w:w="966"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事故废水</w:t>
            </w:r>
          </w:p>
        </w:tc>
        <w:tc>
          <w:tcPr>
            <w:tcW w:w="2738" w:type="pct"/>
            <w:tcBorders>
              <w:top w:val="single" w:color="auto" w:sz="4" w:space="0"/>
              <w:left w:val="nil"/>
              <w:bottom w:val="single" w:color="auto" w:sz="4" w:space="0"/>
              <w:right w:val="single" w:color="auto" w:sz="4" w:space="0"/>
            </w:tcBorders>
            <w:shd w:val="clear" w:color="auto" w:fill="auto"/>
            <w:vAlign w:val="center"/>
          </w:tcPr>
          <w:p>
            <w:pPr>
              <w:widowControl/>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设置1座</w:t>
            </w:r>
            <w:r>
              <w:rPr>
                <w:rFonts w:hint="default" w:ascii="Times New Roman" w:hAnsi="Times New Roman" w:cs="Times New Roman"/>
                <w:color w:val="auto"/>
                <w:kern w:val="0"/>
                <w:sz w:val="21"/>
                <w:szCs w:val="21"/>
                <w:lang w:val="en-US" w:eastAsia="zh-CN"/>
              </w:rPr>
              <w:t>3000</w:t>
            </w:r>
            <w:r>
              <w:rPr>
                <w:rFonts w:hint="default" w:ascii="Times New Roman" w:hAnsi="Times New Roman" w:cs="Times New Roman"/>
                <w:color w:val="auto"/>
                <w:kern w:val="0"/>
                <w:sz w:val="21"/>
                <w:szCs w:val="21"/>
              </w:rPr>
              <w:t>m</w:t>
            </w:r>
            <w:r>
              <w:rPr>
                <w:rFonts w:hint="default" w:ascii="Times New Roman" w:hAnsi="Times New Roman" w:cs="Times New Roman"/>
                <w:color w:val="auto"/>
                <w:kern w:val="0"/>
                <w:sz w:val="21"/>
                <w:szCs w:val="21"/>
                <w:vertAlign w:val="superscript"/>
              </w:rPr>
              <w:t>3</w:t>
            </w:r>
            <w:r>
              <w:rPr>
                <w:rFonts w:hint="default" w:ascii="Times New Roman" w:hAnsi="Times New Roman" w:cs="Times New Roman"/>
                <w:color w:val="auto"/>
                <w:kern w:val="0"/>
                <w:sz w:val="21"/>
                <w:szCs w:val="21"/>
              </w:rPr>
              <w:t>事故水池</w:t>
            </w:r>
          </w:p>
        </w:tc>
        <w:tc>
          <w:tcPr>
            <w:tcW w:w="430"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w:t>
            </w:r>
          </w:p>
        </w:tc>
        <w:tc>
          <w:tcPr>
            <w:tcW w:w="529"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rPr>
              <w:t>依托</w:t>
            </w:r>
          </w:p>
        </w:tc>
      </w:tr>
      <w:tr>
        <w:tblPrEx>
          <w:tblCellMar>
            <w:top w:w="0" w:type="dxa"/>
            <w:left w:w="108" w:type="dxa"/>
            <w:bottom w:w="0" w:type="dxa"/>
            <w:right w:w="108" w:type="dxa"/>
          </w:tblCellMar>
        </w:tblPrEx>
        <w:trPr>
          <w:trHeight w:val="340" w:hRule="atLeast"/>
        </w:trPr>
        <w:tc>
          <w:tcPr>
            <w:tcW w:w="335"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auto"/>
                <w:kern w:val="0"/>
                <w:sz w:val="21"/>
                <w:szCs w:val="21"/>
              </w:rPr>
            </w:pPr>
          </w:p>
        </w:tc>
        <w:tc>
          <w:tcPr>
            <w:tcW w:w="966"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初期雨水</w:t>
            </w:r>
          </w:p>
        </w:tc>
        <w:tc>
          <w:tcPr>
            <w:tcW w:w="2738" w:type="pct"/>
            <w:tcBorders>
              <w:top w:val="single" w:color="auto" w:sz="4" w:space="0"/>
              <w:left w:val="nil"/>
              <w:bottom w:val="single" w:color="auto" w:sz="4" w:space="0"/>
              <w:right w:val="single" w:color="auto" w:sz="4" w:space="0"/>
            </w:tcBorders>
            <w:shd w:val="clear" w:color="auto" w:fill="auto"/>
            <w:vAlign w:val="center"/>
          </w:tcPr>
          <w:p>
            <w:pPr>
              <w:widowControl/>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lang w:eastAsia="zh-CN"/>
              </w:rPr>
              <w:t>设置</w:t>
            </w:r>
            <w:r>
              <w:rPr>
                <w:rFonts w:hint="default" w:ascii="Times New Roman" w:hAnsi="Times New Roman" w:cs="Times New Roman"/>
                <w:color w:val="auto"/>
                <w:kern w:val="0"/>
                <w:sz w:val="21"/>
                <w:szCs w:val="21"/>
              </w:rPr>
              <w:t>1座</w:t>
            </w:r>
            <w:r>
              <w:rPr>
                <w:rFonts w:hint="default" w:ascii="Times New Roman" w:hAnsi="Times New Roman" w:cs="Times New Roman"/>
                <w:color w:val="auto"/>
                <w:kern w:val="0"/>
                <w:sz w:val="21"/>
                <w:szCs w:val="21"/>
                <w:lang w:val="en-US" w:eastAsia="zh-CN"/>
              </w:rPr>
              <w:t>15</w:t>
            </w:r>
            <w:r>
              <w:rPr>
                <w:rFonts w:hint="default" w:ascii="Times New Roman" w:hAnsi="Times New Roman" w:cs="Times New Roman"/>
                <w:color w:val="auto"/>
                <w:kern w:val="0"/>
                <w:sz w:val="21"/>
                <w:szCs w:val="21"/>
              </w:rPr>
              <w:t>0m³初期雨水收集池用于收集暂存厂区初期雨水</w:t>
            </w:r>
          </w:p>
        </w:tc>
        <w:tc>
          <w:tcPr>
            <w:tcW w:w="430"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w:t>
            </w:r>
          </w:p>
        </w:tc>
        <w:tc>
          <w:tcPr>
            <w:tcW w:w="529"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rPr>
              <w:t>依托</w:t>
            </w:r>
          </w:p>
        </w:tc>
      </w:tr>
      <w:tr>
        <w:tblPrEx>
          <w:tblCellMar>
            <w:top w:w="0" w:type="dxa"/>
            <w:left w:w="108" w:type="dxa"/>
            <w:bottom w:w="0" w:type="dxa"/>
            <w:right w:w="108" w:type="dxa"/>
          </w:tblCellMar>
        </w:tblPrEx>
        <w:trPr>
          <w:trHeight w:val="340" w:hRule="atLeast"/>
        </w:trPr>
        <w:tc>
          <w:tcPr>
            <w:tcW w:w="33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噪声污染</w:t>
            </w:r>
          </w:p>
        </w:tc>
        <w:tc>
          <w:tcPr>
            <w:tcW w:w="966"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产噪设备</w:t>
            </w:r>
          </w:p>
        </w:tc>
        <w:tc>
          <w:tcPr>
            <w:tcW w:w="2738" w:type="pct"/>
            <w:tcBorders>
              <w:top w:val="nil"/>
              <w:left w:val="nil"/>
              <w:bottom w:val="single" w:color="auto" w:sz="4" w:space="0"/>
              <w:right w:val="single" w:color="auto" w:sz="4" w:space="0"/>
            </w:tcBorders>
            <w:shd w:val="clear" w:color="auto" w:fill="auto"/>
            <w:vAlign w:val="center"/>
          </w:tcPr>
          <w:p>
            <w:pPr>
              <w:widowControl/>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基础减振、消声、隔声；风机、水泵采用减震。</w:t>
            </w:r>
          </w:p>
        </w:tc>
        <w:tc>
          <w:tcPr>
            <w:tcW w:w="430"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10</w:t>
            </w:r>
          </w:p>
        </w:tc>
        <w:tc>
          <w:tcPr>
            <w:tcW w:w="529"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color w:val="auto"/>
                <w:kern w:val="0"/>
                <w:sz w:val="21"/>
                <w:szCs w:val="21"/>
                <w:lang w:eastAsia="zh-CN"/>
              </w:rPr>
            </w:pPr>
            <w:r>
              <w:rPr>
                <w:rFonts w:hint="default" w:ascii="Times New Roman" w:hAnsi="Times New Roman" w:cs="Times New Roman"/>
                <w:color w:val="auto"/>
                <w:kern w:val="0"/>
                <w:sz w:val="21"/>
                <w:szCs w:val="21"/>
                <w:lang w:eastAsia="zh-CN"/>
              </w:rPr>
              <w:t>新建</w:t>
            </w:r>
          </w:p>
        </w:tc>
      </w:tr>
      <w:tr>
        <w:tblPrEx>
          <w:tblCellMar>
            <w:top w:w="0" w:type="dxa"/>
            <w:left w:w="108" w:type="dxa"/>
            <w:bottom w:w="0" w:type="dxa"/>
            <w:right w:w="108" w:type="dxa"/>
          </w:tblCellMar>
        </w:tblPrEx>
        <w:trPr>
          <w:trHeight w:val="259" w:hRule="atLeast"/>
        </w:trPr>
        <w:tc>
          <w:tcPr>
            <w:tcW w:w="335" w:type="pct"/>
            <w:vMerge w:val="restart"/>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固体废物</w:t>
            </w:r>
          </w:p>
        </w:tc>
        <w:tc>
          <w:tcPr>
            <w:tcW w:w="96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一般</w:t>
            </w:r>
            <w:r>
              <w:rPr>
                <w:rFonts w:hint="default" w:ascii="Times New Roman" w:hAnsi="Times New Roman" w:cs="Times New Roman"/>
                <w:color w:val="auto"/>
                <w:kern w:val="0"/>
                <w:sz w:val="21"/>
                <w:szCs w:val="21"/>
                <w:lang w:eastAsia="zh-CN"/>
              </w:rPr>
              <w:t>工业</w:t>
            </w:r>
            <w:r>
              <w:rPr>
                <w:rFonts w:hint="default" w:ascii="Times New Roman" w:hAnsi="Times New Roman" w:cs="Times New Roman"/>
                <w:color w:val="auto"/>
                <w:kern w:val="0"/>
                <w:sz w:val="21"/>
                <w:szCs w:val="21"/>
              </w:rPr>
              <w:t>固废</w:t>
            </w:r>
          </w:p>
        </w:tc>
        <w:tc>
          <w:tcPr>
            <w:tcW w:w="2738" w:type="pct"/>
            <w:vMerge w:val="restart"/>
            <w:tcBorders>
              <w:top w:val="single" w:color="auto" w:sz="4" w:space="0"/>
              <w:left w:val="single" w:color="auto" w:sz="4" w:space="0"/>
              <w:right w:val="single" w:color="auto" w:sz="4" w:space="0"/>
            </w:tcBorders>
            <w:shd w:val="clear" w:color="auto" w:fill="auto"/>
            <w:vAlign w:val="center"/>
          </w:tcPr>
          <w:p>
            <w:pPr>
              <w:widowControl/>
              <w:jc w:val="left"/>
              <w:rPr>
                <w:rFonts w:hint="default" w:ascii="Times New Roman" w:hAnsi="Times New Roman" w:cs="Times New Roman"/>
                <w:color w:val="auto"/>
                <w:kern w:val="0"/>
                <w:sz w:val="21"/>
                <w:szCs w:val="21"/>
                <w:lang w:eastAsia="zh-CN"/>
              </w:rPr>
            </w:pPr>
            <w:r>
              <w:rPr>
                <w:rFonts w:hint="default" w:ascii="Times New Roman" w:hAnsi="Times New Roman" w:cs="Times New Roman"/>
                <w:color w:val="auto"/>
                <w:kern w:val="0"/>
                <w:sz w:val="21"/>
                <w:szCs w:val="21"/>
                <w:lang w:eastAsia="zh-CN"/>
              </w:rPr>
              <w:t>设置</w:t>
            </w:r>
            <w:r>
              <w:rPr>
                <w:rFonts w:hint="default" w:ascii="Times New Roman" w:hAnsi="Times New Roman" w:cs="Times New Roman"/>
                <w:color w:val="auto"/>
                <w:kern w:val="0"/>
                <w:sz w:val="21"/>
                <w:szCs w:val="21"/>
                <w:lang w:val="en-US" w:eastAsia="zh-CN"/>
              </w:rPr>
              <w:t>1座4874.36m</w:t>
            </w:r>
            <w:r>
              <w:rPr>
                <w:rFonts w:hint="default" w:ascii="Times New Roman" w:hAnsi="Times New Roman" w:cs="Times New Roman"/>
                <w:color w:val="auto"/>
                <w:kern w:val="0"/>
                <w:sz w:val="21"/>
                <w:szCs w:val="21"/>
                <w:vertAlign w:val="superscript"/>
                <w:lang w:val="en-US" w:eastAsia="zh-CN"/>
              </w:rPr>
              <w:t>2</w:t>
            </w:r>
            <w:r>
              <w:rPr>
                <w:rFonts w:hint="default" w:ascii="Times New Roman" w:hAnsi="Times New Roman" w:cs="Times New Roman"/>
                <w:color w:val="auto"/>
                <w:kern w:val="0"/>
                <w:sz w:val="21"/>
                <w:szCs w:val="21"/>
                <w:vertAlign w:val="baseline"/>
                <w:lang w:val="en-US" w:eastAsia="zh-CN"/>
              </w:rPr>
              <w:t>的硅泥库</w:t>
            </w:r>
          </w:p>
        </w:tc>
        <w:tc>
          <w:tcPr>
            <w:tcW w:w="430" w:type="pct"/>
            <w:vMerge w:val="restart"/>
            <w:tcBorders>
              <w:top w:val="single" w:color="auto" w:sz="4" w:space="0"/>
              <w:left w:val="single" w:color="auto" w:sz="4" w:space="0"/>
              <w:right w:val="single" w:color="auto" w:sz="4" w:space="0"/>
            </w:tcBorders>
            <w:vAlign w:val="center"/>
          </w:tcPr>
          <w:p>
            <w:pPr>
              <w:widowControl/>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w:t>
            </w:r>
          </w:p>
        </w:tc>
        <w:tc>
          <w:tcPr>
            <w:tcW w:w="529" w:type="pct"/>
            <w:vMerge w:val="restart"/>
            <w:tcBorders>
              <w:top w:val="single" w:color="auto" w:sz="4" w:space="0"/>
              <w:left w:val="single" w:color="auto" w:sz="4" w:space="0"/>
              <w:right w:val="single" w:color="auto" w:sz="4" w:space="0"/>
            </w:tcBorders>
            <w:vAlign w:val="center"/>
          </w:tcPr>
          <w:p>
            <w:pPr>
              <w:widowControl/>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依托</w:t>
            </w:r>
          </w:p>
        </w:tc>
      </w:tr>
      <w:tr>
        <w:tblPrEx>
          <w:tblCellMar>
            <w:top w:w="0" w:type="dxa"/>
            <w:left w:w="108" w:type="dxa"/>
            <w:bottom w:w="0" w:type="dxa"/>
            <w:right w:w="108" w:type="dxa"/>
          </w:tblCellMar>
        </w:tblPrEx>
        <w:trPr>
          <w:trHeight w:val="228" w:hRule="atLeast"/>
        </w:trPr>
        <w:tc>
          <w:tcPr>
            <w:tcW w:w="335" w:type="pct"/>
            <w:vMerge w:val="continue"/>
            <w:tcBorders>
              <w:top w:val="nil"/>
              <w:left w:val="single" w:color="auto" w:sz="4" w:space="0"/>
              <w:bottom w:val="single" w:color="auto" w:sz="4" w:space="0"/>
              <w:right w:val="single" w:color="auto" w:sz="4" w:space="0"/>
            </w:tcBorders>
            <w:vAlign w:val="center"/>
          </w:tcPr>
          <w:p>
            <w:pPr>
              <w:widowControl/>
              <w:jc w:val="left"/>
              <w:rPr>
                <w:rFonts w:hint="default" w:ascii="Times New Roman" w:hAnsi="Times New Roman" w:cs="Times New Roman"/>
                <w:color w:val="auto"/>
                <w:kern w:val="0"/>
                <w:sz w:val="21"/>
                <w:szCs w:val="21"/>
              </w:rPr>
            </w:pPr>
          </w:p>
        </w:tc>
        <w:tc>
          <w:tcPr>
            <w:tcW w:w="96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color w:val="auto"/>
                <w:kern w:val="0"/>
                <w:sz w:val="21"/>
                <w:szCs w:val="21"/>
                <w:lang w:eastAsia="zh-CN"/>
              </w:rPr>
            </w:pPr>
            <w:r>
              <w:rPr>
                <w:rFonts w:hint="default" w:ascii="Times New Roman" w:hAnsi="Times New Roman" w:cs="Times New Roman"/>
                <w:color w:val="auto"/>
                <w:kern w:val="0"/>
                <w:sz w:val="21"/>
                <w:szCs w:val="21"/>
                <w:lang w:eastAsia="zh-CN"/>
              </w:rPr>
              <w:t>硅泥</w:t>
            </w:r>
          </w:p>
        </w:tc>
        <w:tc>
          <w:tcPr>
            <w:tcW w:w="2738" w:type="pct"/>
            <w:vMerge w:val="continue"/>
            <w:tcBorders>
              <w:left w:val="single" w:color="auto" w:sz="4" w:space="0"/>
              <w:bottom w:val="single" w:color="auto" w:sz="4" w:space="0"/>
              <w:right w:val="single" w:color="auto" w:sz="4" w:space="0"/>
            </w:tcBorders>
            <w:shd w:val="clear" w:color="auto" w:fill="auto"/>
            <w:vAlign w:val="center"/>
          </w:tcPr>
          <w:p>
            <w:pPr>
              <w:widowControl/>
              <w:jc w:val="left"/>
              <w:rPr>
                <w:rFonts w:hint="default" w:ascii="Times New Roman" w:hAnsi="Times New Roman" w:cs="Times New Roman"/>
                <w:color w:val="auto"/>
                <w:kern w:val="0"/>
                <w:sz w:val="21"/>
                <w:szCs w:val="21"/>
                <w:lang w:eastAsia="zh-CN"/>
              </w:rPr>
            </w:pPr>
          </w:p>
        </w:tc>
        <w:tc>
          <w:tcPr>
            <w:tcW w:w="430" w:type="pct"/>
            <w:vMerge w:val="continue"/>
            <w:tcBorders>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color w:val="auto"/>
                <w:kern w:val="0"/>
                <w:sz w:val="21"/>
                <w:szCs w:val="21"/>
                <w:lang w:val="en-US" w:eastAsia="zh-CN"/>
              </w:rPr>
            </w:pPr>
          </w:p>
        </w:tc>
        <w:tc>
          <w:tcPr>
            <w:tcW w:w="529" w:type="pct"/>
            <w:vMerge w:val="continue"/>
            <w:tcBorders>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color w:val="auto"/>
                <w:kern w:val="0"/>
                <w:sz w:val="21"/>
                <w:szCs w:val="21"/>
                <w:lang w:val="en-US" w:eastAsia="zh-CN"/>
              </w:rPr>
            </w:pPr>
          </w:p>
        </w:tc>
      </w:tr>
      <w:tr>
        <w:tblPrEx>
          <w:tblCellMar>
            <w:top w:w="0" w:type="dxa"/>
            <w:left w:w="108" w:type="dxa"/>
            <w:bottom w:w="0" w:type="dxa"/>
            <w:right w:w="108" w:type="dxa"/>
          </w:tblCellMar>
        </w:tblPrEx>
        <w:trPr>
          <w:trHeight w:val="374" w:hRule="atLeast"/>
        </w:trPr>
        <w:tc>
          <w:tcPr>
            <w:tcW w:w="335" w:type="pct"/>
            <w:vMerge w:val="continue"/>
            <w:tcBorders>
              <w:top w:val="nil"/>
              <w:left w:val="single" w:color="auto" w:sz="4" w:space="0"/>
              <w:bottom w:val="single" w:color="auto" w:sz="4" w:space="0"/>
              <w:right w:val="single" w:color="auto" w:sz="4" w:space="0"/>
            </w:tcBorders>
            <w:vAlign w:val="center"/>
          </w:tcPr>
          <w:p>
            <w:pPr>
              <w:widowControl/>
              <w:jc w:val="left"/>
              <w:rPr>
                <w:rFonts w:hint="default" w:ascii="Times New Roman" w:hAnsi="Times New Roman" w:cs="Times New Roman"/>
                <w:color w:val="auto"/>
                <w:kern w:val="0"/>
                <w:sz w:val="21"/>
                <w:szCs w:val="21"/>
              </w:rPr>
            </w:pPr>
          </w:p>
        </w:tc>
        <w:tc>
          <w:tcPr>
            <w:tcW w:w="96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color w:val="auto"/>
                <w:kern w:val="0"/>
                <w:sz w:val="21"/>
                <w:szCs w:val="21"/>
                <w:lang w:eastAsia="zh-CN"/>
              </w:rPr>
            </w:pPr>
            <w:r>
              <w:rPr>
                <w:rFonts w:hint="default" w:ascii="Times New Roman" w:hAnsi="Times New Roman" w:cs="Times New Roman"/>
                <w:color w:val="auto"/>
                <w:kern w:val="0"/>
                <w:sz w:val="21"/>
                <w:szCs w:val="21"/>
              </w:rPr>
              <w:t>危险</w:t>
            </w:r>
            <w:r>
              <w:rPr>
                <w:rFonts w:hint="default" w:ascii="Times New Roman" w:hAnsi="Times New Roman" w:cs="Times New Roman"/>
                <w:color w:val="auto"/>
                <w:kern w:val="0"/>
                <w:sz w:val="21"/>
                <w:szCs w:val="21"/>
                <w:lang w:eastAsia="zh-CN"/>
              </w:rPr>
              <w:t>废物</w:t>
            </w:r>
          </w:p>
        </w:tc>
        <w:tc>
          <w:tcPr>
            <w:tcW w:w="273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lang w:eastAsia="zh-CN"/>
              </w:rPr>
              <w:t>设置</w:t>
            </w:r>
            <w:r>
              <w:rPr>
                <w:rFonts w:hint="default" w:ascii="Times New Roman" w:hAnsi="Times New Roman" w:cs="Times New Roman"/>
                <w:color w:val="auto"/>
                <w:kern w:val="0"/>
                <w:sz w:val="21"/>
                <w:szCs w:val="21"/>
                <w:lang w:val="en-US" w:eastAsia="zh-CN"/>
              </w:rPr>
              <w:t>1座345.56m</w:t>
            </w:r>
            <w:r>
              <w:rPr>
                <w:rFonts w:hint="default" w:ascii="Times New Roman" w:hAnsi="Times New Roman" w:cs="Times New Roman"/>
                <w:color w:val="auto"/>
                <w:kern w:val="0"/>
                <w:sz w:val="21"/>
                <w:szCs w:val="21"/>
                <w:vertAlign w:val="superscript"/>
                <w:lang w:val="en-US" w:eastAsia="zh-CN"/>
              </w:rPr>
              <w:t>2</w:t>
            </w:r>
            <w:r>
              <w:rPr>
                <w:rFonts w:hint="default" w:ascii="Times New Roman" w:hAnsi="Times New Roman" w:cs="Times New Roman"/>
                <w:color w:val="auto"/>
                <w:kern w:val="0"/>
                <w:sz w:val="21"/>
                <w:szCs w:val="21"/>
                <w:vertAlign w:val="baseline"/>
                <w:lang w:val="en-US" w:eastAsia="zh-CN"/>
              </w:rPr>
              <w:t>的危废库</w:t>
            </w:r>
          </w:p>
        </w:tc>
        <w:tc>
          <w:tcPr>
            <w:tcW w:w="430" w:type="pct"/>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w:t>
            </w:r>
          </w:p>
        </w:tc>
        <w:tc>
          <w:tcPr>
            <w:tcW w:w="529" w:type="pct"/>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依托</w:t>
            </w:r>
          </w:p>
        </w:tc>
      </w:tr>
      <w:tr>
        <w:tblPrEx>
          <w:tblCellMar>
            <w:top w:w="0" w:type="dxa"/>
            <w:left w:w="108" w:type="dxa"/>
            <w:bottom w:w="0" w:type="dxa"/>
            <w:right w:w="108" w:type="dxa"/>
          </w:tblCellMar>
        </w:tblPrEx>
        <w:trPr>
          <w:trHeight w:val="340" w:hRule="atLeast"/>
        </w:trPr>
        <w:tc>
          <w:tcPr>
            <w:tcW w:w="335"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地下水</w:t>
            </w:r>
          </w:p>
        </w:tc>
        <w:tc>
          <w:tcPr>
            <w:tcW w:w="966"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生产废水、固废</w:t>
            </w:r>
          </w:p>
        </w:tc>
        <w:tc>
          <w:tcPr>
            <w:tcW w:w="2738" w:type="pct"/>
            <w:tcBorders>
              <w:top w:val="single" w:color="auto" w:sz="4" w:space="0"/>
              <w:left w:val="nil"/>
              <w:bottom w:val="single" w:color="auto" w:sz="4" w:space="0"/>
              <w:right w:val="single" w:color="auto" w:sz="4" w:space="0"/>
            </w:tcBorders>
            <w:shd w:val="clear" w:color="auto" w:fill="auto"/>
            <w:vAlign w:val="center"/>
          </w:tcPr>
          <w:p>
            <w:pPr>
              <w:widowControl/>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分区防渗</w:t>
            </w:r>
          </w:p>
        </w:tc>
        <w:tc>
          <w:tcPr>
            <w:tcW w:w="430"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w:t>
            </w:r>
          </w:p>
        </w:tc>
        <w:tc>
          <w:tcPr>
            <w:tcW w:w="529"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依托</w:t>
            </w:r>
          </w:p>
        </w:tc>
      </w:tr>
      <w:tr>
        <w:tblPrEx>
          <w:tblCellMar>
            <w:top w:w="0" w:type="dxa"/>
            <w:left w:w="108" w:type="dxa"/>
            <w:bottom w:w="0" w:type="dxa"/>
            <w:right w:w="108" w:type="dxa"/>
          </w:tblCellMar>
        </w:tblPrEx>
        <w:trPr>
          <w:trHeight w:val="340" w:hRule="atLeast"/>
        </w:trPr>
        <w:tc>
          <w:tcPr>
            <w:tcW w:w="335"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环境风险</w:t>
            </w:r>
          </w:p>
        </w:tc>
        <w:tc>
          <w:tcPr>
            <w:tcW w:w="966"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厂区各生产单元</w:t>
            </w:r>
          </w:p>
        </w:tc>
        <w:tc>
          <w:tcPr>
            <w:tcW w:w="2738" w:type="pct"/>
            <w:tcBorders>
              <w:top w:val="nil"/>
              <w:left w:val="single" w:color="auto" w:sz="4" w:space="0"/>
              <w:bottom w:val="single" w:color="auto" w:sz="4" w:space="0"/>
              <w:right w:val="single" w:color="auto" w:sz="4" w:space="0"/>
            </w:tcBorders>
            <w:shd w:val="clear" w:color="auto" w:fill="auto"/>
            <w:vAlign w:val="center"/>
          </w:tcPr>
          <w:p>
            <w:pPr>
              <w:widowControl/>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落实风险防范措施及应急措施，制定突发环境事件应急预案</w:t>
            </w:r>
          </w:p>
        </w:tc>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color w:val="auto"/>
                <w:kern w:val="0"/>
                <w:sz w:val="21"/>
                <w:szCs w:val="21"/>
                <w:lang w:eastAsia="zh-CN"/>
              </w:rPr>
            </w:pPr>
            <w:r>
              <w:rPr>
                <w:rFonts w:hint="default" w:ascii="Times New Roman" w:hAnsi="Times New Roman" w:cs="Times New Roman"/>
                <w:color w:val="auto"/>
                <w:kern w:val="0"/>
                <w:sz w:val="21"/>
                <w:szCs w:val="21"/>
                <w:lang w:val="en-US" w:eastAsia="zh-CN"/>
              </w:rPr>
              <w:t>5</w:t>
            </w:r>
          </w:p>
        </w:tc>
        <w:tc>
          <w:tcPr>
            <w:tcW w:w="529"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auto"/>
                <w:kern w:val="0"/>
                <w:sz w:val="21"/>
                <w:szCs w:val="21"/>
                <w:lang w:val="en-US" w:eastAsia="zh-CN"/>
              </w:rPr>
            </w:pPr>
          </w:p>
        </w:tc>
      </w:tr>
      <w:tr>
        <w:tblPrEx>
          <w:tblCellMar>
            <w:top w:w="0" w:type="dxa"/>
            <w:left w:w="108" w:type="dxa"/>
            <w:bottom w:w="0" w:type="dxa"/>
            <w:right w:w="108" w:type="dxa"/>
          </w:tblCellMar>
        </w:tblPrEx>
        <w:trPr>
          <w:trHeight w:val="340" w:hRule="atLeast"/>
        </w:trPr>
        <w:tc>
          <w:tcPr>
            <w:tcW w:w="4040"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合计</w:t>
            </w:r>
          </w:p>
        </w:tc>
        <w:tc>
          <w:tcPr>
            <w:tcW w:w="43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45</w:t>
            </w:r>
          </w:p>
        </w:tc>
        <w:tc>
          <w:tcPr>
            <w:tcW w:w="52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auto"/>
                <w:kern w:val="0"/>
                <w:sz w:val="21"/>
                <w:szCs w:val="21"/>
                <w:lang w:val="en-US" w:eastAsia="zh-CN"/>
              </w:rPr>
            </w:pPr>
          </w:p>
        </w:tc>
      </w:tr>
    </w:tbl>
    <w:p>
      <w:pPr>
        <w:pStyle w:val="4"/>
        <w:spacing w:beforeLines="50" w:after="0" w:line="360" w:lineRule="auto"/>
        <w:rPr>
          <w:rFonts w:hint="default" w:ascii="Times New Roman" w:hAnsi="Times New Roman" w:eastAsia="宋体" w:cs="Times New Roman"/>
          <w:color w:val="auto"/>
          <w:sz w:val="28"/>
          <w:szCs w:val="28"/>
        </w:rPr>
      </w:pPr>
      <w:bookmarkStart w:id="1006" w:name="_Toc15620"/>
      <w:r>
        <w:rPr>
          <w:rFonts w:hint="default" w:ascii="Times New Roman" w:hAnsi="Times New Roman" w:eastAsia="宋体" w:cs="Times New Roman"/>
          <w:color w:val="auto"/>
          <w:sz w:val="28"/>
          <w:szCs w:val="28"/>
          <w:lang w:val="en-US" w:eastAsia="zh-CN"/>
        </w:rPr>
        <w:t>7</w:t>
      </w:r>
      <w:r>
        <w:rPr>
          <w:rFonts w:hint="default" w:ascii="Times New Roman" w:hAnsi="Times New Roman" w:eastAsia="宋体" w:cs="Times New Roman"/>
          <w:color w:val="auto"/>
          <w:sz w:val="28"/>
          <w:szCs w:val="28"/>
        </w:rPr>
        <w:t>.2环境经济效益</w:t>
      </w:r>
      <w:bookmarkEnd w:id="1001"/>
      <w:bookmarkEnd w:id="1002"/>
      <w:bookmarkEnd w:id="1003"/>
      <w:r>
        <w:rPr>
          <w:rFonts w:hint="default" w:ascii="Times New Roman" w:hAnsi="Times New Roman" w:eastAsia="宋体" w:cs="Times New Roman"/>
          <w:color w:val="auto"/>
          <w:sz w:val="28"/>
          <w:szCs w:val="28"/>
        </w:rPr>
        <w:t>分析</w:t>
      </w:r>
      <w:bookmarkEnd w:id="1004"/>
      <w:bookmarkEnd w:id="1005"/>
      <w:bookmarkEnd w:id="1006"/>
    </w:p>
    <w:p>
      <w:pPr>
        <w:pStyle w:val="6"/>
        <w:spacing w:before="0" w:after="0" w:line="360" w:lineRule="auto"/>
        <w:rPr>
          <w:rFonts w:hint="default" w:ascii="Times New Roman" w:hAnsi="Times New Roman" w:cs="Times New Roman"/>
          <w:color w:val="auto"/>
          <w:szCs w:val="28"/>
        </w:rPr>
      </w:pPr>
      <w:bookmarkStart w:id="1007" w:name="_Toc1074"/>
      <w:bookmarkStart w:id="1008" w:name="_Toc12492"/>
      <w:bookmarkStart w:id="1009" w:name="_Toc19054"/>
      <w:bookmarkStart w:id="1010" w:name="_Toc28744"/>
      <w:bookmarkStart w:id="1011" w:name="_Toc19703"/>
      <w:bookmarkStart w:id="1012" w:name="_Toc27046"/>
      <w:r>
        <w:rPr>
          <w:rFonts w:hint="default" w:ascii="Times New Roman" w:hAnsi="Times New Roman" w:cs="Times New Roman"/>
          <w:color w:val="auto"/>
          <w:szCs w:val="28"/>
          <w:lang w:val="en-US" w:eastAsia="zh-CN"/>
        </w:rPr>
        <w:t>7</w:t>
      </w:r>
      <w:r>
        <w:rPr>
          <w:rFonts w:hint="default" w:ascii="Times New Roman" w:hAnsi="Times New Roman" w:cs="Times New Roman"/>
          <w:color w:val="auto"/>
          <w:szCs w:val="28"/>
        </w:rPr>
        <w:t>.2.1环保投资与建设项目总投资比例</w:t>
      </w:r>
      <w:bookmarkEnd w:id="1007"/>
      <w:bookmarkEnd w:id="1008"/>
      <w:bookmarkEnd w:id="1009"/>
      <w:bookmarkEnd w:id="1010"/>
      <w:bookmarkEnd w:id="1011"/>
      <w:bookmarkEnd w:id="1012"/>
    </w:p>
    <w:p>
      <w:pPr>
        <w:adjustRightInd w:val="0"/>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该项目环保投资与总投资的比例计算公式如下：</w:t>
      </w:r>
    </w:p>
    <w:p>
      <w:pPr>
        <w:adjustRightInd w:val="0"/>
        <w:snapToGrid w:val="0"/>
        <w:spacing w:line="360" w:lineRule="auto"/>
        <w:ind w:firstLine="480" w:firstLineChars="200"/>
        <w:jc w:val="center"/>
        <w:rPr>
          <w:rFonts w:hint="default" w:ascii="Times New Roman" w:hAnsi="Times New Roman" w:cs="Times New Roman"/>
          <w:color w:val="auto"/>
        </w:rPr>
      </w:pPr>
      <w:r>
        <w:rPr>
          <w:rFonts w:hint="default" w:ascii="Times New Roman" w:hAnsi="Times New Roman" w:cs="Times New Roman"/>
          <w:color w:val="auto"/>
        </w:rPr>
        <w:object>
          <v:shape id="_x0000_i1032" o:spt="75" type="#_x0000_t75" style="height:35.25pt;width:159pt;" o:ole="t" filled="f" o:preferrelative="t" stroked="f" coordsize="21600,21600">
            <v:path/>
            <v:fill on="f" focussize="0,0"/>
            <v:stroke on="f" joinstyle="miter"/>
            <v:imagedata r:id="rId47" o:title=""/>
            <o:lock v:ext="edit" aspectratio="t"/>
            <w10:wrap type="none"/>
            <w10:anchorlock/>
          </v:shape>
          <o:OLEObject Type="Embed" ProgID="Equations" ShapeID="_x0000_i1032" DrawAspect="Content" ObjectID="_1468075734" r:id="rId46">
            <o:LockedField>false</o:LockedField>
          </o:OLEObject>
        </w:object>
      </w:r>
    </w:p>
    <w:p>
      <w:pPr>
        <w:adjustRightInd w:val="0"/>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式中：H</w:t>
      </w:r>
      <w:r>
        <w:rPr>
          <w:rFonts w:hint="default" w:ascii="Times New Roman" w:hAnsi="Times New Roman" w:cs="Times New Roman"/>
          <w:color w:val="auto"/>
          <w:vertAlign w:val="subscript"/>
        </w:rPr>
        <w:t>Ｔ</w:t>
      </w:r>
      <w:r>
        <w:rPr>
          <w:rFonts w:hint="default" w:ascii="Times New Roman" w:hAnsi="Times New Roman" w:cs="Times New Roman"/>
          <w:color w:val="auto"/>
        </w:rPr>
        <w:t>—环保投资；</w:t>
      </w:r>
    </w:p>
    <w:p>
      <w:pPr>
        <w:adjustRightInd w:val="0"/>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 xml:space="preserve">      J</w:t>
      </w:r>
      <w:r>
        <w:rPr>
          <w:rFonts w:hint="default" w:ascii="Times New Roman" w:hAnsi="Times New Roman" w:cs="Times New Roman"/>
          <w:color w:val="auto"/>
          <w:vertAlign w:val="subscript"/>
        </w:rPr>
        <w:t>Ｔ</w:t>
      </w:r>
      <w:r>
        <w:rPr>
          <w:rFonts w:hint="default" w:ascii="Times New Roman" w:hAnsi="Times New Roman" w:cs="Times New Roman"/>
          <w:color w:val="auto"/>
        </w:rPr>
        <w:t>—建设项目总投资。</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本项目总投资为</w:t>
      </w:r>
      <w:r>
        <w:rPr>
          <w:rFonts w:hint="default" w:ascii="Times New Roman" w:hAnsi="Times New Roman" w:cs="Times New Roman"/>
          <w:color w:val="auto"/>
          <w:lang w:val="en-US" w:eastAsia="zh-CN"/>
        </w:rPr>
        <w:t>18</w:t>
      </w:r>
      <w:r>
        <w:rPr>
          <w:rFonts w:hint="default" w:ascii="Times New Roman" w:hAnsi="Times New Roman" w:cs="Times New Roman"/>
          <w:color w:val="auto"/>
        </w:rPr>
        <w:t>000万元，环保投资</w:t>
      </w:r>
      <w:r>
        <w:rPr>
          <w:rFonts w:hint="default" w:ascii="Times New Roman" w:hAnsi="Times New Roman" w:cs="Times New Roman"/>
          <w:color w:val="auto"/>
          <w:lang w:val="en-US" w:eastAsia="zh-CN"/>
        </w:rPr>
        <w:t>45</w:t>
      </w:r>
      <w:r>
        <w:rPr>
          <w:rFonts w:hint="default" w:ascii="Times New Roman" w:hAnsi="Times New Roman" w:cs="Times New Roman"/>
          <w:color w:val="auto"/>
        </w:rPr>
        <w:t>万元，占总投资额的0.</w:t>
      </w:r>
      <w:r>
        <w:rPr>
          <w:rFonts w:hint="default" w:ascii="Times New Roman" w:hAnsi="Times New Roman" w:cs="Times New Roman"/>
          <w:color w:val="auto"/>
          <w:lang w:val="en-US" w:eastAsia="zh-CN"/>
        </w:rPr>
        <w:t>25</w:t>
      </w:r>
      <w:r>
        <w:rPr>
          <w:rFonts w:hint="default" w:ascii="Times New Roman" w:hAnsi="Times New Roman" w:cs="Times New Roman"/>
          <w:color w:val="auto"/>
        </w:rPr>
        <w:t>%。</w:t>
      </w:r>
    </w:p>
    <w:p>
      <w:pPr>
        <w:pStyle w:val="6"/>
        <w:spacing w:before="0" w:after="0" w:line="360" w:lineRule="auto"/>
        <w:rPr>
          <w:rFonts w:hint="default" w:ascii="Times New Roman" w:hAnsi="Times New Roman" w:cs="Times New Roman"/>
          <w:color w:val="auto"/>
          <w:szCs w:val="28"/>
        </w:rPr>
      </w:pPr>
      <w:bookmarkStart w:id="1013" w:name="_Toc17021"/>
      <w:bookmarkStart w:id="1014" w:name="_Toc32352"/>
      <w:bookmarkStart w:id="1015" w:name="_Toc15760"/>
      <w:bookmarkStart w:id="1016" w:name="_Toc21030"/>
      <w:bookmarkStart w:id="1017" w:name="_Toc341"/>
      <w:bookmarkStart w:id="1018" w:name="_Toc32661"/>
      <w:bookmarkStart w:id="1019" w:name="_Toc23132"/>
      <w:bookmarkStart w:id="1020" w:name="_Toc13173"/>
      <w:bookmarkStart w:id="1021" w:name="_Toc29288"/>
      <w:bookmarkStart w:id="1022" w:name="_Toc1734"/>
      <w:bookmarkStart w:id="1023" w:name="_Toc5963"/>
      <w:r>
        <w:rPr>
          <w:rFonts w:hint="default" w:ascii="Times New Roman" w:hAnsi="Times New Roman" w:cs="Times New Roman"/>
          <w:color w:val="auto"/>
          <w:szCs w:val="28"/>
          <w:lang w:val="en-US" w:eastAsia="zh-CN"/>
        </w:rPr>
        <w:t>7</w:t>
      </w:r>
      <w:r>
        <w:rPr>
          <w:rFonts w:hint="default" w:ascii="Times New Roman" w:hAnsi="Times New Roman" w:cs="Times New Roman"/>
          <w:color w:val="auto"/>
          <w:szCs w:val="28"/>
        </w:rPr>
        <w:t>.2.2环境经济损益分析</w:t>
      </w:r>
      <w:bookmarkEnd w:id="1013"/>
      <w:bookmarkEnd w:id="1014"/>
      <w:bookmarkEnd w:id="1015"/>
      <w:bookmarkEnd w:id="1016"/>
      <w:bookmarkEnd w:id="1017"/>
      <w:bookmarkEnd w:id="1018"/>
    </w:p>
    <w:p>
      <w:pPr>
        <w:spacing w:line="360" w:lineRule="auto"/>
        <w:ind w:firstLine="482"/>
        <w:rPr>
          <w:rFonts w:hint="default" w:ascii="Times New Roman" w:hAnsi="Times New Roman" w:cs="Times New Roman"/>
          <w:color w:val="auto"/>
        </w:rPr>
      </w:pPr>
      <w:r>
        <w:rPr>
          <w:rFonts w:hint="default" w:ascii="Times New Roman" w:hAnsi="Times New Roman" w:cs="Times New Roman"/>
          <w:color w:val="auto"/>
        </w:rPr>
        <w:t>1、各种污染不采取措施直接外排的应交环保税金额计算：</w:t>
      </w:r>
    </w:p>
    <w:p>
      <w:pPr>
        <w:spacing w:line="360" w:lineRule="auto"/>
        <w:ind w:firstLine="482"/>
        <w:rPr>
          <w:rFonts w:hint="default" w:ascii="Times New Roman" w:hAnsi="Times New Roman" w:cs="Times New Roman"/>
          <w:color w:val="auto"/>
        </w:rPr>
      </w:pPr>
      <w:r>
        <w:rPr>
          <w:rFonts w:hint="default" w:ascii="Times New Roman" w:hAnsi="Times New Roman" w:cs="Times New Roman"/>
          <w:color w:val="auto"/>
        </w:rPr>
        <w:t>根据《云南省人民代表大会常务委员会关于环境保护税云南省适用税额和应税污染物数目的决定》对污染物适用税额的规定：2019年1月起，大气污染物每污染当量2.8元；水污染物每污染当量3.5元。项目产生的污染物直接排放可能产生的环保税如下：</w:t>
      </w:r>
    </w:p>
    <w:p>
      <w:pPr>
        <w:pStyle w:val="133"/>
        <w:numPr>
          <w:ilvl w:val="0"/>
          <w:numId w:val="20"/>
        </w:numPr>
        <w:spacing w:line="360" w:lineRule="auto"/>
        <w:ind w:left="0" w:leftChars="0" w:firstLine="0" w:firstLineChars="0"/>
        <w:jc w:val="center"/>
        <w:rPr>
          <w:rFonts w:hint="default" w:ascii="Times New Roman" w:hAnsi="Times New Roman" w:cs="Times New Roman"/>
          <w:b/>
          <w:bCs/>
          <w:color w:val="auto"/>
        </w:rPr>
      </w:pPr>
      <w:r>
        <w:rPr>
          <w:rFonts w:hint="default" w:ascii="Times New Roman" w:hAnsi="Times New Roman" w:cs="Times New Roman"/>
          <w:b/>
          <w:bCs/>
          <w:color w:val="auto"/>
        </w:rPr>
        <w:t>项目产生的污染物直接外排的可能产生的环保税</w:t>
      </w:r>
    </w:p>
    <w:tbl>
      <w:tblPr>
        <w:tblStyle w:val="44"/>
        <w:tblW w:w="8632" w:type="dxa"/>
        <w:jc w:val="center"/>
        <w:tblLayout w:type="fixed"/>
        <w:tblCellMar>
          <w:top w:w="0" w:type="dxa"/>
          <w:left w:w="108" w:type="dxa"/>
          <w:bottom w:w="0" w:type="dxa"/>
          <w:right w:w="108" w:type="dxa"/>
        </w:tblCellMar>
      </w:tblPr>
      <w:tblGrid>
        <w:gridCol w:w="918"/>
        <w:gridCol w:w="1367"/>
        <w:gridCol w:w="1269"/>
        <w:gridCol w:w="983"/>
        <w:gridCol w:w="1102"/>
        <w:gridCol w:w="1455"/>
        <w:gridCol w:w="1538"/>
      </w:tblGrid>
      <w:tr>
        <w:tblPrEx>
          <w:tblCellMar>
            <w:top w:w="0" w:type="dxa"/>
            <w:left w:w="108" w:type="dxa"/>
            <w:bottom w:w="0" w:type="dxa"/>
            <w:right w:w="108" w:type="dxa"/>
          </w:tblCellMar>
        </w:tblPrEx>
        <w:trPr>
          <w:trHeight w:val="284" w:hRule="atLeast"/>
          <w:jc w:val="center"/>
        </w:trPr>
        <w:tc>
          <w:tcPr>
            <w:tcW w:w="9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环境要素</w:t>
            </w:r>
          </w:p>
        </w:tc>
        <w:tc>
          <w:tcPr>
            <w:tcW w:w="136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污染物名称</w:t>
            </w:r>
          </w:p>
        </w:tc>
        <w:tc>
          <w:tcPr>
            <w:tcW w:w="126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污染物排放量（千克）</w:t>
            </w:r>
          </w:p>
        </w:tc>
        <w:tc>
          <w:tcPr>
            <w:tcW w:w="98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污染物当量值</w:t>
            </w:r>
          </w:p>
        </w:tc>
        <w:tc>
          <w:tcPr>
            <w:tcW w:w="110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污染物当量数</w:t>
            </w:r>
          </w:p>
        </w:tc>
        <w:tc>
          <w:tcPr>
            <w:tcW w:w="145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适用税额（元/污染当量）</w:t>
            </w:r>
          </w:p>
        </w:tc>
        <w:tc>
          <w:tcPr>
            <w:tcW w:w="153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应纳税额（元）</w:t>
            </w:r>
          </w:p>
        </w:tc>
      </w:tr>
      <w:tr>
        <w:tblPrEx>
          <w:tblCellMar>
            <w:top w:w="0" w:type="dxa"/>
            <w:left w:w="108" w:type="dxa"/>
            <w:bottom w:w="0" w:type="dxa"/>
            <w:right w:w="108" w:type="dxa"/>
          </w:tblCellMar>
        </w:tblPrEx>
        <w:trPr>
          <w:trHeight w:val="284" w:hRule="atLeast"/>
          <w:jc w:val="center"/>
        </w:trPr>
        <w:tc>
          <w:tcPr>
            <w:tcW w:w="918" w:type="dxa"/>
            <w:vMerge w:val="restart"/>
            <w:tcBorders>
              <w:top w:val="nil"/>
              <w:left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大气污染物</w:t>
            </w:r>
          </w:p>
        </w:tc>
        <w:tc>
          <w:tcPr>
            <w:tcW w:w="1367"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1"/>
                <w:szCs w:val="21"/>
                <w:lang w:eastAsia="zh-CN"/>
              </w:rPr>
            </w:pPr>
            <w:r>
              <w:rPr>
                <w:rFonts w:hint="default" w:ascii="Times New Roman" w:hAnsi="Times New Roman" w:cs="Times New Roman" w:eastAsiaTheme="minorEastAsia"/>
                <w:color w:val="auto"/>
                <w:kern w:val="0"/>
                <w:sz w:val="21"/>
                <w:szCs w:val="21"/>
                <w:lang w:eastAsia="zh-CN"/>
              </w:rPr>
              <w:t>非甲烷总烃</w:t>
            </w:r>
          </w:p>
        </w:tc>
        <w:tc>
          <w:tcPr>
            <w:tcW w:w="1269" w:type="dxa"/>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3477.72</w:t>
            </w:r>
          </w:p>
        </w:tc>
        <w:tc>
          <w:tcPr>
            <w:tcW w:w="983"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1"/>
                <w:szCs w:val="21"/>
                <w:lang w:eastAsia="zh-CN"/>
              </w:rPr>
            </w:pPr>
            <w:r>
              <w:rPr>
                <w:rFonts w:hint="default" w:ascii="Times New Roman" w:hAnsi="Times New Roman" w:cs="Times New Roman" w:eastAsiaTheme="minorEastAsia"/>
                <w:color w:val="auto"/>
                <w:kern w:val="0"/>
                <w:sz w:val="21"/>
                <w:szCs w:val="21"/>
                <w:lang w:val="en-US" w:eastAsia="zh-CN"/>
              </w:rPr>
              <w:t>/</w:t>
            </w:r>
          </w:p>
        </w:tc>
        <w:tc>
          <w:tcPr>
            <w:tcW w:w="1102" w:type="dxa"/>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w:t>
            </w:r>
          </w:p>
        </w:tc>
        <w:tc>
          <w:tcPr>
            <w:tcW w:w="1455"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1"/>
                <w:szCs w:val="21"/>
                <w:lang w:eastAsia="zh-CN"/>
              </w:rPr>
            </w:pPr>
            <w:r>
              <w:rPr>
                <w:rFonts w:hint="default" w:ascii="Times New Roman" w:hAnsi="Times New Roman" w:cs="Times New Roman" w:eastAsiaTheme="minorEastAsia"/>
                <w:color w:val="auto"/>
                <w:kern w:val="0"/>
                <w:sz w:val="21"/>
                <w:szCs w:val="21"/>
                <w:lang w:val="en-US" w:eastAsia="zh-CN"/>
              </w:rPr>
              <w:t>/</w:t>
            </w:r>
          </w:p>
        </w:tc>
        <w:tc>
          <w:tcPr>
            <w:tcW w:w="1538" w:type="dxa"/>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r>
      <w:tr>
        <w:tblPrEx>
          <w:tblCellMar>
            <w:top w:w="0" w:type="dxa"/>
            <w:left w:w="108" w:type="dxa"/>
            <w:bottom w:w="0" w:type="dxa"/>
            <w:right w:w="108" w:type="dxa"/>
          </w:tblCellMar>
        </w:tblPrEx>
        <w:trPr>
          <w:trHeight w:val="284" w:hRule="atLeast"/>
          <w:jc w:val="center"/>
        </w:trPr>
        <w:tc>
          <w:tcPr>
            <w:tcW w:w="918" w:type="dxa"/>
            <w:vMerge w:val="continue"/>
            <w:tcBorders>
              <w:left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1"/>
                <w:szCs w:val="21"/>
              </w:rPr>
            </w:pPr>
          </w:p>
        </w:tc>
        <w:tc>
          <w:tcPr>
            <w:tcW w:w="1367"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1"/>
                <w:szCs w:val="21"/>
                <w:lang w:eastAsia="zh-CN"/>
              </w:rPr>
            </w:pPr>
            <w:r>
              <w:rPr>
                <w:rFonts w:hint="default" w:ascii="Times New Roman" w:hAnsi="Times New Roman" w:cs="Times New Roman" w:eastAsiaTheme="minorEastAsia"/>
                <w:color w:val="auto"/>
                <w:kern w:val="0"/>
                <w:sz w:val="21"/>
                <w:szCs w:val="21"/>
                <w:lang w:eastAsia="zh-CN"/>
              </w:rPr>
              <w:t>颗粒物</w:t>
            </w:r>
          </w:p>
        </w:tc>
        <w:tc>
          <w:tcPr>
            <w:tcW w:w="1269" w:type="dxa"/>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16468.8</w:t>
            </w:r>
          </w:p>
        </w:tc>
        <w:tc>
          <w:tcPr>
            <w:tcW w:w="983"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4</w:t>
            </w:r>
          </w:p>
        </w:tc>
        <w:tc>
          <w:tcPr>
            <w:tcW w:w="110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82.5</w:t>
            </w:r>
          </w:p>
        </w:tc>
        <w:tc>
          <w:tcPr>
            <w:tcW w:w="145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2.8</w:t>
            </w:r>
          </w:p>
        </w:tc>
        <w:tc>
          <w:tcPr>
            <w:tcW w:w="153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11528.16 </w:t>
            </w:r>
          </w:p>
        </w:tc>
      </w:tr>
      <w:tr>
        <w:tblPrEx>
          <w:tblCellMar>
            <w:top w:w="0" w:type="dxa"/>
            <w:left w:w="108" w:type="dxa"/>
            <w:bottom w:w="0" w:type="dxa"/>
            <w:right w:w="108" w:type="dxa"/>
          </w:tblCellMar>
        </w:tblPrEx>
        <w:trPr>
          <w:trHeight w:val="284" w:hRule="atLeast"/>
          <w:jc w:val="center"/>
        </w:trPr>
        <w:tc>
          <w:tcPr>
            <w:tcW w:w="918" w:type="dxa"/>
            <w:vMerge w:val="continue"/>
            <w:tcBorders>
              <w:left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1"/>
                <w:szCs w:val="21"/>
              </w:rPr>
            </w:pPr>
          </w:p>
        </w:tc>
        <w:tc>
          <w:tcPr>
            <w:tcW w:w="1367"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1"/>
                <w:szCs w:val="21"/>
                <w:lang w:eastAsia="zh-CN"/>
              </w:rPr>
            </w:pPr>
            <w:r>
              <w:rPr>
                <w:rFonts w:hint="default" w:ascii="Times New Roman" w:hAnsi="Times New Roman" w:cs="Times New Roman" w:eastAsiaTheme="minorEastAsia"/>
                <w:color w:val="auto"/>
                <w:kern w:val="0"/>
                <w:sz w:val="21"/>
                <w:szCs w:val="21"/>
                <w:lang w:eastAsia="zh-CN"/>
              </w:rPr>
              <w:t>氟化物</w:t>
            </w:r>
          </w:p>
        </w:tc>
        <w:tc>
          <w:tcPr>
            <w:tcW w:w="1269" w:type="dxa"/>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52.56</w:t>
            </w:r>
          </w:p>
        </w:tc>
        <w:tc>
          <w:tcPr>
            <w:tcW w:w="983"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0.87</w:t>
            </w:r>
          </w:p>
        </w:tc>
        <w:tc>
          <w:tcPr>
            <w:tcW w:w="110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5.75 </w:t>
            </w:r>
          </w:p>
        </w:tc>
        <w:tc>
          <w:tcPr>
            <w:tcW w:w="145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2.8</w:t>
            </w:r>
          </w:p>
        </w:tc>
        <w:tc>
          <w:tcPr>
            <w:tcW w:w="153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169.16 </w:t>
            </w:r>
          </w:p>
        </w:tc>
      </w:tr>
      <w:tr>
        <w:tblPrEx>
          <w:tblCellMar>
            <w:top w:w="0" w:type="dxa"/>
            <w:left w:w="108" w:type="dxa"/>
            <w:bottom w:w="0" w:type="dxa"/>
            <w:right w:w="108" w:type="dxa"/>
          </w:tblCellMar>
        </w:tblPrEx>
        <w:trPr>
          <w:trHeight w:val="90" w:hRule="atLeast"/>
          <w:jc w:val="center"/>
        </w:trPr>
        <w:tc>
          <w:tcPr>
            <w:tcW w:w="918" w:type="dxa"/>
            <w:vMerge w:val="continue"/>
            <w:tcBorders>
              <w:left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1"/>
                <w:szCs w:val="21"/>
              </w:rPr>
            </w:pPr>
          </w:p>
        </w:tc>
        <w:tc>
          <w:tcPr>
            <w:tcW w:w="1367"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1"/>
                <w:szCs w:val="21"/>
                <w:lang w:eastAsia="zh-CN"/>
              </w:rPr>
            </w:pPr>
            <w:r>
              <w:rPr>
                <w:rFonts w:hint="default" w:ascii="Times New Roman" w:hAnsi="Times New Roman" w:cs="Times New Roman" w:eastAsiaTheme="minorEastAsia"/>
                <w:color w:val="auto"/>
                <w:kern w:val="0"/>
                <w:sz w:val="21"/>
                <w:szCs w:val="21"/>
                <w:lang w:eastAsia="zh-CN"/>
              </w:rPr>
              <w:t>氨</w:t>
            </w:r>
          </w:p>
        </w:tc>
        <w:tc>
          <w:tcPr>
            <w:tcW w:w="1269" w:type="dxa"/>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516.84</w:t>
            </w:r>
          </w:p>
        </w:tc>
        <w:tc>
          <w:tcPr>
            <w:tcW w:w="983"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9.09</w:t>
            </w:r>
          </w:p>
        </w:tc>
        <w:tc>
          <w:tcPr>
            <w:tcW w:w="110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21.23 </w:t>
            </w:r>
          </w:p>
        </w:tc>
        <w:tc>
          <w:tcPr>
            <w:tcW w:w="145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2.8</w:t>
            </w:r>
          </w:p>
        </w:tc>
        <w:tc>
          <w:tcPr>
            <w:tcW w:w="153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159.20 </w:t>
            </w:r>
          </w:p>
        </w:tc>
      </w:tr>
      <w:tr>
        <w:tblPrEx>
          <w:tblCellMar>
            <w:top w:w="0" w:type="dxa"/>
            <w:left w:w="108" w:type="dxa"/>
            <w:bottom w:w="0" w:type="dxa"/>
            <w:right w:w="108" w:type="dxa"/>
          </w:tblCellMar>
        </w:tblPrEx>
        <w:trPr>
          <w:trHeight w:val="284" w:hRule="atLeast"/>
          <w:jc w:val="center"/>
        </w:trPr>
        <w:tc>
          <w:tcPr>
            <w:tcW w:w="918" w:type="dxa"/>
            <w:vMerge w:val="continue"/>
            <w:tcBorders>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1"/>
                <w:szCs w:val="21"/>
              </w:rPr>
            </w:pPr>
          </w:p>
        </w:tc>
        <w:tc>
          <w:tcPr>
            <w:tcW w:w="1367"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1"/>
                <w:szCs w:val="21"/>
                <w:lang w:eastAsia="zh-CN"/>
              </w:rPr>
            </w:pPr>
            <w:r>
              <w:rPr>
                <w:rFonts w:hint="default" w:ascii="Times New Roman" w:hAnsi="Times New Roman" w:cs="Times New Roman" w:eastAsiaTheme="minorEastAsia"/>
                <w:color w:val="auto"/>
                <w:kern w:val="0"/>
                <w:sz w:val="21"/>
                <w:szCs w:val="21"/>
                <w:lang w:eastAsia="zh-CN"/>
              </w:rPr>
              <w:t>硫化氢</w:t>
            </w:r>
          </w:p>
        </w:tc>
        <w:tc>
          <w:tcPr>
            <w:tcW w:w="1269" w:type="dxa"/>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19.71</w:t>
            </w:r>
          </w:p>
        </w:tc>
        <w:tc>
          <w:tcPr>
            <w:tcW w:w="983"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0.29</w:t>
            </w:r>
          </w:p>
        </w:tc>
        <w:tc>
          <w:tcPr>
            <w:tcW w:w="110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6.90 </w:t>
            </w:r>
          </w:p>
        </w:tc>
        <w:tc>
          <w:tcPr>
            <w:tcW w:w="145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2.8</w:t>
            </w:r>
          </w:p>
        </w:tc>
        <w:tc>
          <w:tcPr>
            <w:tcW w:w="153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190.30 </w:t>
            </w:r>
          </w:p>
        </w:tc>
      </w:tr>
      <w:tr>
        <w:tblPrEx>
          <w:tblCellMar>
            <w:top w:w="0" w:type="dxa"/>
            <w:left w:w="108" w:type="dxa"/>
            <w:bottom w:w="0" w:type="dxa"/>
            <w:right w:w="108" w:type="dxa"/>
          </w:tblCellMar>
        </w:tblPrEx>
        <w:trPr>
          <w:trHeight w:val="284" w:hRule="atLeast"/>
          <w:jc w:val="center"/>
        </w:trPr>
        <w:tc>
          <w:tcPr>
            <w:tcW w:w="918" w:type="dxa"/>
            <w:vMerge w:val="restart"/>
            <w:tcBorders>
              <w:top w:val="nil"/>
              <w:left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水污染物</w:t>
            </w:r>
          </w:p>
        </w:tc>
        <w:tc>
          <w:tcPr>
            <w:tcW w:w="1367"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CODCr</w:t>
            </w:r>
          </w:p>
        </w:tc>
        <w:tc>
          <w:tcPr>
            <w:tcW w:w="1269" w:type="dxa"/>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557475.45</w:t>
            </w:r>
          </w:p>
        </w:tc>
        <w:tc>
          <w:tcPr>
            <w:tcW w:w="983"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1</w:t>
            </w:r>
          </w:p>
        </w:tc>
        <w:tc>
          <w:tcPr>
            <w:tcW w:w="110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48037.65 </w:t>
            </w:r>
          </w:p>
        </w:tc>
        <w:tc>
          <w:tcPr>
            <w:tcW w:w="145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3.5</w:t>
            </w:r>
          </w:p>
        </w:tc>
        <w:tc>
          <w:tcPr>
            <w:tcW w:w="153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1951164.08 </w:t>
            </w:r>
          </w:p>
        </w:tc>
      </w:tr>
      <w:tr>
        <w:tblPrEx>
          <w:tblCellMar>
            <w:top w:w="0" w:type="dxa"/>
            <w:left w:w="108" w:type="dxa"/>
            <w:bottom w:w="0" w:type="dxa"/>
            <w:right w:w="108" w:type="dxa"/>
          </w:tblCellMar>
        </w:tblPrEx>
        <w:trPr>
          <w:trHeight w:val="284" w:hRule="atLeast"/>
          <w:jc w:val="center"/>
        </w:trPr>
        <w:tc>
          <w:tcPr>
            <w:tcW w:w="918" w:type="dxa"/>
            <w:vMerge w:val="continue"/>
            <w:tcBorders>
              <w:left w:val="single" w:color="auto" w:sz="4" w:space="0"/>
              <w:right w:val="single" w:color="auto" w:sz="4" w:space="0"/>
            </w:tcBorders>
            <w:vAlign w:val="center"/>
          </w:tcPr>
          <w:p>
            <w:pPr>
              <w:widowControl/>
              <w:jc w:val="center"/>
              <w:rPr>
                <w:rFonts w:hint="default" w:ascii="Times New Roman" w:hAnsi="Times New Roman" w:cs="Times New Roman" w:eastAsiaTheme="minorEastAsia"/>
                <w:color w:val="auto"/>
                <w:kern w:val="0"/>
                <w:sz w:val="21"/>
                <w:szCs w:val="21"/>
              </w:rPr>
            </w:pPr>
          </w:p>
        </w:tc>
        <w:tc>
          <w:tcPr>
            <w:tcW w:w="1367"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BOD</w:t>
            </w:r>
            <w:r>
              <w:rPr>
                <w:rFonts w:hint="default" w:ascii="Times New Roman" w:hAnsi="Times New Roman" w:cs="Times New Roman"/>
                <w:color w:val="FF0000"/>
                <w:sz w:val="21"/>
                <w:szCs w:val="21"/>
                <w:vertAlign w:val="subscript"/>
              </w:rPr>
              <w:t>5</w:t>
            </w:r>
          </w:p>
        </w:tc>
        <w:tc>
          <w:tcPr>
            <w:tcW w:w="1269" w:type="dxa"/>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184076.8</w:t>
            </w:r>
          </w:p>
        </w:tc>
        <w:tc>
          <w:tcPr>
            <w:tcW w:w="983"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0.5</w:t>
            </w:r>
          </w:p>
        </w:tc>
        <w:tc>
          <w:tcPr>
            <w:tcW w:w="110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39003.90 </w:t>
            </w:r>
          </w:p>
        </w:tc>
        <w:tc>
          <w:tcPr>
            <w:tcW w:w="145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3.5</w:t>
            </w:r>
          </w:p>
        </w:tc>
        <w:tc>
          <w:tcPr>
            <w:tcW w:w="153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1288537.60 </w:t>
            </w:r>
          </w:p>
        </w:tc>
      </w:tr>
      <w:tr>
        <w:tblPrEx>
          <w:tblCellMar>
            <w:top w:w="0" w:type="dxa"/>
            <w:left w:w="108" w:type="dxa"/>
            <w:bottom w:w="0" w:type="dxa"/>
            <w:right w:w="108" w:type="dxa"/>
          </w:tblCellMar>
        </w:tblPrEx>
        <w:trPr>
          <w:trHeight w:val="284" w:hRule="atLeast"/>
          <w:jc w:val="center"/>
        </w:trPr>
        <w:tc>
          <w:tcPr>
            <w:tcW w:w="918" w:type="dxa"/>
            <w:vMerge w:val="continue"/>
            <w:tcBorders>
              <w:left w:val="single" w:color="auto" w:sz="4" w:space="0"/>
              <w:right w:val="single" w:color="auto" w:sz="4" w:space="0"/>
            </w:tcBorders>
            <w:vAlign w:val="center"/>
          </w:tcPr>
          <w:p>
            <w:pPr>
              <w:widowControl/>
              <w:jc w:val="center"/>
              <w:rPr>
                <w:rFonts w:hint="default" w:ascii="Times New Roman" w:hAnsi="Times New Roman" w:cs="Times New Roman" w:eastAsiaTheme="minorEastAsia"/>
                <w:color w:val="auto"/>
                <w:kern w:val="0"/>
                <w:sz w:val="21"/>
                <w:szCs w:val="21"/>
              </w:rPr>
            </w:pPr>
          </w:p>
        </w:tc>
        <w:tc>
          <w:tcPr>
            <w:tcW w:w="1367"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SS</w:t>
            </w:r>
          </w:p>
        </w:tc>
        <w:tc>
          <w:tcPr>
            <w:tcW w:w="1269" w:type="dxa"/>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98630.3</w:t>
            </w:r>
          </w:p>
        </w:tc>
        <w:tc>
          <w:tcPr>
            <w:tcW w:w="983"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4</w:t>
            </w:r>
          </w:p>
        </w:tc>
        <w:tc>
          <w:tcPr>
            <w:tcW w:w="110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3736.69 </w:t>
            </w:r>
          </w:p>
        </w:tc>
        <w:tc>
          <w:tcPr>
            <w:tcW w:w="145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3.5</w:t>
            </w:r>
          </w:p>
        </w:tc>
        <w:tc>
          <w:tcPr>
            <w:tcW w:w="153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86301.51 </w:t>
            </w:r>
          </w:p>
        </w:tc>
      </w:tr>
      <w:tr>
        <w:tblPrEx>
          <w:tblCellMar>
            <w:top w:w="0" w:type="dxa"/>
            <w:left w:w="108" w:type="dxa"/>
            <w:bottom w:w="0" w:type="dxa"/>
            <w:right w:w="108" w:type="dxa"/>
          </w:tblCellMar>
        </w:tblPrEx>
        <w:trPr>
          <w:trHeight w:val="284" w:hRule="atLeast"/>
          <w:jc w:val="center"/>
        </w:trPr>
        <w:tc>
          <w:tcPr>
            <w:tcW w:w="918" w:type="dxa"/>
            <w:vMerge w:val="continue"/>
            <w:tcBorders>
              <w:left w:val="single" w:color="auto" w:sz="4" w:space="0"/>
              <w:right w:val="single" w:color="auto" w:sz="4" w:space="0"/>
            </w:tcBorders>
            <w:vAlign w:val="center"/>
          </w:tcPr>
          <w:p>
            <w:pPr>
              <w:widowControl/>
              <w:jc w:val="center"/>
              <w:rPr>
                <w:rFonts w:hint="default" w:ascii="Times New Roman" w:hAnsi="Times New Roman" w:cs="Times New Roman" w:eastAsiaTheme="minorEastAsia"/>
                <w:color w:val="auto"/>
                <w:kern w:val="0"/>
                <w:sz w:val="21"/>
                <w:szCs w:val="21"/>
              </w:rPr>
            </w:pPr>
          </w:p>
        </w:tc>
        <w:tc>
          <w:tcPr>
            <w:tcW w:w="1367"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1"/>
                <w:szCs w:val="21"/>
                <w:lang w:eastAsia="zh-CN"/>
              </w:rPr>
            </w:pPr>
            <w:r>
              <w:rPr>
                <w:rFonts w:hint="default" w:ascii="Times New Roman" w:hAnsi="Times New Roman" w:cs="Times New Roman" w:eastAsiaTheme="minorEastAsia"/>
                <w:color w:val="auto"/>
                <w:kern w:val="0"/>
                <w:sz w:val="21"/>
                <w:szCs w:val="21"/>
                <w:lang w:eastAsia="zh-CN"/>
              </w:rPr>
              <w:t>阴离子表面活性剂</w:t>
            </w:r>
          </w:p>
        </w:tc>
        <w:tc>
          <w:tcPr>
            <w:tcW w:w="1269" w:type="dxa"/>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38062.2</w:t>
            </w:r>
          </w:p>
        </w:tc>
        <w:tc>
          <w:tcPr>
            <w:tcW w:w="983"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0.2</w:t>
            </w:r>
          </w:p>
        </w:tc>
        <w:tc>
          <w:tcPr>
            <w:tcW w:w="110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19034.75 </w:t>
            </w:r>
          </w:p>
        </w:tc>
        <w:tc>
          <w:tcPr>
            <w:tcW w:w="145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3.5</w:t>
            </w:r>
          </w:p>
        </w:tc>
        <w:tc>
          <w:tcPr>
            <w:tcW w:w="153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666088.50 </w:t>
            </w:r>
          </w:p>
        </w:tc>
      </w:tr>
      <w:tr>
        <w:tblPrEx>
          <w:tblCellMar>
            <w:top w:w="0" w:type="dxa"/>
            <w:left w:w="108" w:type="dxa"/>
            <w:bottom w:w="0" w:type="dxa"/>
            <w:right w:w="108" w:type="dxa"/>
          </w:tblCellMar>
        </w:tblPrEx>
        <w:trPr>
          <w:trHeight w:val="284" w:hRule="atLeast"/>
          <w:jc w:val="center"/>
        </w:trPr>
        <w:tc>
          <w:tcPr>
            <w:tcW w:w="918" w:type="dxa"/>
            <w:vMerge w:val="continue"/>
            <w:tcBorders>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eastAsiaTheme="minorEastAsia"/>
                <w:color w:val="auto"/>
                <w:kern w:val="0"/>
                <w:sz w:val="21"/>
                <w:szCs w:val="21"/>
              </w:rPr>
            </w:pPr>
          </w:p>
        </w:tc>
        <w:tc>
          <w:tcPr>
            <w:tcW w:w="1367"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1"/>
                <w:szCs w:val="21"/>
                <w:lang w:eastAsia="zh-CN"/>
              </w:rPr>
            </w:pPr>
            <w:r>
              <w:rPr>
                <w:rFonts w:hint="default" w:ascii="Times New Roman" w:hAnsi="Times New Roman" w:cs="Times New Roman" w:eastAsiaTheme="minorEastAsia"/>
                <w:color w:val="auto"/>
                <w:kern w:val="0"/>
                <w:sz w:val="21"/>
                <w:szCs w:val="21"/>
                <w:lang w:eastAsia="zh-CN"/>
              </w:rPr>
              <w:t>氟化物</w:t>
            </w:r>
          </w:p>
        </w:tc>
        <w:tc>
          <w:tcPr>
            <w:tcW w:w="1269" w:type="dxa"/>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3.65</w:t>
            </w:r>
          </w:p>
        </w:tc>
        <w:tc>
          <w:tcPr>
            <w:tcW w:w="983"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0.5</w:t>
            </w:r>
          </w:p>
        </w:tc>
        <w:tc>
          <w:tcPr>
            <w:tcW w:w="110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7.3</w:t>
            </w:r>
          </w:p>
        </w:tc>
        <w:tc>
          <w:tcPr>
            <w:tcW w:w="145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3.5</w:t>
            </w:r>
          </w:p>
        </w:tc>
        <w:tc>
          <w:tcPr>
            <w:tcW w:w="153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25.55 </w:t>
            </w:r>
          </w:p>
        </w:tc>
      </w:tr>
      <w:tr>
        <w:tblPrEx>
          <w:tblCellMar>
            <w:top w:w="0" w:type="dxa"/>
            <w:left w:w="108" w:type="dxa"/>
            <w:bottom w:w="0" w:type="dxa"/>
            <w:right w:w="108" w:type="dxa"/>
          </w:tblCellMar>
        </w:tblPrEx>
        <w:trPr>
          <w:trHeight w:val="284" w:hRule="atLeast"/>
          <w:jc w:val="center"/>
        </w:trPr>
        <w:tc>
          <w:tcPr>
            <w:tcW w:w="918" w:type="dxa"/>
            <w:vMerge w:val="restart"/>
            <w:tcBorders>
              <w:top w:val="nil"/>
              <w:left w:val="single" w:color="auto" w:sz="4" w:space="0"/>
              <w:right w:val="single" w:color="auto" w:sz="4" w:space="0"/>
            </w:tcBorders>
            <w:shd w:val="clear" w:color="auto" w:fill="auto"/>
            <w:vAlign w:val="center"/>
          </w:tcPr>
          <w:p>
            <w:pPr>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固体废物</w:t>
            </w:r>
          </w:p>
        </w:tc>
        <w:tc>
          <w:tcPr>
            <w:tcW w:w="1367"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危险废物</w:t>
            </w:r>
          </w:p>
        </w:tc>
        <w:tc>
          <w:tcPr>
            <w:tcW w:w="1269" w:type="dxa"/>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82.73t</w:t>
            </w:r>
          </w:p>
        </w:tc>
        <w:tc>
          <w:tcPr>
            <w:tcW w:w="983"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1"/>
                <w:szCs w:val="21"/>
              </w:rPr>
            </w:pPr>
          </w:p>
        </w:tc>
        <w:tc>
          <w:tcPr>
            <w:tcW w:w="1102" w:type="dxa"/>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eastAsiaTheme="minorEastAsia"/>
                <w:color w:val="auto"/>
                <w:kern w:val="0"/>
                <w:sz w:val="21"/>
                <w:szCs w:val="21"/>
              </w:rPr>
            </w:pPr>
          </w:p>
        </w:tc>
        <w:tc>
          <w:tcPr>
            <w:tcW w:w="145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1000</w:t>
            </w:r>
            <w:r>
              <w:rPr>
                <w:rStyle w:val="208"/>
                <w:rFonts w:hint="default" w:ascii="Times New Roman" w:hAnsi="Times New Roman" w:cs="Times New Roman"/>
                <w:color w:val="auto"/>
                <w:lang w:val="en-US" w:eastAsia="zh-CN" w:bidi="ar"/>
              </w:rPr>
              <w:t>元</w:t>
            </w:r>
            <w:r>
              <w:rPr>
                <w:rFonts w:hint="default" w:ascii="Times New Roman" w:hAnsi="Times New Roman" w:eastAsia="宋体" w:cs="Times New Roman"/>
                <w:i w:val="0"/>
                <w:iCs w:val="0"/>
                <w:color w:val="auto"/>
                <w:kern w:val="0"/>
                <w:sz w:val="21"/>
                <w:szCs w:val="21"/>
                <w:u w:val="none"/>
                <w:lang w:val="en-US" w:eastAsia="zh-CN" w:bidi="ar"/>
              </w:rPr>
              <w:t>/</w:t>
            </w:r>
            <w:r>
              <w:rPr>
                <w:rStyle w:val="208"/>
                <w:rFonts w:hint="default" w:ascii="Times New Roman" w:hAnsi="Times New Roman" w:cs="Times New Roman"/>
                <w:color w:val="auto"/>
                <w:lang w:val="en-US" w:eastAsia="zh-CN" w:bidi="ar"/>
              </w:rPr>
              <w:t>吨</w:t>
            </w:r>
          </w:p>
        </w:tc>
        <w:tc>
          <w:tcPr>
            <w:tcW w:w="153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82730</w:t>
            </w:r>
          </w:p>
        </w:tc>
      </w:tr>
      <w:tr>
        <w:tblPrEx>
          <w:tblCellMar>
            <w:top w:w="0" w:type="dxa"/>
            <w:left w:w="108" w:type="dxa"/>
            <w:bottom w:w="0" w:type="dxa"/>
            <w:right w:w="108" w:type="dxa"/>
          </w:tblCellMar>
        </w:tblPrEx>
        <w:trPr>
          <w:trHeight w:val="284" w:hRule="atLeast"/>
          <w:jc w:val="center"/>
        </w:trPr>
        <w:tc>
          <w:tcPr>
            <w:tcW w:w="918" w:type="dxa"/>
            <w:vMerge w:val="continue"/>
            <w:tcBorders>
              <w:left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1"/>
                <w:szCs w:val="21"/>
              </w:rPr>
            </w:pPr>
          </w:p>
        </w:tc>
        <w:tc>
          <w:tcPr>
            <w:tcW w:w="1367"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其他固体废物</w:t>
            </w:r>
          </w:p>
        </w:tc>
        <w:tc>
          <w:tcPr>
            <w:tcW w:w="1269" w:type="dxa"/>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7303.25t</w:t>
            </w:r>
          </w:p>
        </w:tc>
        <w:tc>
          <w:tcPr>
            <w:tcW w:w="983"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1"/>
                <w:szCs w:val="21"/>
              </w:rPr>
            </w:pPr>
          </w:p>
        </w:tc>
        <w:tc>
          <w:tcPr>
            <w:tcW w:w="1102" w:type="dxa"/>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eastAsiaTheme="minorEastAsia"/>
                <w:color w:val="auto"/>
                <w:kern w:val="0"/>
                <w:sz w:val="21"/>
                <w:szCs w:val="21"/>
              </w:rPr>
            </w:pPr>
          </w:p>
        </w:tc>
        <w:tc>
          <w:tcPr>
            <w:tcW w:w="145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25</w:t>
            </w:r>
            <w:r>
              <w:rPr>
                <w:rStyle w:val="208"/>
                <w:rFonts w:hint="default" w:ascii="Times New Roman" w:hAnsi="Times New Roman" w:cs="Times New Roman"/>
                <w:color w:val="auto"/>
                <w:lang w:val="en-US" w:eastAsia="zh-CN" w:bidi="ar"/>
              </w:rPr>
              <w:t>元</w:t>
            </w:r>
            <w:r>
              <w:rPr>
                <w:rFonts w:hint="default" w:ascii="Times New Roman" w:hAnsi="Times New Roman" w:eastAsia="宋体" w:cs="Times New Roman"/>
                <w:i w:val="0"/>
                <w:iCs w:val="0"/>
                <w:color w:val="auto"/>
                <w:kern w:val="0"/>
                <w:sz w:val="21"/>
                <w:szCs w:val="21"/>
                <w:u w:val="none"/>
                <w:lang w:val="en-US" w:eastAsia="zh-CN" w:bidi="ar"/>
              </w:rPr>
              <w:t>/</w:t>
            </w:r>
            <w:r>
              <w:rPr>
                <w:rStyle w:val="208"/>
                <w:rFonts w:hint="default" w:ascii="Times New Roman" w:hAnsi="Times New Roman" w:cs="Times New Roman"/>
                <w:color w:val="auto"/>
                <w:lang w:val="en-US" w:eastAsia="zh-CN" w:bidi="ar"/>
              </w:rPr>
              <w:t>吨</w:t>
            </w:r>
          </w:p>
        </w:tc>
        <w:tc>
          <w:tcPr>
            <w:tcW w:w="153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182581.25</w:t>
            </w:r>
          </w:p>
        </w:tc>
      </w:tr>
      <w:tr>
        <w:tblPrEx>
          <w:tblCellMar>
            <w:top w:w="0" w:type="dxa"/>
            <w:left w:w="108" w:type="dxa"/>
            <w:bottom w:w="0" w:type="dxa"/>
            <w:right w:w="108" w:type="dxa"/>
          </w:tblCellMar>
        </w:tblPrEx>
        <w:trPr>
          <w:trHeight w:val="284" w:hRule="atLeast"/>
          <w:jc w:val="center"/>
        </w:trPr>
        <w:tc>
          <w:tcPr>
            <w:tcW w:w="2285" w:type="dxa"/>
            <w:gridSpan w:val="2"/>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合计</w:t>
            </w:r>
          </w:p>
        </w:tc>
        <w:tc>
          <w:tcPr>
            <w:tcW w:w="1269"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1"/>
                <w:szCs w:val="21"/>
              </w:rPr>
            </w:pPr>
          </w:p>
        </w:tc>
        <w:tc>
          <w:tcPr>
            <w:tcW w:w="983"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1"/>
                <w:szCs w:val="21"/>
              </w:rPr>
            </w:pPr>
          </w:p>
        </w:tc>
        <w:tc>
          <w:tcPr>
            <w:tcW w:w="1102" w:type="dxa"/>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eastAsiaTheme="minorEastAsia"/>
                <w:color w:val="auto"/>
                <w:kern w:val="0"/>
                <w:sz w:val="21"/>
                <w:szCs w:val="21"/>
              </w:rPr>
            </w:pPr>
          </w:p>
        </w:tc>
        <w:tc>
          <w:tcPr>
            <w:tcW w:w="1455" w:type="dxa"/>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eastAsiaTheme="minorEastAsia"/>
                <w:color w:val="auto"/>
                <w:kern w:val="0"/>
                <w:sz w:val="21"/>
                <w:szCs w:val="21"/>
              </w:rPr>
            </w:pPr>
          </w:p>
        </w:tc>
        <w:tc>
          <w:tcPr>
            <w:tcW w:w="153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4269475.31 </w:t>
            </w:r>
          </w:p>
        </w:tc>
      </w:tr>
    </w:tbl>
    <w:p>
      <w:pPr>
        <w:spacing w:beforeLines="50"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2、采取各项环保治理措施后各项目污染物的排放情况及应纳环保税</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①废气：污染物达标排放；</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②废水：达标排放；</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③固体废物：不外排；</w:t>
      </w:r>
    </w:p>
    <w:p>
      <w:pPr>
        <w:pStyle w:val="133"/>
        <w:numPr>
          <w:ilvl w:val="0"/>
          <w:numId w:val="20"/>
        </w:numPr>
        <w:spacing w:line="360" w:lineRule="auto"/>
        <w:ind w:left="0" w:leftChars="0" w:firstLine="0" w:firstLineChars="0"/>
        <w:jc w:val="center"/>
        <w:rPr>
          <w:rFonts w:hint="default" w:ascii="Times New Roman" w:hAnsi="Times New Roman" w:cs="Times New Roman"/>
          <w:b/>
          <w:bCs/>
          <w:color w:val="auto"/>
        </w:rPr>
      </w:pPr>
      <w:r>
        <w:rPr>
          <w:rFonts w:hint="default" w:ascii="Times New Roman" w:hAnsi="Times New Roman" w:cs="Times New Roman"/>
          <w:b/>
          <w:bCs/>
          <w:color w:val="auto"/>
        </w:rPr>
        <w:t>项目采取各项环保措施后应纳的环保税</w:t>
      </w:r>
    </w:p>
    <w:tbl>
      <w:tblPr>
        <w:tblStyle w:val="44"/>
        <w:tblW w:w="8632" w:type="dxa"/>
        <w:jc w:val="center"/>
        <w:tblLayout w:type="fixed"/>
        <w:tblCellMar>
          <w:top w:w="0" w:type="dxa"/>
          <w:left w:w="108" w:type="dxa"/>
          <w:bottom w:w="0" w:type="dxa"/>
          <w:right w:w="108" w:type="dxa"/>
        </w:tblCellMar>
      </w:tblPr>
      <w:tblGrid>
        <w:gridCol w:w="918"/>
        <w:gridCol w:w="1367"/>
        <w:gridCol w:w="1269"/>
        <w:gridCol w:w="983"/>
        <w:gridCol w:w="1102"/>
        <w:gridCol w:w="1455"/>
        <w:gridCol w:w="1538"/>
      </w:tblGrid>
      <w:tr>
        <w:tblPrEx>
          <w:tblCellMar>
            <w:top w:w="0" w:type="dxa"/>
            <w:left w:w="108" w:type="dxa"/>
            <w:bottom w:w="0" w:type="dxa"/>
            <w:right w:w="108" w:type="dxa"/>
          </w:tblCellMar>
        </w:tblPrEx>
        <w:trPr>
          <w:trHeight w:val="284" w:hRule="atLeast"/>
          <w:jc w:val="center"/>
        </w:trPr>
        <w:tc>
          <w:tcPr>
            <w:tcW w:w="9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环境要素</w:t>
            </w:r>
          </w:p>
        </w:tc>
        <w:tc>
          <w:tcPr>
            <w:tcW w:w="136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污染物名称</w:t>
            </w:r>
          </w:p>
        </w:tc>
        <w:tc>
          <w:tcPr>
            <w:tcW w:w="126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污染物排放量（千克）</w:t>
            </w:r>
          </w:p>
        </w:tc>
        <w:tc>
          <w:tcPr>
            <w:tcW w:w="98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污染物当量值</w:t>
            </w:r>
          </w:p>
        </w:tc>
        <w:tc>
          <w:tcPr>
            <w:tcW w:w="110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污染物当量数</w:t>
            </w:r>
          </w:p>
        </w:tc>
        <w:tc>
          <w:tcPr>
            <w:tcW w:w="145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适用税额（元/污染当量）</w:t>
            </w:r>
          </w:p>
        </w:tc>
        <w:tc>
          <w:tcPr>
            <w:tcW w:w="153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应纳税额（元）</w:t>
            </w:r>
          </w:p>
        </w:tc>
      </w:tr>
      <w:tr>
        <w:tblPrEx>
          <w:tblCellMar>
            <w:top w:w="0" w:type="dxa"/>
            <w:left w:w="108" w:type="dxa"/>
            <w:bottom w:w="0" w:type="dxa"/>
            <w:right w:w="108" w:type="dxa"/>
          </w:tblCellMar>
        </w:tblPrEx>
        <w:trPr>
          <w:trHeight w:val="284" w:hRule="atLeast"/>
          <w:jc w:val="center"/>
        </w:trPr>
        <w:tc>
          <w:tcPr>
            <w:tcW w:w="918" w:type="dxa"/>
            <w:vMerge w:val="restart"/>
            <w:tcBorders>
              <w:top w:val="nil"/>
              <w:left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大气污染物</w:t>
            </w:r>
          </w:p>
        </w:tc>
        <w:tc>
          <w:tcPr>
            <w:tcW w:w="1367"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1"/>
                <w:szCs w:val="21"/>
                <w:lang w:eastAsia="zh-CN"/>
              </w:rPr>
            </w:pPr>
            <w:r>
              <w:rPr>
                <w:rFonts w:hint="default" w:ascii="Times New Roman" w:hAnsi="Times New Roman" w:cs="Times New Roman" w:eastAsiaTheme="minorEastAsia"/>
                <w:color w:val="auto"/>
                <w:kern w:val="0"/>
                <w:sz w:val="21"/>
                <w:szCs w:val="21"/>
                <w:lang w:eastAsia="zh-CN"/>
              </w:rPr>
              <w:t>非甲烷总烃</w:t>
            </w:r>
          </w:p>
        </w:tc>
        <w:tc>
          <w:tcPr>
            <w:tcW w:w="1269" w:type="dxa"/>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1253</w:t>
            </w:r>
          </w:p>
        </w:tc>
        <w:tc>
          <w:tcPr>
            <w:tcW w:w="983"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1"/>
                <w:szCs w:val="21"/>
                <w:lang w:eastAsia="zh-CN"/>
              </w:rPr>
            </w:pPr>
            <w:r>
              <w:rPr>
                <w:rFonts w:hint="default" w:ascii="Times New Roman" w:hAnsi="Times New Roman" w:cs="Times New Roman" w:eastAsiaTheme="minorEastAsia"/>
                <w:color w:val="auto"/>
                <w:kern w:val="0"/>
                <w:sz w:val="21"/>
                <w:szCs w:val="21"/>
                <w:lang w:val="en-US" w:eastAsia="zh-CN"/>
              </w:rPr>
              <w:t>/</w:t>
            </w:r>
          </w:p>
        </w:tc>
        <w:tc>
          <w:tcPr>
            <w:tcW w:w="1102" w:type="dxa"/>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w:t>
            </w:r>
          </w:p>
        </w:tc>
        <w:tc>
          <w:tcPr>
            <w:tcW w:w="1455"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1"/>
                <w:szCs w:val="21"/>
                <w:lang w:eastAsia="zh-CN"/>
              </w:rPr>
            </w:pPr>
            <w:r>
              <w:rPr>
                <w:rFonts w:hint="default" w:ascii="Times New Roman" w:hAnsi="Times New Roman" w:cs="Times New Roman" w:eastAsiaTheme="minorEastAsia"/>
                <w:color w:val="auto"/>
                <w:kern w:val="0"/>
                <w:sz w:val="21"/>
                <w:szCs w:val="21"/>
                <w:lang w:val="en-US" w:eastAsia="zh-CN"/>
              </w:rPr>
              <w:t>/</w:t>
            </w:r>
          </w:p>
        </w:tc>
        <w:tc>
          <w:tcPr>
            <w:tcW w:w="1538" w:type="dxa"/>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r>
      <w:tr>
        <w:tblPrEx>
          <w:tblCellMar>
            <w:top w:w="0" w:type="dxa"/>
            <w:left w:w="108" w:type="dxa"/>
            <w:bottom w:w="0" w:type="dxa"/>
            <w:right w:w="108" w:type="dxa"/>
          </w:tblCellMar>
        </w:tblPrEx>
        <w:trPr>
          <w:trHeight w:val="284" w:hRule="atLeast"/>
          <w:jc w:val="center"/>
        </w:trPr>
        <w:tc>
          <w:tcPr>
            <w:tcW w:w="918" w:type="dxa"/>
            <w:vMerge w:val="continue"/>
            <w:tcBorders>
              <w:left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1"/>
                <w:szCs w:val="21"/>
              </w:rPr>
            </w:pPr>
          </w:p>
        </w:tc>
        <w:tc>
          <w:tcPr>
            <w:tcW w:w="1367"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1"/>
                <w:szCs w:val="21"/>
                <w:lang w:eastAsia="zh-CN"/>
              </w:rPr>
            </w:pPr>
            <w:r>
              <w:rPr>
                <w:rFonts w:hint="default" w:ascii="Times New Roman" w:hAnsi="Times New Roman" w:cs="Times New Roman" w:eastAsiaTheme="minorEastAsia"/>
                <w:color w:val="auto"/>
                <w:kern w:val="0"/>
                <w:sz w:val="21"/>
                <w:szCs w:val="21"/>
                <w:lang w:eastAsia="zh-CN"/>
              </w:rPr>
              <w:t>颗粒物</w:t>
            </w:r>
          </w:p>
        </w:tc>
        <w:tc>
          <w:tcPr>
            <w:tcW w:w="1269" w:type="dxa"/>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330</w:t>
            </w:r>
          </w:p>
        </w:tc>
        <w:tc>
          <w:tcPr>
            <w:tcW w:w="983"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4</w:t>
            </w:r>
          </w:p>
        </w:tc>
        <w:tc>
          <w:tcPr>
            <w:tcW w:w="110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82.5</w:t>
            </w:r>
          </w:p>
        </w:tc>
        <w:tc>
          <w:tcPr>
            <w:tcW w:w="145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2.8</w:t>
            </w:r>
          </w:p>
        </w:tc>
        <w:tc>
          <w:tcPr>
            <w:tcW w:w="153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231.00 </w:t>
            </w:r>
          </w:p>
        </w:tc>
      </w:tr>
      <w:tr>
        <w:tblPrEx>
          <w:tblCellMar>
            <w:top w:w="0" w:type="dxa"/>
            <w:left w:w="108" w:type="dxa"/>
            <w:bottom w:w="0" w:type="dxa"/>
            <w:right w:w="108" w:type="dxa"/>
          </w:tblCellMar>
        </w:tblPrEx>
        <w:trPr>
          <w:trHeight w:val="284" w:hRule="atLeast"/>
          <w:jc w:val="center"/>
        </w:trPr>
        <w:tc>
          <w:tcPr>
            <w:tcW w:w="918" w:type="dxa"/>
            <w:vMerge w:val="continue"/>
            <w:tcBorders>
              <w:left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1"/>
                <w:szCs w:val="21"/>
              </w:rPr>
            </w:pPr>
          </w:p>
        </w:tc>
        <w:tc>
          <w:tcPr>
            <w:tcW w:w="1367"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1"/>
                <w:szCs w:val="21"/>
                <w:lang w:eastAsia="zh-CN"/>
              </w:rPr>
            </w:pPr>
            <w:r>
              <w:rPr>
                <w:rFonts w:hint="default" w:ascii="Times New Roman" w:hAnsi="Times New Roman" w:cs="Times New Roman" w:eastAsiaTheme="minorEastAsia"/>
                <w:color w:val="auto"/>
                <w:kern w:val="0"/>
                <w:sz w:val="21"/>
                <w:szCs w:val="21"/>
                <w:lang w:eastAsia="zh-CN"/>
              </w:rPr>
              <w:t>氟化物</w:t>
            </w:r>
          </w:p>
        </w:tc>
        <w:tc>
          <w:tcPr>
            <w:tcW w:w="1269" w:type="dxa"/>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w:t>
            </w:r>
          </w:p>
        </w:tc>
        <w:tc>
          <w:tcPr>
            <w:tcW w:w="983"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0.87</w:t>
            </w:r>
          </w:p>
        </w:tc>
        <w:tc>
          <w:tcPr>
            <w:tcW w:w="110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5.75 </w:t>
            </w:r>
          </w:p>
        </w:tc>
        <w:tc>
          <w:tcPr>
            <w:tcW w:w="145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2.8</w:t>
            </w:r>
          </w:p>
        </w:tc>
        <w:tc>
          <w:tcPr>
            <w:tcW w:w="153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16.09 </w:t>
            </w:r>
          </w:p>
        </w:tc>
      </w:tr>
      <w:tr>
        <w:tblPrEx>
          <w:tblCellMar>
            <w:top w:w="0" w:type="dxa"/>
            <w:left w:w="108" w:type="dxa"/>
            <w:bottom w:w="0" w:type="dxa"/>
            <w:right w:w="108" w:type="dxa"/>
          </w:tblCellMar>
        </w:tblPrEx>
        <w:trPr>
          <w:trHeight w:val="284" w:hRule="atLeast"/>
          <w:jc w:val="center"/>
        </w:trPr>
        <w:tc>
          <w:tcPr>
            <w:tcW w:w="918" w:type="dxa"/>
            <w:vMerge w:val="continue"/>
            <w:tcBorders>
              <w:left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1"/>
                <w:szCs w:val="21"/>
              </w:rPr>
            </w:pPr>
          </w:p>
        </w:tc>
        <w:tc>
          <w:tcPr>
            <w:tcW w:w="1367"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1"/>
                <w:szCs w:val="21"/>
                <w:lang w:eastAsia="zh-CN"/>
              </w:rPr>
            </w:pPr>
            <w:r>
              <w:rPr>
                <w:rFonts w:hint="default" w:ascii="Times New Roman" w:hAnsi="Times New Roman" w:cs="Times New Roman" w:eastAsiaTheme="minorEastAsia"/>
                <w:color w:val="auto"/>
                <w:kern w:val="0"/>
                <w:sz w:val="21"/>
                <w:szCs w:val="21"/>
                <w:lang w:eastAsia="zh-CN"/>
              </w:rPr>
              <w:t>氨</w:t>
            </w:r>
          </w:p>
        </w:tc>
        <w:tc>
          <w:tcPr>
            <w:tcW w:w="1269" w:type="dxa"/>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193</w:t>
            </w:r>
          </w:p>
        </w:tc>
        <w:tc>
          <w:tcPr>
            <w:tcW w:w="983"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9.09</w:t>
            </w:r>
          </w:p>
        </w:tc>
        <w:tc>
          <w:tcPr>
            <w:tcW w:w="110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21.23 </w:t>
            </w:r>
          </w:p>
        </w:tc>
        <w:tc>
          <w:tcPr>
            <w:tcW w:w="145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2.8</w:t>
            </w:r>
          </w:p>
        </w:tc>
        <w:tc>
          <w:tcPr>
            <w:tcW w:w="153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59.45 </w:t>
            </w:r>
          </w:p>
        </w:tc>
      </w:tr>
      <w:tr>
        <w:tblPrEx>
          <w:tblCellMar>
            <w:top w:w="0" w:type="dxa"/>
            <w:left w:w="108" w:type="dxa"/>
            <w:bottom w:w="0" w:type="dxa"/>
            <w:right w:w="108" w:type="dxa"/>
          </w:tblCellMar>
        </w:tblPrEx>
        <w:trPr>
          <w:trHeight w:val="284" w:hRule="atLeast"/>
          <w:jc w:val="center"/>
        </w:trPr>
        <w:tc>
          <w:tcPr>
            <w:tcW w:w="918" w:type="dxa"/>
            <w:vMerge w:val="continue"/>
            <w:tcBorders>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1"/>
                <w:szCs w:val="21"/>
              </w:rPr>
            </w:pPr>
          </w:p>
        </w:tc>
        <w:tc>
          <w:tcPr>
            <w:tcW w:w="1367"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1"/>
                <w:szCs w:val="21"/>
                <w:lang w:eastAsia="zh-CN"/>
              </w:rPr>
            </w:pPr>
            <w:r>
              <w:rPr>
                <w:rFonts w:hint="default" w:ascii="Times New Roman" w:hAnsi="Times New Roman" w:cs="Times New Roman" w:eastAsiaTheme="minorEastAsia"/>
                <w:color w:val="auto"/>
                <w:kern w:val="0"/>
                <w:sz w:val="21"/>
                <w:szCs w:val="21"/>
                <w:lang w:eastAsia="zh-CN"/>
              </w:rPr>
              <w:t>硫化氢</w:t>
            </w:r>
          </w:p>
        </w:tc>
        <w:tc>
          <w:tcPr>
            <w:tcW w:w="1269" w:type="dxa"/>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983"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0.29</w:t>
            </w:r>
          </w:p>
        </w:tc>
        <w:tc>
          <w:tcPr>
            <w:tcW w:w="110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6.90 </w:t>
            </w:r>
          </w:p>
        </w:tc>
        <w:tc>
          <w:tcPr>
            <w:tcW w:w="145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2.8</w:t>
            </w:r>
          </w:p>
        </w:tc>
        <w:tc>
          <w:tcPr>
            <w:tcW w:w="153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19.31 </w:t>
            </w:r>
          </w:p>
        </w:tc>
      </w:tr>
      <w:tr>
        <w:tblPrEx>
          <w:tblCellMar>
            <w:top w:w="0" w:type="dxa"/>
            <w:left w:w="108" w:type="dxa"/>
            <w:bottom w:w="0" w:type="dxa"/>
            <w:right w:w="108" w:type="dxa"/>
          </w:tblCellMar>
        </w:tblPrEx>
        <w:trPr>
          <w:trHeight w:val="284" w:hRule="atLeast"/>
          <w:jc w:val="center"/>
        </w:trPr>
        <w:tc>
          <w:tcPr>
            <w:tcW w:w="918" w:type="dxa"/>
            <w:vMerge w:val="restart"/>
            <w:tcBorders>
              <w:top w:val="nil"/>
              <w:left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水污染物</w:t>
            </w:r>
          </w:p>
        </w:tc>
        <w:tc>
          <w:tcPr>
            <w:tcW w:w="1367"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CODCr</w:t>
            </w:r>
          </w:p>
        </w:tc>
        <w:tc>
          <w:tcPr>
            <w:tcW w:w="1269" w:type="dxa"/>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48037.65</w:t>
            </w:r>
          </w:p>
        </w:tc>
        <w:tc>
          <w:tcPr>
            <w:tcW w:w="983"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1</w:t>
            </w:r>
          </w:p>
        </w:tc>
        <w:tc>
          <w:tcPr>
            <w:tcW w:w="110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48037.65 </w:t>
            </w:r>
          </w:p>
        </w:tc>
        <w:tc>
          <w:tcPr>
            <w:tcW w:w="145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3.5</w:t>
            </w:r>
          </w:p>
        </w:tc>
        <w:tc>
          <w:tcPr>
            <w:tcW w:w="153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168131.78 </w:t>
            </w:r>
          </w:p>
        </w:tc>
      </w:tr>
      <w:tr>
        <w:tblPrEx>
          <w:tblCellMar>
            <w:top w:w="0" w:type="dxa"/>
            <w:left w:w="108" w:type="dxa"/>
            <w:bottom w:w="0" w:type="dxa"/>
            <w:right w:w="108" w:type="dxa"/>
          </w:tblCellMar>
        </w:tblPrEx>
        <w:trPr>
          <w:trHeight w:val="284" w:hRule="atLeast"/>
          <w:jc w:val="center"/>
        </w:trPr>
        <w:tc>
          <w:tcPr>
            <w:tcW w:w="918" w:type="dxa"/>
            <w:vMerge w:val="continue"/>
            <w:tcBorders>
              <w:left w:val="single" w:color="auto" w:sz="4" w:space="0"/>
              <w:right w:val="single" w:color="auto" w:sz="4" w:space="0"/>
            </w:tcBorders>
            <w:vAlign w:val="center"/>
          </w:tcPr>
          <w:p>
            <w:pPr>
              <w:widowControl/>
              <w:jc w:val="center"/>
              <w:rPr>
                <w:rFonts w:hint="default" w:ascii="Times New Roman" w:hAnsi="Times New Roman" w:cs="Times New Roman" w:eastAsiaTheme="minorEastAsia"/>
                <w:color w:val="auto"/>
                <w:kern w:val="0"/>
                <w:sz w:val="21"/>
                <w:szCs w:val="21"/>
              </w:rPr>
            </w:pPr>
          </w:p>
        </w:tc>
        <w:tc>
          <w:tcPr>
            <w:tcW w:w="1367"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BOD</w:t>
            </w:r>
            <w:r>
              <w:rPr>
                <w:rFonts w:hint="default" w:ascii="Times New Roman" w:hAnsi="Times New Roman" w:cs="Times New Roman"/>
                <w:color w:val="FF0000"/>
                <w:sz w:val="21"/>
                <w:szCs w:val="21"/>
                <w:vertAlign w:val="subscript"/>
              </w:rPr>
              <w:t>5</w:t>
            </w:r>
          </w:p>
        </w:tc>
        <w:tc>
          <w:tcPr>
            <w:tcW w:w="1269" w:type="dxa"/>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19501.95</w:t>
            </w:r>
          </w:p>
        </w:tc>
        <w:tc>
          <w:tcPr>
            <w:tcW w:w="983"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0.5</w:t>
            </w:r>
          </w:p>
        </w:tc>
        <w:tc>
          <w:tcPr>
            <w:tcW w:w="110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39003.90 </w:t>
            </w:r>
          </w:p>
        </w:tc>
        <w:tc>
          <w:tcPr>
            <w:tcW w:w="145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3.5</w:t>
            </w:r>
          </w:p>
        </w:tc>
        <w:tc>
          <w:tcPr>
            <w:tcW w:w="153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136513.65 </w:t>
            </w:r>
          </w:p>
        </w:tc>
      </w:tr>
      <w:tr>
        <w:tblPrEx>
          <w:tblCellMar>
            <w:top w:w="0" w:type="dxa"/>
            <w:left w:w="108" w:type="dxa"/>
            <w:bottom w:w="0" w:type="dxa"/>
            <w:right w:w="108" w:type="dxa"/>
          </w:tblCellMar>
        </w:tblPrEx>
        <w:trPr>
          <w:trHeight w:val="284" w:hRule="atLeast"/>
          <w:jc w:val="center"/>
        </w:trPr>
        <w:tc>
          <w:tcPr>
            <w:tcW w:w="918" w:type="dxa"/>
            <w:vMerge w:val="continue"/>
            <w:tcBorders>
              <w:left w:val="single" w:color="auto" w:sz="4" w:space="0"/>
              <w:right w:val="single" w:color="auto" w:sz="4" w:space="0"/>
            </w:tcBorders>
            <w:vAlign w:val="center"/>
          </w:tcPr>
          <w:p>
            <w:pPr>
              <w:widowControl/>
              <w:jc w:val="center"/>
              <w:rPr>
                <w:rFonts w:hint="default" w:ascii="Times New Roman" w:hAnsi="Times New Roman" w:cs="Times New Roman" w:eastAsiaTheme="minorEastAsia"/>
                <w:color w:val="auto"/>
                <w:kern w:val="0"/>
                <w:sz w:val="21"/>
                <w:szCs w:val="21"/>
              </w:rPr>
            </w:pPr>
          </w:p>
        </w:tc>
        <w:tc>
          <w:tcPr>
            <w:tcW w:w="1367"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SS</w:t>
            </w:r>
          </w:p>
        </w:tc>
        <w:tc>
          <w:tcPr>
            <w:tcW w:w="1269" w:type="dxa"/>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14946.75</w:t>
            </w:r>
          </w:p>
        </w:tc>
        <w:tc>
          <w:tcPr>
            <w:tcW w:w="983"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4</w:t>
            </w:r>
          </w:p>
        </w:tc>
        <w:tc>
          <w:tcPr>
            <w:tcW w:w="110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3736.69 </w:t>
            </w:r>
          </w:p>
        </w:tc>
        <w:tc>
          <w:tcPr>
            <w:tcW w:w="145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3.5</w:t>
            </w:r>
          </w:p>
        </w:tc>
        <w:tc>
          <w:tcPr>
            <w:tcW w:w="153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13078.41 </w:t>
            </w:r>
          </w:p>
        </w:tc>
      </w:tr>
      <w:tr>
        <w:tblPrEx>
          <w:tblCellMar>
            <w:top w:w="0" w:type="dxa"/>
            <w:left w:w="108" w:type="dxa"/>
            <w:bottom w:w="0" w:type="dxa"/>
            <w:right w:w="108" w:type="dxa"/>
          </w:tblCellMar>
        </w:tblPrEx>
        <w:trPr>
          <w:trHeight w:val="284" w:hRule="atLeast"/>
          <w:jc w:val="center"/>
        </w:trPr>
        <w:tc>
          <w:tcPr>
            <w:tcW w:w="918" w:type="dxa"/>
            <w:vMerge w:val="continue"/>
            <w:tcBorders>
              <w:left w:val="single" w:color="auto" w:sz="4" w:space="0"/>
              <w:right w:val="single" w:color="auto" w:sz="4" w:space="0"/>
            </w:tcBorders>
            <w:vAlign w:val="center"/>
          </w:tcPr>
          <w:p>
            <w:pPr>
              <w:widowControl/>
              <w:jc w:val="center"/>
              <w:rPr>
                <w:rFonts w:hint="default" w:ascii="Times New Roman" w:hAnsi="Times New Roman" w:cs="Times New Roman" w:eastAsiaTheme="minorEastAsia"/>
                <w:color w:val="auto"/>
                <w:kern w:val="0"/>
                <w:sz w:val="21"/>
                <w:szCs w:val="21"/>
              </w:rPr>
            </w:pPr>
          </w:p>
        </w:tc>
        <w:tc>
          <w:tcPr>
            <w:tcW w:w="1367"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1"/>
                <w:szCs w:val="21"/>
                <w:lang w:eastAsia="zh-CN"/>
              </w:rPr>
            </w:pPr>
            <w:r>
              <w:rPr>
                <w:rFonts w:hint="default" w:ascii="Times New Roman" w:hAnsi="Times New Roman" w:cs="Times New Roman" w:eastAsiaTheme="minorEastAsia"/>
                <w:color w:val="auto"/>
                <w:kern w:val="0"/>
                <w:sz w:val="21"/>
                <w:szCs w:val="21"/>
                <w:lang w:eastAsia="zh-CN"/>
              </w:rPr>
              <w:t>阴离子表面活性剂</w:t>
            </w:r>
          </w:p>
        </w:tc>
        <w:tc>
          <w:tcPr>
            <w:tcW w:w="1269" w:type="dxa"/>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3806.95</w:t>
            </w:r>
          </w:p>
        </w:tc>
        <w:tc>
          <w:tcPr>
            <w:tcW w:w="983"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0.2</w:t>
            </w:r>
          </w:p>
        </w:tc>
        <w:tc>
          <w:tcPr>
            <w:tcW w:w="110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19034.75 </w:t>
            </w:r>
          </w:p>
        </w:tc>
        <w:tc>
          <w:tcPr>
            <w:tcW w:w="145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3.5</w:t>
            </w:r>
          </w:p>
        </w:tc>
        <w:tc>
          <w:tcPr>
            <w:tcW w:w="153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66621.63 </w:t>
            </w:r>
          </w:p>
        </w:tc>
      </w:tr>
      <w:tr>
        <w:tblPrEx>
          <w:tblCellMar>
            <w:top w:w="0" w:type="dxa"/>
            <w:left w:w="108" w:type="dxa"/>
            <w:bottom w:w="0" w:type="dxa"/>
            <w:right w:w="108" w:type="dxa"/>
          </w:tblCellMar>
        </w:tblPrEx>
        <w:trPr>
          <w:trHeight w:val="284" w:hRule="atLeast"/>
          <w:jc w:val="center"/>
        </w:trPr>
        <w:tc>
          <w:tcPr>
            <w:tcW w:w="918" w:type="dxa"/>
            <w:vMerge w:val="continue"/>
            <w:tcBorders>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eastAsiaTheme="minorEastAsia"/>
                <w:color w:val="auto"/>
                <w:kern w:val="0"/>
                <w:sz w:val="21"/>
                <w:szCs w:val="21"/>
              </w:rPr>
            </w:pPr>
          </w:p>
        </w:tc>
        <w:tc>
          <w:tcPr>
            <w:tcW w:w="1367"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1"/>
                <w:szCs w:val="21"/>
                <w:lang w:eastAsia="zh-CN"/>
              </w:rPr>
            </w:pPr>
            <w:r>
              <w:rPr>
                <w:rFonts w:hint="default" w:ascii="Times New Roman" w:hAnsi="Times New Roman" w:cs="Times New Roman" w:eastAsiaTheme="minorEastAsia"/>
                <w:color w:val="auto"/>
                <w:kern w:val="0"/>
                <w:sz w:val="21"/>
                <w:szCs w:val="21"/>
                <w:lang w:eastAsia="zh-CN"/>
              </w:rPr>
              <w:t>氟化物</w:t>
            </w:r>
          </w:p>
        </w:tc>
        <w:tc>
          <w:tcPr>
            <w:tcW w:w="1269" w:type="dxa"/>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3.65</w:t>
            </w:r>
          </w:p>
        </w:tc>
        <w:tc>
          <w:tcPr>
            <w:tcW w:w="983"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0.5</w:t>
            </w:r>
          </w:p>
        </w:tc>
        <w:tc>
          <w:tcPr>
            <w:tcW w:w="110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7.3</w:t>
            </w:r>
          </w:p>
        </w:tc>
        <w:tc>
          <w:tcPr>
            <w:tcW w:w="145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3.5</w:t>
            </w:r>
          </w:p>
        </w:tc>
        <w:tc>
          <w:tcPr>
            <w:tcW w:w="153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25.55 </w:t>
            </w:r>
          </w:p>
        </w:tc>
      </w:tr>
      <w:tr>
        <w:tblPrEx>
          <w:tblCellMar>
            <w:top w:w="0" w:type="dxa"/>
            <w:left w:w="108" w:type="dxa"/>
            <w:bottom w:w="0" w:type="dxa"/>
            <w:right w:w="108" w:type="dxa"/>
          </w:tblCellMar>
        </w:tblPrEx>
        <w:trPr>
          <w:trHeight w:val="284" w:hRule="atLeast"/>
          <w:jc w:val="center"/>
        </w:trPr>
        <w:tc>
          <w:tcPr>
            <w:tcW w:w="918" w:type="dxa"/>
            <w:vMerge w:val="restart"/>
            <w:tcBorders>
              <w:top w:val="nil"/>
              <w:left w:val="single" w:color="auto" w:sz="4" w:space="0"/>
              <w:right w:val="single" w:color="auto" w:sz="4" w:space="0"/>
            </w:tcBorders>
            <w:shd w:val="clear" w:color="auto" w:fill="auto"/>
            <w:vAlign w:val="center"/>
          </w:tcPr>
          <w:p>
            <w:pPr>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固体废物</w:t>
            </w:r>
          </w:p>
        </w:tc>
        <w:tc>
          <w:tcPr>
            <w:tcW w:w="1367"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危险废物</w:t>
            </w:r>
          </w:p>
        </w:tc>
        <w:tc>
          <w:tcPr>
            <w:tcW w:w="1269" w:type="dxa"/>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c>
          <w:tcPr>
            <w:tcW w:w="983"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1"/>
                <w:szCs w:val="21"/>
              </w:rPr>
            </w:pPr>
          </w:p>
        </w:tc>
        <w:tc>
          <w:tcPr>
            <w:tcW w:w="1102" w:type="dxa"/>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eastAsiaTheme="minorEastAsia"/>
                <w:color w:val="auto"/>
                <w:kern w:val="0"/>
                <w:sz w:val="21"/>
                <w:szCs w:val="21"/>
              </w:rPr>
            </w:pPr>
          </w:p>
        </w:tc>
        <w:tc>
          <w:tcPr>
            <w:tcW w:w="145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1000</w:t>
            </w:r>
            <w:r>
              <w:rPr>
                <w:rStyle w:val="208"/>
                <w:rFonts w:hint="default" w:ascii="Times New Roman" w:hAnsi="Times New Roman" w:cs="Times New Roman"/>
                <w:color w:val="auto"/>
                <w:lang w:val="en-US" w:eastAsia="zh-CN" w:bidi="ar"/>
              </w:rPr>
              <w:t>元</w:t>
            </w:r>
            <w:r>
              <w:rPr>
                <w:rFonts w:hint="default" w:ascii="Times New Roman" w:hAnsi="Times New Roman" w:eastAsia="宋体" w:cs="Times New Roman"/>
                <w:i w:val="0"/>
                <w:iCs w:val="0"/>
                <w:color w:val="auto"/>
                <w:kern w:val="0"/>
                <w:sz w:val="21"/>
                <w:szCs w:val="21"/>
                <w:u w:val="none"/>
                <w:lang w:val="en-US" w:eastAsia="zh-CN" w:bidi="ar"/>
              </w:rPr>
              <w:t>/</w:t>
            </w:r>
            <w:r>
              <w:rPr>
                <w:rStyle w:val="208"/>
                <w:rFonts w:hint="default" w:ascii="Times New Roman" w:hAnsi="Times New Roman" w:cs="Times New Roman"/>
                <w:color w:val="auto"/>
                <w:lang w:val="en-US" w:eastAsia="zh-CN" w:bidi="ar"/>
              </w:rPr>
              <w:t>吨</w:t>
            </w:r>
          </w:p>
        </w:tc>
        <w:tc>
          <w:tcPr>
            <w:tcW w:w="153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0</w:t>
            </w:r>
          </w:p>
        </w:tc>
      </w:tr>
      <w:tr>
        <w:tblPrEx>
          <w:tblCellMar>
            <w:top w:w="0" w:type="dxa"/>
            <w:left w:w="108" w:type="dxa"/>
            <w:bottom w:w="0" w:type="dxa"/>
            <w:right w:w="108" w:type="dxa"/>
          </w:tblCellMar>
        </w:tblPrEx>
        <w:trPr>
          <w:trHeight w:val="284" w:hRule="atLeast"/>
          <w:jc w:val="center"/>
        </w:trPr>
        <w:tc>
          <w:tcPr>
            <w:tcW w:w="918" w:type="dxa"/>
            <w:vMerge w:val="continue"/>
            <w:tcBorders>
              <w:left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1"/>
                <w:szCs w:val="21"/>
              </w:rPr>
            </w:pPr>
          </w:p>
        </w:tc>
        <w:tc>
          <w:tcPr>
            <w:tcW w:w="1367"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其他固体废物</w:t>
            </w:r>
          </w:p>
        </w:tc>
        <w:tc>
          <w:tcPr>
            <w:tcW w:w="1269" w:type="dxa"/>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c>
          <w:tcPr>
            <w:tcW w:w="983"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1"/>
                <w:szCs w:val="21"/>
              </w:rPr>
            </w:pPr>
          </w:p>
        </w:tc>
        <w:tc>
          <w:tcPr>
            <w:tcW w:w="1102" w:type="dxa"/>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eastAsiaTheme="minorEastAsia"/>
                <w:color w:val="auto"/>
                <w:kern w:val="0"/>
                <w:sz w:val="21"/>
                <w:szCs w:val="21"/>
              </w:rPr>
            </w:pPr>
          </w:p>
        </w:tc>
        <w:tc>
          <w:tcPr>
            <w:tcW w:w="145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25</w:t>
            </w:r>
            <w:r>
              <w:rPr>
                <w:rStyle w:val="208"/>
                <w:rFonts w:hint="default" w:ascii="Times New Roman" w:hAnsi="Times New Roman" w:cs="Times New Roman"/>
                <w:color w:val="auto"/>
                <w:lang w:val="en-US" w:eastAsia="zh-CN" w:bidi="ar"/>
              </w:rPr>
              <w:t>元</w:t>
            </w:r>
            <w:r>
              <w:rPr>
                <w:rFonts w:hint="default" w:ascii="Times New Roman" w:hAnsi="Times New Roman" w:eastAsia="宋体" w:cs="Times New Roman"/>
                <w:i w:val="0"/>
                <w:iCs w:val="0"/>
                <w:color w:val="auto"/>
                <w:kern w:val="0"/>
                <w:sz w:val="21"/>
                <w:szCs w:val="21"/>
                <w:u w:val="none"/>
                <w:lang w:val="en-US" w:eastAsia="zh-CN" w:bidi="ar"/>
              </w:rPr>
              <w:t>/</w:t>
            </w:r>
            <w:r>
              <w:rPr>
                <w:rStyle w:val="208"/>
                <w:rFonts w:hint="default" w:ascii="Times New Roman" w:hAnsi="Times New Roman" w:cs="Times New Roman"/>
                <w:color w:val="auto"/>
                <w:lang w:val="en-US" w:eastAsia="zh-CN" w:bidi="ar"/>
              </w:rPr>
              <w:t>吨</w:t>
            </w:r>
          </w:p>
        </w:tc>
        <w:tc>
          <w:tcPr>
            <w:tcW w:w="153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0</w:t>
            </w:r>
          </w:p>
        </w:tc>
      </w:tr>
      <w:tr>
        <w:tblPrEx>
          <w:tblCellMar>
            <w:top w:w="0" w:type="dxa"/>
            <w:left w:w="108" w:type="dxa"/>
            <w:bottom w:w="0" w:type="dxa"/>
            <w:right w:w="108" w:type="dxa"/>
          </w:tblCellMar>
        </w:tblPrEx>
        <w:trPr>
          <w:trHeight w:val="284" w:hRule="atLeast"/>
          <w:jc w:val="center"/>
        </w:trPr>
        <w:tc>
          <w:tcPr>
            <w:tcW w:w="2285" w:type="dxa"/>
            <w:gridSpan w:val="2"/>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合计</w:t>
            </w:r>
          </w:p>
        </w:tc>
        <w:tc>
          <w:tcPr>
            <w:tcW w:w="1269"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1"/>
                <w:szCs w:val="21"/>
              </w:rPr>
            </w:pPr>
          </w:p>
        </w:tc>
        <w:tc>
          <w:tcPr>
            <w:tcW w:w="983"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1"/>
                <w:szCs w:val="21"/>
              </w:rPr>
            </w:pPr>
          </w:p>
        </w:tc>
        <w:tc>
          <w:tcPr>
            <w:tcW w:w="1102" w:type="dxa"/>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eastAsiaTheme="minorEastAsia"/>
                <w:color w:val="auto"/>
                <w:kern w:val="0"/>
                <w:sz w:val="21"/>
                <w:szCs w:val="21"/>
              </w:rPr>
            </w:pPr>
          </w:p>
        </w:tc>
        <w:tc>
          <w:tcPr>
            <w:tcW w:w="1455" w:type="dxa"/>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eastAsiaTheme="minorEastAsia"/>
                <w:color w:val="auto"/>
                <w:kern w:val="0"/>
                <w:sz w:val="21"/>
                <w:szCs w:val="21"/>
              </w:rPr>
            </w:pPr>
          </w:p>
        </w:tc>
        <w:tc>
          <w:tcPr>
            <w:tcW w:w="153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384696.86 </w:t>
            </w:r>
          </w:p>
        </w:tc>
      </w:tr>
    </w:tbl>
    <w:p>
      <w:pPr>
        <w:adjustRightInd w:val="0"/>
        <w:snapToGrid w:val="0"/>
        <w:spacing w:beforeLines="50"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表</w:t>
      </w:r>
      <w:r>
        <w:rPr>
          <w:rFonts w:hint="default" w:ascii="Times New Roman" w:hAnsi="Times New Roman" w:cs="Times New Roman"/>
          <w:color w:val="auto"/>
          <w:lang w:val="en-US" w:eastAsia="zh-CN"/>
        </w:rPr>
        <w:t>7</w:t>
      </w:r>
      <w:r>
        <w:rPr>
          <w:rFonts w:hint="default" w:ascii="Times New Roman" w:hAnsi="Times New Roman" w:cs="Times New Roman"/>
          <w:color w:val="auto"/>
        </w:rPr>
        <w:t>-2和表</w:t>
      </w:r>
      <w:r>
        <w:rPr>
          <w:rFonts w:hint="default" w:ascii="Times New Roman" w:hAnsi="Times New Roman" w:cs="Times New Roman"/>
          <w:color w:val="auto"/>
          <w:lang w:val="en-US" w:eastAsia="zh-CN"/>
        </w:rPr>
        <w:t>7</w:t>
      </w:r>
      <w:r>
        <w:rPr>
          <w:rFonts w:hint="default" w:ascii="Times New Roman" w:hAnsi="Times New Roman" w:cs="Times New Roman"/>
          <w:color w:val="auto"/>
        </w:rPr>
        <w:t>-3中环保税金额差异</w:t>
      </w:r>
      <w:r>
        <w:rPr>
          <w:rFonts w:hint="default" w:ascii="Times New Roman" w:hAnsi="Times New Roman" w:cs="Times New Roman"/>
          <w:color w:val="auto"/>
          <w:lang w:val="en-US" w:eastAsia="zh-CN"/>
        </w:rPr>
        <w:t>3884778.45</w:t>
      </w:r>
      <w:r>
        <w:rPr>
          <w:rFonts w:hint="default" w:ascii="Times New Roman" w:hAnsi="Times New Roman" w:cs="Times New Roman"/>
          <w:color w:val="auto"/>
        </w:rPr>
        <w:t>元，由此可以看出采取各种环保措施后，可</w:t>
      </w:r>
      <w:r>
        <w:rPr>
          <w:rFonts w:hint="default" w:ascii="Times New Roman" w:hAnsi="Times New Roman" w:cs="Times New Roman"/>
          <w:color w:val="auto"/>
          <w:lang w:eastAsia="zh-CN"/>
        </w:rPr>
        <w:t>大幅降低环保税的缴纳金额</w:t>
      </w:r>
      <w:r>
        <w:rPr>
          <w:rFonts w:hint="default" w:ascii="Times New Roman" w:hAnsi="Times New Roman" w:cs="Times New Roman"/>
          <w:color w:val="auto"/>
        </w:rPr>
        <w:t>，污染防治措施的经济效益是显著的。</w:t>
      </w:r>
    </w:p>
    <w:p>
      <w:pPr>
        <w:adjustRightInd w:val="0"/>
        <w:snapToGrid w:val="0"/>
        <w:spacing w:beforeLines="50" w:line="360" w:lineRule="auto"/>
        <w:ind w:firstLine="480" w:firstLineChars="200"/>
        <w:rPr>
          <w:rFonts w:hint="default" w:ascii="Times New Roman" w:hAnsi="Times New Roman" w:cs="Times New Roman"/>
          <w:bCs/>
          <w:color w:val="auto"/>
        </w:rPr>
      </w:pPr>
      <w:r>
        <w:rPr>
          <w:rFonts w:hint="default" w:ascii="Times New Roman" w:hAnsi="Times New Roman" w:cs="Times New Roman"/>
          <w:color w:val="auto"/>
        </w:rPr>
        <w:t>3、环境效益分析</w:t>
      </w:r>
    </w:p>
    <w:p>
      <w:pPr>
        <w:pStyle w:val="136"/>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根据工程分析，本项目建成投产后所产生的污染物会对环境产生一定的影响。因此，必须采取相应的环保措施，以保证将项目建设对环境的影响降低到最小程度，满足建设项目环境保护管理的要求。</w:t>
      </w:r>
    </w:p>
    <w:p>
      <w:pPr>
        <w:pStyle w:val="136"/>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由于本工程采用了先进的生产工艺、设备和较为完善的性能可靠的环保治理措施，使各项环境要素达标排放。各项措施实施后达到：废气达标排放；生产废水及生活废水达标排放；厂界噪声达标排放；固废得到妥善处理与处置；污染得到有效的控制，保护周围环境质量达到控制目标。达到了有效控制污染和保护环境的目的，项目环境保护投资的环境效益表现在以下方面：</w:t>
      </w:r>
    </w:p>
    <w:p>
      <w:pPr>
        <w:pStyle w:val="136"/>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（1）排水管网建设</w:t>
      </w:r>
    </w:p>
    <w:p>
      <w:pPr>
        <w:pStyle w:val="136"/>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项目实行清污分流，分类处置，可减少废水处理量和处置费用，环境效益显著。</w:t>
      </w:r>
    </w:p>
    <w:p>
      <w:pPr>
        <w:pStyle w:val="136"/>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（2）废水治理环境效益</w:t>
      </w:r>
    </w:p>
    <w:p>
      <w:pPr>
        <w:pStyle w:val="136"/>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项目废水处置达到</w:t>
      </w:r>
      <w:r>
        <w:rPr>
          <w:rFonts w:hint="default" w:ascii="Times New Roman" w:hAnsi="Times New Roman" w:cs="Times New Roman" w:eastAsiaTheme="minorEastAsia"/>
          <w:color w:val="auto"/>
          <w:lang w:eastAsia="zh-CN"/>
        </w:rPr>
        <w:t>表</w:t>
      </w:r>
      <w:r>
        <w:rPr>
          <w:rFonts w:hint="default" w:ascii="Times New Roman" w:hAnsi="Times New Roman" w:cs="Times New Roman" w:eastAsiaTheme="minorEastAsia"/>
          <w:color w:val="auto"/>
          <w:lang w:val="en-US" w:eastAsia="zh-CN"/>
        </w:rPr>
        <w:t>1-12的</w:t>
      </w:r>
      <w:r>
        <w:rPr>
          <w:rFonts w:hint="default" w:ascii="Times New Roman" w:hAnsi="Times New Roman" w:cs="Times New Roman" w:eastAsiaTheme="minorEastAsia"/>
          <w:color w:val="auto"/>
        </w:rPr>
        <w:t>标准值</w:t>
      </w:r>
      <w:r>
        <w:rPr>
          <w:rFonts w:hint="default" w:ascii="Times New Roman" w:hAnsi="Times New Roman" w:eastAsia="宋体" w:cs="Times New Roman"/>
          <w:color w:val="auto"/>
        </w:rPr>
        <w:t>，通过一个总排口排入市政污水管网，最终进入</w:t>
      </w:r>
      <w:r>
        <w:rPr>
          <w:rFonts w:hint="default" w:ascii="Times New Roman" w:hAnsi="Times New Roman" w:eastAsia="宋体" w:cs="Times New Roman"/>
          <w:color w:val="auto"/>
          <w:lang w:eastAsia="zh-CN"/>
        </w:rPr>
        <w:t>楚雄市富民工业园区</w:t>
      </w:r>
      <w:r>
        <w:rPr>
          <w:rFonts w:hint="default" w:ascii="Times New Roman" w:hAnsi="Times New Roman" w:eastAsia="宋体" w:cs="Times New Roman"/>
          <w:color w:val="auto"/>
        </w:rPr>
        <w:t>污水处理厂处理</w:t>
      </w:r>
      <w:r>
        <w:rPr>
          <w:rFonts w:hint="default" w:ascii="Times New Roman" w:hAnsi="Times New Roman" w:eastAsia="宋体" w:cs="Times New Roman"/>
          <w:color w:val="auto"/>
          <w:lang w:eastAsia="zh-CN"/>
        </w:rPr>
        <w:t>，不会降低青龙河的水质功能类别</w:t>
      </w:r>
      <w:r>
        <w:rPr>
          <w:rFonts w:hint="default" w:ascii="Times New Roman" w:hAnsi="Times New Roman" w:eastAsia="宋体" w:cs="Times New Roman"/>
          <w:color w:val="auto"/>
        </w:rPr>
        <w:t>。</w:t>
      </w:r>
    </w:p>
    <w:p>
      <w:pPr>
        <w:pStyle w:val="136"/>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（3）废气治理环境效益</w:t>
      </w:r>
    </w:p>
    <w:p>
      <w:pPr>
        <w:pStyle w:val="136"/>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项目废气经治理后</w:t>
      </w:r>
      <w:r>
        <w:rPr>
          <w:rFonts w:hint="default" w:ascii="Times New Roman" w:hAnsi="Times New Roman" w:eastAsia="宋体" w:cs="Times New Roman"/>
          <w:color w:val="auto"/>
          <w:lang w:eastAsia="zh-CN"/>
        </w:rPr>
        <w:t>非甲烷总烃、颗粒物、氟化物</w:t>
      </w:r>
      <w:r>
        <w:rPr>
          <w:rFonts w:hint="default" w:ascii="Times New Roman" w:hAnsi="Times New Roman" w:eastAsia="宋体" w:cs="Times New Roman"/>
          <w:color w:val="auto"/>
        </w:rPr>
        <w:t>满足《大气污染物综合排放标准》（GB139078-1996）表2中标准限值，</w:t>
      </w:r>
      <w:r>
        <w:rPr>
          <w:rFonts w:hint="default" w:ascii="Times New Roman" w:hAnsi="Times New Roman" w:eastAsia="宋体" w:cs="Times New Roman"/>
          <w:color w:val="auto"/>
          <w:lang w:eastAsia="zh-CN"/>
        </w:rPr>
        <w:t>氨、硫化氢满足《恶臭污染物排放标准》（</w:t>
      </w:r>
      <w:r>
        <w:rPr>
          <w:rFonts w:hint="default" w:ascii="Times New Roman" w:hAnsi="Times New Roman" w:eastAsia="宋体" w:cs="Times New Roman"/>
          <w:color w:val="auto"/>
          <w:kern w:val="2"/>
          <w:lang w:val="en-US" w:eastAsia="zh-CN"/>
        </w:rPr>
        <w:t>GB14554-93</w:t>
      </w:r>
      <w:r>
        <w:rPr>
          <w:rFonts w:hint="default" w:ascii="Times New Roman" w:hAnsi="Times New Roman" w:eastAsia="宋体" w:cs="Times New Roman"/>
          <w:color w:val="auto"/>
          <w:lang w:eastAsia="zh-CN"/>
        </w:rPr>
        <w:t>）表</w:t>
      </w:r>
      <w:r>
        <w:rPr>
          <w:rFonts w:hint="default" w:ascii="Times New Roman" w:hAnsi="Times New Roman" w:eastAsia="宋体" w:cs="Times New Roman"/>
          <w:color w:val="auto"/>
          <w:lang w:val="en-US" w:eastAsia="zh-CN"/>
        </w:rPr>
        <w:t>2中标准限值，</w:t>
      </w:r>
      <w:r>
        <w:rPr>
          <w:rFonts w:hint="default" w:ascii="Times New Roman" w:hAnsi="Times New Roman" w:eastAsia="宋体" w:cs="Times New Roman"/>
          <w:color w:val="auto"/>
        </w:rPr>
        <w:t>不会对当地大气环境造成不良影响。</w:t>
      </w:r>
    </w:p>
    <w:p>
      <w:pPr>
        <w:pStyle w:val="136"/>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（4）噪声治理的环境效益分析</w:t>
      </w:r>
    </w:p>
    <w:p>
      <w:pPr>
        <w:pStyle w:val="136"/>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项目噪声污染防治措施的落实将大大减轻了噪声污染，对厂界的声环境影响较小，均在环境容许的范围内，有较好的环境效益。</w:t>
      </w:r>
    </w:p>
    <w:p>
      <w:pPr>
        <w:pStyle w:val="136"/>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（5）固废治理的环境效益</w:t>
      </w:r>
    </w:p>
    <w:p>
      <w:pPr>
        <w:pStyle w:val="136"/>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项目各类固废均妥善处置，生活垃圾交由环卫部门处置，不直接向外环境排放。</w:t>
      </w:r>
    </w:p>
    <w:p>
      <w:pPr>
        <w:adjustRightInd w:val="0"/>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由此可见，本项目环境效益较显著。</w:t>
      </w:r>
    </w:p>
    <w:p>
      <w:pPr>
        <w:pStyle w:val="4"/>
        <w:spacing w:before="0" w:after="0" w:line="360" w:lineRule="auto"/>
        <w:rPr>
          <w:rFonts w:hint="default" w:ascii="Times New Roman" w:hAnsi="Times New Roman" w:eastAsia="宋体" w:cs="Times New Roman"/>
          <w:color w:val="auto"/>
          <w:sz w:val="28"/>
          <w:szCs w:val="28"/>
        </w:rPr>
      </w:pPr>
      <w:bookmarkStart w:id="1024" w:name="_Toc26906"/>
      <w:bookmarkStart w:id="1025" w:name="_Toc30880"/>
      <w:bookmarkStart w:id="1026" w:name="_Toc13650"/>
      <w:bookmarkStart w:id="1027" w:name="_Toc11991"/>
      <w:bookmarkStart w:id="1028" w:name="_Toc227"/>
      <w:bookmarkStart w:id="1029" w:name="_Toc2392"/>
      <w:r>
        <w:rPr>
          <w:rFonts w:hint="default" w:ascii="Times New Roman" w:hAnsi="Times New Roman" w:eastAsia="宋体" w:cs="Times New Roman"/>
          <w:color w:val="auto"/>
          <w:sz w:val="28"/>
          <w:szCs w:val="28"/>
          <w:lang w:val="en-US" w:eastAsia="zh-CN"/>
        </w:rPr>
        <w:t>7</w:t>
      </w:r>
      <w:r>
        <w:rPr>
          <w:rFonts w:hint="default" w:ascii="Times New Roman" w:hAnsi="Times New Roman" w:eastAsia="宋体" w:cs="Times New Roman"/>
          <w:color w:val="auto"/>
          <w:sz w:val="28"/>
          <w:szCs w:val="28"/>
        </w:rPr>
        <w:t>.3社会效益</w:t>
      </w:r>
      <w:bookmarkEnd w:id="1024"/>
      <w:bookmarkEnd w:id="1025"/>
      <w:bookmarkEnd w:id="1026"/>
      <w:bookmarkEnd w:id="1027"/>
      <w:bookmarkEnd w:id="1028"/>
      <w:bookmarkEnd w:id="1029"/>
    </w:p>
    <w:p>
      <w:pPr>
        <w:pStyle w:val="136"/>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项目采用的技术可靠，工艺成熟，项目建设的社会效益显著。项目投产后，社会效益主要表现在以下几个方面：</w:t>
      </w:r>
    </w:p>
    <w:p>
      <w:pPr>
        <w:pStyle w:val="136"/>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（1）对国家科技发展具有战略性作用</w:t>
      </w:r>
    </w:p>
    <w:p>
      <w:pPr>
        <w:spacing w:line="360" w:lineRule="auto"/>
        <w:ind w:firstLine="480" w:firstLineChars="200"/>
        <w:jc w:val="left"/>
        <w:rPr>
          <w:rFonts w:hint="default" w:ascii="Times New Roman" w:hAnsi="Times New Roman" w:cs="Times New Roman"/>
          <w:color w:val="auto"/>
        </w:rPr>
      </w:pPr>
      <w:r>
        <w:rPr>
          <w:rFonts w:hint="default" w:ascii="Times New Roman" w:hAnsi="Times New Roman" w:cs="Times New Roman"/>
          <w:color w:val="auto"/>
        </w:rPr>
        <w:t>国防建设及高新技术发展离不开半导体材料，项目的建设可以</w:t>
      </w:r>
      <w:r>
        <w:rPr>
          <w:rFonts w:hint="default" w:ascii="Times New Roman" w:hAnsi="Times New Roman" w:cs="Times New Roman"/>
          <w:color w:val="auto"/>
          <w:shd w:val="clear" w:color="auto" w:fill="FFFFFF"/>
        </w:rPr>
        <w:t>源源不断地为下游应用领域企业提供原材料供应，从而加快各新材料产业质变的“临界值”的积累速度。</w:t>
      </w:r>
    </w:p>
    <w:p>
      <w:pPr>
        <w:pStyle w:val="136"/>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（2）促进区域经济的发展</w:t>
      </w:r>
    </w:p>
    <w:p>
      <w:pPr>
        <w:pStyle w:val="136"/>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拟建工程的实施，在提高企业经济效益的同时，可通过增加纳税增加地方财政收入，带动当地经济的发展，具有较明显的社会效益。</w:t>
      </w:r>
    </w:p>
    <w:p>
      <w:pPr>
        <w:pStyle w:val="136"/>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（3）提高当地就业率</w:t>
      </w:r>
    </w:p>
    <w:p>
      <w:pPr>
        <w:pStyle w:val="136"/>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拟建工程的实施可为当地提供一定的就业岗位，而且通过带动当地相关产业的发展，可提高当地就业率，增加居民收入，有利于改善居民生活水平。综合以上分析，项目的实施，将大大提高公司市场竞争能力，同时，可通过增加纳税，增加财政收入，带动当地经济的发展，具有较明显的社会效益。</w:t>
      </w:r>
    </w:p>
    <w:p>
      <w:pPr>
        <w:pStyle w:val="4"/>
        <w:spacing w:before="0" w:after="0" w:line="360" w:lineRule="auto"/>
        <w:rPr>
          <w:rFonts w:hint="default" w:ascii="Times New Roman" w:hAnsi="Times New Roman" w:eastAsia="宋体" w:cs="Times New Roman"/>
          <w:color w:val="auto"/>
          <w:sz w:val="28"/>
          <w:szCs w:val="28"/>
        </w:rPr>
      </w:pPr>
      <w:bookmarkStart w:id="1030" w:name="_Toc25536"/>
      <w:bookmarkStart w:id="1031" w:name="_Toc27436"/>
      <w:bookmarkStart w:id="1032" w:name="_Toc25836"/>
      <w:bookmarkStart w:id="1033" w:name="_Toc24437"/>
      <w:bookmarkStart w:id="1034" w:name="_Toc12967"/>
      <w:bookmarkStart w:id="1035" w:name="_Toc27707"/>
      <w:r>
        <w:rPr>
          <w:rFonts w:hint="default" w:ascii="Times New Roman" w:hAnsi="Times New Roman" w:eastAsia="宋体" w:cs="Times New Roman"/>
          <w:color w:val="auto"/>
          <w:sz w:val="28"/>
          <w:szCs w:val="28"/>
          <w:lang w:val="en-US" w:eastAsia="zh-CN"/>
        </w:rPr>
        <w:t>7</w:t>
      </w:r>
      <w:r>
        <w:rPr>
          <w:rFonts w:hint="default" w:ascii="Times New Roman" w:hAnsi="Times New Roman" w:eastAsia="宋体" w:cs="Times New Roman"/>
          <w:color w:val="auto"/>
          <w:sz w:val="28"/>
          <w:szCs w:val="28"/>
        </w:rPr>
        <w:t>.4环境损益分析结论</w:t>
      </w:r>
      <w:bookmarkEnd w:id="1030"/>
      <w:bookmarkEnd w:id="1031"/>
      <w:bookmarkEnd w:id="1032"/>
      <w:bookmarkEnd w:id="1033"/>
      <w:bookmarkEnd w:id="1034"/>
      <w:bookmarkEnd w:id="1035"/>
    </w:p>
    <w:p>
      <w:pPr>
        <w:adjustRightInd w:val="0"/>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通过对本项目的经济效益、社会效益、环境效益分析，本项目营运过程中产生的废水、废气、噪声污染物经处理后分别达到相应标准排放，其造成的影响程度与范围均较小，对周围环境的影响不大。本项目在创造经济价值的同时能较好的减少对环境的影响，只要建设单位认真落实“三同时”制度，加强施工期及营运期环境管理工作，在进行污染防治、保证环境投资和治理效果的情况下，项目能取得社会效益、经济效益和环境效益的统一、协调发展。</w:t>
      </w:r>
    </w:p>
    <w:p>
      <w:pPr>
        <w:pStyle w:val="4"/>
        <w:spacing w:line="360" w:lineRule="auto"/>
        <w:jc w:val="center"/>
        <w:rPr>
          <w:rFonts w:hint="default" w:ascii="Times New Roman" w:hAnsi="Times New Roman" w:eastAsia="宋体" w:cs="Times New Roman"/>
          <w:color w:val="FF0000"/>
        </w:rPr>
        <w:sectPr>
          <w:pgSz w:w="11906" w:h="16838"/>
          <w:pgMar w:top="1440" w:right="1797" w:bottom="1440" w:left="1797" w:header="851" w:footer="992" w:gutter="0"/>
          <w:pgBorders>
            <w:top w:val="none" w:sz="0" w:space="0"/>
            <w:left w:val="none" w:sz="0" w:space="0"/>
            <w:bottom w:val="none" w:sz="0" w:space="0"/>
            <w:right w:val="none" w:sz="0" w:space="0"/>
          </w:pgBorders>
          <w:cols w:space="720" w:num="1"/>
          <w:docGrid w:linePitch="312" w:charSpace="0"/>
        </w:sectPr>
      </w:pPr>
    </w:p>
    <w:p>
      <w:pPr>
        <w:pStyle w:val="3"/>
        <w:spacing w:before="468" w:after="468"/>
        <w:jc w:val="center"/>
        <w:rPr>
          <w:rFonts w:hint="default" w:ascii="Times New Roman" w:hAnsi="Times New Roman" w:cs="Times New Roman"/>
          <w:color w:val="auto"/>
        </w:rPr>
      </w:pPr>
      <w:bookmarkStart w:id="1036" w:name="_Toc10047"/>
      <w:r>
        <w:rPr>
          <w:rFonts w:hint="default" w:ascii="Times New Roman" w:hAnsi="Times New Roman" w:cs="Times New Roman"/>
          <w:color w:val="auto"/>
          <w:lang w:val="en-US" w:eastAsia="zh-CN"/>
        </w:rPr>
        <w:t>8</w:t>
      </w:r>
      <w:r>
        <w:rPr>
          <w:rFonts w:hint="default" w:ascii="Times New Roman" w:hAnsi="Times New Roman" w:cs="Times New Roman"/>
          <w:color w:val="auto"/>
        </w:rPr>
        <w:t>产业政策及规划符合性分析</w:t>
      </w:r>
      <w:bookmarkEnd w:id="1036"/>
    </w:p>
    <w:p>
      <w:pPr>
        <w:pStyle w:val="4"/>
        <w:spacing w:before="0" w:after="0" w:line="360" w:lineRule="auto"/>
        <w:rPr>
          <w:rFonts w:hint="default" w:ascii="Times New Roman" w:hAnsi="Times New Roman" w:eastAsia="宋体" w:cs="Times New Roman"/>
          <w:color w:val="auto"/>
          <w:sz w:val="28"/>
          <w:szCs w:val="28"/>
        </w:rPr>
      </w:pPr>
      <w:bookmarkStart w:id="1037" w:name="_Toc24218"/>
      <w:r>
        <w:rPr>
          <w:rFonts w:hint="default" w:ascii="Times New Roman" w:hAnsi="Times New Roman" w:eastAsia="宋体" w:cs="Times New Roman"/>
          <w:color w:val="auto"/>
          <w:sz w:val="28"/>
          <w:szCs w:val="28"/>
          <w:lang w:val="en-US" w:eastAsia="zh-CN"/>
        </w:rPr>
        <w:t>8</w:t>
      </w:r>
      <w:r>
        <w:rPr>
          <w:rFonts w:hint="default" w:ascii="Times New Roman" w:hAnsi="Times New Roman" w:eastAsia="宋体" w:cs="Times New Roman"/>
          <w:color w:val="auto"/>
          <w:sz w:val="28"/>
          <w:szCs w:val="28"/>
        </w:rPr>
        <w:t>.1产业政策符合性分析</w:t>
      </w:r>
      <w:bookmarkEnd w:id="1037"/>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根据中华人民共和国国家发展和改革委员会令第29号《产业结构调整指导目录（2019年本）》：本项目属于“鼓励类：二十八、信息产业22、半导体、光电子器件、新型电子元器件（片式元器件、电力电子器件、光电子器件、敏感元器件及传感器、新型机电元件、高频微波印制电路板、高速通信电路板、柔性电路板、高性能覆铜板等）等电子产品用材料”。</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本项目已取得楚雄市发展和改革局出具的投资项目备案证（项目代码：</w:t>
      </w:r>
      <w:r>
        <w:rPr>
          <w:rFonts w:hint="default" w:ascii="Times New Roman" w:hAnsi="Times New Roman" w:cs="Times New Roman"/>
          <w:color w:val="auto"/>
          <w:lang w:eastAsia="zh-CN"/>
        </w:rPr>
        <w:t>2211-532301-04-01-153877</w:t>
      </w:r>
      <w:r>
        <w:rPr>
          <w:rFonts w:hint="default" w:ascii="Times New Roman" w:hAnsi="Times New Roman" w:cs="Times New Roman"/>
          <w:color w:val="auto"/>
        </w:rPr>
        <w:t>），因此项目的建设符合国家和云南省产业政策，属国家及云南省鼓励类项目。</w:t>
      </w:r>
    </w:p>
    <w:p>
      <w:pPr>
        <w:pStyle w:val="4"/>
        <w:spacing w:before="0" w:after="0" w:line="360" w:lineRule="auto"/>
        <w:rPr>
          <w:rFonts w:hint="default" w:ascii="Times New Roman" w:hAnsi="Times New Roman" w:eastAsia="宋体" w:cs="Times New Roman"/>
          <w:color w:val="auto"/>
          <w:sz w:val="28"/>
          <w:szCs w:val="28"/>
        </w:rPr>
      </w:pPr>
      <w:bookmarkStart w:id="1038" w:name="_Toc1288"/>
      <w:r>
        <w:rPr>
          <w:rFonts w:hint="default" w:ascii="Times New Roman" w:hAnsi="Times New Roman" w:eastAsia="宋体" w:cs="Times New Roman"/>
          <w:color w:val="auto"/>
          <w:sz w:val="28"/>
          <w:szCs w:val="28"/>
          <w:lang w:val="en-US" w:eastAsia="zh-CN"/>
        </w:rPr>
        <w:t>8</w:t>
      </w:r>
      <w:r>
        <w:rPr>
          <w:rFonts w:hint="default" w:ascii="Times New Roman" w:hAnsi="Times New Roman" w:eastAsia="宋体" w:cs="Times New Roman"/>
          <w:color w:val="auto"/>
          <w:sz w:val="28"/>
          <w:szCs w:val="28"/>
        </w:rPr>
        <w:t>.2与规划符合性分析</w:t>
      </w:r>
      <w:bookmarkEnd w:id="1038"/>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1、与《云南省长江经济带发展负面清单指南实施细则（试行）》的符合性分析</w:t>
      </w:r>
    </w:p>
    <w:p>
      <w:pPr>
        <w:pStyle w:val="2"/>
        <w:spacing w:line="360" w:lineRule="auto"/>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表</w:t>
      </w:r>
      <w:r>
        <w:rPr>
          <w:rFonts w:hint="default" w:ascii="Times New Roman" w:hAnsi="Times New Roman" w:cs="Times New Roman"/>
          <w:b/>
          <w:bCs/>
          <w:color w:val="auto"/>
          <w:sz w:val="24"/>
          <w:szCs w:val="24"/>
          <w:lang w:val="en-US" w:eastAsia="zh-CN"/>
        </w:rPr>
        <w:t>8</w:t>
      </w:r>
      <w:r>
        <w:rPr>
          <w:rFonts w:hint="default" w:ascii="Times New Roman" w:hAnsi="Times New Roman" w:cs="Times New Roman"/>
          <w:b/>
          <w:bCs/>
          <w:color w:val="auto"/>
          <w:sz w:val="24"/>
          <w:szCs w:val="24"/>
        </w:rPr>
        <w:t>-1  与</w:t>
      </w:r>
      <w:r>
        <w:rPr>
          <w:rFonts w:hint="default" w:ascii="Times New Roman" w:hAnsi="Times New Roman" w:cs="Times New Roman"/>
          <w:b/>
          <w:color w:val="auto"/>
          <w:sz w:val="24"/>
        </w:rPr>
        <w:t>云南省长江经济带发展负面清单指南实施细则（试行）</w:t>
      </w:r>
      <w:r>
        <w:rPr>
          <w:rFonts w:hint="default" w:ascii="Times New Roman" w:hAnsi="Times New Roman" w:cs="Times New Roman"/>
          <w:b/>
          <w:bCs/>
          <w:color w:val="auto"/>
          <w:sz w:val="24"/>
          <w:szCs w:val="24"/>
        </w:rPr>
        <w:t>的符合性分析</w:t>
      </w:r>
    </w:p>
    <w:tbl>
      <w:tblPr>
        <w:tblStyle w:val="44"/>
        <w:tblW w:w="92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6"/>
        <w:gridCol w:w="5667"/>
        <w:gridCol w:w="2420"/>
        <w:gridCol w:w="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33"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 w:val="21"/>
                <w:szCs w:val="21"/>
              </w:rPr>
              <w:t>《云南省长江经济带发展负面清单指南实施细则（试行）》</w:t>
            </w:r>
          </w:p>
        </w:tc>
        <w:tc>
          <w:tcPr>
            <w:tcW w:w="2420"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 w:val="21"/>
                <w:szCs w:val="21"/>
              </w:rPr>
              <w:t>项目情况</w:t>
            </w:r>
          </w:p>
        </w:tc>
        <w:tc>
          <w:tcPr>
            <w:tcW w:w="678"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 w:val="21"/>
                <w:szCs w:val="21"/>
              </w:rPr>
              <w:t>是否符合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 w:val="21"/>
                <w:szCs w:val="21"/>
              </w:rPr>
              <w:t>各类功能区</w:t>
            </w:r>
          </w:p>
        </w:tc>
        <w:tc>
          <w:tcPr>
            <w:tcW w:w="5667"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Cs w:val="21"/>
              </w:rPr>
            </w:pPr>
            <w:r>
              <w:rPr>
                <w:rFonts w:hint="default" w:ascii="Times New Roman" w:hAnsi="Times New Roman" w:cs="Times New Roman"/>
                <w:color w:val="auto"/>
                <w:sz w:val="21"/>
                <w:szCs w:val="21"/>
              </w:rPr>
              <w:t>①禁止一切不符合主体功能定位的投资建设项目，严禁任意改变用途，因国家重大战略资源勘查需要，在不影响主体功能定位的前提下，经依法批准后予以安排勘查项目。</w:t>
            </w:r>
          </w:p>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Cs w:val="21"/>
              </w:rPr>
            </w:pPr>
            <w:r>
              <w:rPr>
                <w:rFonts w:hint="default" w:ascii="Times New Roman" w:hAnsi="Times New Roman" w:cs="Times New Roman"/>
                <w:color w:val="auto"/>
                <w:sz w:val="21"/>
                <w:szCs w:val="21"/>
              </w:rPr>
              <w:t>②禁止在《长江岸线保护和开发利用总体规划》划定的岸线保护区内投资建设除保障防洪安全、河势稳定、供水安全以及保护生态环境、已建重要枢纽工程以外的项目，禁止在岸线保留区内投资建设除保障防洪安全、河势稳定、供水安全、航道稳定以及保护生态环境以外的项目。禁止在《全国重要江河湖泊水功能区划》划定的河段保护区、保留区内投资建设不利于水资源及自然生态保护的项目。</w:t>
            </w:r>
          </w:p>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Cs w:val="21"/>
              </w:rPr>
            </w:pPr>
            <w:r>
              <w:rPr>
                <w:rFonts w:hint="default" w:ascii="Times New Roman" w:hAnsi="Times New Roman" w:cs="Times New Roman"/>
                <w:color w:val="auto"/>
                <w:sz w:val="21"/>
                <w:szCs w:val="21"/>
              </w:rPr>
              <w:t>③禁止在生态保护红线范围内投资建设除国家重大战略资源勘查项目、生态保护修复和环境治理项目、重大基础设施项目、军事国防项目以及农牧民基本生产生活等必要的民生项目以外的项目。生态保护红线原则上按禁止开发区域的要求进行管理。</w:t>
            </w:r>
          </w:p>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Cs w:val="21"/>
              </w:rPr>
            </w:pPr>
            <w:r>
              <w:rPr>
                <w:rFonts w:hint="default" w:ascii="Times New Roman" w:hAnsi="Times New Roman" w:cs="Times New Roman"/>
                <w:color w:val="auto"/>
                <w:sz w:val="21"/>
                <w:szCs w:val="21"/>
              </w:rPr>
              <w:t>④禁止在永久基本农田范围内投资建设除国家重大战略资源勘查项目、生态保护修复和环境治理项目、重大基础设施项目、军事国防项目以及农牧民基本生产生活等必要的民生项目以外的项目，重大建设项目选址确实难以避让永久基本农田的，需依法依规办理农用地转用和土地征收，并按照“数量不减、质量不降、布局稳定”的要求进行补划和法定程序修改相应的土地利用总体规划。</w:t>
            </w:r>
          </w:p>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Cs w:val="21"/>
              </w:rPr>
            </w:pPr>
            <w:r>
              <w:rPr>
                <w:rFonts w:hint="default" w:ascii="Times New Roman" w:hAnsi="Times New Roman" w:cs="Times New Roman"/>
                <w:color w:val="auto"/>
                <w:sz w:val="21"/>
                <w:szCs w:val="21"/>
              </w:rPr>
              <w:t>⑤禁止擅自占用和调整已经划定的永久基本农田特别是城市周边永久基本农田，不得多预留永久基本农田为建设占用留有空间，严禁通过擅自调整县乡土地利用总体规划规避占用永久基本农田的审批，严禁未经审批违法违规占用。禁止在永久基本农田范围内建窑、建房、建坟、挖沙、采石、采矿、取土、堆放固体废弃物或者进行其他破坏永久基本农田的活动；禁止任何单位和个人破坏永久基本农田耕作层；禁止任何单位和个人闲置、荒芜永久基本农田。禁止以设施农用地为名违规占用永久基本农田建设休闲旅游、仓储厂房等设施，坚决防止永久基本农田“非农化”。</w:t>
            </w:r>
          </w:p>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Cs w:val="21"/>
              </w:rPr>
            </w:pPr>
            <w:r>
              <w:rPr>
                <w:rFonts w:hint="default" w:ascii="Times New Roman" w:hAnsi="Times New Roman" w:cs="Times New Roman"/>
                <w:color w:val="auto"/>
                <w:sz w:val="21"/>
                <w:szCs w:val="21"/>
              </w:rPr>
              <w:t>⑥禁止在金沙江、长江一级支流建设除党中央、国务院、国家投资主管部门、省级有关部门批复同意以外的过江基础设施项目。</w:t>
            </w:r>
          </w:p>
        </w:tc>
        <w:tc>
          <w:tcPr>
            <w:tcW w:w="2420"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Cs w:val="21"/>
              </w:rPr>
            </w:pPr>
            <w:r>
              <w:rPr>
                <w:rFonts w:hint="default" w:ascii="Times New Roman" w:hAnsi="Times New Roman" w:cs="Times New Roman"/>
                <w:color w:val="auto"/>
                <w:sz w:val="21"/>
                <w:szCs w:val="21"/>
              </w:rPr>
              <w:t>①本项目建设符合园区功能定位</w:t>
            </w:r>
          </w:p>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Cs w:val="21"/>
              </w:rPr>
            </w:pPr>
            <w:r>
              <w:rPr>
                <w:rFonts w:hint="default" w:ascii="Times New Roman" w:hAnsi="Times New Roman" w:cs="Times New Roman"/>
                <w:color w:val="auto"/>
                <w:sz w:val="21"/>
                <w:szCs w:val="21"/>
              </w:rPr>
              <w:t>②本项目不在《长江岸线保护和开发利用总体规划》划定的岸线保护区内，不在《全国重要江河湖泊水功能区划》划定的河段保护区、保留区内</w:t>
            </w:r>
          </w:p>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Cs w:val="21"/>
              </w:rPr>
            </w:pPr>
            <w:r>
              <w:rPr>
                <w:rFonts w:hint="default" w:ascii="Times New Roman" w:hAnsi="Times New Roman" w:cs="Times New Roman"/>
                <w:color w:val="auto"/>
                <w:sz w:val="21"/>
                <w:szCs w:val="21"/>
              </w:rPr>
              <w:t>③本项目位于楚雄工业园区内，不在生态红线范围</w:t>
            </w:r>
          </w:p>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Cs w:val="21"/>
              </w:rPr>
            </w:pPr>
            <w:r>
              <w:rPr>
                <w:rFonts w:hint="default" w:ascii="Times New Roman" w:hAnsi="Times New Roman" w:cs="Times New Roman"/>
                <w:color w:val="auto"/>
                <w:sz w:val="21"/>
                <w:szCs w:val="21"/>
              </w:rPr>
              <w:t>④本项目占用土地为工业用地，不涉及永久基本农田</w:t>
            </w:r>
          </w:p>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Cs w:val="21"/>
              </w:rPr>
            </w:pPr>
            <w:r>
              <w:rPr>
                <w:rFonts w:hint="default" w:ascii="Times New Roman" w:hAnsi="Times New Roman" w:cs="Times New Roman"/>
                <w:color w:val="auto"/>
                <w:sz w:val="21"/>
                <w:szCs w:val="21"/>
              </w:rPr>
              <w:t>⑤本项目不涉及基本农田</w:t>
            </w:r>
          </w:p>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Cs w:val="21"/>
              </w:rPr>
            </w:pPr>
            <w:r>
              <w:rPr>
                <w:rFonts w:hint="default" w:ascii="Times New Roman" w:hAnsi="Times New Roman" w:cs="Times New Roman"/>
                <w:color w:val="auto"/>
                <w:sz w:val="21"/>
                <w:szCs w:val="21"/>
              </w:rPr>
              <w:t>⑥本项目不属于过江基础设施建设</w:t>
            </w:r>
          </w:p>
        </w:tc>
        <w:tc>
          <w:tcPr>
            <w:tcW w:w="678"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 w:val="21"/>
                <w:szCs w:val="21"/>
              </w:rPr>
              <w:t>各类保护区</w:t>
            </w:r>
          </w:p>
        </w:tc>
        <w:tc>
          <w:tcPr>
            <w:tcW w:w="5667"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Cs w:val="21"/>
              </w:rPr>
            </w:pPr>
            <w:r>
              <w:rPr>
                <w:rFonts w:hint="default" w:ascii="Times New Roman" w:hAnsi="Times New Roman" w:cs="Times New Roman"/>
                <w:color w:val="auto"/>
                <w:sz w:val="21"/>
                <w:szCs w:val="21"/>
              </w:rPr>
              <w:t>①禁止在自然保护区核心区、缓冲区建设任何生产设施。禁止在自然保护区的实验区内建设污染环境、破坏资源或者景观的生产设施和污染物排放超过国家和地方规定的污染物排放标准的其他项目。禁止在自然保护区内进行砍伐、放牧、狩猎、捕捞、采药、开垦、烧荒、开矿、采石、挖沙等活动，法律、行政法规另有规定的除外。</w:t>
            </w:r>
          </w:p>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Cs w:val="21"/>
              </w:rPr>
            </w:pPr>
            <w:r>
              <w:rPr>
                <w:rFonts w:hint="default" w:ascii="Times New Roman" w:hAnsi="Times New Roman" w:cs="Times New Roman"/>
                <w:color w:val="auto"/>
                <w:sz w:val="21"/>
                <w:szCs w:val="21"/>
              </w:rPr>
              <w:t>②禁止风景名胜区规划未经批准前或者违反经批准的风景名胜区规划进行各类建设活动。禁止在风景名胜区内设立各类开发区和在核心景区内投资建设宾馆、招待所、培训中心、疗养院以及与风景名胜资源保护无关的其他建筑物。禁止在风景名胜区内进行开山、采石、开矿、开荒、修坟立碑等破坏景观、植被和地形地貌的活动；禁止修建储存爆炸性、易燃性、放射性、毒害性、腐蚀性物品的设施。</w:t>
            </w:r>
          </w:p>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Cs w:val="21"/>
              </w:rPr>
            </w:pPr>
            <w:r>
              <w:rPr>
                <w:rFonts w:hint="default" w:ascii="Times New Roman" w:hAnsi="Times New Roman" w:cs="Times New Roman"/>
                <w:color w:val="auto"/>
                <w:sz w:val="21"/>
                <w:szCs w:val="21"/>
              </w:rPr>
              <w:t>③禁止在饮用水水源一级保护区的岸线和河段范围内新建、改建、扩建与供水设施和保护水源无关的项目，以及网箱养殖、旅游等可能污染饮用水水体的投资建设项目。禁止在饮用水水源二级保护区的岸线和河段范围内新建、改建、扩建排放污染物的投资建设项目。</w:t>
            </w:r>
          </w:p>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Cs w:val="21"/>
              </w:rPr>
            </w:pPr>
            <w:r>
              <w:rPr>
                <w:rFonts w:hint="default" w:ascii="Times New Roman" w:hAnsi="Times New Roman" w:cs="Times New Roman"/>
                <w:color w:val="auto"/>
                <w:sz w:val="21"/>
                <w:szCs w:val="21"/>
              </w:rPr>
              <w:t>④禁止在水产种质资源保护区的岸线和河段范围内新建排污口，以及围湖造田、围湖造地或围垦河道等工程。禁止在国家湿地公园范围内从事房地产、度假村、高尔夫球场、风力发电、光伏发电等任何不符合主体功能定位的建设项目和开发活动；禁止开（围）垦、填埋或者排干湿地；禁止截断湿地水源、挖沙、采矿、引入外来物种；禁止擅自放牧、捕捞、取土、取水、排污、放生；禁止其他破坏湿地及其生态功能的活动。</w:t>
            </w:r>
          </w:p>
        </w:tc>
        <w:tc>
          <w:tcPr>
            <w:tcW w:w="2420"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Cs w:val="21"/>
              </w:rPr>
            </w:pPr>
            <w:r>
              <w:rPr>
                <w:rFonts w:hint="default" w:ascii="Times New Roman" w:hAnsi="Times New Roman" w:cs="Times New Roman"/>
                <w:color w:val="auto"/>
                <w:sz w:val="21"/>
                <w:szCs w:val="21"/>
              </w:rPr>
              <w:t>①本项目位于楚雄工业园区，不涉及自然保护区核心区、缓冲区</w:t>
            </w:r>
          </w:p>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Cs w:val="21"/>
              </w:rPr>
            </w:pPr>
            <w:r>
              <w:rPr>
                <w:rFonts w:hint="default" w:ascii="Times New Roman" w:hAnsi="Times New Roman" w:cs="Times New Roman"/>
                <w:color w:val="auto"/>
                <w:sz w:val="21"/>
                <w:szCs w:val="21"/>
              </w:rPr>
              <w:t>②本项目位于楚雄工业园区，不涉及风景名胜区</w:t>
            </w:r>
          </w:p>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Cs w:val="21"/>
              </w:rPr>
            </w:pPr>
            <w:r>
              <w:rPr>
                <w:rFonts w:hint="default" w:ascii="Times New Roman" w:hAnsi="Times New Roman" w:cs="Times New Roman"/>
                <w:color w:val="auto"/>
                <w:sz w:val="21"/>
                <w:szCs w:val="21"/>
              </w:rPr>
              <w:t>③本项目位于楚雄工业园区，不涉及饮用水水源地一级保护区和二级保护区范围</w:t>
            </w:r>
          </w:p>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Cs w:val="21"/>
              </w:rPr>
            </w:pPr>
            <w:r>
              <w:rPr>
                <w:rFonts w:hint="default" w:ascii="Times New Roman" w:hAnsi="Times New Roman" w:cs="Times New Roman"/>
                <w:color w:val="auto"/>
                <w:sz w:val="21"/>
                <w:szCs w:val="21"/>
              </w:rPr>
              <w:t>④本项目位于楚雄工业园区，不涉及水产种质资源保护区、饮用水水源保护区、湿地公园。</w:t>
            </w:r>
          </w:p>
        </w:tc>
        <w:tc>
          <w:tcPr>
            <w:tcW w:w="678"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 w:val="21"/>
                <w:szCs w:val="21"/>
              </w:rPr>
              <w:t>工业布局</w:t>
            </w:r>
          </w:p>
        </w:tc>
        <w:tc>
          <w:tcPr>
            <w:tcW w:w="5667"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Cs w:val="21"/>
              </w:rPr>
            </w:pPr>
            <w:r>
              <w:rPr>
                <w:rFonts w:hint="default" w:ascii="Times New Roman" w:hAnsi="Times New Roman" w:cs="Times New Roman"/>
                <w:color w:val="auto"/>
                <w:sz w:val="21"/>
                <w:szCs w:val="21"/>
              </w:rPr>
              <w:t>①禁止在金沙江、长江一级支流岸线边界1公里范围内新建、扩建化工园区和化工项目。新建化工园区充分留足与周边城镇未来扩张发展的安全距离，立足于生态工业园区建设方向，推广绿色化学和绿色化工发展模式。化工园区设立及园区产业发展规划由省级业务主管部门牵头组织专家论证后审定。</w:t>
            </w:r>
          </w:p>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Cs w:val="21"/>
              </w:rPr>
            </w:pPr>
            <w:r>
              <w:rPr>
                <w:rFonts w:hint="default" w:ascii="Times New Roman" w:hAnsi="Times New Roman" w:cs="Times New Roman"/>
                <w:color w:val="auto"/>
                <w:sz w:val="21"/>
                <w:szCs w:val="21"/>
              </w:rPr>
              <w:t>②禁止新建不符合非煤矿山转型升级有关准入标准的非煤矿山。禁止在金沙江岸线3公里、长江一级支流岸线1公里范围内新建、改建、扩建尾矿库。</w:t>
            </w:r>
          </w:p>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Cs w:val="21"/>
              </w:rPr>
            </w:pPr>
            <w:r>
              <w:rPr>
                <w:rFonts w:hint="default" w:ascii="Times New Roman" w:hAnsi="Times New Roman" w:cs="Times New Roman"/>
                <w:color w:val="auto"/>
                <w:sz w:val="21"/>
                <w:szCs w:val="21"/>
              </w:rPr>
              <w:t>③禁止在合规园区外新建、扩建钢铁、石化、化工、焦化、建材、有色等高污染项目。禁止新增钢铁、水泥、平板玻璃等行业建设产能，确有必要建设的，应按规定实施产能等量或减量置换。</w:t>
            </w:r>
          </w:p>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Cs w:val="21"/>
              </w:rPr>
            </w:pPr>
            <w:r>
              <w:rPr>
                <w:rFonts w:hint="default" w:ascii="Times New Roman" w:hAnsi="Times New Roman" w:cs="Times New Roman"/>
                <w:color w:val="auto"/>
                <w:sz w:val="21"/>
                <w:szCs w:val="21"/>
              </w:rPr>
              <w:t>④禁止新建、扩建不符合国家石化、现代煤化工等产业布局规划的项目。</w:t>
            </w:r>
          </w:p>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Cs w:val="21"/>
              </w:rPr>
            </w:pPr>
            <w:r>
              <w:rPr>
                <w:rFonts w:hint="default" w:ascii="Times New Roman" w:hAnsi="Times New Roman" w:cs="Times New Roman"/>
                <w:color w:val="auto"/>
                <w:sz w:val="21"/>
                <w:szCs w:val="21"/>
              </w:rPr>
              <w:t>⑤禁止新建、扩建法律法规和相关政策明令禁止的落后产能项目，依法依规淘汰不符合要求的电石炉及开放式电石炉、无化产回收的单一炼焦生产设施，依法依规淘汰不符合要求的硫铁矿制酸、硫磺制酸、黄磷生产、有钙焙烧铬化合物生产装置和有机—无机复混肥料、过磷酸钙和钙镁磷肥生产线。</w:t>
            </w:r>
          </w:p>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Cs w:val="21"/>
              </w:rPr>
            </w:pPr>
            <w:r>
              <w:rPr>
                <w:rFonts w:hint="default" w:ascii="Times New Roman" w:hAnsi="Times New Roman" w:cs="Times New Roman"/>
                <w:color w:val="auto"/>
                <w:sz w:val="21"/>
                <w:szCs w:val="21"/>
              </w:rPr>
              <w:t>⑥禁止建设高毒高残留以及对环境影响大的农药原药生产装置，严格控制尿素、磷铵、电石、焦炭、黄磷、烧碱、纯碱、聚氯乙烯等行业新增产能。</w:t>
            </w:r>
          </w:p>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Cs w:val="21"/>
              </w:rPr>
            </w:pPr>
            <w:r>
              <w:rPr>
                <w:rFonts w:hint="default" w:ascii="Times New Roman" w:hAnsi="Times New Roman" w:cs="Times New Roman"/>
                <w:color w:val="auto"/>
                <w:sz w:val="21"/>
                <w:szCs w:val="21"/>
              </w:rPr>
              <w:t>⑦禁止列入《云南省城镇人口密集区危险化学品生产企业搬迁改造名单》的搬迁改造企业在原址新建、扩建危险化学品生产项目，加强搬迁入园、关闭退出企业腾退土地污染风险管控和治理修复，确保腾退土地符合规划用地土壤环境质量标准。</w:t>
            </w:r>
          </w:p>
        </w:tc>
        <w:tc>
          <w:tcPr>
            <w:tcW w:w="2420"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Cs w:val="21"/>
              </w:rPr>
            </w:pPr>
            <w:r>
              <w:rPr>
                <w:rFonts w:hint="default" w:ascii="Times New Roman" w:hAnsi="Times New Roman" w:cs="Times New Roman"/>
                <w:color w:val="auto"/>
                <w:sz w:val="21"/>
                <w:szCs w:val="21"/>
              </w:rPr>
              <w:t>①本项目距金沙江一级支流龙川江3.6km，且不属于化工项目</w:t>
            </w:r>
          </w:p>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Cs w:val="21"/>
              </w:rPr>
            </w:pPr>
            <w:r>
              <w:rPr>
                <w:rFonts w:hint="default" w:ascii="Times New Roman" w:hAnsi="Times New Roman" w:cs="Times New Roman"/>
                <w:color w:val="auto"/>
                <w:sz w:val="21"/>
                <w:szCs w:val="21"/>
              </w:rPr>
              <w:t>②本项目不属于非煤矿山开采项目</w:t>
            </w:r>
          </w:p>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Cs w:val="21"/>
              </w:rPr>
            </w:pPr>
            <w:r>
              <w:rPr>
                <w:rFonts w:hint="default" w:ascii="Times New Roman" w:hAnsi="Times New Roman" w:cs="Times New Roman"/>
                <w:color w:val="auto"/>
                <w:sz w:val="21"/>
                <w:szCs w:val="21"/>
              </w:rPr>
              <w:t>③楚雄工业园区为合规园区，且本项目不属于钢铁、石化、化工、焦化、建材、有色等高污染项目</w:t>
            </w:r>
          </w:p>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Cs w:val="21"/>
              </w:rPr>
            </w:pPr>
            <w:r>
              <w:rPr>
                <w:rFonts w:hint="default" w:ascii="Times New Roman" w:hAnsi="Times New Roman" w:cs="Times New Roman"/>
                <w:color w:val="auto"/>
                <w:sz w:val="21"/>
                <w:szCs w:val="21"/>
              </w:rPr>
              <w:t>④本项目不属于石化、现代煤化工项目</w:t>
            </w:r>
          </w:p>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Cs w:val="21"/>
              </w:rPr>
            </w:pPr>
            <w:r>
              <w:rPr>
                <w:rFonts w:hint="default" w:ascii="Times New Roman" w:hAnsi="Times New Roman" w:cs="Times New Roman"/>
                <w:color w:val="auto"/>
                <w:sz w:val="21"/>
                <w:szCs w:val="21"/>
              </w:rPr>
              <w:t>⑤</w:t>
            </w:r>
            <w:r>
              <w:rPr>
                <w:rFonts w:hint="default" w:ascii="Times New Roman" w:hAnsi="Times New Roman" w:cs="Times New Roman"/>
                <w:color w:val="auto"/>
                <w:sz w:val="21"/>
                <w:szCs w:val="21"/>
                <w:lang w:val="zh-CN"/>
              </w:rPr>
              <w:t>根据《产业结构调整指导目录（</w:t>
            </w:r>
            <w:r>
              <w:rPr>
                <w:rFonts w:hint="default" w:ascii="Times New Roman" w:hAnsi="Times New Roman" w:cs="Times New Roman"/>
                <w:color w:val="auto"/>
                <w:sz w:val="21"/>
                <w:szCs w:val="21"/>
              </w:rPr>
              <w:t>2019年本</w:t>
            </w:r>
            <w:r>
              <w:rPr>
                <w:rFonts w:hint="default" w:ascii="Times New Roman" w:hAnsi="Times New Roman" w:cs="Times New Roman"/>
                <w:color w:val="auto"/>
                <w:sz w:val="21"/>
                <w:szCs w:val="21"/>
                <w:lang w:val="zh-CN"/>
              </w:rPr>
              <w:t>）》，本项目属于“鼓励类”项目</w:t>
            </w:r>
            <w:r>
              <w:rPr>
                <w:rFonts w:hint="default" w:ascii="Times New Roman" w:hAnsi="Times New Roman" w:cs="Times New Roman"/>
                <w:color w:val="auto"/>
                <w:sz w:val="21"/>
                <w:szCs w:val="21"/>
              </w:rPr>
              <w:t>，符合产业结构调整指导目录要求，符合现行国家产业政策。</w:t>
            </w:r>
          </w:p>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Cs w:val="21"/>
              </w:rPr>
            </w:pPr>
            <w:r>
              <w:rPr>
                <w:rFonts w:hint="default" w:ascii="Times New Roman" w:hAnsi="Times New Roman" w:cs="Times New Roman"/>
                <w:color w:val="auto"/>
                <w:sz w:val="21"/>
                <w:szCs w:val="21"/>
              </w:rPr>
              <w:t>⑥本项目不属于农药原药生产项目。</w:t>
            </w:r>
          </w:p>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Cs w:val="21"/>
              </w:rPr>
            </w:pPr>
            <w:r>
              <w:rPr>
                <w:rFonts w:hint="default" w:ascii="Times New Roman" w:hAnsi="Times New Roman" w:cs="Times New Roman"/>
                <w:color w:val="auto"/>
                <w:sz w:val="21"/>
                <w:szCs w:val="21"/>
              </w:rPr>
              <w:t>⑦本项目不在《云南省城镇人口密集区危险化学品生产企业搬迁改造名单》内。</w:t>
            </w:r>
          </w:p>
        </w:tc>
        <w:tc>
          <w:tcPr>
            <w:tcW w:w="678"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 w:val="21"/>
                <w:szCs w:val="21"/>
              </w:rPr>
              <w:t>符合</w:t>
            </w:r>
          </w:p>
        </w:tc>
      </w:tr>
    </w:tbl>
    <w:p>
      <w:pPr>
        <w:autoSpaceDE w:val="0"/>
        <w:autoSpaceDN w:val="0"/>
        <w:adjustRightInd w:val="0"/>
        <w:spacing w:beforeLines="50"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根据上表，项目符合《云南省长江经济带发展负面清单指南实施细则（试行）》的通知（云发改基础〔2019〕924号）要求。</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2、与《楚雄市国民经济和社会发展第十三个五年规划纲要》的符合性分析</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楚雄市国民经济和社会发展第十三个五年规划纲要》指出：“十三五”时期，把工业园区作为全市经济发展和转型升级的主阵地，根据土地、水利、交通、供电、供排水、环境容量等综合承载能力，围绕发展优势特色产业，优化工业园区布局，促进园区形成产业分工协作和集聚发展。到2020年，力争楚雄工业园区实现销售收入1000亿元。</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楚雄市国民经济和社会发展第十三个五年规划纲要》提出：楚雄工业园区包括富民、庄甸、桃园、赵家湾、苍岭。富民工业片区，重点发展烟草及配套、装备制造、新型建材及商贸物流等产业；庄甸医药片区，重点发展生物医药业；赵家湾生物产业片区，重点发展绿色食品加工业；桃园冶金化工片区，重点发展冶金化工和新型建材业；苍岭工业片区，重点发展新型建材、装备制造、生物医药和商贸物流等产业。构建现代产业体系。巩固提升烟草及配套、能源冶金化工、建筑建材等3个传统支柱产业，加快发展生物医药、绿色食品、商贸物流3个重点优势产业，积极培育新兴服务、先进装备制造等新兴产业。</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卷烟及配套产业。以卷烟生产加工为龙头，发展包装、印刷等配套产业，巩固提升烟草产业。到2020年，烟草及配套产业力争实现增加值118亿元，年均增长7%。能源冶金化工产业。有序开发太阳能、风能等清洁能源产业，改造提升以铜、铅、锌、铝等有色金属、化学工业为重点的冶金化工产业。到2020年，能源冶金化工业力争实现增加值52亿元，年均增长15%。建筑建材业。支持发展高温耐火材料、水泥制品、装饰材料及民族特色建材等产品，鼓励发展新兴建材产业，促进建材产业向环保型、节能型的新型墙体材料和建筑材料方向发展。到2020年，建筑建材业力争实现增加值76亿元，年均增长15%。生物医药业。组建彝族医药集团，发展壮大彝药、中药饮片、中西医药品、生物保健品、药用辅料等生物医药产业。到2020年，生物医药业力争实现增加值36亿元，年均增长30%以上。绿色食品业。建设特色型、加工型、品牌型绿色食品加工园区，培强做大绿色食品业。到2020年，绿色食品业力争实现增加值13亿元，年均增长25%。商贸物流业。积极发展集展示、交易、仓储、集散、加工、货运、配送、电商等功能于一体的批发交易配送模式，在开发区、富民、苍岭等布局发展商贸物流产业。到2020年，商贸物流业力争实现增加值58亿元，年均增长12%。新兴服务业。大力发展大数据、互联网、信息、通讯、金融、证券、保险、中介等现代服务，加快发展住房、汽车、家政、休闲、娱乐、度假、健康养老等为主的消费型产业。到2020年，新兴服务业力争实现增加值20亿元，年均增长10%以上。先进装备制造业。发展以汽车配件、数控机床、农用工程机械、电子信息、电动汽车制造、节能变压器和智能开关等为重点的装备制造业。到2020年，装备制造业力争实现增加值15亿元，年均增长15%。</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鼓励生物资源的综合开发利用和废旧物资的回收利用，逐步形成关联度和资源综合利用率高的产业集群，减少和消除污染。</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本项目位于楚雄工业园区富民庄甸工业区，项目建设符合园区定位。</w:t>
      </w:r>
    </w:p>
    <w:p>
      <w:pPr>
        <w:pStyle w:val="4"/>
        <w:spacing w:before="0" w:after="0" w:line="360" w:lineRule="auto"/>
        <w:rPr>
          <w:rFonts w:hint="default" w:ascii="Times New Roman" w:hAnsi="Times New Roman" w:eastAsia="宋体" w:cs="Times New Roman"/>
          <w:color w:val="auto"/>
          <w:sz w:val="28"/>
          <w:szCs w:val="28"/>
        </w:rPr>
      </w:pPr>
      <w:bookmarkStart w:id="1039" w:name="_Toc23343"/>
      <w:r>
        <w:rPr>
          <w:rFonts w:hint="default" w:ascii="Times New Roman" w:hAnsi="Times New Roman" w:eastAsia="宋体" w:cs="Times New Roman"/>
          <w:color w:val="auto"/>
          <w:sz w:val="28"/>
          <w:szCs w:val="28"/>
          <w:lang w:val="en-US" w:eastAsia="zh-CN"/>
        </w:rPr>
        <w:t>8</w:t>
      </w:r>
      <w:r>
        <w:rPr>
          <w:rFonts w:hint="default" w:ascii="Times New Roman" w:hAnsi="Times New Roman" w:eastAsia="宋体" w:cs="Times New Roman"/>
          <w:color w:val="auto"/>
          <w:sz w:val="28"/>
          <w:szCs w:val="28"/>
        </w:rPr>
        <w:t>.3与《楚雄工业园区总体规划修改（2018-2035）》符合性分析</w:t>
      </w:r>
      <w:bookmarkEnd w:id="1039"/>
    </w:p>
    <w:p>
      <w:pPr>
        <w:autoSpaceDE w:val="0"/>
        <w:autoSpaceDN w:val="0"/>
        <w:spacing w:line="364" w:lineRule="auto"/>
        <w:ind w:left="118" w:right="232" w:firstLine="480"/>
        <w:rPr>
          <w:rFonts w:hint="default" w:ascii="Times New Roman" w:hAnsi="Times New Roman" w:cs="Times New Roman"/>
          <w:color w:val="auto"/>
          <w:spacing w:val="-7"/>
          <w:kern w:val="0"/>
          <w:lang w:val="zh-CN" w:bidi="zh-CN"/>
        </w:rPr>
      </w:pPr>
      <w:r>
        <w:rPr>
          <w:rFonts w:hint="default" w:ascii="Times New Roman" w:hAnsi="Times New Roman" w:cs="Times New Roman"/>
          <w:color w:val="auto"/>
        </w:rPr>
        <w:t>根据《</w:t>
      </w:r>
      <w:r>
        <w:rPr>
          <w:rFonts w:hint="default" w:ascii="Times New Roman" w:hAnsi="Times New Roman" w:cs="Times New Roman"/>
          <w:color w:val="auto"/>
          <w:spacing w:val="-7"/>
          <w:kern w:val="0"/>
          <w:lang w:val="zh-CN" w:bidi="zh-CN"/>
        </w:rPr>
        <w:t>楚雄工业园区总体规划修改（2018-2035）</w:t>
      </w:r>
      <w:r>
        <w:rPr>
          <w:rFonts w:hint="default" w:ascii="Times New Roman" w:hAnsi="Times New Roman" w:cs="Times New Roman"/>
          <w:color w:val="auto"/>
        </w:rPr>
        <w:t>》，</w:t>
      </w:r>
      <w:r>
        <w:rPr>
          <w:rFonts w:hint="default" w:ascii="Times New Roman" w:hAnsi="Times New Roman" w:cs="Times New Roman"/>
          <w:color w:val="auto"/>
          <w:spacing w:val="-7"/>
          <w:kern w:val="0"/>
          <w:lang w:val="zh-CN" w:bidi="zh-CN"/>
        </w:rPr>
        <w:t>楚雄工业园区为“一园三区六地块”的空间结构，楚雄工业园区分3个工业区，赵家湾桃园工业区、富民庄甸工业区和苍岭工业区，6地块为赵家湾地块、桃园地块、富民庄甸地块、智明地块、云甸地块和黄草地块。</w:t>
      </w:r>
    </w:p>
    <w:p>
      <w:pPr>
        <w:autoSpaceDE w:val="0"/>
        <w:autoSpaceDN w:val="0"/>
        <w:spacing w:line="364" w:lineRule="auto"/>
        <w:ind w:left="118" w:right="232" w:firstLine="452"/>
        <w:rPr>
          <w:rFonts w:hint="default" w:ascii="Times New Roman" w:hAnsi="Times New Roman" w:cs="Times New Roman"/>
          <w:color w:val="auto"/>
          <w:spacing w:val="-7"/>
          <w:kern w:val="0"/>
          <w:lang w:val="zh-CN" w:bidi="zh-CN"/>
        </w:rPr>
      </w:pPr>
      <w:r>
        <w:rPr>
          <w:rFonts w:hint="default" w:ascii="Times New Roman" w:hAnsi="Times New Roman" w:cs="Times New Roman"/>
          <w:color w:val="auto"/>
          <w:spacing w:val="-7"/>
          <w:kern w:val="0"/>
          <w:lang w:val="zh-CN" w:bidi="zh-CN"/>
        </w:rPr>
        <w:t>园区重点产业定位为2个主导产业（卷烟及其配套产业、生物产业）和3个辅助产业（先进装备制造产业、冶金化工产业、新材料新型建材产业）；规划期为2018-2035年。园区规划用地面积47.03平方公里，其中工业用地27.68平方公里，仓储物流用地1.68平方公里。赵家湾桃园工业区面积3.55平方公里，包含赵家湾地块（0.91平方公里，主要布局生物医药、绿色食品、高原特色农产品加工产业）和桃园地块（2.64平方公里，主要布局冶金化工、先进装备制造产业）；富民庄甸工业区面积9.73平方公里，主要布局卷烟及其配套、生物产业、先进装备制造、新材料新型建材产业；苍岭工业区面积33.75平方公里，包含智明地块（8.64平方公里，主要布局生物产业、先进装备制造产业）、黄草地块（2.04平方公里，主要布局再生资源加工利用产业）和云甸地块（23.07平方公里，主要布局冶金化工、新材料新型建材产业）。</w:t>
      </w:r>
    </w:p>
    <w:p>
      <w:pPr>
        <w:autoSpaceDE w:val="0"/>
        <w:autoSpaceDN w:val="0"/>
        <w:spacing w:line="364" w:lineRule="auto"/>
        <w:ind w:left="118" w:right="232" w:firstLine="452"/>
        <w:rPr>
          <w:rFonts w:hint="default" w:ascii="Times New Roman" w:hAnsi="Times New Roman" w:cs="Times New Roman"/>
          <w:color w:val="auto"/>
          <w:spacing w:val="-7"/>
          <w:kern w:val="0"/>
          <w:lang w:val="zh-CN" w:bidi="zh-CN"/>
        </w:rPr>
      </w:pPr>
      <w:r>
        <w:rPr>
          <w:rFonts w:hint="default" w:ascii="Times New Roman" w:hAnsi="Times New Roman" w:cs="Times New Roman"/>
          <w:color w:val="auto"/>
          <w:spacing w:val="-7"/>
          <w:kern w:val="0"/>
          <w:lang w:val="zh-CN" w:bidi="zh-CN"/>
        </w:rPr>
        <w:t>富民庄甸工业区产业定位：在富民工业组团，以强工、兴商、拓城为重点，坚持产、城发展并重，二、三产业发展并举，把发展卷烟及其配套、生物产业、先进装备制造、新材料新型建材产业作为该工业组团的主体功能，优化空间规划，提升基础设施建设水平，强化产业发展支撑；在庄甸工业组团，集中发展生物产业，配套完善关联产业，以科技创新示范为重点，用足用活云南省创新创业示范基地、国家中医药产业化基地各项优惠扶持政策，继续加大院士工作站、重点实验室、企业技术中心建设力度，加大高新技术企业培育力度，不断推动企业在产品升级换代、新品研发、专利申报、创业创新方面取得新进展，通过盘活停产、停建企业，优化整合存量，促进企业在提质增效、做大做强、增强核心竞争力上取得新进展，把庄甸医药组团建设成为楚雄州乃至云南省影响力较大的、重要的生物医药产业聚集基地。</w:t>
      </w:r>
    </w:p>
    <w:p>
      <w:pPr>
        <w:pStyle w:val="5"/>
        <w:spacing w:line="360" w:lineRule="auto"/>
        <w:ind w:left="-120" w:firstLine="480"/>
        <w:rPr>
          <w:rFonts w:hint="default" w:ascii="Times New Roman" w:hAnsi="Times New Roman" w:cs="Times New Roman"/>
          <w:color w:val="auto"/>
          <w:szCs w:val="24"/>
        </w:rPr>
      </w:pPr>
      <w:r>
        <w:rPr>
          <w:rFonts w:hint="default" w:ascii="Times New Roman" w:hAnsi="Times New Roman" w:cs="Times New Roman"/>
          <w:color w:val="auto"/>
          <w:szCs w:val="24"/>
        </w:rPr>
        <w:t>本项目位于楚雄工业园区富民庄甸工业区，定位为</w:t>
      </w:r>
      <w:r>
        <w:rPr>
          <w:rFonts w:hint="default" w:ascii="Times New Roman" w:hAnsi="Times New Roman" w:cs="Times New Roman"/>
          <w:color w:val="auto"/>
          <w:spacing w:val="-7"/>
          <w:kern w:val="0"/>
          <w:lang w:val="zh-CN" w:bidi="zh-CN"/>
        </w:rPr>
        <w:t>新材料新型建材产业，</w:t>
      </w:r>
      <w:r>
        <w:rPr>
          <w:rFonts w:hint="default" w:ascii="Times New Roman" w:hAnsi="Times New Roman" w:cs="Times New Roman"/>
          <w:color w:val="auto"/>
          <w:szCs w:val="24"/>
        </w:rPr>
        <w:t>符合《楚雄工业园区总体规划修改（2018—2035）》产业发展布局规划、用地规划。</w:t>
      </w:r>
    </w:p>
    <w:p>
      <w:pPr>
        <w:pStyle w:val="4"/>
        <w:spacing w:before="0" w:after="0" w:line="360" w:lineRule="auto"/>
        <w:rPr>
          <w:rFonts w:hint="default" w:ascii="Times New Roman" w:hAnsi="Times New Roman" w:eastAsia="宋体" w:cs="Times New Roman"/>
          <w:color w:val="auto"/>
          <w:sz w:val="28"/>
          <w:szCs w:val="28"/>
        </w:rPr>
      </w:pPr>
      <w:bookmarkStart w:id="1040" w:name="_Toc69115046"/>
      <w:bookmarkStart w:id="1041" w:name="_Toc12178"/>
      <w:r>
        <w:rPr>
          <w:rFonts w:hint="default" w:ascii="Times New Roman" w:hAnsi="Times New Roman" w:eastAsia="宋体" w:cs="Times New Roman"/>
          <w:color w:val="auto"/>
          <w:sz w:val="28"/>
          <w:szCs w:val="28"/>
          <w:lang w:val="en-US" w:eastAsia="zh-CN"/>
        </w:rPr>
        <w:t>8</w:t>
      </w:r>
      <w:r>
        <w:rPr>
          <w:rFonts w:hint="default" w:ascii="Times New Roman" w:hAnsi="Times New Roman" w:eastAsia="宋体" w:cs="Times New Roman"/>
          <w:color w:val="auto"/>
          <w:sz w:val="28"/>
          <w:szCs w:val="28"/>
        </w:rPr>
        <w:t>.4与规划环评符合性分析</w:t>
      </w:r>
      <w:bookmarkEnd w:id="1040"/>
      <w:bookmarkEnd w:id="1041"/>
    </w:p>
    <w:p>
      <w:pPr>
        <w:pStyle w:val="5"/>
        <w:spacing w:line="360" w:lineRule="auto"/>
        <w:ind w:left="-120" w:firstLine="480"/>
        <w:rPr>
          <w:rFonts w:hint="default" w:ascii="Times New Roman" w:hAnsi="Times New Roman" w:cs="Times New Roman"/>
          <w:color w:val="auto"/>
          <w:szCs w:val="24"/>
        </w:rPr>
      </w:pPr>
      <w:r>
        <w:rPr>
          <w:rFonts w:hint="default" w:ascii="Times New Roman" w:hAnsi="Times New Roman" w:cs="Times New Roman"/>
          <w:color w:val="auto"/>
          <w:szCs w:val="24"/>
        </w:rPr>
        <w:t>根据《楚雄工业园区总体规划修改（2018—2035）环境影响报告书》及审查意见工业园区入园要求及环保要求如下：</w:t>
      </w:r>
    </w:p>
    <w:p>
      <w:pPr>
        <w:spacing w:line="360" w:lineRule="auto"/>
        <w:jc w:val="center"/>
        <w:rPr>
          <w:rFonts w:hint="default" w:ascii="Times New Roman" w:hAnsi="Times New Roman" w:cs="Times New Roman"/>
          <w:b/>
          <w:color w:val="auto"/>
        </w:rPr>
      </w:pPr>
      <w:r>
        <w:rPr>
          <w:rFonts w:hint="default" w:ascii="Times New Roman" w:hAnsi="Times New Roman" w:cs="Times New Roman"/>
          <w:b/>
          <w:color w:val="auto"/>
          <w:lang w:val="en-US" w:eastAsia="zh-CN"/>
        </w:rPr>
        <w:t>表8</w:t>
      </w:r>
      <w:r>
        <w:rPr>
          <w:rFonts w:hint="default" w:ascii="Times New Roman" w:hAnsi="Times New Roman" w:cs="Times New Roman"/>
          <w:b/>
          <w:color w:val="auto"/>
        </w:rPr>
        <w:t>-2  项目与园区规划环评的符合性分析</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5"/>
        <w:gridCol w:w="5005"/>
        <w:gridCol w:w="1994"/>
        <w:gridCol w:w="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pPr>
              <w:pStyle w:val="5"/>
              <w:spacing w:line="240" w:lineRule="auto"/>
              <w:ind w:left="-120"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5387" w:type="dxa"/>
            <w:shd w:val="clear" w:color="auto" w:fill="auto"/>
            <w:vAlign w:val="center"/>
          </w:tcPr>
          <w:p>
            <w:pPr>
              <w:pStyle w:val="5"/>
              <w:spacing w:line="240" w:lineRule="auto"/>
              <w:ind w:left="-120"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行业准入要求</w:t>
            </w:r>
          </w:p>
        </w:tc>
        <w:tc>
          <w:tcPr>
            <w:tcW w:w="2126" w:type="dxa"/>
            <w:shd w:val="clear" w:color="auto" w:fill="auto"/>
            <w:vAlign w:val="center"/>
          </w:tcPr>
          <w:p>
            <w:pPr>
              <w:pStyle w:val="5"/>
              <w:spacing w:line="240" w:lineRule="auto"/>
              <w:ind w:left="-120"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w:t>
            </w:r>
          </w:p>
        </w:tc>
        <w:tc>
          <w:tcPr>
            <w:tcW w:w="929" w:type="dxa"/>
            <w:shd w:val="clear" w:color="auto" w:fill="auto"/>
            <w:vAlign w:val="center"/>
          </w:tcPr>
          <w:p>
            <w:pPr>
              <w:pStyle w:val="5"/>
              <w:spacing w:line="240" w:lineRule="auto"/>
              <w:ind w:left="-120"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17" w:type="dxa"/>
            <w:gridSpan w:val="4"/>
            <w:shd w:val="clear" w:color="auto" w:fill="auto"/>
            <w:vAlign w:val="center"/>
          </w:tcPr>
          <w:p>
            <w:pPr>
              <w:pStyle w:val="5"/>
              <w:spacing w:line="240" w:lineRule="auto"/>
              <w:ind w:left="-120"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一、禁止产业清单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pPr>
              <w:pStyle w:val="5"/>
              <w:spacing w:line="240" w:lineRule="auto"/>
              <w:ind w:left="-120"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5387" w:type="dxa"/>
            <w:shd w:val="clear" w:color="auto" w:fill="auto"/>
            <w:vAlign w:val="center"/>
          </w:tcPr>
          <w:p>
            <w:pPr>
              <w:pStyle w:val="5"/>
              <w:spacing w:line="240" w:lineRule="auto"/>
              <w:ind w:left="-120" w:firstLine="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严禁不符合产业政策企业、区域发展规划、达不到排放标准和总量控制目标的项目和淘汰工艺、产业入驻园区；</w:t>
            </w:r>
          </w:p>
        </w:tc>
        <w:tc>
          <w:tcPr>
            <w:tcW w:w="2126" w:type="dxa"/>
            <w:shd w:val="clear" w:color="auto" w:fill="auto"/>
            <w:vAlign w:val="center"/>
          </w:tcPr>
          <w:p>
            <w:pPr>
              <w:pStyle w:val="5"/>
              <w:spacing w:line="240" w:lineRule="auto"/>
              <w:ind w:left="-120" w:firstLine="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本项目符合产业政策、园区规划，可实现达标排放。</w:t>
            </w:r>
          </w:p>
        </w:tc>
        <w:tc>
          <w:tcPr>
            <w:tcW w:w="929" w:type="dxa"/>
            <w:shd w:val="clear" w:color="auto" w:fill="auto"/>
            <w:vAlign w:val="center"/>
          </w:tcPr>
          <w:p>
            <w:pPr>
              <w:pStyle w:val="5"/>
              <w:spacing w:line="240" w:lineRule="auto"/>
              <w:ind w:left="-120"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pPr>
              <w:pStyle w:val="5"/>
              <w:spacing w:line="240" w:lineRule="auto"/>
              <w:ind w:left="-120"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5387" w:type="dxa"/>
            <w:shd w:val="clear" w:color="auto" w:fill="auto"/>
            <w:vAlign w:val="center"/>
          </w:tcPr>
          <w:p>
            <w:pPr>
              <w:pStyle w:val="5"/>
              <w:spacing w:line="240" w:lineRule="auto"/>
              <w:ind w:left="-120" w:firstLine="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赵家湾地块和富民庄甸工业区严禁引入三类用地项目；</w:t>
            </w:r>
          </w:p>
        </w:tc>
        <w:tc>
          <w:tcPr>
            <w:tcW w:w="2126" w:type="dxa"/>
            <w:shd w:val="clear" w:color="auto" w:fill="auto"/>
            <w:vAlign w:val="center"/>
          </w:tcPr>
          <w:p>
            <w:pPr>
              <w:pStyle w:val="5"/>
              <w:spacing w:line="240" w:lineRule="auto"/>
              <w:ind w:left="-120" w:firstLine="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项目符合富民庄甸工业区用地规划</w:t>
            </w:r>
          </w:p>
        </w:tc>
        <w:tc>
          <w:tcPr>
            <w:tcW w:w="929" w:type="dxa"/>
            <w:shd w:val="clear" w:color="auto" w:fill="auto"/>
            <w:vAlign w:val="center"/>
          </w:tcPr>
          <w:p>
            <w:pPr>
              <w:pStyle w:val="5"/>
              <w:spacing w:line="240" w:lineRule="auto"/>
              <w:ind w:left="-120"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pPr>
              <w:pStyle w:val="5"/>
              <w:spacing w:line="240" w:lineRule="auto"/>
              <w:ind w:left="-120"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5387" w:type="dxa"/>
            <w:shd w:val="clear" w:color="auto" w:fill="auto"/>
            <w:vAlign w:val="center"/>
          </w:tcPr>
          <w:p>
            <w:pPr>
              <w:pStyle w:val="5"/>
              <w:spacing w:line="240" w:lineRule="auto"/>
              <w:ind w:left="-120" w:firstLine="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桃园地块不能再布置化工产业；</w:t>
            </w:r>
          </w:p>
        </w:tc>
        <w:tc>
          <w:tcPr>
            <w:tcW w:w="2126" w:type="dxa"/>
            <w:shd w:val="clear" w:color="auto" w:fill="auto"/>
            <w:vAlign w:val="center"/>
          </w:tcPr>
          <w:p>
            <w:pPr>
              <w:pStyle w:val="5"/>
              <w:spacing w:line="240" w:lineRule="auto"/>
              <w:ind w:left="-120" w:firstLine="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不涉及</w:t>
            </w:r>
          </w:p>
        </w:tc>
        <w:tc>
          <w:tcPr>
            <w:tcW w:w="929" w:type="dxa"/>
            <w:shd w:val="clear" w:color="auto" w:fill="auto"/>
            <w:vAlign w:val="center"/>
          </w:tcPr>
          <w:p>
            <w:pPr>
              <w:pStyle w:val="5"/>
              <w:spacing w:line="240" w:lineRule="auto"/>
              <w:ind w:left="-120"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pPr>
              <w:pStyle w:val="5"/>
              <w:spacing w:line="240" w:lineRule="auto"/>
              <w:ind w:left="-120"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5387" w:type="dxa"/>
            <w:shd w:val="clear" w:color="auto" w:fill="auto"/>
            <w:vAlign w:val="center"/>
          </w:tcPr>
          <w:p>
            <w:pPr>
              <w:pStyle w:val="5"/>
              <w:spacing w:line="240" w:lineRule="auto"/>
              <w:ind w:left="-120" w:firstLine="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禁止园区新（扩）建印染、造纸、酿造、制革、电镀等水污染重的项目；</w:t>
            </w:r>
          </w:p>
        </w:tc>
        <w:tc>
          <w:tcPr>
            <w:tcW w:w="2126" w:type="dxa"/>
            <w:shd w:val="clear" w:color="auto" w:fill="auto"/>
            <w:vAlign w:val="center"/>
          </w:tcPr>
          <w:p>
            <w:pPr>
              <w:pStyle w:val="5"/>
              <w:spacing w:line="240" w:lineRule="auto"/>
              <w:ind w:left="-120" w:firstLine="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本项目不涉及</w:t>
            </w:r>
            <w:r>
              <w:rPr>
                <w:rFonts w:hint="default" w:ascii="Times New Roman" w:hAnsi="Times New Roman" w:cs="Times New Roman"/>
                <w:color w:val="auto"/>
                <w:sz w:val="21"/>
                <w:szCs w:val="21"/>
                <w:lang w:eastAsia="zh-CN"/>
              </w:rPr>
              <w:t>上述</w:t>
            </w:r>
            <w:r>
              <w:rPr>
                <w:rFonts w:hint="default" w:ascii="Times New Roman" w:hAnsi="Times New Roman" w:cs="Times New Roman"/>
                <w:color w:val="auto"/>
                <w:sz w:val="21"/>
                <w:szCs w:val="21"/>
              </w:rPr>
              <w:t>水污染重的项目</w:t>
            </w:r>
          </w:p>
        </w:tc>
        <w:tc>
          <w:tcPr>
            <w:tcW w:w="929" w:type="dxa"/>
            <w:shd w:val="clear" w:color="auto" w:fill="auto"/>
            <w:vAlign w:val="center"/>
          </w:tcPr>
          <w:p>
            <w:pPr>
              <w:pStyle w:val="5"/>
              <w:spacing w:line="240" w:lineRule="auto"/>
              <w:ind w:left="-120"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pPr>
              <w:pStyle w:val="5"/>
              <w:spacing w:line="240" w:lineRule="auto"/>
              <w:ind w:left="-120"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5387" w:type="dxa"/>
            <w:shd w:val="clear" w:color="auto" w:fill="auto"/>
            <w:vAlign w:val="center"/>
          </w:tcPr>
          <w:p>
            <w:pPr>
              <w:pStyle w:val="5"/>
              <w:spacing w:line="240" w:lineRule="auto"/>
              <w:ind w:left="-120" w:firstLine="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禁止园区新（扩）建涉及危险化学品构成重大危险源的化工项目以及存在重大环境安全隐患的工业项目；</w:t>
            </w:r>
          </w:p>
        </w:tc>
        <w:tc>
          <w:tcPr>
            <w:tcW w:w="2126" w:type="dxa"/>
            <w:shd w:val="clear" w:color="auto" w:fill="auto"/>
            <w:vAlign w:val="center"/>
          </w:tcPr>
          <w:p>
            <w:pPr>
              <w:pStyle w:val="5"/>
              <w:spacing w:line="240" w:lineRule="auto"/>
              <w:ind w:left="-120" w:firstLine="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本项目不涉重大危险源</w:t>
            </w:r>
          </w:p>
        </w:tc>
        <w:tc>
          <w:tcPr>
            <w:tcW w:w="929" w:type="dxa"/>
            <w:shd w:val="clear" w:color="auto" w:fill="auto"/>
            <w:vAlign w:val="center"/>
          </w:tcPr>
          <w:p>
            <w:pPr>
              <w:pStyle w:val="5"/>
              <w:spacing w:line="240" w:lineRule="auto"/>
              <w:ind w:left="-120"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pPr>
              <w:pStyle w:val="5"/>
              <w:spacing w:line="240" w:lineRule="auto"/>
              <w:ind w:left="-120"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w:t>
            </w:r>
          </w:p>
        </w:tc>
        <w:tc>
          <w:tcPr>
            <w:tcW w:w="5387" w:type="dxa"/>
            <w:shd w:val="clear" w:color="auto" w:fill="auto"/>
            <w:vAlign w:val="center"/>
          </w:tcPr>
          <w:p>
            <w:pPr>
              <w:pStyle w:val="5"/>
              <w:spacing w:line="240" w:lineRule="auto"/>
              <w:ind w:left="-120" w:firstLine="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排放含汞、砷、镉、铬、铅等重金属污染物以及持久性有机污染物的工业项目原则上不得入驻，除非封闭循环不外排；</w:t>
            </w:r>
          </w:p>
        </w:tc>
        <w:tc>
          <w:tcPr>
            <w:tcW w:w="2126" w:type="dxa"/>
            <w:shd w:val="clear" w:color="auto" w:fill="auto"/>
            <w:vAlign w:val="center"/>
          </w:tcPr>
          <w:p>
            <w:pPr>
              <w:pStyle w:val="5"/>
              <w:spacing w:line="240" w:lineRule="auto"/>
              <w:ind w:left="-120" w:firstLine="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本项目不属于重金属污染物以及持久性有机污染物的工业项目</w:t>
            </w:r>
          </w:p>
        </w:tc>
        <w:tc>
          <w:tcPr>
            <w:tcW w:w="929" w:type="dxa"/>
            <w:shd w:val="clear" w:color="auto" w:fill="auto"/>
            <w:vAlign w:val="center"/>
          </w:tcPr>
          <w:p>
            <w:pPr>
              <w:pStyle w:val="5"/>
              <w:spacing w:line="240" w:lineRule="auto"/>
              <w:ind w:left="-120"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pPr>
              <w:pStyle w:val="5"/>
              <w:spacing w:line="240" w:lineRule="auto"/>
              <w:ind w:left="-120"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w:t>
            </w:r>
          </w:p>
        </w:tc>
        <w:tc>
          <w:tcPr>
            <w:tcW w:w="5387" w:type="dxa"/>
            <w:shd w:val="clear" w:color="auto" w:fill="auto"/>
            <w:vAlign w:val="center"/>
          </w:tcPr>
          <w:p>
            <w:pPr>
              <w:pStyle w:val="5"/>
              <w:spacing w:line="240" w:lineRule="auto"/>
              <w:ind w:left="-120" w:firstLine="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排放的主要污染物达不到国家或地方规定的排放标准（或者总量控制）的项目。</w:t>
            </w:r>
          </w:p>
        </w:tc>
        <w:tc>
          <w:tcPr>
            <w:tcW w:w="2126" w:type="dxa"/>
            <w:shd w:val="clear" w:color="auto" w:fill="auto"/>
            <w:vAlign w:val="center"/>
          </w:tcPr>
          <w:p>
            <w:pPr>
              <w:pStyle w:val="5"/>
              <w:spacing w:line="240" w:lineRule="auto"/>
              <w:ind w:left="-120" w:firstLine="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本项目主要污染物排放均能满足国家、地方及行业规定的排放标准</w:t>
            </w:r>
          </w:p>
        </w:tc>
        <w:tc>
          <w:tcPr>
            <w:tcW w:w="929" w:type="dxa"/>
            <w:shd w:val="clear" w:color="auto" w:fill="auto"/>
            <w:vAlign w:val="center"/>
          </w:tcPr>
          <w:p>
            <w:pPr>
              <w:pStyle w:val="5"/>
              <w:spacing w:line="240" w:lineRule="auto"/>
              <w:ind w:left="-120"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17" w:type="dxa"/>
            <w:gridSpan w:val="4"/>
            <w:shd w:val="clear" w:color="auto" w:fill="auto"/>
            <w:vAlign w:val="center"/>
          </w:tcPr>
          <w:p>
            <w:pPr>
              <w:pStyle w:val="5"/>
              <w:spacing w:line="240" w:lineRule="auto"/>
              <w:ind w:left="-120"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二、限制产业清单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pPr>
              <w:pStyle w:val="5"/>
              <w:spacing w:line="240" w:lineRule="auto"/>
              <w:ind w:left="-120"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5387" w:type="dxa"/>
            <w:shd w:val="clear" w:color="auto" w:fill="auto"/>
            <w:vAlign w:val="center"/>
          </w:tcPr>
          <w:p>
            <w:pPr>
              <w:pStyle w:val="5"/>
              <w:spacing w:line="240" w:lineRule="auto"/>
              <w:ind w:left="-120" w:firstLine="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桃园地块限制大气污染严重（尤其是SO</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、烟粉尘）的企业进入；</w:t>
            </w:r>
          </w:p>
        </w:tc>
        <w:tc>
          <w:tcPr>
            <w:tcW w:w="2126" w:type="dxa"/>
            <w:shd w:val="clear" w:color="auto" w:fill="auto"/>
            <w:vAlign w:val="center"/>
          </w:tcPr>
          <w:p>
            <w:pPr>
              <w:pStyle w:val="5"/>
              <w:spacing w:line="240" w:lineRule="auto"/>
              <w:ind w:left="-120" w:firstLine="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本项目不涉及</w:t>
            </w:r>
          </w:p>
        </w:tc>
        <w:tc>
          <w:tcPr>
            <w:tcW w:w="929" w:type="dxa"/>
            <w:shd w:val="clear" w:color="auto" w:fill="auto"/>
            <w:vAlign w:val="center"/>
          </w:tcPr>
          <w:p>
            <w:pPr>
              <w:pStyle w:val="5"/>
              <w:spacing w:line="240" w:lineRule="auto"/>
              <w:ind w:left="-120"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pPr>
              <w:pStyle w:val="5"/>
              <w:spacing w:line="240" w:lineRule="auto"/>
              <w:ind w:left="-120"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5387" w:type="dxa"/>
            <w:shd w:val="clear" w:color="auto" w:fill="auto"/>
            <w:vAlign w:val="center"/>
          </w:tcPr>
          <w:p>
            <w:pPr>
              <w:pStyle w:val="5"/>
              <w:spacing w:line="240" w:lineRule="auto"/>
              <w:ind w:left="-120" w:firstLine="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工艺废气中含有难处理的、有毒有害物质的项目；</w:t>
            </w:r>
          </w:p>
        </w:tc>
        <w:tc>
          <w:tcPr>
            <w:tcW w:w="2126" w:type="dxa"/>
            <w:shd w:val="clear" w:color="auto" w:fill="auto"/>
            <w:vAlign w:val="center"/>
          </w:tcPr>
          <w:p>
            <w:pPr>
              <w:pStyle w:val="5"/>
              <w:spacing w:line="240" w:lineRule="auto"/>
              <w:ind w:left="-120" w:firstLine="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本项目不涉及</w:t>
            </w:r>
          </w:p>
        </w:tc>
        <w:tc>
          <w:tcPr>
            <w:tcW w:w="929" w:type="dxa"/>
            <w:shd w:val="clear" w:color="auto" w:fill="auto"/>
            <w:vAlign w:val="center"/>
          </w:tcPr>
          <w:p>
            <w:pPr>
              <w:pStyle w:val="5"/>
              <w:spacing w:line="240" w:lineRule="auto"/>
              <w:ind w:left="-120"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pPr>
              <w:pStyle w:val="5"/>
              <w:spacing w:line="240" w:lineRule="auto"/>
              <w:ind w:left="-120"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5387" w:type="dxa"/>
            <w:shd w:val="clear" w:color="auto" w:fill="auto"/>
            <w:vAlign w:val="center"/>
          </w:tcPr>
          <w:p>
            <w:pPr>
              <w:pStyle w:val="5"/>
              <w:spacing w:line="240" w:lineRule="auto"/>
              <w:ind w:left="-120" w:firstLine="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采用落后的生产工艺或生产设备，不符合国家相关产业政策、达不到规模经济的项目</w:t>
            </w:r>
          </w:p>
        </w:tc>
        <w:tc>
          <w:tcPr>
            <w:tcW w:w="2126" w:type="dxa"/>
            <w:shd w:val="clear" w:color="auto" w:fill="auto"/>
            <w:vAlign w:val="center"/>
          </w:tcPr>
          <w:p>
            <w:pPr>
              <w:pStyle w:val="5"/>
              <w:spacing w:line="240" w:lineRule="auto"/>
              <w:ind w:left="-120" w:firstLine="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本项目采用先进生产工艺或生产设备</w:t>
            </w:r>
          </w:p>
        </w:tc>
        <w:tc>
          <w:tcPr>
            <w:tcW w:w="929" w:type="dxa"/>
            <w:shd w:val="clear" w:color="auto" w:fill="auto"/>
            <w:vAlign w:val="center"/>
          </w:tcPr>
          <w:p>
            <w:pPr>
              <w:pStyle w:val="5"/>
              <w:spacing w:line="240" w:lineRule="auto"/>
              <w:ind w:left="-120"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bl>
    <w:p>
      <w:pPr>
        <w:spacing w:line="360" w:lineRule="auto"/>
        <w:ind w:firstLine="482"/>
        <w:rPr>
          <w:rFonts w:hint="default" w:ascii="Times New Roman" w:hAnsi="Times New Roman" w:cs="Times New Roman"/>
          <w:color w:val="auto"/>
        </w:rPr>
      </w:pPr>
      <w:r>
        <w:rPr>
          <w:rFonts w:hint="default" w:ascii="Times New Roman" w:hAnsi="Times New Roman" w:cs="Times New Roman"/>
          <w:color w:val="auto"/>
        </w:rPr>
        <w:t>根据上表分析，项目建设符合《楚雄工业园区总体规划修改（2018—2035）环境影响报告书》中行业准入要求。</w:t>
      </w:r>
    </w:p>
    <w:p>
      <w:pPr>
        <w:pStyle w:val="4"/>
        <w:spacing w:before="0" w:after="0" w:line="360" w:lineRule="auto"/>
        <w:rPr>
          <w:rFonts w:hint="default" w:ascii="Times New Roman" w:hAnsi="Times New Roman" w:eastAsia="宋体" w:cs="Times New Roman"/>
          <w:color w:val="auto"/>
          <w:sz w:val="28"/>
          <w:szCs w:val="28"/>
        </w:rPr>
      </w:pPr>
      <w:bookmarkStart w:id="1042" w:name="_Toc21589"/>
      <w:r>
        <w:rPr>
          <w:rFonts w:hint="default" w:ascii="Times New Roman" w:hAnsi="Times New Roman" w:eastAsia="宋体" w:cs="Times New Roman"/>
          <w:color w:val="auto"/>
          <w:sz w:val="28"/>
          <w:szCs w:val="28"/>
          <w:lang w:val="en-US" w:eastAsia="zh-CN"/>
        </w:rPr>
        <w:t>8</w:t>
      </w:r>
      <w:r>
        <w:rPr>
          <w:rFonts w:hint="default" w:ascii="Times New Roman" w:hAnsi="Times New Roman" w:eastAsia="宋体" w:cs="Times New Roman"/>
          <w:color w:val="auto"/>
          <w:sz w:val="28"/>
          <w:szCs w:val="28"/>
        </w:rPr>
        <w:t>.5“三线一单”符合性分析</w:t>
      </w:r>
      <w:bookmarkEnd w:id="1042"/>
    </w:p>
    <w:p>
      <w:pPr>
        <w:spacing w:line="360" w:lineRule="auto"/>
        <w:ind w:firstLine="482"/>
        <w:jc w:val="left"/>
        <w:rPr>
          <w:rFonts w:hint="default" w:ascii="Times New Roman" w:hAnsi="Times New Roman" w:cs="Times New Roman"/>
          <w:color w:val="auto"/>
          <w:kern w:val="0"/>
        </w:rPr>
      </w:pPr>
      <w:r>
        <w:rPr>
          <w:rFonts w:hint="default" w:ascii="Times New Roman" w:hAnsi="Times New Roman" w:cs="Times New Roman"/>
          <w:color w:val="auto"/>
          <w:kern w:val="0"/>
          <w:lang w:val="en-US" w:eastAsia="zh-CN"/>
        </w:rPr>
        <w:t>1、</w:t>
      </w:r>
      <w:r>
        <w:rPr>
          <w:rFonts w:hint="default" w:ascii="Times New Roman" w:hAnsi="Times New Roman" w:cs="Times New Roman"/>
          <w:color w:val="auto"/>
          <w:kern w:val="0"/>
        </w:rPr>
        <w:t>生态保护红线</w:t>
      </w:r>
    </w:p>
    <w:p>
      <w:pPr>
        <w:spacing w:line="360" w:lineRule="auto"/>
        <w:ind w:firstLine="482"/>
        <w:jc w:val="left"/>
        <w:rPr>
          <w:rFonts w:hint="default" w:ascii="Times New Roman" w:hAnsi="Times New Roman" w:cs="Times New Roman"/>
          <w:color w:val="auto"/>
          <w:kern w:val="0"/>
        </w:rPr>
      </w:pPr>
      <w:r>
        <w:rPr>
          <w:rFonts w:hint="default" w:ascii="Times New Roman" w:hAnsi="Times New Roman" w:cs="Times New Roman"/>
          <w:color w:val="auto"/>
          <w:sz w:val="24"/>
          <w:szCs w:val="24"/>
        </w:rPr>
        <w:t>本项目位于</w:t>
      </w:r>
      <w:r>
        <w:rPr>
          <w:rFonts w:hint="default" w:ascii="Times New Roman" w:hAnsi="Times New Roman" w:cs="Times New Roman"/>
          <w:color w:val="auto"/>
          <w:sz w:val="24"/>
          <w:szCs w:val="24"/>
          <w:lang w:eastAsia="zh-CN"/>
        </w:rPr>
        <w:t>楚雄</w:t>
      </w:r>
      <w:r>
        <w:rPr>
          <w:rFonts w:hint="default" w:ascii="Times New Roman" w:hAnsi="Times New Roman" w:cs="Times New Roman"/>
          <w:color w:val="auto"/>
          <w:sz w:val="24"/>
          <w:szCs w:val="24"/>
        </w:rPr>
        <w:t>工业园区内，</w:t>
      </w:r>
      <w:r>
        <w:rPr>
          <w:rFonts w:hint="default" w:ascii="Times New Roman" w:hAnsi="Times New Roman" w:cs="Times New Roman"/>
          <w:b w:val="0"/>
          <w:bCs w:val="0"/>
          <w:color w:val="auto"/>
          <w:kern w:val="0"/>
          <w:sz w:val="24"/>
          <w:szCs w:val="24"/>
          <w:highlight w:val="none"/>
          <w:lang w:val="en-US" w:eastAsia="zh-CN"/>
        </w:rPr>
        <w:t>经查阅《云南省生态保护红线》划定范围，不在《云南省生态保护红线》划定的红线范围内</w:t>
      </w:r>
      <w:r>
        <w:rPr>
          <w:rFonts w:hint="default" w:ascii="Times New Roman" w:hAnsi="Times New Roman" w:cs="Times New Roman"/>
          <w:color w:val="auto"/>
          <w:kern w:val="0"/>
        </w:rPr>
        <w:t>。</w:t>
      </w:r>
    </w:p>
    <w:p>
      <w:pPr>
        <w:spacing w:line="360" w:lineRule="auto"/>
        <w:ind w:firstLine="482"/>
        <w:jc w:val="left"/>
        <w:rPr>
          <w:rFonts w:hint="default" w:ascii="Times New Roman" w:hAnsi="Times New Roman" w:cs="Times New Roman"/>
          <w:color w:val="auto"/>
          <w:kern w:val="0"/>
        </w:rPr>
      </w:pPr>
      <w:r>
        <w:rPr>
          <w:rFonts w:hint="default" w:ascii="Times New Roman" w:hAnsi="Times New Roman" w:cs="Times New Roman"/>
          <w:color w:val="auto"/>
          <w:kern w:val="0"/>
          <w:lang w:val="en-US" w:eastAsia="zh-CN"/>
        </w:rPr>
        <w:t>2、</w:t>
      </w:r>
      <w:r>
        <w:rPr>
          <w:rFonts w:hint="default" w:ascii="Times New Roman" w:hAnsi="Times New Roman" w:cs="Times New Roman"/>
          <w:color w:val="auto"/>
          <w:kern w:val="0"/>
        </w:rPr>
        <w:t>环境质量底线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环境空气质量底线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本项目选址区域环境空气质量能够满足《环境空气质量标准》（GB3095-2012）</w:t>
      </w:r>
      <w:r>
        <w:rPr>
          <w:rFonts w:hint="default" w:ascii="Times New Roman" w:hAnsi="Times New Roman" w:cs="Times New Roman"/>
          <w:color w:val="auto"/>
          <w:sz w:val="24"/>
          <w:szCs w:val="24"/>
          <w:lang w:val="en-US" w:eastAsia="zh-CN"/>
        </w:rPr>
        <w:t>及其</w:t>
      </w:r>
      <w:r>
        <w:rPr>
          <w:rFonts w:hint="default" w:ascii="Times New Roman" w:hAnsi="Times New Roman" w:cs="Times New Roman"/>
          <w:color w:val="auto"/>
          <w:sz w:val="24"/>
          <w:szCs w:val="24"/>
        </w:rPr>
        <w:t>修改单中二级标准要求，空气质量较好。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地表水环境质量底线</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根据《楚</w:t>
      </w:r>
      <w:r>
        <w:rPr>
          <w:rFonts w:hint="default" w:ascii="Times New Roman" w:hAnsi="Times New Roman" w:cs="Times New Roman"/>
          <w:color w:val="auto"/>
          <w:sz w:val="24"/>
          <w:szCs w:val="24"/>
          <w:lang w:val="en-US" w:eastAsia="zh-CN"/>
        </w:rPr>
        <w:t>雄</w:t>
      </w:r>
      <w:r>
        <w:rPr>
          <w:rFonts w:hint="default" w:ascii="Times New Roman" w:hAnsi="Times New Roman" w:eastAsia="宋体" w:cs="Times New Roman"/>
          <w:color w:val="auto"/>
          <w:sz w:val="24"/>
          <w:szCs w:val="24"/>
          <w:lang w:eastAsia="zh-CN"/>
        </w:rPr>
        <w:t>州人民政府关于印发楚雄州“三线一单”生态环</w:t>
      </w:r>
      <w:r>
        <w:rPr>
          <w:rFonts w:hint="default" w:ascii="Times New Roman" w:hAnsi="Times New Roman" w:cs="Times New Roman"/>
          <w:color w:val="auto"/>
          <w:sz w:val="24"/>
          <w:szCs w:val="24"/>
          <w:lang w:eastAsia="zh-CN"/>
        </w:rPr>
        <w:t>境分区管控实施方案的通知》（楚政通〔</w:t>
      </w:r>
      <w:r>
        <w:rPr>
          <w:rFonts w:hint="default" w:ascii="Times New Roman" w:hAnsi="Times New Roman" w:cs="Times New Roman"/>
          <w:color w:val="auto"/>
          <w:sz w:val="24"/>
          <w:szCs w:val="24"/>
          <w:lang w:val="en-US" w:eastAsia="zh-CN"/>
        </w:rPr>
        <w:t>2021</w:t>
      </w:r>
      <w:r>
        <w:rPr>
          <w:rFonts w:hint="default" w:ascii="Times New Roman" w:hAnsi="Times New Roman" w:cs="Times New Roman"/>
          <w:color w:val="auto"/>
          <w:sz w:val="24"/>
          <w:szCs w:val="24"/>
          <w:lang w:eastAsia="zh-CN"/>
        </w:rPr>
        <w:t>〕22号）：“到2025年，国控、省控地表水监测断面水质优良率高于全国全省平均水平，重点区域、流域水环境质量进一步改善，全面消除劣V类水体，集中式饮用水水源水质巩固改善。到2035年，地表水体水质优良率全面提升，各监测断面水质达到水环境功能要求，全面消除V类及以下水体，集中式饮用水水源水质稳定达标”。</w:t>
      </w:r>
    </w:p>
    <w:p>
      <w:pPr>
        <w:spacing w:line="360" w:lineRule="auto"/>
        <w:ind w:firstLine="482"/>
        <w:jc w:val="left"/>
        <w:rPr>
          <w:rFonts w:hint="default" w:ascii="Times New Roman" w:hAnsi="Times New Roman" w:cs="Times New Roman"/>
          <w:color w:val="auto"/>
          <w:kern w:val="21"/>
          <w:lang w:eastAsia="zh-CN"/>
        </w:rPr>
      </w:pPr>
      <w:r>
        <w:rPr>
          <w:rFonts w:hint="default" w:ascii="Times New Roman" w:hAnsi="Times New Roman" w:cs="Times New Roman"/>
          <w:color w:val="auto"/>
          <w:lang w:eastAsia="zh-CN"/>
        </w:rPr>
        <w:t>项目地表水保护目标中龙川江现状水质达到</w:t>
      </w:r>
      <w:r>
        <w:rPr>
          <w:rFonts w:hint="default" w:ascii="Times New Roman" w:hAnsi="Times New Roman" w:cs="Times New Roman"/>
          <w:color w:val="auto"/>
        </w:rPr>
        <w:t>Ⅲ类</w:t>
      </w:r>
      <w:r>
        <w:rPr>
          <w:rFonts w:hint="default" w:ascii="Times New Roman" w:hAnsi="Times New Roman" w:cs="Times New Roman"/>
          <w:color w:val="auto"/>
          <w:lang w:eastAsia="zh-CN"/>
        </w:rPr>
        <w:t>，青龙河现状为</w:t>
      </w:r>
      <w:r>
        <w:rPr>
          <w:rFonts w:hint="default" w:ascii="Times New Roman" w:hAnsi="Times New Roman" w:cs="Times New Roman"/>
          <w:color w:val="auto"/>
          <w:lang w:val="en-US" w:eastAsia="zh-CN"/>
        </w:rPr>
        <w:t>V</w:t>
      </w:r>
      <w:r>
        <w:rPr>
          <w:rFonts w:hint="default" w:ascii="Times New Roman" w:hAnsi="Times New Roman" w:cs="Times New Roman"/>
          <w:color w:val="auto"/>
        </w:rPr>
        <w:t>类</w:t>
      </w:r>
      <w:r>
        <w:rPr>
          <w:rFonts w:hint="default" w:ascii="Times New Roman" w:hAnsi="Times New Roman" w:cs="Times New Roman"/>
          <w:color w:val="auto"/>
          <w:lang w:eastAsia="zh-CN"/>
        </w:rPr>
        <w:t>，地表水现状不达。</w:t>
      </w:r>
      <w:r>
        <w:rPr>
          <w:rFonts w:hint="default" w:ascii="Times New Roman" w:hAnsi="Times New Roman" w:cs="Times New Roman"/>
          <w:color w:val="auto"/>
          <w:kern w:val="21"/>
        </w:rPr>
        <w:t>2022年楚雄市人民政府下发了《楚雄市人民政府办公室关于印发楚雄市青龙河水体达标方案的通知》（楚市政办通〔2022〕6号）</w:t>
      </w:r>
      <w:r>
        <w:rPr>
          <w:rFonts w:hint="default" w:ascii="Times New Roman" w:hAnsi="Times New Roman" w:cs="Times New Roman"/>
          <w:color w:val="auto"/>
          <w:kern w:val="21"/>
          <w:lang w:eastAsia="zh-CN"/>
        </w:rPr>
        <w:t>，</w:t>
      </w:r>
      <w:r>
        <w:rPr>
          <w:rFonts w:hint="default" w:ascii="Times New Roman" w:hAnsi="Times New Roman" w:cs="Times New Roman"/>
          <w:color w:val="auto"/>
          <w:kern w:val="21"/>
        </w:rPr>
        <w:t>拟实施17项重点工程，包括城镇两污类、工业污染防治类、农村环境综合整治类、水生态保护及修复类、水资源优化调度类、生态环境管理类6类项目</w:t>
      </w:r>
      <w:r>
        <w:rPr>
          <w:rFonts w:hint="default" w:ascii="Times New Roman" w:hAnsi="Times New Roman" w:cs="Times New Roman"/>
          <w:color w:val="auto"/>
          <w:kern w:val="21"/>
          <w:lang w:eastAsia="zh-CN"/>
        </w:rPr>
        <w:t>，同时在考虑最大程度削减楚雄市富民工业园区污水处理厂（处理规模</w:t>
      </w:r>
      <w:r>
        <w:rPr>
          <w:rFonts w:hint="default" w:ascii="Times New Roman" w:hAnsi="Times New Roman" w:cs="Times New Roman"/>
          <w:color w:val="auto"/>
          <w:kern w:val="21"/>
          <w:lang w:val="en-US" w:eastAsia="zh-CN"/>
        </w:rPr>
        <w:t>22000m</w:t>
      </w:r>
      <w:r>
        <w:rPr>
          <w:rFonts w:hint="default" w:ascii="Times New Roman" w:hAnsi="Times New Roman" w:cs="Times New Roman"/>
          <w:color w:val="auto"/>
          <w:kern w:val="21"/>
          <w:vertAlign w:val="superscript"/>
          <w:lang w:val="en-US" w:eastAsia="zh-CN"/>
        </w:rPr>
        <w:t>3</w:t>
      </w:r>
      <w:r>
        <w:rPr>
          <w:rFonts w:hint="default" w:ascii="Times New Roman" w:hAnsi="Times New Roman" w:cs="Times New Roman"/>
          <w:color w:val="auto"/>
          <w:kern w:val="21"/>
          <w:vertAlign w:val="baseline"/>
          <w:lang w:val="en-US" w:eastAsia="zh-CN"/>
        </w:rPr>
        <w:t>/d</w:t>
      </w:r>
      <w:r>
        <w:rPr>
          <w:rFonts w:hint="default" w:ascii="Times New Roman" w:hAnsi="Times New Roman" w:cs="Times New Roman"/>
          <w:color w:val="auto"/>
          <w:kern w:val="21"/>
          <w:lang w:eastAsia="zh-CN"/>
        </w:rPr>
        <w:t>）入河污染物量和增加中石坝水库（青龙河源头水库）最大生态下泄流量的情况下，争取</w:t>
      </w:r>
      <w:r>
        <w:rPr>
          <w:rFonts w:hint="default" w:ascii="Times New Roman" w:hAnsi="Times New Roman" w:cs="Times New Roman"/>
          <w:color w:val="auto"/>
          <w:kern w:val="21"/>
          <w:lang w:val="en-US" w:eastAsia="zh-CN"/>
        </w:rPr>
        <w:t>2025年</w:t>
      </w:r>
      <w:r>
        <w:rPr>
          <w:rFonts w:hint="default" w:ascii="Times New Roman" w:hAnsi="Times New Roman" w:cs="Times New Roman"/>
          <w:color w:val="auto"/>
          <w:kern w:val="21"/>
        </w:rPr>
        <w:t>青龙河入龙川江口断面水质目标达到《地表水环境质量标准》</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GB3838-2002</w:t>
      </w:r>
      <w:r>
        <w:rPr>
          <w:rFonts w:hint="default" w:ascii="Times New Roman" w:hAnsi="Times New Roman" w:cs="Times New Roman"/>
          <w:color w:val="auto"/>
          <w:lang w:eastAsia="zh-CN"/>
        </w:rPr>
        <w:t>）</w:t>
      </w:r>
      <w:r>
        <w:rPr>
          <w:rFonts w:hint="default" w:ascii="Times New Roman" w:hAnsi="Times New Roman" w:cs="Times New Roman"/>
          <w:color w:val="auto"/>
          <w:kern w:val="21"/>
        </w:rPr>
        <w:t>IV类标准要求</w:t>
      </w:r>
      <w:r>
        <w:rPr>
          <w:rFonts w:hint="default" w:ascii="Times New Roman" w:hAnsi="Times New Roman" w:cs="Times New Roman"/>
          <w:color w:val="auto"/>
          <w:kern w:val="21"/>
          <w:lang w:eastAsia="zh-CN"/>
        </w:rPr>
        <w:t>。</w:t>
      </w:r>
    </w:p>
    <w:p>
      <w:pPr>
        <w:pStyle w:val="2"/>
        <w:rPr>
          <w:rFonts w:hint="default" w:ascii="Times New Roman" w:hAnsi="Times New Roman" w:cs="Times New Roman"/>
          <w:lang w:eastAsia="zh-CN"/>
        </w:rPr>
      </w:pPr>
      <w:r>
        <w:rPr>
          <w:rFonts w:hint="default" w:ascii="Times New Roman" w:hAnsi="Times New Roman" w:cs="Times New Roman"/>
          <w:lang w:eastAsia="zh-CN"/>
        </w:rPr>
        <w:t>根据地表水预测评价结论，项目建成后全厂废水执行表</w:t>
      </w:r>
      <w:r>
        <w:rPr>
          <w:rFonts w:hint="default" w:ascii="Times New Roman" w:hAnsi="Times New Roman" w:cs="Times New Roman"/>
          <w:lang w:val="en-US" w:eastAsia="zh-CN"/>
        </w:rPr>
        <w:t>1-12的排放限值要求后，可以保证不会造成青龙河水质类别降低。</w:t>
      </w:r>
    </w:p>
    <w:p>
      <w:pPr>
        <w:spacing w:line="360" w:lineRule="auto"/>
        <w:ind w:firstLine="482" w:firstLineChars="200"/>
        <w:rPr>
          <w:rFonts w:hint="default" w:ascii="Times New Roman" w:hAnsi="Times New Roman" w:cs="Times New Roman"/>
          <w:b/>
          <w:color w:val="auto"/>
        </w:rPr>
      </w:pPr>
      <w:r>
        <w:rPr>
          <w:rFonts w:hint="default" w:ascii="Times New Roman" w:hAnsi="Times New Roman" w:cs="Times New Roman"/>
          <w:b/>
          <w:color w:val="auto"/>
        </w:rPr>
        <w:t>3、资源利用上线</w:t>
      </w:r>
    </w:p>
    <w:p>
      <w:pPr>
        <w:spacing w:line="360" w:lineRule="auto"/>
        <w:ind w:firstLine="482"/>
        <w:jc w:val="left"/>
        <w:rPr>
          <w:rFonts w:hint="default" w:ascii="Times New Roman" w:hAnsi="Times New Roman" w:cs="Times New Roman"/>
          <w:color w:val="auto"/>
        </w:rPr>
      </w:pPr>
      <w:r>
        <w:rPr>
          <w:rFonts w:hint="default" w:ascii="Times New Roman" w:hAnsi="Times New Roman" w:cs="Times New Roman"/>
          <w:color w:val="auto"/>
          <w:kern w:val="0"/>
          <w:lang w:eastAsia="zh-CN"/>
        </w:rPr>
        <w:t>项目生产</w:t>
      </w:r>
      <w:r>
        <w:rPr>
          <w:rFonts w:hint="default" w:ascii="Times New Roman" w:hAnsi="Times New Roman" w:cs="Times New Roman"/>
          <w:color w:val="auto"/>
          <w:kern w:val="0"/>
        </w:rPr>
        <w:t>过程中</w:t>
      </w:r>
      <w:r>
        <w:rPr>
          <w:rFonts w:hint="default" w:ascii="Times New Roman" w:hAnsi="Times New Roman" w:cs="Times New Roman"/>
          <w:color w:val="auto"/>
          <w:kern w:val="0"/>
          <w:lang w:eastAsia="zh-CN"/>
        </w:rPr>
        <w:t>已考虑浓水回用，最大程度利用水资源，</w:t>
      </w:r>
      <w:r>
        <w:rPr>
          <w:rFonts w:hint="default" w:ascii="Times New Roman" w:hAnsi="Times New Roman" w:cs="Times New Roman"/>
          <w:color w:val="auto"/>
          <w:kern w:val="0"/>
        </w:rPr>
        <w:t>产生的</w:t>
      </w:r>
      <w:r>
        <w:rPr>
          <w:rFonts w:hint="default" w:ascii="Times New Roman" w:hAnsi="Times New Roman" w:cs="Times New Roman"/>
          <w:color w:val="auto"/>
          <w:kern w:val="0"/>
          <w:lang w:eastAsia="zh-CN"/>
        </w:rPr>
        <w:t>废切片</w:t>
      </w:r>
      <w:r>
        <w:rPr>
          <w:rFonts w:hint="default" w:ascii="Times New Roman" w:hAnsi="Times New Roman" w:cs="Times New Roman"/>
          <w:color w:val="auto"/>
          <w:kern w:val="0"/>
          <w:lang w:eastAsia="zh-CN"/>
        </w:rPr>
        <w:t>破碎后回用于单晶硅棒生产</w:t>
      </w:r>
      <w:r>
        <w:rPr>
          <w:rFonts w:hint="default" w:ascii="Times New Roman" w:hAnsi="Times New Roman" w:cs="Times New Roman"/>
          <w:color w:val="auto"/>
          <w:kern w:val="0"/>
        </w:rPr>
        <w:t>，提高原料利用率，最大限度的实现“三废”的回收利用，满足资源利用上线的要求。</w:t>
      </w:r>
    </w:p>
    <w:p>
      <w:pPr>
        <w:spacing w:line="360" w:lineRule="auto"/>
        <w:ind w:firstLine="482" w:firstLineChars="200"/>
        <w:rPr>
          <w:rFonts w:hint="default" w:ascii="Times New Roman" w:hAnsi="Times New Roman" w:cs="Times New Roman"/>
          <w:b/>
          <w:color w:val="auto"/>
        </w:rPr>
      </w:pPr>
      <w:r>
        <w:rPr>
          <w:rFonts w:hint="default" w:ascii="Times New Roman" w:hAnsi="Times New Roman" w:cs="Times New Roman"/>
          <w:b/>
          <w:color w:val="auto"/>
        </w:rPr>
        <w:t>4、环境准入负面清单</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kern w:val="0"/>
        </w:rPr>
        <w:t>本项目位于楚雄工业园区富民庄甸工业区先进装备制造产业组团，对照《楚雄工业园区总体规划修改（2018—2035）环境影响报告书》中行业准入要求，项目建设符合《楚雄工业园区总体规划修改（2018—2035）环境影响报告书》中行业准入要求。本项目所属行业、规划选址、清洁生产水平及环境保护措施等均满足环境准入基本条件，其采用的生产工艺、实施的生产规模、产品及使用原料等均未列入环境准入负面清单内。</w:t>
      </w:r>
    </w:p>
    <w:p>
      <w:pPr>
        <w:pStyle w:val="4"/>
        <w:spacing w:before="0" w:after="0" w:line="360" w:lineRule="auto"/>
        <w:rPr>
          <w:rFonts w:hint="default" w:ascii="Times New Roman" w:hAnsi="Times New Roman" w:eastAsia="宋体" w:cs="Times New Roman"/>
          <w:color w:val="auto"/>
          <w:sz w:val="28"/>
          <w:szCs w:val="28"/>
        </w:rPr>
      </w:pPr>
      <w:bookmarkStart w:id="1043" w:name="_Toc19706"/>
      <w:r>
        <w:rPr>
          <w:rFonts w:hint="default" w:ascii="Times New Roman" w:hAnsi="Times New Roman" w:eastAsia="宋体" w:cs="Times New Roman"/>
          <w:color w:val="auto"/>
          <w:sz w:val="28"/>
          <w:szCs w:val="28"/>
          <w:lang w:val="en-US" w:eastAsia="zh-CN"/>
        </w:rPr>
        <w:t>7</w:t>
      </w:r>
      <w:r>
        <w:rPr>
          <w:rFonts w:hint="default" w:ascii="Times New Roman" w:hAnsi="Times New Roman" w:eastAsia="宋体" w:cs="Times New Roman"/>
          <w:color w:val="auto"/>
          <w:sz w:val="28"/>
          <w:szCs w:val="28"/>
        </w:rPr>
        <w:t>.6选址合理性分析</w:t>
      </w:r>
      <w:bookmarkEnd w:id="1043"/>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（1）与环境保护规划相符性</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项目选址不涉及自然保护区、风景名胜区、饮用水水源保护区、基本农田保护区和其他需要特别保护的地区。</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（2）防护距离</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本项目大气污染源排放浓度在厂区内达标，不需要设置大气环境防护距离；通过计算本项目切片车间设置50m卫生防护距离，该范围</w:t>
      </w:r>
      <w:r>
        <w:rPr>
          <w:rFonts w:hint="default" w:ascii="Times New Roman" w:hAnsi="Times New Roman" w:cs="Times New Roman"/>
          <w:color w:val="auto"/>
          <w:lang w:eastAsia="zh-CN"/>
        </w:rPr>
        <w:t>内没有环境保护目标</w:t>
      </w:r>
      <w:r>
        <w:rPr>
          <w:rFonts w:hint="default" w:ascii="Times New Roman" w:hAnsi="Times New Roman" w:cs="Times New Roman"/>
          <w:color w:val="auto"/>
        </w:rPr>
        <w:t>，</w:t>
      </w:r>
      <w:r>
        <w:rPr>
          <w:rFonts w:hint="default" w:ascii="Times New Roman" w:hAnsi="Times New Roman" w:cs="Times New Roman"/>
          <w:color w:val="auto"/>
          <w:spacing w:val="-1"/>
        </w:rPr>
        <w:t>可满足防护距离要求。</w:t>
      </w:r>
    </w:p>
    <w:p>
      <w:pPr>
        <w:adjustRightInd w:val="0"/>
        <w:snapToGrid w:val="0"/>
        <w:spacing w:line="360" w:lineRule="auto"/>
        <w:ind w:firstLine="476" w:firstLineChars="200"/>
        <w:rPr>
          <w:rFonts w:hint="default" w:ascii="Times New Roman" w:hAnsi="Times New Roman" w:cs="Times New Roman"/>
          <w:color w:val="auto"/>
        </w:rPr>
      </w:pPr>
      <w:r>
        <w:rPr>
          <w:rFonts w:hint="default" w:ascii="Times New Roman" w:hAnsi="Times New Roman" w:cs="Times New Roman"/>
          <w:color w:val="auto"/>
          <w:spacing w:val="-1"/>
        </w:rPr>
        <w:t>综上所述，</w:t>
      </w:r>
      <w:r>
        <w:rPr>
          <w:rFonts w:hint="default" w:ascii="Times New Roman" w:hAnsi="Times New Roman" w:cs="Times New Roman"/>
          <w:color w:val="auto"/>
          <w:spacing w:val="-1"/>
          <w:lang w:eastAsia="zh-CN"/>
        </w:rPr>
        <w:t>当</w:t>
      </w:r>
      <w:r>
        <w:rPr>
          <w:rFonts w:hint="default" w:ascii="Times New Roman" w:hAnsi="Times New Roman" w:cs="Times New Roman"/>
          <w:color w:val="auto"/>
          <w:spacing w:val="-1"/>
        </w:rPr>
        <w:t>项目选址合理。</w:t>
      </w:r>
    </w:p>
    <w:p>
      <w:pPr>
        <w:pStyle w:val="3"/>
        <w:spacing w:before="468" w:after="468"/>
        <w:jc w:val="center"/>
        <w:rPr>
          <w:rFonts w:hint="default" w:ascii="Times New Roman" w:hAnsi="Times New Roman" w:cs="Times New Roman"/>
          <w:color w:val="auto"/>
        </w:rPr>
      </w:pPr>
      <w:r>
        <w:rPr>
          <w:rFonts w:hint="default" w:ascii="Times New Roman" w:hAnsi="Times New Roman" w:cs="Times New Roman"/>
          <w:bCs/>
          <w:color w:val="FF0000"/>
        </w:rPr>
        <w:br w:type="page"/>
      </w:r>
      <w:bookmarkStart w:id="1044" w:name="_Toc2098"/>
      <w:r>
        <w:rPr>
          <w:rFonts w:hint="default" w:ascii="Times New Roman" w:hAnsi="Times New Roman" w:cs="Times New Roman"/>
          <w:color w:val="auto"/>
          <w:lang w:val="en-US" w:eastAsia="zh-CN"/>
        </w:rPr>
        <w:t>9</w:t>
      </w:r>
      <w:r>
        <w:rPr>
          <w:rFonts w:hint="default" w:ascii="Times New Roman" w:hAnsi="Times New Roman" w:cs="Times New Roman"/>
          <w:color w:val="auto"/>
        </w:rPr>
        <w:t>环境管理及监测</w:t>
      </w:r>
      <w:bookmarkEnd w:id="1019"/>
      <w:bookmarkEnd w:id="1020"/>
      <w:bookmarkEnd w:id="1021"/>
      <w:r>
        <w:rPr>
          <w:rFonts w:hint="default" w:ascii="Times New Roman" w:hAnsi="Times New Roman" w:cs="Times New Roman"/>
          <w:color w:val="auto"/>
        </w:rPr>
        <w:t>计划</w:t>
      </w:r>
      <w:bookmarkEnd w:id="1022"/>
      <w:bookmarkEnd w:id="1023"/>
      <w:bookmarkEnd w:id="1044"/>
    </w:p>
    <w:p>
      <w:pPr>
        <w:pStyle w:val="4"/>
        <w:spacing w:before="0" w:after="0" w:line="360" w:lineRule="auto"/>
        <w:rPr>
          <w:rFonts w:hint="default" w:ascii="Times New Roman" w:hAnsi="Times New Roman" w:eastAsia="宋体" w:cs="Times New Roman"/>
          <w:color w:val="auto"/>
          <w:sz w:val="28"/>
          <w:szCs w:val="28"/>
        </w:rPr>
      </w:pPr>
      <w:bookmarkStart w:id="1045" w:name="_Toc489094806"/>
      <w:bookmarkStart w:id="1046" w:name="_Toc518069200"/>
      <w:bookmarkStart w:id="1047" w:name="_Toc533415771"/>
      <w:bookmarkStart w:id="1048" w:name="_Toc12488109"/>
      <w:bookmarkStart w:id="1049" w:name="_Toc21707919"/>
      <w:bookmarkStart w:id="1050" w:name="_Toc6467"/>
      <w:r>
        <w:rPr>
          <w:rFonts w:hint="default" w:ascii="Times New Roman" w:hAnsi="Times New Roman" w:eastAsia="宋体" w:cs="Times New Roman"/>
          <w:color w:val="auto"/>
          <w:sz w:val="28"/>
          <w:szCs w:val="28"/>
          <w:lang w:val="en-US" w:eastAsia="zh-CN"/>
        </w:rPr>
        <w:t>9</w:t>
      </w:r>
      <w:r>
        <w:rPr>
          <w:rFonts w:hint="default" w:ascii="Times New Roman" w:hAnsi="Times New Roman" w:eastAsia="宋体" w:cs="Times New Roman"/>
          <w:color w:val="auto"/>
          <w:sz w:val="28"/>
          <w:szCs w:val="28"/>
        </w:rPr>
        <w:t>.1环境管理要求</w:t>
      </w:r>
      <w:bookmarkEnd w:id="1045"/>
      <w:bookmarkEnd w:id="1046"/>
      <w:bookmarkEnd w:id="1047"/>
      <w:bookmarkEnd w:id="1048"/>
      <w:bookmarkEnd w:id="1049"/>
      <w:bookmarkEnd w:id="1050"/>
    </w:p>
    <w:p>
      <w:pPr>
        <w:pStyle w:val="199"/>
        <w:ind w:firstLine="480"/>
        <w:rPr>
          <w:rFonts w:hint="default" w:ascii="Times New Roman" w:hAnsi="Times New Roman" w:cs="Times New Roman"/>
          <w:color w:val="auto"/>
        </w:rPr>
      </w:pPr>
      <w:r>
        <w:rPr>
          <w:rFonts w:hint="default" w:ascii="Times New Roman" w:hAnsi="Times New Roman" w:cs="Times New Roman"/>
          <w:color w:val="auto"/>
        </w:rPr>
        <w:t>建设单位是落实建设项目环境保护责任的主体。建设单位在建设项目开工前和发生重大变动前，必须依法取得环境影响评价审批文件。建设项目实施过程中应严格落实经批准的环境影响评价文件及其批复文件提出的各项环境保护要求，确保环境保护设施正常运行。建设项目应当依法申领排污许可证，严格按照排污许可证规定的污染物排放种类、浓度、总量等排污。</w:t>
      </w:r>
    </w:p>
    <w:p>
      <w:pPr>
        <w:spacing w:line="360" w:lineRule="auto"/>
        <w:ind w:firstLine="482"/>
        <w:rPr>
          <w:rFonts w:hint="default" w:ascii="Times New Roman" w:hAnsi="Times New Roman" w:cs="Times New Roman"/>
          <w:color w:val="auto"/>
        </w:rPr>
      </w:pPr>
      <w:r>
        <w:rPr>
          <w:rFonts w:hint="default" w:ascii="Times New Roman" w:hAnsi="Times New Roman" w:cs="Times New Roman"/>
          <w:color w:val="auto"/>
        </w:rPr>
        <w:t>建设单位是建设项目竣工环境保护验收的责任主体，应当按照《建设项目竣工环境保护验收暂行办法》规定的程序和标准，组织对配套建设的环境保护设施进行验收，编制验收报告。根据环境保护部《关于发布&lt;建设项目竣工环境保护验收暂行办法&gt;的公告》（国环规环评〔2017〕4号），建设项目需要配套建设固体废物污染防治设施的，在《中华人民共和国固体废物污染环境防治法》修改完成前，应依法由生态环境主管部门对建设项目固体废物污染防治设施进行验收。</w:t>
      </w:r>
    </w:p>
    <w:p>
      <w:pPr>
        <w:pStyle w:val="6"/>
        <w:spacing w:before="0" w:after="0" w:line="360" w:lineRule="auto"/>
        <w:rPr>
          <w:rFonts w:hint="default" w:ascii="Times New Roman" w:hAnsi="Times New Roman" w:cs="Times New Roman"/>
          <w:color w:val="auto"/>
          <w:szCs w:val="28"/>
        </w:rPr>
      </w:pPr>
      <w:bookmarkStart w:id="1051" w:name="_Toc518069201"/>
      <w:bookmarkStart w:id="1052" w:name="_Toc12488110"/>
      <w:bookmarkStart w:id="1053" w:name="_Toc18254"/>
      <w:r>
        <w:rPr>
          <w:rFonts w:hint="default" w:ascii="Times New Roman" w:hAnsi="Times New Roman" w:cs="Times New Roman"/>
          <w:color w:val="auto"/>
          <w:szCs w:val="28"/>
          <w:lang w:val="en-US" w:eastAsia="zh-CN"/>
        </w:rPr>
        <w:t>9</w:t>
      </w:r>
      <w:r>
        <w:rPr>
          <w:rFonts w:hint="default" w:ascii="Times New Roman" w:hAnsi="Times New Roman" w:cs="Times New Roman"/>
          <w:color w:val="auto"/>
          <w:szCs w:val="28"/>
        </w:rPr>
        <w:t>.1.1</w:t>
      </w:r>
      <w:bookmarkEnd w:id="1051"/>
      <w:bookmarkEnd w:id="1052"/>
      <w:r>
        <w:rPr>
          <w:rFonts w:hint="default" w:ascii="Times New Roman" w:hAnsi="Times New Roman" w:cs="Times New Roman"/>
          <w:color w:val="auto"/>
          <w:szCs w:val="28"/>
        </w:rPr>
        <w:t>环境管理目标</w:t>
      </w:r>
      <w:bookmarkEnd w:id="1053"/>
    </w:p>
    <w:p>
      <w:pPr>
        <w:pStyle w:val="199"/>
        <w:ind w:firstLine="480"/>
        <w:rPr>
          <w:rFonts w:hint="default" w:ascii="Times New Roman" w:hAnsi="Times New Roman" w:cs="Times New Roman"/>
          <w:color w:val="auto"/>
        </w:rPr>
      </w:pPr>
      <w:r>
        <w:rPr>
          <w:rFonts w:hint="default" w:ascii="Times New Roman" w:hAnsi="Times New Roman" w:cs="Times New Roman"/>
          <w:color w:val="auto"/>
        </w:rPr>
        <w:t>通过工程的环境管理工作实施，达到预防、消减、缓解或补偿工程建设带来的不利影响的最终目标。即在工程建设和生产过程中，通过先进的环境管理方式，指导并监督工程的环境保护工作，预防并减缓工程建设和生产过程中对周围环境的不利影响，保障各污染治理设施的正常运转，并通过生态恢复工程措施，补偿工程建设带来的不利影响。充分发挥工程建设的社会效益和生态效益。</w:t>
      </w:r>
    </w:p>
    <w:p>
      <w:pPr>
        <w:rPr>
          <w:rFonts w:hint="default" w:ascii="Times New Roman" w:hAnsi="Times New Roman" w:cs="Times New Roman"/>
          <w:color w:val="auto"/>
        </w:rPr>
      </w:pPr>
      <w:r>
        <w:rPr>
          <w:rFonts w:hint="default" w:ascii="Times New Roman" w:hAnsi="Times New Roman" w:cs="Times New Roman"/>
          <w:color w:val="auto"/>
        </w:rPr>
        <w:t>通过环境管理的实施，明确各管理部门的职责，更好落实工程的环境管理工作。</w:t>
      </w:r>
    </w:p>
    <w:p>
      <w:pPr>
        <w:pStyle w:val="6"/>
        <w:spacing w:before="0" w:after="0" w:line="360" w:lineRule="auto"/>
        <w:rPr>
          <w:rFonts w:hint="default" w:ascii="Times New Roman" w:hAnsi="Times New Roman" w:cs="Times New Roman"/>
          <w:color w:val="auto"/>
          <w:szCs w:val="28"/>
        </w:rPr>
      </w:pPr>
      <w:bookmarkStart w:id="1054" w:name="_Toc518069203"/>
      <w:bookmarkStart w:id="1055" w:name="_Toc12488112"/>
      <w:bookmarkStart w:id="1056" w:name="_Toc23847"/>
      <w:r>
        <w:rPr>
          <w:rFonts w:hint="default" w:ascii="Times New Roman" w:hAnsi="Times New Roman" w:cs="Times New Roman"/>
          <w:color w:val="auto"/>
          <w:szCs w:val="28"/>
          <w:lang w:val="en-US" w:eastAsia="zh-CN"/>
        </w:rPr>
        <w:t>9.</w:t>
      </w:r>
      <w:r>
        <w:rPr>
          <w:rFonts w:hint="default" w:ascii="Times New Roman" w:hAnsi="Times New Roman" w:cs="Times New Roman"/>
          <w:color w:val="auto"/>
          <w:szCs w:val="28"/>
        </w:rPr>
        <w:t>1.2</w:t>
      </w:r>
      <w:bookmarkEnd w:id="1054"/>
      <w:bookmarkEnd w:id="1055"/>
      <w:r>
        <w:rPr>
          <w:rFonts w:hint="default" w:ascii="Times New Roman" w:hAnsi="Times New Roman" w:cs="Times New Roman"/>
          <w:color w:val="auto"/>
          <w:szCs w:val="28"/>
        </w:rPr>
        <w:t>环境监督机构</w:t>
      </w:r>
      <w:bookmarkEnd w:id="1056"/>
    </w:p>
    <w:p>
      <w:pPr>
        <w:pStyle w:val="199"/>
        <w:ind w:firstLine="480"/>
        <w:rPr>
          <w:rFonts w:hint="default" w:ascii="Times New Roman" w:hAnsi="Times New Roman" w:cs="Times New Roman"/>
          <w:color w:val="auto"/>
        </w:rPr>
      </w:pPr>
      <w:r>
        <w:rPr>
          <w:rFonts w:hint="default" w:ascii="Times New Roman" w:hAnsi="Times New Roman" w:cs="Times New Roman"/>
          <w:color w:val="auto"/>
        </w:rPr>
        <w:t>楚雄州生态环境局楚雄市分局负责对项目环境保护工作实施监督管理：组织和协调有关机构为项目环境保护工作服务；监督项目环境管理计划的实施；明确项目应执行的环境管理法规和标准；对项目施工期和运营期的环境监督管理。</w:t>
      </w:r>
    </w:p>
    <w:p>
      <w:pPr>
        <w:pStyle w:val="199"/>
        <w:ind w:firstLine="480"/>
        <w:rPr>
          <w:rFonts w:hint="default" w:ascii="Times New Roman" w:hAnsi="Times New Roman" w:cs="Times New Roman"/>
          <w:color w:val="auto"/>
        </w:rPr>
      </w:pPr>
      <w:r>
        <w:rPr>
          <w:rFonts w:hint="default" w:ascii="Times New Roman" w:hAnsi="Times New Roman" w:cs="Times New Roman"/>
          <w:color w:val="auto"/>
        </w:rPr>
        <w:t>楚雄州生态环境局楚雄市分局监督建设单位实施环境管理计划，执行有关环境管理的法规、标准；协调各部门之间做好环境保护工作。</w:t>
      </w:r>
    </w:p>
    <w:p>
      <w:pPr>
        <w:pStyle w:val="4"/>
        <w:spacing w:before="0" w:after="0" w:line="360" w:lineRule="auto"/>
        <w:rPr>
          <w:rFonts w:hint="default" w:ascii="Times New Roman" w:hAnsi="Times New Roman" w:eastAsia="宋体" w:cs="Times New Roman"/>
          <w:color w:val="auto"/>
          <w:sz w:val="28"/>
          <w:szCs w:val="28"/>
        </w:rPr>
      </w:pPr>
      <w:bookmarkStart w:id="1057" w:name="_Toc69115053"/>
      <w:bookmarkStart w:id="1058" w:name="_Toc12449"/>
      <w:bookmarkStart w:id="1059" w:name="_Toc518069204"/>
      <w:bookmarkStart w:id="1060" w:name="_Toc12488113"/>
      <w:r>
        <w:rPr>
          <w:rFonts w:hint="default" w:ascii="Times New Roman" w:hAnsi="Times New Roman" w:eastAsia="宋体" w:cs="Times New Roman"/>
          <w:color w:val="auto"/>
          <w:sz w:val="28"/>
          <w:szCs w:val="28"/>
          <w:lang w:val="en-US" w:eastAsia="zh-CN"/>
        </w:rPr>
        <w:t>9</w:t>
      </w:r>
      <w:r>
        <w:rPr>
          <w:rFonts w:hint="default" w:ascii="Times New Roman" w:hAnsi="Times New Roman" w:eastAsia="宋体" w:cs="Times New Roman"/>
          <w:color w:val="auto"/>
          <w:sz w:val="28"/>
          <w:szCs w:val="28"/>
        </w:rPr>
        <w:t>.2建设单位环境管理体系及管理计划</w:t>
      </w:r>
      <w:bookmarkEnd w:id="1057"/>
      <w:bookmarkEnd w:id="1058"/>
    </w:p>
    <w:p>
      <w:pPr>
        <w:pStyle w:val="6"/>
        <w:spacing w:before="0" w:after="0" w:line="360" w:lineRule="auto"/>
        <w:rPr>
          <w:rFonts w:hint="default" w:ascii="Times New Roman" w:hAnsi="Times New Roman" w:cs="Times New Roman"/>
          <w:color w:val="auto"/>
          <w:szCs w:val="28"/>
        </w:rPr>
      </w:pPr>
      <w:bookmarkStart w:id="1061" w:name="_Toc22608"/>
      <w:r>
        <w:rPr>
          <w:rFonts w:hint="default" w:ascii="Times New Roman" w:hAnsi="Times New Roman" w:cs="Times New Roman"/>
          <w:color w:val="auto"/>
          <w:szCs w:val="28"/>
          <w:lang w:val="en-US" w:eastAsia="zh-CN"/>
        </w:rPr>
        <w:t>9</w:t>
      </w:r>
      <w:r>
        <w:rPr>
          <w:rFonts w:hint="default" w:ascii="Times New Roman" w:hAnsi="Times New Roman" w:cs="Times New Roman"/>
          <w:color w:val="auto"/>
          <w:szCs w:val="28"/>
        </w:rPr>
        <w:t>.2.1企业环境管理机构</w:t>
      </w:r>
      <w:bookmarkEnd w:id="1061"/>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根据本项目的实际情况，在施工阶段，建设单位应设专人负责环境保护事宜。项目投入运营后，环境管理机构由后勤管理部门负责，下设环境管理小组对该项目环境管理和环境监控负责，并受当地环境保护主管部门的监督和指导。</w:t>
      </w:r>
    </w:p>
    <w:p>
      <w:pPr>
        <w:pStyle w:val="6"/>
        <w:spacing w:before="0" w:after="0" w:line="360" w:lineRule="auto"/>
        <w:rPr>
          <w:rFonts w:hint="default" w:ascii="Times New Roman" w:hAnsi="Times New Roman" w:cs="Times New Roman"/>
          <w:color w:val="auto"/>
          <w:szCs w:val="28"/>
        </w:rPr>
      </w:pPr>
      <w:bookmarkStart w:id="1062" w:name="_Toc5982"/>
      <w:r>
        <w:rPr>
          <w:rFonts w:hint="default" w:ascii="Times New Roman" w:hAnsi="Times New Roman" w:cs="Times New Roman"/>
          <w:color w:val="auto"/>
          <w:szCs w:val="28"/>
          <w:lang w:val="en-US" w:eastAsia="zh-CN"/>
        </w:rPr>
        <w:t>9</w:t>
      </w:r>
      <w:r>
        <w:rPr>
          <w:rFonts w:hint="default" w:ascii="Times New Roman" w:hAnsi="Times New Roman" w:cs="Times New Roman"/>
          <w:color w:val="auto"/>
          <w:szCs w:val="28"/>
        </w:rPr>
        <w:t>.2.2</w:t>
      </w:r>
      <w:bookmarkStart w:id="1063" w:name="_Toc8814"/>
      <w:bookmarkStart w:id="1064" w:name="_Toc15046396"/>
      <w:bookmarkStart w:id="1065" w:name="_Toc11896"/>
      <w:bookmarkStart w:id="1066" w:name="_Toc29201"/>
      <w:bookmarkStart w:id="1067" w:name="_Toc2892"/>
      <w:bookmarkStart w:id="1068" w:name="_Toc3746"/>
      <w:r>
        <w:rPr>
          <w:rFonts w:hint="default" w:ascii="Times New Roman" w:hAnsi="Times New Roman" w:cs="Times New Roman"/>
          <w:color w:val="auto"/>
          <w:szCs w:val="28"/>
        </w:rPr>
        <w:t>环境管理人员职责</w:t>
      </w:r>
      <w:bookmarkEnd w:id="1062"/>
      <w:bookmarkEnd w:id="1063"/>
      <w:bookmarkEnd w:id="1064"/>
      <w:bookmarkEnd w:id="1065"/>
      <w:bookmarkEnd w:id="1066"/>
      <w:bookmarkEnd w:id="1067"/>
      <w:bookmarkEnd w:id="1068"/>
    </w:p>
    <w:p>
      <w:pPr>
        <w:topLinePunct/>
        <w:spacing w:line="360" w:lineRule="auto"/>
        <w:ind w:firstLine="482"/>
        <w:rPr>
          <w:rFonts w:hint="default" w:ascii="Times New Roman" w:hAnsi="Times New Roman" w:cs="Times New Roman"/>
          <w:color w:val="auto"/>
        </w:rPr>
      </w:pPr>
      <w:r>
        <w:rPr>
          <w:rFonts w:hint="default" w:ascii="Times New Roman" w:hAnsi="Times New Roman" w:cs="Times New Roman"/>
          <w:color w:val="auto"/>
        </w:rPr>
        <w:t>①建立健全环境保护规章制度，进行环境保护设施的管理，环境统计；</w:t>
      </w:r>
    </w:p>
    <w:p>
      <w:pPr>
        <w:topLinePunct/>
        <w:spacing w:line="360" w:lineRule="auto"/>
        <w:ind w:firstLine="482"/>
        <w:rPr>
          <w:rFonts w:hint="default" w:ascii="Times New Roman" w:hAnsi="Times New Roman" w:cs="Times New Roman"/>
          <w:color w:val="auto"/>
        </w:rPr>
      </w:pPr>
      <w:r>
        <w:rPr>
          <w:rFonts w:hint="default" w:ascii="Times New Roman" w:hAnsi="Times New Roman" w:cs="Times New Roman"/>
          <w:color w:val="auto"/>
        </w:rPr>
        <w:t>②做好垃圾收集的环境保护工作；</w:t>
      </w:r>
    </w:p>
    <w:p>
      <w:pPr>
        <w:topLinePunct/>
        <w:spacing w:line="360" w:lineRule="auto"/>
        <w:ind w:firstLine="482"/>
        <w:rPr>
          <w:rFonts w:hint="default" w:ascii="Times New Roman" w:hAnsi="Times New Roman" w:cs="Times New Roman"/>
          <w:color w:val="auto"/>
        </w:rPr>
      </w:pPr>
      <w:r>
        <w:rPr>
          <w:rFonts w:hint="default" w:ascii="Times New Roman" w:hAnsi="Times New Roman" w:cs="Times New Roman"/>
          <w:color w:val="auto"/>
        </w:rPr>
        <w:t>③做好废气处理设施、污水处理设备的管理维护，确保不发生废水污染风险；</w:t>
      </w:r>
    </w:p>
    <w:p>
      <w:pPr>
        <w:topLinePunct/>
        <w:spacing w:line="360" w:lineRule="auto"/>
        <w:ind w:firstLine="482"/>
        <w:rPr>
          <w:rFonts w:hint="default" w:ascii="Times New Roman" w:hAnsi="Times New Roman" w:cs="Times New Roman"/>
          <w:color w:val="auto"/>
        </w:rPr>
      </w:pPr>
      <w:r>
        <w:rPr>
          <w:rFonts w:hint="default" w:ascii="Times New Roman" w:hAnsi="Times New Roman" w:cs="Times New Roman"/>
          <w:color w:val="auto"/>
        </w:rPr>
        <w:t>④负责组织突发事故的应急处理和善后事宜；</w:t>
      </w:r>
    </w:p>
    <w:p>
      <w:pPr>
        <w:topLinePunct/>
        <w:spacing w:line="360" w:lineRule="auto"/>
        <w:ind w:firstLine="482"/>
        <w:rPr>
          <w:rFonts w:hint="default" w:ascii="Times New Roman" w:hAnsi="Times New Roman" w:cs="Times New Roman"/>
          <w:color w:val="auto"/>
        </w:rPr>
      </w:pPr>
      <w:r>
        <w:rPr>
          <w:rFonts w:hint="default" w:ascii="Times New Roman" w:hAnsi="Times New Roman" w:cs="Times New Roman"/>
          <w:color w:val="auto"/>
        </w:rPr>
        <w:t>⑤组织人员的环境保护专业技术培训，提高工作人员的环境保护意识和技能；</w:t>
      </w:r>
    </w:p>
    <w:p>
      <w:pPr>
        <w:topLinePunct/>
        <w:spacing w:line="360" w:lineRule="auto"/>
        <w:ind w:firstLine="482"/>
        <w:rPr>
          <w:rFonts w:hint="default" w:ascii="Times New Roman" w:hAnsi="Times New Roman" w:cs="Times New Roman"/>
          <w:color w:val="auto"/>
        </w:rPr>
      </w:pPr>
      <w:r>
        <w:rPr>
          <w:rFonts w:hint="default" w:ascii="Times New Roman" w:hAnsi="Times New Roman" w:cs="Times New Roman"/>
          <w:color w:val="auto"/>
        </w:rPr>
        <w:t>⑥监督、管理项目“三同时”的执行，确保环境保护设施与主体工程同时设计、同时施工、同时投入运行，有效防止污染的产生；</w:t>
      </w:r>
    </w:p>
    <w:p>
      <w:pPr>
        <w:spacing w:line="360" w:lineRule="auto"/>
        <w:ind w:firstLine="482"/>
        <w:rPr>
          <w:rFonts w:hint="default" w:ascii="Times New Roman" w:hAnsi="Times New Roman" w:cs="Times New Roman"/>
          <w:color w:val="auto"/>
        </w:rPr>
      </w:pPr>
      <w:r>
        <w:rPr>
          <w:rFonts w:hint="default" w:ascii="Times New Roman" w:hAnsi="Times New Roman" w:cs="Times New Roman"/>
          <w:color w:val="auto"/>
        </w:rPr>
        <w:t>⑦定期向环保主管部门及上级领导汇报环保工作情况。</w:t>
      </w:r>
    </w:p>
    <w:p>
      <w:pPr>
        <w:pStyle w:val="6"/>
        <w:spacing w:before="0" w:after="0" w:line="360" w:lineRule="auto"/>
        <w:rPr>
          <w:rFonts w:hint="default" w:ascii="Times New Roman" w:hAnsi="Times New Roman" w:cs="Times New Roman"/>
          <w:color w:val="auto"/>
          <w:szCs w:val="28"/>
        </w:rPr>
      </w:pPr>
      <w:bookmarkStart w:id="1069" w:name="_Toc8852"/>
      <w:r>
        <w:rPr>
          <w:rFonts w:hint="default" w:ascii="Times New Roman" w:hAnsi="Times New Roman" w:cs="Times New Roman"/>
          <w:color w:val="auto"/>
          <w:szCs w:val="28"/>
          <w:lang w:val="en-US" w:eastAsia="zh-CN"/>
        </w:rPr>
        <w:t>9</w:t>
      </w:r>
      <w:r>
        <w:rPr>
          <w:rFonts w:hint="default" w:ascii="Times New Roman" w:hAnsi="Times New Roman" w:cs="Times New Roman"/>
          <w:color w:val="auto"/>
          <w:szCs w:val="28"/>
        </w:rPr>
        <w:t>.2.3企业环境管理制度</w:t>
      </w:r>
      <w:bookmarkEnd w:id="1069"/>
    </w:p>
    <w:p>
      <w:pPr>
        <w:spacing w:line="360" w:lineRule="auto"/>
        <w:ind w:firstLine="482"/>
        <w:rPr>
          <w:rFonts w:hint="default" w:ascii="Times New Roman" w:hAnsi="Times New Roman" w:cs="Times New Roman"/>
          <w:bCs/>
          <w:color w:val="auto"/>
        </w:rPr>
      </w:pPr>
      <w:r>
        <w:rPr>
          <w:rFonts w:hint="default" w:ascii="Times New Roman" w:hAnsi="Times New Roman" w:cs="Times New Roman"/>
          <w:bCs/>
          <w:color w:val="auto"/>
        </w:rPr>
        <w:t>（1）建立环境管理体系</w:t>
      </w:r>
    </w:p>
    <w:p>
      <w:pPr>
        <w:spacing w:line="360" w:lineRule="auto"/>
        <w:ind w:firstLine="482"/>
        <w:rPr>
          <w:rFonts w:hint="default" w:ascii="Times New Roman" w:hAnsi="Times New Roman" w:cs="Times New Roman"/>
          <w:color w:val="auto"/>
        </w:rPr>
      </w:pPr>
      <w:r>
        <w:rPr>
          <w:rFonts w:hint="default" w:ascii="Times New Roman" w:hAnsi="Times New Roman" w:cs="Times New Roman"/>
          <w:color w:val="auto"/>
        </w:rPr>
        <w:t>项目建成后，建立环境管理体系，以便全面系统地对污染物进行控制，进一步提高能源资源利用率，及时了解有关环保法律法规及其他要求，更好地遵守法律法规及各项制度。</w:t>
      </w:r>
    </w:p>
    <w:p>
      <w:pPr>
        <w:spacing w:line="360" w:lineRule="auto"/>
        <w:ind w:firstLine="482"/>
        <w:rPr>
          <w:rFonts w:hint="default" w:ascii="Times New Roman" w:hAnsi="Times New Roman" w:cs="Times New Roman"/>
          <w:bCs/>
          <w:color w:val="auto"/>
        </w:rPr>
      </w:pPr>
      <w:r>
        <w:rPr>
          <w:rFonts w:hint="default" w:ascii="Times New Roman" w:hAnsi="Times New Roman" w:cs="Times New Roman"/>
          <w:bCs/>
          <w:color w:val="auto"/>
        </w:rPr>
        <w:t>（2）排污定期报告制度</w:t>
      </w:r>
    </w:p>
    <w:p>
      <w:pPr>
        <w:spacing w:line="360" w:lineRule="auto"/>
        <w:ind w:firstLine="482"/>
        <w:rPr>
          <w:rFonts w:hint="default" w:ascii="Times New Roman" w:hAnsi="Times New Roman" w:cs="Times New Roman"/>
          <w:color w:val="auto"/>
        </w:rPr>
      </w:pPr>
      <w:r>
        <w:rPr>
          <w:rFonts w:hint="default" w:ascii="Times New Roman" w:hAnsi="Times New Roman" w:cs="Times New Roman"/>
          <w:color w:val="auto"/>
        </w:rPr>
        <w:t>定期向当地环保部门报告污染治理设施运行情况、污染物排放情况以及污染事故、污染纠纷等情况。</w:t>
      </w:r>
    </w:p>
    <w:p>
      <w:pPr>
        <w:spacing w:line="360" w:lineRule="auto"/>
        <w:ind w:firstLine="482"/>
        <w:rPr>
          <w:rFonts w:hint="default" w:ascii="Times New Roman" w:hAnsi="Times New Roman" w:cs="Times New Roman"/>
          <w:bCs/>
          <w:color w:val="auto"/>
        </w:rPr>
      </w:pPr>
      <w:r>
        <w:rPr>
          <w:rFonts w:hint="default" w:ascii="Times New Roman" w:hAnsi="Times New Roman" w:cs="Times New Roman"/>
          <w:bCs/>
          <w:color w:val="auto"/>
        </w:rPr>
        <w:t>（3）环保设施的管理制度</w:t>
      </w:r>
    </w:p>
    <w:p>
      <w:pPr>
        <w:spacing w:line="360" w:lineRule="auto"/>
        <w:ind w:firstLine="482"/>
        <w:rPr>
          <w:rFonts w:hint="default" w:ascii="Times New Roman" w:hAnsi="Times New Roman" w:cs="Times New Roman"/>
          <w:color w:val="auto"/>
        </w:rPr>
      </w:pPr>
      <w:r>
        <w:rPr>
          <w:rFonts w:hint="default" w:ascii="Times New Roman" w:hAnsi="Times New Roman" w:cs="Times New Roman"/>
          <w:color w:val="auto"/>
        </w:rPr>
        <w:t>对各环保设施的管理必须与生产经营活动一起纳入企业的日常管理中，建立岗位责任制，制定操作规程，建立管理台帐。</w:t>
      </w:r>
    </w:p>
    <w:p>
      <w:pPr>
        <w:spacing w:line="360" w:lineRule="auto"/>
        <w:ind w:firstLine="482"/>
        <w:rPr>
          <w:rFonts w:hint="default" w:ascii="Times New Roman" w:hAnsi="Times New Roman" w:cs="Times New Roman"/>
          <w:bCs/>
          <w:color w:val="auto"/>
        </w:rPr>
      </w:pPr>
      <w:r>
        <w:rPr>
          <w:rFonts w:hint="default" w:ascii="Times New Roman" w:hAnsi="Times New Roman" w:cs="Times New Roman"/>
          <w:bCs/>
          <w:color w:val="auto"/>
        </w:rPr>
        <w:t>（4）奖惩制度</w:t>
      </w:r>
    </w:p>
    <w:p>
      <w:pPr>
        <w:spacing w:line="360" w:lineRule="auto"/>
        <w:ind w:firstLine="482"/>
        <w:rPr>
          <w:rFonts w:hint="default" w:ascii="Times New Roman" w:hAnsi="Times New Roman" w:cs="Times New Roman"/>
          <w:color w:val="auto"/>
        </w:rPr>
      </w:pPr>
      <w:r>
        <w:rPr>
          <w:rFonts w:hint="default" w:ascii="Times New Roman" w:hAnsi="Times New Roman" w:cs="Times New Roman"/>
          <w:color w:val="auto"/>
        </w:rPr>
        <w:t>企业应设置环境保护奖惩制度，对爱护环保设施，节能降耗，改善环境者实行奖励；对不按环保要求管理，造成环保设施损坏、环境污染和资源、能源浪费者予以处罚。</w:t>
      </w:r>
    </w:p>
    <w:p>
      <w:pPr>
        <w:pStyle w:val="6"/>
        <w:spacing w:before="0" w:after="0" w:line="360" w:lineRule="auto"/>
        <w:rPr>
          <w:rFonts w:hint="default" w:ascii="Times New Roman" w:hAnsi="Times New Roman" w:cs="Times New Roman"/>
          <w:color w:val="auto"/>
          <w:szCs w:val="28"/>
        </w:rPr>
      </w:pPr>
      <w:bookmarkStart w:id="1070" w:name="_Toc10180"/>
      <w:r>
        <w:rPr>
          <w:rFonts w:hint="default" w:ascii="Times New Roman" w:hAnsi="Times New Roman" w:cs="Times New Roman"/>
          <w:color w:val="auto"/>
          <w:szCs w:val="28"/>
          <w:lang w:val="en-US" w:eastAsia="zh-CN"/>
        </w:rPr>
        <w:t>9</w:t>
      </w:r>
      <w:r>
        <w:rPr>
          <w:rFonts w:hint="default" w:ascii="Times New Roman" w:hAnsi="Times New Roman" w:cs="Times New Roman"/>
          <w:color w:val="auto"/>
          <w:szCs w:val="28"/>
        </w:rPr>
        <w:t>.2.4环境管理计划</w:t>
      </w:r>
      <w:bookmarkEnd w:id="1070"/>
    </w:p>
    <w:p>
      <w:pPr>
        <w:spacing w:line="360" w:lineRule="auto"/>
        <w:ind w:firstLine="482"/>
        <w:rPr>
          <w:rFonts w:hint="default" w:ascii="Times New Roman" w:hAnsi="Times New Roman" w:cs="Times New Roman"/>
          <w:color w:val="auto"/>
        </w:rPr>
      </w:pPr>
      <w:r>
        <w:rPr>
          <w:rFonts w:hint="default" w:ascii="Times New Roman" w:hAnsi="Times New Roman" w:cs="Times New Roman"/>
          <w:color w:val="auto"/>
        </w:rPr>
        <w:t>为了对项目环保措施的实施进行有效的监督管理，必须明确该项目环境保护各相关机构的具体职责和分工。</w:t>
      </w:r>
    </w:p>
    <w:p>
      <w:pPr>
        <w:spacing w:line="360" w:lineRule="auto"/>
        <w:ind w:firstLine="482"/>
        <w:rPr>
          <w:rFonts w:hint="default" w:ascii="Times New Roman" w:hAnsi="Times New Roman" w:cs="Times New Roman"/>
          <w:bCs/>
          <w:color w:val="auto"/>
        </w:rPr>
      </w:pPr>
      <w:r>
        <w:rPr>
          <w:rFonts w:hint="default" w:ascii="Times New Roman" w:hAnsi="Times New Roman" w:cs="Times New Roman"/>
          <w:bCs/>
          <w:color w:val="auto"/>
        </w:rPr>
        <w:t>（1）楚雄州生态环境局楚雄市分局</w:t>
      </w:r>
    </w:p>
    <w:p>
      <w:pPr>
        <w:spacing w:line="360" w:lineRule="auto"/>
        <w:ind w:firstLine="482"/>
        <w:rPr>
          <w:rFonts w:hint="default" w:ascii="Times New Roman" w:hAnsi="Times New Roman" w:cs="Times New Roman"/>
          <w:color w:val="auto"/>
        </w:rPr>
      </w:pPr>
      <w:r>
        <w:rPr>
          <w:rFonts w:hint="default" w:ascii="Times New Roman" w:hAnsi="Times New Roman" w:cs="Times New Roman"/>
          <w:color w:val="auto"/>
        </w:rPr>
        <w:t>负责本项目运营阶段的环境保护监督工作，检查施工期及运营期环保措施的落实情况；检查环境敏感点的环境质量是否满足其相应质量标准要求。</w:t>
      </w:r>
    </w:p>
    <w:p>
      <w:pPr>
        <w:spacing w:line="360" w:lineRule="auto"/>
        <w:ind w:firstLine="482"/>
        <w:rPr>
          <w:rFonts w:hint="default" w:ascii="Times New Roman" w:hAnsi="Times New Roman" w:cs="Times New Roman"/>
          <w:bCs/>
          <w:color w:val="auto"/>
        </w:rPr>
      </w:pPr>
      <w:r>
        <w:rPr>
          <w:rFonts w:hint="default" w:ascii="Times New Roman" w:hAnsi="Times New Roman" w:cs="Times New Roman"/>
          <w:bCs/>
          <w:color w:val="auto"/>
        </w:rPr>
        <w:t>（2）建设单位</w:t>
      </w:r>
    </w:p>
    <w:p>
      <w:pPr>
        <w:spacing w:line="360" w:lineRule="auto"/>
        <w:ind w:firstLine="482"/>
        <w:rPr>
          <w:rFonts w:hint="default" w:ascii="Times New Roman" w:hAnsi="Times New Roman" w:cs="Times New Roman"/>
          <w:color w:val="auto"/>
        </w:rPr>
      </w:pPr>
      <w:r>
        <w:rPr>
          <w:rFonts w:hint="default" w:ascii="Times New Roman" w:hAnsi="Times New Roman" w:cs="Times New Roman"/>
          <w:color w:val="auto"/>
        </w:rPr>
        <w:t>根据国务院令第682号《国务院关于修改&lt;建设项目环境保护管理条例&gt;》规定，编制环境影响报告书、环境影响报告表的建设项目竣工后，建设单位应当按照国务院环境保护厅行政主管部门规定的标准和程序，对配套建设的环境保护设施进行验收，编制验收报告。</w:t>
      </w:r>
    </w:p>
    <w:p>
      <w:pPr>
        <w:pStyle w:val="6"/>
        <w:spacing w:before="0" w:after="0" w:line="360" w:lineRule="auto"/>
        <w:rPr>
          <w:rFonts w:hint="default" w:ascii="Times New Roman" w:hAnsi="Times New Roman" w:cs="Times New Roman"/>
          <w:color w:val="auto"/>
          <w:szCs w:val="28"/>
        </w:rPr>
      </w:pPr>
      <w:bookmarkStart w:id="1071" w:name="_Toc25581"/>
      <w:r>
        <w:rPr>
          <w:rFonts w:hint="default" w:ascii="Times New Roman" w:hAnsi="Times New Roman" w:cs="Times New Roman"/>
          <w:color w:val="auto"/>
          <w:szCs w:val="28"/>
          <w:lang w:val="en-US" w:eastAsia="zh-CN"/>
        </w:rPr>
        <w:t>9</w:t>
      </w:r>
      <w:r>
        <w:rPr>
          <w:rFonts w:hint="default" w:ascii="Times New Roman" w:hAnsi="Times New Roman" w:cs="Times New Roman"/>
          <w:color w:val="auto"/>
          <w:szCs w:val="28"/>
        </w:rPr>
        <w:t>.2.5环境管理台账</w:t>
      </w:r>
      <w:bookmarkEnd w:id="1071"/>
    </w:p>
    <w:p>
      <w:pPr>
        <w:spacing w:line="360" w:lineRule="auto"/>
        <w:ind w:firstLine="482"/>
        <w:rPr>
          <w:rFonts w:hint="default" w:ascii="Times New Roman" w:hAnsi="Times New Roman" w:cs="Times New Roman"/>
          <w:color w:val="auto"/>
        </w:rPr>
      </w:pPr>
      <w:r>
        <w:rPr>
          <w:rFonts w:hint="default" w:ascii="Times New Roman" w:hAnsi="Times New Roman" w:cs="Times New Roman"/>
          <w:color w:val="auto"/>
        </w:rPr>
        <w:t>1、一般原则</w:t>
      </w:r>
    </w:p>
    <w:p>
      <w:pPr>
        <w:spacing w:line="360" w:lineRule="auto"/>
        <w:ind w:firstLine="482"/>
        <w:rPr>
          <w:rFonts w:hint="default" w:ascii="Times New Roman" w:hAnsi="Times New Roman" w:cs="Times New Roman"/>
          <w:color w:val="auto"/>
        </w:rPr>
      </w:pPr>
      <w:r>
        <w:rPr>
          <w:rFonts w:hint="default" w:ascii="Times New Roman" w:hAnsi="Times New Roman" w:cs="Times New Roman"/>
          <w:color w:val="auto"/>
        </w:rPr>
        <w:t>排污单位在申请排污许可证时，应在全国排污许可证管理信息平台中明确环境管理台账记录要求。有核发权的地方生态环境主管部门可以依据法律法规、标准规范增加和加严记录要求。排污单位也可自行增加和加严记录要求。</w:t>
      </w:r>
    </w:p>
    <w:p>
      <w:pPr>
        <w:spacing w:line="360" w:lineRule="auto"/>
        <w:ind w:firstLine="482"/>
        <w:rPr>
          <w:rFonts w:hint="default" w:ascii="Times New Roman" w:hAnsi="Times New Roman" w:cs="Times New Roman"/>
          <w:color w:val="auto"/>
        </w:rPr>
      </w:pPr>
      <w:r>
        <w:rPr>
          <w:rFonts w:hint="default" w:ascii="Times New Roman" w:hAnsi="Times New Roman" w:cs="Times New Roman"/>
          <w:color w:val="auto"/>
        </w:rPr>
        <w:t>排污单位应建立环境管理台账制度，落实环境管理台账记录的责任部门和责任人，明确工作职责，包括台账的记录、整理、维护和管理等，并对台账记录结果的真实性、完整性和规范性负责。</w:t>
      </w:r>
    </w:p>
    <w:p>
      <w:pPr>
        <w:spacing w:line="360" w:lineRule="auto"/>
        <w:ind w:firstLine="482"/>
        <w:rPr>
          <w:rFonts w:hint="default" w:ascii="Times New Roman" w:hAnsi="Times New Roman" w:cs="Times New Roman"/>
          <w:color w:val="auto"/>
        </w:rPr>
      </w:pPr>
      <w:r>
        <w:rPr>
          <w:rFonts w:hint="default" w:ascii="Times New Roman" w:hAnsi="Times New Roman" w:cs="Times New Roman"/>
          <w:color w:val="auto"/>
        </w:rPr>
        <w:t>2、记录内容</w:t>
      </w:r>
    </w:p>
    <w:p>
      <w:pPr>
        <w:spacing w:line="360" w:lineRule="auto"/>
        <w:ind w:firstLine="482"/>
        <w:rPr>
          <w:rFonts w:hint="default" w:ascii="Times New Roman" w:hAnsi="Times New Roman" w:cs="Times New Roman"/>
          <w:color w:val="auto"/>
        </w:rPr>
      </w:pPr>
      <w:r>
        <w:rPr>
          <w:rFonts w:hint="default" w:ascii="Times New Roman" w:hAnsi="Times New Roman" w:cs="Times New Roman"/>
          <w:color w:val="auto"/>
        </w:rPr>
        <w:t>应包括基本信息、生产设施运行管理信息、污染治理设施运行管理信息、监测记录信息及其他环境管理信息等。生产设施、污染治理设施、排放口编码应与排污许可证副本中载明的编码一致。</w:t>
      </w:r>
    </w:p>
    <w:p>
      <w:pPr>
        <w:spacing w:line="360" w:lineRule="auto"/>
        <w:ind w:firstLine="482"/>
        <w:rPr>
          <w:rFonts w:hint="default" w:ascii="Times New Roman" w:hAnsi="Times New Roman" w:cs="Times New Roman"/>
          <w:color w:val="auto"/>
        </w:rPr>
      </w:pPr>
      <w:r>
        <w:rPr>
          <w:rFonts w:hint="default" w:ascii="Times New Roman" w:hAnsi="Times New Roman" w:cs="Times New Roman"/>
          <w:color w:val="auto"/>
        </w:rPr>
        <w:t>对于未发生变化的基本信息，按年记录，1次/年；对于发生变化的基本信息，在发生变化时记录。监测数据的记录频次与自行监测方案的废气、废水监测频次一致。</w:t>
      </w:r>
    </w:p>
    <w:p>
      <w:pPr>
        <w:spacing w:line="360" w:lineRule="auto"/>
        <w:ind w:firstLine="482"/>
        <w:rPr>
          <w:rFonts w:hint="default" w:ascii="Times New Roman" w:hAnsi="Times New Roman" w:cs="Times New Roman"/>
          <w:color w:val="auto"/>
        </w:rPr>
      </w:pPr>
      <w:r>
        <w:rPr>
          <w:rFonts w:hint="default" w:ascii="Times New Roman" w:hAnsi="Times New Roman" w:cs="Times New Roman"/>
          <w:color w:val="auto"/>
        </w:rPr>
        <w:t>生产运行状况按照排污单位生产批次记录，每批记录1次。连续性生产的排污单位，产品产量按照批次记录，每批次记录1次。周期性生产的设施按照一个周期进行记录。原辅料用量按照批次记录，每批次记录1次。</w:t>
      </w:r>
    </w:p>
    <w:p>
      <w:pPr>
        <w:spacing w:line="360" w:lineRule="auto"/>
        <w:ind w:firstLine="482"/>
        <w:rPr>
          <w:rFonts w:hint="default" w:ascii="Times New Roman" w:hAnsi="Times New Roman" w:cs="Times New Roman"/>
          <w:color w:val="auto"/>
        </w:rPr>
      </w:pPr>
      <w:r>
        <w:rPr>
          <w:rFonts w:hint="default" w:ascii="Times New Roman" w:hAnsi="Times New Roman" w:cs="Times New Roman"/>
          <w:color w:val="auto"/>
        </w:rPr>
        <w:t>污染治理设施运行状况按照污染治理设施运行部门生产班制记录，每班次记录1次。非正常情况期记录，1次/非正常情况期，包括起止时间、污染物排放浓度、非正常原因、应对措施、是否报告等。</w:t>
      </w:r>
    </w:p>
    <w:p>
      <w:pPr>
        <w:spacing w:line="360" w:lineRule="auto"/>
        <w:ind w:firstLine="482"/>
        <w:rPr>
          <w:rFonts w:hint="default" w:ascii="Times New Roman" w:hAnsi="Times New Roman" w:cs="Times New Roman"/>
          <w:color w:val="auto"/>
        </w:rPr>
      </w:pPr>
      <w:r>
        <w:rPr>
          <w:rFonts w:hint="default" w:ascii="Times New Roman" w:hAnsi="Times New Roman" w:cs="Times New Roman"/>
          <w:color w:val="auto"/>
        </w:rPr>
        <w:t>无组织废气污染控制措施的信息记录频次原则上不低于1次/天。</w:t>
      </w:r>
    </w:p>
    <w:p>
      <w:pPr>
        <w:spacing w:line="360" w:lineRule="auto"/>
        <w:ind w:firstLine="482"/>
        <w:rPr>
          <w:rFonts w:hint="default" w:ascii="Times New Roman" w:hAnsi="Times New Roman" w:cs="Times New Roman"/>
          <w:color w:val="auto"/>
        </w:rPr>
      </w:pPr>
      <w:r>
        <w:rPr>
          <w:rFonts w:hint="default" w:ascii="Times New Roman" w:hAnsi="Times New Roman" w:cs="Times New Roman"/>
          <w:color w:val="auto"/>
        </w:rPr>
        <w:t>重污染天气应对期间等特殊时段的台账记录频次原则上与正常生产记录频次一致，涉及特殊时段停产的排污单位或生产工序，该期间原则上仅对起始和结束当天进行1次记录，地方生态环境主管部门有特殊要求的，从其规定。</w:t>
      </w:r>
    </w:p>
    <w:p>
      <w:pPr>
        <w:spacing w:line="360" w:lineRule="auto"/>
        <w:ind w:firstLine="482"/>
        <w:rPr>
          <w:rFonts w:hint="default" w:ascii="Times New Roman" w:hAnsi="Times New Roman" w:cs="Times New Roman"/>
          <w:color w:val="auto"/>
        </w:rPr>
      </w:pPr>
      <w:r>
        <w:rPr>
          <w:rFonts w:hint="default" w:ascii="Times New Roman" w:hAnsi="Times New Roman" w:cs="Times New Roman"/>
          <w:color w:val="auto"/>
        </w:rPr>
        <w:t>3、记录存储及保存</w:t>
      </w:r>
    </w:p>
    <w:p>
      <w:pPr>
        <w:spacing w:line="360" w:lineRule="auto"/>
        <w:ind w:firstLine="482"/>
        <w:rPr>
          <w:rFonts w:hint="default" w:ascii="Times New Roman" w:hAnsi="Times New Roman" w:cs="Times New Roman"/>
          <w:color w:val="auto"/>
        </w:rPr>
      </w:pPr>
      <w:r>
        <w:rPr>
          <w:rFonts w:hint="default" w:ascii="Times New Roman" w:hAnsi="Times New Roman" w:cs="Times New Roman"/>
          <w:color w:val="auto"/>
        </w:rPr>
        <w:t>环境管理台账应当按照纸质储存和电子化储存两种形式同步管理。电子台账根据地方生态环境主管部门管理要求定期上传，纸质台账由排污单位留存备查。</w:t>
      </w:r>
    </w:p>
    <w:p>
      <w:pPr>
        <w:pStyle w:val="6"/>
        <w:spacing w:before="0" w:after="0" w:line="360" w:lineRule="auto"/>
        <w:rPr>
          <w:rFonts w:hint="default" w:ascii="Times New Roman" w:hAnsi="Times New Roman" w:cs="Times New Roman"/>
          <w:color w:val="auto"/>
          <w:szCs w:val="28"/>
        </w:rPr>
      </w:pPr>
      <w:bookmarkStart w:id="1072" w:name="_Toc19382"/>
      <w:r>
        <w:rPr>
          <w:rFonts w:hint="default" w:ascii="Times New Roman" w:hAnsi="Times New Roman" w:cs="Times New Roman"/>
          <w:color w:val="auto"/>
          <w:szCs w:val="28"/>
          <w:lang w:val="en-US" w:eastAsia="zh-CN"/>
        </w:rPr>
        <w:t>9</w:t>
      </w:r>
      <w:r>
        <w:rPr>
          <w:rFonts w:hint="default" w:ascii="Times New Roman" w:hAnsi="Times New Roman" w:cs="Times New Roman"/>
          <w:color w:val="auto"/>
          <w:szCs w:val="28"/>
        </w:rPr>
        <w:t>.2.6</w:t>
      </w:r>
      <w:r>
        <w:rPr>
          <w:rFonts w:hint="default" w:ascii="Times New Roman" w:hAnsi="Times New Roman" w:cs="Times New Roman"/>
          <w:color w:val="auto"/>
        </w:rPr>
        <w:t>危险废物转移联单制度</w:t>
      </w:r>
      <w:bookmarkEnd w:id="1072"/>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危险废物运输过程要严格按照《危险废物收集、贮存、运输技术规范》（HJ2025）的要求进行运输，严格按照规定填写《危险废物转移联单》，并向危险废物移出地和接受地的县级以上地方人民政府生态环境主管部门报告。采取上述要求及措施后可减少运输过程对环境的影响。</w:t>
      </w:r>
    </w:p>
    <w:p>
      <w:pPr>
        <w:tabs>
          <w:tab w:val="left" w:pos="1848"/>
          <w:tab w:val="left" w:pos="6061"/>
          <w:tab w:val="left" w:pos="8665"/>
        </w:tabs>
        <w:adjustRightInd w:val="0"/>
        <w:snapToGrid w:val="0"/>
        <w:spacing w:line="360" w:lineRule="auto"/>
        <w:ind w:firstLine="480" w:firstLineChars="200"/>
        <w:rPr>
          <w:rFonts w:hint="default" w:ascii="Times New Roman" w:hAnsi="Times New Roman" w:cs="Times New Roman"/>
          <w:color w:val="auto"/>
          <w:szCs w:val="20"/>
        </w:rPr>
      </w:pPr>
      <w:r>
        <w:rPr>
          <w:rFonts w:hint="default" w:ascii="Times New Roman" w:hAnsi="Times New Roman" w:cs="Times New Roman"/>
          <w:color w:val="auto"/>
          <w:szCs w:val="20"/>
        </w:rPr>
        <w:t>在危险废弃物外运至处置单位时必须严格遵守以下要求：</w:t>
      </w:r>
    </w:p>
    <w:p>
      <w:pPr>
        <w:tabs>
          <w:tab w:val="left" w:pos="1848"/>
          <w:tab w:val="left" w:pos="6061"/>
          <w:tab w:val="left" w:pos="8665"/>
        </w:tabs>
        <w:adjustRightInd w:val="0"/>
        <w:snapToGrid w:val="0"/>
        <w:spacing w:line="360" w:lineRule="auto"/>
        <w:ind w:firstLine="480" w:firstLineChars="200"/>
        <w:rPr>
          <w:rFonts w:hint="default" w:ascii="Times New Roman" w:hAnsi="Times New Roman" w:cs="Times New Roman"/>
          <w:color w:val="auto"/>
          <w:szCs w:val="20"/>
        </w:rPr>
      </w:pPr>
      <w:r>
        <w:rPr>
          <w:rFonts w:hint="default" w:ascii="Times New Roman" w:hAnsi="Times New Roman" w:cs="Times New Roman"/>
          <w:color w:val="auto"/>
          <w:szCs w:val="20"/>
        </w:rPr>
        <w:t>（1）做好每次外运处置废弃物的运输登记，认真填写危险废物转移联单（每种废物填写一份联单），并加盖公司公章，经运输单位核实验收签字后，将联单第一联副联自留存档，将联单第二联交移出地环境保护行政主管部门，第三联及其余各联交付运输单位，随危险废物转移运行。第四联交接受单位，第五联交接受地生态环境局。</w:t>
      </w:r>
    </w:p>
    <w:p>
      <w:pPr>
        <w:tabs>
          <w:tab w:val="left" w:pos="1848"/>
          <w:tab w:val="left" w:pos="6061"/>
          <w:tab w:val="left" w:pos="8665"/>
        </w:tabs>
        <w:adjustRightInd w:val="0"/>
        <w:snapToGrid w:val="0"/>
        <w:spacing w:line="360" w:lineRule="auto"/>
        <w:ind w:firstLine="480" w:firstLineChars="200"/>
        <w:rPr>
          <w:rFonts w:hint="default" w:ascii="Times New Roman" w:hAnsi="Times New Roman" w:cs="Times New Roman"/>
          <w:color w:val="auto"/>
          <w:szCs w:val="20"/>
        </w:rPr>
      </w:pPr>
      <w:r>
        <w:rPr>
          <w:rFonts w:hint="default" w:ascii="Times New Roman" w:hAnsi="Times New Roman" w:cs="Times New Roman"/>
          <w:color w:val="auto"/>
          <w:szCs w:val="20"/>
        </w:rPr>
        <w:t>（2）废弃物处置单位的运输人员必须掌握危险化学品运输的安全知识，了解所运载的危险化学品的性质、危险特性、包装容器的使用特性和发生意外时的应急措施。运输车辆必须具有车辆危险货物运输许可证。</w:t>
      </w:r>
    </w:p>
    <w:p>
      <w:pPr>
        <w:tabs>
          <w:tab w:val="left" w:pos="1848"/>
          <w:tab w:val="left" w:pos="6061"/>
          <w:tab w:val="left" w:pos="8665"/>
        </w:tabs>
        <w:adjustRightInd w:val="0"/>
        <w:snapToGrid w:val="0"/>
        <w:spacing w:line="360" w:lineRule="auto"/>
        <w:ind w:firstLine="480" w:firstLineChars="200"/>
        <w:rPr>
          <w:rFonts w:hint="default" w:ascii="Times New Roman" w:hAnsi="Times New Roman" w:cs="Times New Roman"/>
          <w:color w:val="auto"/>
          <w:szCs w:val="20"/>
        </w:rPr>
      </w:pPr>
      <w:r>
        <w:rPr>
          <w:rFonts w:hint="default" w:ascii="Times New Roman" w:hAnsi="Times New Roman" w:cs="Times New Roman"/>
          <w:color w:val="auto"/>
          <w:szCs w:val="20"/>
        </w:rPr>
        <w:t>（3）处置单位在运输危险废弃物时必须配备押运人员，并随时处于押运人员的监管之下，不得超载，严格按照所在城市规定的行车时间和行车路线行驶，不得进入危险化学品运输车辆禁止通行的区域。</w:t>
      </w:r>
    </w:p>
    <w:p>
      <w:pPr>
        <w:tabs>
          <w:tab w:val="left" w:pos="1848"/>
          <w:tab w:val="left" w:pos="6061"/>
          <w:tab w:val="left" w:pos="8665"/>
        </w:tabs>
        <w:adjustRightInd w:val="0"/>
        <w:snapToGrid w:val="0"/>
        <w:spacing w:line="360" w:lineRule="auto"/>
        <w:ind w:firstLine="480" w:firstLineChars="200"/>
        <w:rPr>
          <w:rFonts w:hint="default" w:ascii="Times New Roman" w:hAnsi="Times New Roman" w:cs="Times New Roman"/>
          <w:color w:val="auto"/>
          <w:szCs w:val="20"/>
        </w:rPr>
      </w:pPr>
      <w:r>
        <w:rPr>
          <w:rFonts w:hint="default" w:ascii="Times New Roman" w:hAnsi="Times New Roman" w:cs="Times New Roman"/>
          <w:color w:val="auto"/>
          <w:szCs w:val="20"/>
        </w:rPr>
        <w:t>（4）危险废弃物在运输途中若发生被盗、丢失、流散、泄露等情况时，公司及押运人员必须立即向当地公安部门报告，并采取一切可能的警示措施。</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szCs w:val="20"/>
        </w:rPr>
        <w:t>（5）一旦发生废弃物泄露事故，公司和废弃物处置单位都应积极协助有关部门采取必要的防治措施，减少事故损失，防治事故蔓延、扩大；针对事故对人体、动植物、土壤、水源、空气造成的现实危害和可能产生的危害，应迅速采取封闭、隔离、洗消等措施，并对事故造成的危害进行监测、处置，直至符合国家环境保护标准。</w:t>
      </w:r>
    </w:p>
    <w:p>
      <w:pPr>
        <w:pStyle w:val="4"/>
        <w:spacing w:before="0" w:after="0" w:line="360" w:lineRule="auto"/>
        <w:rPr>
          <w:rFonts w:hint="default" w:ascii="Times New Roman" w:hAnsi="Times New Roman" w:eastAsia="宋体" w:cs="Times New Roman"/>
          <w:color w:val="auto"/>
          <w:sz w:val="28"/>
          <w:szCs w:val="28"/>
        </w:rPr>
      </w:pPr>
      <w:bookmarkStart w:id="1073" w:name="_Toc316"/>
      <w:r>
        <w:rPr>
          <w:rFonts w:hint="default" w:ascii="Times New Roman" w:hAnsi="Times New Roman" w:eastAsia="宋体" w:cs="Times New Roman"/>
          <w:color w:val="auto"/>
          <w:sz w:val="28"/>
          <w:szCs w:val="28"/>
          <w:lang w:val="en-US" w:eastAsia="zh-CN"/>
        </w:rPr>
        <w:t>9</w:t>
      </w:r>
      <w:r>
        <w:rPr>
          <w:rFonts w:hint="default" w:ascii="Times New Roman" w:hAnsi="Times New Roman" w:eastAsia="宋体" w:cs="Times New Roman"/>
          <w:color w:val="auto"/>
          <w:sz w:val="28"/>
          <w:szCs w:val="28"/>
        </w:rPr>
        <w:t>.3信息公开制度</w:t>
      </w:r>
      <w:bookmarkEnd w:id="1073"/>
    </w:p>
    <w:p>
      <w:pPr>
        <w:pStyle w:val="199"/>
        <w:ind w:firstLine="480"/>
        <w:rPr>
          <w:rFonts w:hint="default" w:ascii="Times New Roman" w:hAnsi="Times New Roman" w:cs="Times New Roman"/>
          <w:color w:val="auto"/>
        </w:rPr>
      </w:pPr>
      <w:r>
        <w:rPr>
          <w:rFonts w:hint="default" w:ascii="Times New Roman" w:hAnsi="Times New Roman" w:cs="Times New Roman"/>
          <w:color w:val="auto"/>
        </w:rPr>
        <w:t>根据《建设项目环境影响评价信息公开机制方案》、《企事业单位环境信息公开办法》中的相关规定，本项目建设单位应当向社会公开以下信息：</w:t>
      </w:r>
    </w:p>
    <w:p>
      <w:pPr>
        <w:pStyle w:val="199"/>
        <w:ind w:firstLine="480"/>
        <w:rPr>
          <w:rFonts w:hint="default" w:ascii="Times New Roman" w:hAnsi="Times New Roman" w:cs="Times New Roman"/>
          <w:color w:val="auto"/>
        </w:rPr>
      </w:pPr>
      <w:r>
        <w:rPr>
          <w:rFonts w:hint="default" w:ascii="Times New Roman" w:hAnsi="Times New Roman" w:cs="Times New Roman"/>
          <w:color w:val="auto"/>
        </w:rPr>
        <w:t>（1）基础信息，包括单位名称、组织机构代码、法定代表人、生产地址、联系方式、以及生产经营和管理服务的主要内容、产品及规模；</w:t>
      </w:r>
    </w:p>
    <w:p>
      <w:pPr>
        <w:pStyle w:val="199"/>
        <w:ind w:firstLine="480"/>
        <w:rPr>
          <w:rFonts w:hint="default" w:ascii="Times New Roman" w:hAnsi="Times New Roman" w:cs="Times New Roman"/>
          <w:color w:val="auto"/>
        </w:rPr>
      </w:pPr>
      <w:r>
        <w:rPr>
          <w:rFonts w:hint="default" w:ascii="Times New Roman" w:hAnsi="Times New Roman" w:cs="Times New Roman"/>
          <w:color w:val="auto"/>
          <w:szCs w:val="26"/>
        </w:rPr>
        <w:t>（2）施工期信息，包括施工单位、监理单位的主要信息，施工进度简要信息；</w:t>
      </w:r>
    </w:p>
    <w:p>
      <w:pPr>
        <w:pStyle w:val="199"/>
        <w:ind w:firstLine="480"/>
        <w:rPr>
          <w:rFonts w:hint="default" w:ascii="Times New Roman" w:hAnsi="Times New Roman" w:cs="Times New Roman"/>
          <w:color w:val="auto"/>
        </w:rPr>
      </w:pPr>
      <w:r>
        <w:rPr>
          <w:rFonts w:hint="default" w:ascii="Times New Roman" w:hAnsi="Times New Roman" w:cs="Times New Roman"/>
          <w:color w:val="auto"/>
        </w:rPr>
        <w:t>（3）排污信息，包括主要污染物的名称、排放方式、排放口数量和分布情况、排放浓度和总量、超标情况，以及执行的污染物排放标准、核定的排放总量；</w:t>
      </w:r>
    </w:p>
    <w:p>
      <w:pPr>
        <w:pStyle w:val="199"/>
        <w:ind w:firstLine="480"/>
        <w:rPr>
          <w:rFonts w:hint="default" w:ascii="Times New Roman" w:hAnsi="Times New Roman" w:cs="Times New Roman"/>
          <w:color w:val="auto"/>
        </w:rPr>
      </w:pPr>
      <w:r>
        <w:rPr>
          <w:rFonts w:hint="default" w:ascii="Times New Roman" w:hAnsi="Times New Roman" w:cs="Times New Roman"/>
          <w:color w:val="auto"/>
          <w:szCs w:val="26"/>
        </w:rPr>
        <w:t>（4）日常监测结果应及时建立档案，对于常规监测数据应及时进行公开；</w:t>
      </w:r>
    </w:p>
    <w:p>
      <w:pPr>
        <w:pStyle w:val="199"/>
        <w:ind w:firstLine="480"/>
        <w:rPr>
          <w:rFonts w:hint="default" w:ascii="Times New Roman" w:hAnsi="Times New Roman" w:cs="Times New Roman"/>
          <w:color w:val="auto"/>
        </w:rPr>
      </w:pPr>
      <w:r>
        <w:rPr>
          <w:rFonts w:hint="default" w:ascii="Times New Roman" w:hAnsi="Times New Roman" w:cs="Times New Roman"/>
          <w:color w:val="auto"/>
        </w:rPr>
        <w:t>（5）防治污染设施的建设和运行情况；</w:t>
      </w:r>
    </w:p>
    <w:p>
      <w:pPr>
        <w:pStyle w:val="199"/>
        <w:ind w:firstLine="480"/>
        <w:rPr>
          <w:rFonts w:hint="default" w:ascii="Times New Roman" w:hAnsi="Times New Roman" w:cs="Times New Roman"/>
          <w:color w:val="auto"/>
        </w:rPr>
      </w:pPr>
      <w:r>
        <w:rPr>
          <w:rFonts w:hint="default" w:ascii="Times New Roman" w:hAnsi="Times New Roman" w:cs="Times New Roman"/>
          <w:color w:val="auto"/>
        </w:rPr>
        <w:t>（6）建设项目环境影响评价及其他环境保护行政许可情况；</w:t>
      </w:r>
    </w:p>
    <w:p>
      <w:pPr>
        <w:pStyle w:val="199"/>
        <w:ind w:firstLine="480"/>
        <w:rPr>
          <w:rFonts w:hint="default" w:ascii="Times New Roman" w:hAnsi="Times New Roman" w:cs="Times New Roman"/>
          <w:color w:val="auto"/>
        </w:rPr>
      </w:pPr>
      <w:r>
        <w:rPr>
          <w:rFonts w:hint="default" w:ascii="Times New Roman" w:hAnsi="Times New Roman" w:cs="Times New Roman"/>
          <w:color w:val="auto"/>
        </w:rPr>
        <w:t>（7）突发环境事件应急预案。</w:t>
      </w:r>
    </w:p>
    <w:p>
      <w:pPr>
        <w:pStyle w:val="4"/>
        <w:spacing w:before="0" w:after="0" w:line="360" w:lineRule="auto"/>
        <w:rPr>
          <w:rFonts w:hint="default" w:ascii="Times New Roman" w:hAnsi="Times New Roman" w:eastAsia="宋体" w:cs="Times New Roman"/>
          <w:color w:val="auto"/>
          <w:sz w:val="28"/>
          <w:szCs w:val="28"/>
        </w:rPr>
      </w:pPr>
      <w:bookmarkStart w:id="1074" w:name="_Toc69115060"/>
      <w:bookmarkStart w:id="1075" w:name="_Toc5365"/>
      <w:r>
        <w:rPr>
          <w:rFonts w:hint="default" w:ascii="Times New Roman" w:hAnsi="Times New Roman" w:eastAsia="宋体" w:cs="Times New Roman"/>
          <w:color w:val="auto"/>
          <w:sz w:val="28"/>
          <w:szCs w:val="28"/>
          <w:lang w:val="en-US" w:eastAsia="zh-CN"/>
        </w:rPr>
        <w:t>9</w:t>
      </w:r>
      <w:r>
        <w:rPr>
          <w:rFonts w:hint="default" w:ascii="Times New Roman" w:hAnsi="Times New Roman" w:eastAsia="宋体" w:cs="Times New Roman"/>
          <w:color w:val="auto"/>
          <w:sz w:val="28"/>
          <w:szCs w:val="28"/>
        </w:rPr>
        <w:t>.4环境监理</w:t>
      </w:r>
      <w:bookmarkEnd w:id="1074"/>
      <w:bookmarkEnd w:id="1075"/>
    </w:p>
    <w:p>
      <w:pPr>
        <w:spacing w:line="360" w:lineRule="auto"/>
        <w:ind w:firstLine="482"/>
        <w:rPr>
          <w:rFonts w:hint="default" w:ascii="Times New Roman" w:hAnsi="Times New Roman" w:cs="Times New Roman"/>
          <w:color w:val="auto"/>
        </w:rPr>
      </w:pPr>
      <w:r>
        <w:rPr>
          <w:rFonts w:hint="default" w:ascii="Times New Roman" w:hAnsi="Times New Roman" w:cs="Times New Roman"/>
          <w:color w:val="auto"/>
        </w:rPr>
        <w:t>针对环评中提出的环境保护设施的建设实施，在施工建设过程中应进行监理，监理计划如下表。</w:t>
      </w:r>
    </w:p>
    <w:p>
      <w:pPr>
        <w:pStyle w:val="178"/>
        <w:spacing w:before="62" w:after="46"/>
        <w:ind w:firstLine="480"/>
        <w:rPr>
          <w:rFonts w:hint="default" w:ascii="Times New Roman" w:hAnsi="Times New Roman" w:cs="Times New Roman"/>
          <w:color w:val="auto"/>
        </w:rPr>
      </w:pPr>
      <w:r>
        <w:rPr>
          <w:rFonts w:hint="default" w:ascii="Times New Roman" w:hAnsi="Times New Roman" w:cs="Times New Roman"/>
          <w:color w:val="auto"/>
        </w:rPr>
        <w:t>表</w:t>
      </w:r>
      <w:r>
        <w:rPr>
          <w:rFonts w:hint="default" w:ascii="Times New Roman" w:hAnsi="Times New Roman" w:cs="Times New Roman"/>
          <w:color w:val="auto"/>
          <w:lang w:val="en-US" w:eastAsia="zh-CN"/>
        </w:rPr>
        <w:t>9</w:t>
      </w:r>
      <w:r>
        <w:rPr>
          <w:rFonts w:hint="default" w:ascii="Times New Roman" w:hAnsi="Times New Roman" w:cs="Times New Roman"/>
          <w:color w:val="auto"/>
        </w:rPr>
        <w:t>-1环境监理计划</w:t>
      </w:r>
    </w:p>
    <w:tbl>
      <w:tblPr>
        <w:tblStyle w:val="44"/>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913"/>
        <w:gridCol w:w="909"/>
        <w:gridCol w:w="4674"/>
        <w:gridCol w:w="739"/>
        <w:gridCol w:w="654"/>
        <w:gridCol w:w="80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913" w:type="dxa"/>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分类</w:t>
            </w:r>
          </w:p>
        </w:tc>
        <w:tc>
          <w:tcPr>
            <w:tcW w:w="909" w:type="dxa"/>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项目</w:t>
            </w:r>
          </w:p>
        </w:tc>
        <w:tc>
          <w:tcPr>
            <w:tcW w:w="4674" w:type="dxa"/>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监理内容</w:t>
            </w:r>
          </w:p>
        </w:tc>
        <w:tc>
          <w:tcPr>
            <w:tcW w:w="739" w:type="dxa"/>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执行单位</w:t>
            </w:r>
          </w:p>
        </w:tc>
        <w:tc>
          <w:tcPr>
            <w:tcW w:w="654" w:type="dxa"/>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管理单位</w:t>
            </w:r>
          </w:p>
        </w:tc>
        <w:tc>
          <w:tcPr>
            <w:tcW w:w="803" w:type="dxa"/>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监督单位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913"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大气环境</w:t>
            </w:r>
          </w:p>
        </w:tc>
        <w:tc>
          <w:tcPr>
            <w:tcW w:w="909" w:type="dxa"/>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color w:val="auto"/>
                <w:sz w:val="21"/>
                <w:szCs w:val="21"/>
              </w:rPr>
              <w:t>扬尘</w:t>
            </w:r>
          </w:p>
        </w:tc>
        <w:tc>
          <w:tcPr>
            <w:tcW w:w="4674" w:type="dxa"/>
            <w:vAlign w:val="center"/>
          </w:tcPr>
          <w:p>
            <w:pPr>
              <w:jc w:val="left"/>
              <w:rPr>
                <w:rFonts w:hint="default" w:ascii="Times New Roman" w:hAnsi="Times New Roman" w:cs="Times New Roman"/>
                <w:bCs/>
                <w:color w:val="auto"/>
                <w:szCs w:val="21"/>
              </w:rPr>
            </w:pPr>
            <w:r>
              <w:rPr>
                <w:rFonts w:hint="default" w:ascii="Times New Roman" w:hAnsi="Times New Roman" w:cs="Times New Roman"/>
                <w:color w:val="auto"/>
                <w:sz w:val="21"/>
                <w:szCs w:val="21"/>
              </w:rPr>
              <w:t>①</w:t>
            </w:r>
            <w:r>
              <w:rPr>
                <w:rFonts w:hint="default" w:ascii="Times New Roman" w:hAnsi="Times New Roman" w:cs="Times New Roman"/>
                <w:bCs/>
                <w:color w:val="auto"/>
                <w:szCs w:val="21"/>
              </w:rPr>
              <w:t>施工场地周围应修建遮挡围墙，不低于2.5m；</w:t>
            </w:r>
          </w:p>
          <w:p>
            <w:pPr>
              <w:pStyle w:val="42"/>
              <w:spacing w:after="0"/>
              <w:ind w:firstLine="0" w:firstLineChars="0"/>
              <w:jc w:val="left"/>
              <w:rPr>
                <w:rFonts w:hint="default" w:ascii="Times New Roman" w:hAnsi="Times New Roman" w:cs="Times New Roman"/>
                <w:bCs/>
                <w:color w:val="auto"/>
                <w:szCs w:val="21"/>
              </w:rPr>
            </w:pPr>
            <w:r>
              <w:rPr>
                <w:rFonts w:hint="default" w:ascii="Times New Roman" w:hAnsi="Times New Roman" w:cs="Times New Roman"/>
                <w:bCs/>
                <w:color w:val="auto"/>
                <w:szCs w:val="21"/>
              </w:rPr>
              <w:t>②制定合理的洒水降尘制度，定期洒水；</w:t>
            </w:r>
          </w:p>
        </w:tc>
        <w:tc>
          <w:tcPr>
            <w:tcW w:w="739" w:type="dxa"/>
            <w:vMerge w:val="restart"/>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工程监理单位</w:t>
            </w:r>
          </w:p>
        </w:tc>
        <w:tc>
          <w:tcPr>
            <w:tcW w:w="654" w:type="dxa"/>
            <w:vMerge w:val="restart"/>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楚雄州生态环境局楚雄市分局</w:t>
            </w:r>
          </w:p>
        </w:tc>
        <w:tc>
          <w:tcPr>
            <w:tcW w:w="803" w:type="dxa"/>
            <w:vMerge w:val="restart"/>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建设单位、楚雄州生态环境局楚雄市分局</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913"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地表水环境</w:t>
            </w:r>
          </w:p>
        </w:tc>
        <w:tc>
          <w:tcPr>
            <w:tcW w:w="909"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 w:val="21"/>
                <w:szCs w:val="21"/>
              </w:rPr>
              <w:t>施工废水</w:t>
            </w:r>
          </w:p>
        </w:tc>
        <w:tc>
          <w:tcPr>
            <w:tcW w:w="4674" w:type="dxa"/>
            <w:vAlign w:val="center"/>
          </w:tcPr>
          <w:p>
            <w:pPr>
              <w:rPr>
                <w:rFonts w:hint="default" w:ascii="Times New Roman" w:hAnsi="Times New Roman" w:cs="Times New Roman"/>
                <w:color w:val="auto"/>
                <w:szCs w:val="21"/>
              </w:rPr>
            </w:pPr>
            <w:r>
              <w:rPr>
                <w:rFonts w:hint="default" w:ascii="Times New Roman" w:hAnsi="Times New Roman" w:eastAsia="新宋体" w:cs="Times New Roman"/>
                <w:color w:val="auto"/>
                <w:kern w:val="0"/>
                <w:sz w:val="21"/>
                <w:szCs w:val="21"/>
                <w:lang w:eastAsia="zh-CN"/>
              </w:rPr>
              <w:t>施工废水经</w:t>
            </w:r>
            <w:r>
              <w:rPr>
                <w:rFonts w:hint="default" w:ascii="Times New Roman" w:hAnsi="Times New Roman" w:eastAsia="新宋体" w:cs="Times New Roman"/>
                <w:color w:val="auto"/>
                <w:kern w:val="0"/>
                <w:sz w:val="21"/>
                <w:szCs w:val="21"/>
                <w:lang w:val="en-US" w:eastAsia="zh-CN"/>
              </w:rPr>
              <w:t>10m</w:t>
            </w:r>
            <w:r>
              <w:rPr>
                <w:rFonts w:hint="default" w:ascii="Times New Roman" w:hAnsi="Times New Roman" w:eastAsia="新宋体" w:cs="Times New Roman"/>
                <w:color w:val="auto"/>
                <w:kern w:val="0"/>
                <w:sz w:val="21"/>
                <w:szCs w:val="21"/>
                <w:vertAlign w:val="superscript"/>
                <w:lang w:val="en-US" w:eastAsia="zh-CN"/>
              </w:rPr>
              <w:t>3</w:t>
            </w:r>
            <w:r>
              <w:rPr>
                <w:rFonts w:hint="default" w:ascii="Times New Roman" w:hAnsi="Times New Roman" w:eastAsia="新宋体" w:cs="Times New Roman"/>
                <w:color w:val="auto"/>
                <w:kern w:val="0"/>
                <w:sz w:val="21"/>
                <w:szCs w:val="21"/>
                <w:vertAlign w:val="baseline"/>
                <w:lang w:val="en-US" w:eastAsia="zh-CN"/>
              </w:rPr>
              <w:t>临时沉淀池沉淀后回用，不外排</w:t>
            </w:r>
            <w:r>
              <w:rPr>
                <w:rFonts w:hint="default" w:ascii="Times New Roman" w:hAnsi="Times New Roman" w:eastAsia="新宋体" w:cs="Times New Roman"/>
                <w:color w:val="auto"/>
                <w:kern w:val="0"/>
                <w:sz w:val="21"/>
                <w:szCs w:val="21"/>
              </w:rPr>
              <w:t>。</w:t>
            </w:r>
          </w:p>
        </w:tc>
        <w:tc>
          <w:tcPr>
            <w:tcW w:w="739" w:type="dxa"/>
            <w:vMerge w:val="continue"/>
            <w:vAlign w:val="center"/>
          </w:tcPr>
          <w:p>
            <w:pPr>
              <w:jc w:val="center"/>
              <w:rPr>
                <w:rFonts w:hint="default" w:ascii="Times New Roman" w:hAnsi="Times New Roman" w:cs="Times New Roman"/>
                <w:color w:val="auto"/>
                <w:sz w:val="21"/>
                <w:szCs w:val="21"/>
              </w:rPr>
            </w:pPr>
          </w:p>
        </w:tc>
        <w:tc>
          <w:tcPr>
            <w:tcW w:w="654" w:type="dxa"/>
            <w:vMerge w:val="continue"/>
            <w:vAlign w:val="center"/>
          </w:tcPr>
          <w:p>
            <w:pPr>
              <w:jc w:val="center"/>
              <w:rPr>
                <w:rFonts w:hint="default" w:ascii="Times New Roman" w:hAnsi="Times New Roman" w:cs="Times New Roman"/>
                <w:color w:val="auto"/>
                <w:sz w:val="21"/>
                <w:szCs w:val="21"/>
              </w:rPr>
            </w:pPr>
          </w:p>
        </w:tc>
        <w:tc>
          <w:tcPr>
            <w:tcW w:w="803" w:type="dxa"/>
            <w:vMerge w:val="continue"/>
            <w:vAlign w:val="center"/>
          </w:tcPr>
          <w:p>
            <w:pPr>
              <w:jc w:val="center"/>
              <w:rPr>
                <w:rFonts w:hint="default" w:ascii="Times New Roman" w:hAnsi="Times New Roman" w:cs="Times New Roman"/>
                <w:color w:val="auto"/>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913"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噪声</w:t>
            </w:r>
          </w:p>
        </w:tc>
        <w:tc>
          <w:tcPr>
            <w:tcW w:w="909"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设备噪声</w:t>
            </w:r>
          </w:p>
        </w:tc>
        <w:tc>
          <w:tcPr>
            <w:tcW w:w="4674" w:type="dxa"/>
            <w:vAlign w:val="center"/>
          </w:tcPr>
          <w:p>
            <w:pP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①尽量选用低噪声机械设备、场界设置围挡（不低于2.5m）；</w:t>
            </w:r>
          </w:p>
          <w:p>
            <w:pP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②夜间施工</w:t>
            </w:r>
            <w:r>
              <w:rPr>
                <w:rFonts w:hint="default" w:ascii="Times New Roman" w:hAnsi="Times New Roman" w:cs="Times New Roman"/>
                <w:color w:val="auto"/>
                <w:kern w:val="0"/>
                <w:sz w:val="21"/>
                <w:szCs w:val="21"/>
                <w:lang w:eastAsia="zh-CN"/>
              </w:rPr>
              <w:t>需提前申请报备</w:t>
            </w:r>
            <w:r>
              <w:rPr>
                <w:rFonts w:hint="default" w:ascii="Times New Roman" w:hAnsi="Times New Roman" w:cs="Times New Roman"/>
                <w:color w:val="auto"/>
                <w:kern w:val="0"/>
                <w:sz w:val="21"/>
                <w:szCs w:val="21"/>
              </w:rPr>
              <w:t>；</w:t>
            </w:r>
          </w:p>
          <w:p>
            <w:pP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③提高施工效率，加快施工进度，缩短施工期。</w:t>
            </w:r>
          </w:p>
        </w:tc>
        <w:tc>
          <w:tcPr>
            <w:tcW w:w="739" w:type="dxa"/>
            <w:vMerge w:val="continue"/>
            <w:vAlign w:val="center"/>
          </w:tcPr>
          <w:p>
            <w:pPr>
              <w:jc w:val="center"/>
              <w:rPr>
                <w:rFonts w:hint="default" w:ascii="Times New Roman" w:hAnsi="Times New Roman" w:cs="Times New Roman"/>
                <w:color w:val="auto"/>
                <w:sz w:val="21"/>
                <w:szCs w:val="21"/>
              </w:rPr>
            </w:pPr>
          </w:p>
        </w:tc>
        <w:tc>
          <w:tcPr>
            <w:tcW w:w="654" w:type="dxa"/>
            <w:vMerge w:val="continue"/>
            <w:vAlign w:val="center"/>
          </w:tcPr>
          <w:p>
            <w:pPr>
              <w:jc w:val="center"/>
              <w:rPr>
                <w:rFonts w:hint="default" w:ascii="Times New Roman" w:hAnsi="Times New Roman" w:cs="Times New Roman"/>
                <w:color w:val="auto"/>
                <w:sz w:val="21"/>
                <w:szCs w:val="21"/>
              </w:rPr>
            </w:pPr>
          </w:p>
        </w:tc>
        <w:tc>
          <w:tcPr>
            <w:tcW w:w="803" w:type="dxa"/>
            <w:vMerge w:val="continue"/>
            <w:vAlign w:val="center"/>
          </w:tcPr>
          <w:p>
            <w:pPr>
              <w:jc w:val="center"/>
              <w:rPr>
                <w:rFonts w:hint="default" w:ascii="Times New Roman" w:hAnsi="Times New Roman" w:cs="Times New Roman"/>
                <w:color w:val="auto"/>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822" w:type="dxa"/>
            <w:gridSpan w:val="2"/>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固体废物</w:t>
            </w:r>
          </w:p>
        </w:tc>
        <w:tc>
          <w:tcPr>
            <w:tcW w:w="4674" w:type="dxa"/>
            <w:vAlign w:val="center"/>
          </w:tcPr>
          <w:p>
            <w:pPr>
              <w:jc w:val="left"/>
              <w:rPr>
                <w:rFonts w:hint="default" w:ascii="Times New Roman" w:hAnsi="Times New Roman" w:cs="Times New Roman"/>
                <w:color w:val="auto"/>
                <w:sz w:val="21"/>
                <w:szCs w:val="21"/>
                <w:lang w:bidi="th-TH"/>
              </w:rPr>
            </w:pPr>
            <w:r>
              <w:rPr>
                <w:rFonts w:hint="default" w:ascii="Times New Roman" w:hAnsi="Times New Roman" w:cs="Times New Roman"/>
                <w:color w:val="auto"/>
                <w:sz w:val="21"/>
                <w:szCs w:val="21"/>
                <w:lang w:bidi="th-TH"/>
              </w:rPr>
              <w:t>建筑垃圾经分类收集后，建筑垃圾进行分类回收利用，不能回用的清运至指定的建筑垃圾堆放点堆放；</w:t>
            </w:r>
          </w:p>
        </w:tc>
        <w:tc>
          <w:tcPr>
            <w:tcW w:w="739" w:type="dxa"/>
            <w:vMerge w:val="continue"/>
            <w:vAlign w:val="center"/>
          </w:tcPr>
          <w:p>
            <w:pPr>
              <w:jc w:val="center"/>
              <w:rPr>
                <w:rFonts w:hint="default" w:ascii="Times New Roman" w:hAnsi="Times New Roman" w:cs="Times New Roman"/>
                <w:color w:val="auto"/>
                <w:sz w:val="21"/>
                <w:szCs w:val="21"/>
              </w:rPr>
            </w:pPr>
          </w:p>
        </w:tc>
        <w:tc>
          <w:tcPr>
            <w:tcW w:w="654" w:type="dxa"/>
            <w:vMerge w:val="continue"/>
            <w:vAlign w:val="center"/>
          </w:tcPr>
          <w:p>
            <w:pPr>
              <w:jc w:val="center"/>
              <w:rPr>
                <w:rFonts w:hint="default" w:ascii="Times New Roman" w:hAnsi="Times New Roman" w:cs="Times New Roman"/>
                <w:color w:val="auto"/>
                <w:sz w:val="21"/>
                <w:szCs w:val="21"/>
              </w:rPr>
            </w:pPr>
          </w:p>
        </w:tc>
        <w:tc>
          <w:tcPr>
            <w:tcW w:w="803" w:type="dxa"/>
            <w:vMerge w:val="continue"/>
            <w:vAlign w:val="center"/>
          </w:tcPr>
          <w:p>
            <w:pPr>
              <w:jc w:val="center"/>
              <w:rPr>
                <w:rFonts w:hint="default" w:ascii="Times New Roman" w:hAnsi="Times New Roman" w:cs="Times New Roman"/>
                <w:color w:val="auto"/>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822" w:type="dxa"/>
            <w:gridSpan w:val="2"/>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防渗工程</w:t>
            </w:r>
          </w:p>
        </w:tc>
        <w:tc>
          <w:tcPr>
            <w:tcW w:w="4674" w:type="dxa"/>
            <w:vAlign w:val="center"/>
          </w:tcPr>
          <w:p>
            <w:pPr>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重点防渗区：需按照《环境影响评价技术导则地下水环境》（HJ610-2016）的要求进行防渗设计，防渗要求等效黏土防渗层厚度≥6.0m，渗透系数K≤1.0×10</w:t>
            </w:r>
            <w:r>
              <w:rPr>
                <w:rFonts w:hint="default" w:ascii="Times New Roman" w:hAnsi="Times New Roman" w:cs="Times New Roman"/>
                <w:color w:val="auto"/>
                <w:sz w:val="21"/>
                <w:szCs w:val="21"/>
                <w:vertAlign w:val="superscript"/>
              </w:rPr>
              <w:t>-7</w:t>
            </w:r>
            <w:r>
              <w:rPr>
                <w:rFonts w:hint="default" w:ascii="Times New Roman" w:hAnsi="Times New Roman" w:cs="Times New Roman"/>
                <w:color w:val="auto"/>
                <w:sz w:val="21"/>
                <w:szCs w:val="21"/>
              </w:rPr>
              <w:t>cm/s。</w:t>
            </w:r>
          </w:p>
          <w:p>
            <w:pPr>
              <w:widowControl/>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一般防渗区：要求采取防渗措施后，一般防渗区需按照《环境影响评价技术导则地下水环境》（HJ610-2016）的要求进行防渗设计，防渗要求等效黏土防渗层厚度≥1.5m，渗透系数K≤1.0×10</w:t>
            </w:r>
            <w:r>
              <w:rPr>
                <w:rFonts w:hint="default" w:ascii="Times New Roman" w:hAnsi="Times New Roman" w:cs="Times New Roman"/>
                <w:color w:val="auto"/>
                <w:sz w:val="21"/>
                <w:szCs w:val="21"/>
                <w:vertAlign w:val="superscript"/>
              </w:rPr>
              <w:t>-7</w:t>
            </w:r>
            <w:r>
              <w:rPr>
                <w:rFonts w:hint="default" w:ascii="Times New Roman" w:hAnsi="Times New Roman" w:cs="Times New Roman"/>
                <w:color w:val="auto"/>
                <w:sz w:val="21"/>
                <w:szCs w:val="21"/>
              </w:rPr>
              <w:t>cm/s。</w:t>
            </w:r>
          </w:p>
          <w:p>
            <w:pPr>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③简单防渗区：要求按常规工程进行设计和建设，进行一般地面水泥硬化即可。</w:t>
            </w:r>
          </w:p>
          <w:p>
            <w:pPr>
              <w:jc w:val="left"/>
              <w:rPr>
                <w:rFonts w:hint="default" w:ascii="Times New Roman" w:hAnsi="Times New Roman" w:cs="Times New Roman"/>
                <w:color w:val="auto"/>
                <w:sz w:val="21"/>
                <w:szCs w:val="21"/>
                <w:lang w:bidi="th-TH"/>
              </w:rPr>
            </w:pPr>
            <w:r>
              <w:rPr>
                <w:rFonts w:hint="default" w:ascii="Times New Roman" w:hAnsi="Times New Roman" w:cs="Times New Roman"/>
                <w:color w:val="auto"/>
                <w:sz w:val="21"/>
                <w:szCs w:val="21"/>
                <w:lang w:bidi="th-TH"/>
              </w:rPr>
              <w:t>采用文字、图片、录像等方式记录防渗施工程序及材料验收合格，以便备查。</w:t>
            </w:r>
          </w:p>
        </w:tc>
        <w:tc>
          <w:tcPr>
            <w:tcW w:w="739" w:type="dxa"/>
            <w:vMerge w:val="continue"/>
            <w:vAlign w:val="center"/>
          </w:tcPr>
          <w:p>
            <w:pPr>
              <w:jc w:val="center"/>
              <w:rPr>
                <w:rFonts w:hint="default" w:ascii="Times New Roman" w:hAnsi="Times New Roman" w:cs="Times New Roman"/>
                <w:color w:val="auto"/>
                <w:sz w:val="21"/>
                <w:szCs w:val="21"/>
              </w:rPr>
            </w:pPr>
          </w:p>
        </w:tc>
        <w:tc>
          <w:tcPr>
            <w:tcW w:w="654" w:type="dxa"/>
            <w:vMerge w:val="continue"/>
            <w:vAlign w:val="center"/>
          </w:tcPr>
          <w:p>
            <w:pPr>
              <w:jc w:val="center"/>
              <w:rPr>
                <w:rFonts w:hint="default" w:ascii="Times New Roman" w:hAnsi="Times New Roman" w:cs="Times New Roman"/>
                <w:color w:val="auto"/>
                <w:sz w:val="21"/>
                <w:szCs w:val="21"/>
              </w:rPr>
            </w:pPr>
          </w:p>
        </w:tc>
        <w:tc>
          <w:tcPr>
            <w:tcW w:w="803" w:type="dxa"/>
            <w:vMerge w:val="continue"/>
            <w:vAlign w:val="center"/>
          </w:tcPr>
          <w:p>
            <w:pPr>
              <w:jc w:val="center"/>
              <w:rPr>
                <w:rFonts w:hint="default" w:ascii="Times New Roman" w:hAnsi="Times New Roman" w:cs="Times New Roman"/>
                <w:color w:val="auto"/>
                <w:sz w:val="21"/>
                <w:szCs w:val="21"/>
              </w:rPr>
            </w:pPr>
          </w:p>
        </w:tc>
      </w:tr>
    </w:tbl>
    <w:p>
      <w:pPr>
        <w:pStyle w:val="4"/>
        <w:spacing w:before="0" w:after="0" w:line="360" w:lineRule="auto"/>
        <w:rPr>
          <w:rFonts w:hint="default" w:ascii="Times New Roman" w:hAnsi="Times New Roman" w:eastAsia="宋体" w:cs="Times New Roman"/>
          <w:color w:val="auto"/>
          <w:sz w:val="28"/>
          <w:szCs w:val="28"/>
        </w:rPr>
      </w:pPr>
      <w:bookmarkStart w:id="1076" w:name="_Toc3099"/>
      <w:r>
        <w:rPr>
          <w:rFonts w:hint="default" w:ascii="Times New Roman" w:hAnsi="Times New Roman" w:eastAsia="宋体" w:cs="Times New Roman"/>
          <w:color w:val="auto"/>
          <w:sz w:val="28"/>
          <w:szCs w:val="28"/>
          <w:lang w:val="en-US" w:eastAsia="zh-CN"/>
        </w:rPr>
        <w:t>9</w:t>
      </w:r>
      <w:r>
        <w:rPr>
          <w:rFonts w:hint="default" w:ascii="Times New Roman" w:hAnsi="Times New Roman" w:eastAsia="宋体" w:cs="Times New Roman"/>
          <w:color w:val="auto"/>
          <w:sz w:val="28"/>
          <w:szCs w:val="28"/>
        </w:rPr>
        <w:t>.5环境监测</w:t>
      </w:r>
      <w:bookmarkEnd w:id="1076"/>
    </w:p>
    <w:p>
      <w:pPr>
        <w:spacing w:line="360" w:lineRule="auto"/>
        <w:ind w:firstLine="482"/>
        <w:rPr>
          <w:rFonts w:hint="default" w:ascii="Times New Roman" w:hAnsi="Times New Roman" w:cs="Times New Roman"/>
          <w:color w:val="auto"/>
        </w:rPr>
      </w:pPr>
      <w:r>
        <w:rPr>
          <w:rFonts w:hint="default" w:ascii="Times New Roman" w:hAnsi="Times New Roman" w:cs="Times New Roman"/>
          <w:color w:val="auto"/>
        </w:rPr>
        <w:t>1、运营期监测计划</w:t>
      </w:r>
    </w:p>
    <w:p>
      <w:pPr>
        <w:spacing w:line="360" w:lineRule="auto"/>
        <w:ind w:firstLine="482"/>
        <w:rPr>
          <w:rFonts w:hint="default" w:ascii="Times New Roman" w:hAnsi="Times New Roman" w:cs="Times New Roman"/>
          <w:color w:val="auto"/>
        </w:rPr>
      </w:pPr>
      <w:r>
        <w:rPr>
          <w:rFonts w:hint="default" w:ascii="Times New Roman" w:hAnsi="Times New Roman" w:cs="Times New Roman"/>
          <w:color w:val="auto"/>
        </w:rPr>
        <w:t>根据《排污单位自行监测技术指南总则》（HJ819-2017）</w:t>
      </w:r>
      <w:r>
        <w:rPr>
          <w:rFonts w:hint="default" w:ascii="Times New Roman" w:hAnsi="Times New Roman" w:cs="Times New Roman"/>
          <w:color w:val="auto"/>
          <w:lang w:eastAsia="zh-CN"/>
        </w:rPr>
        <w:t>、</w:t>
      </w:r>
      <w:r>
        <w:rPr>
          <w:rFonts w:hint="default" w:ascii="Times New Roman" w:hAnsi="Times New Roman" w:cs="Times New Roman"/>
          <w:color w:val="auto"/>
        </w:rPr>
        <w:t>《排污许可证申请与核发技术规范</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rPr>
        <w:t>电子工业》（HJ1031-2019）</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固定污染源排污许可分类管理名录（2019年版）》</w:t>
      </w:r>
      <w:r>
        <w:rPr>
          <w:rFonts w:hint="default" w:ascii="Times New Roman" w:hAnsi="Times New Roman" w:cs="Times New Roman"/>
          <w:color w:val="auto"/>
          <w:lang w:eastAsia="zh-CN"/>
        </w:rPr>
        <w:t>，本项目属于水污染物重点排污单位，废水总排口为主要排放口，</w:t>
      </w:r>
      <w:r>
        <w:rPr>
          <w:rFonts w:hint="default" w:ascii="Times New Roman" w:hAnsi="Times New Roman" w:cs="Times New Roman"/>
          <w:color w:val="auto"/>
          <w:lang w:eastAsia="zh-CN"/>
        </w:rPr>
        <w:t>废水自行监测计划按</w:t>
      </w:r>
      <w:r>
        <w:rPr>
          <w:rFonts w:hint="default" w:ascii="Times New Roman" w:hAnsi="Times New Roman" w:cs="Times New Roman"/>
          <w:color w:val="auto"/>
        </w:rPr>
        <w:t>《排污许可证申请与核发技术规范</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rPr>
        <w:t>电子工业》（HJ1031-2019）</w:t>
      </w:r>
      <w:r>
        <w:rPr>
          <w:rFonts w:hint="default" w:ascii="Times New Roman" w:hAnsi="Times New Roman" w:cs="Times New Roman"/>
          <w:color w:val="auto"/>
          <w:lang w:eastAsia="zh-CN"/>
        </w:rPr>
        <w:t>表</w:t>
      </w:r>
      <w:r>
        <w:rPr>
          <w:rFonts w:hint="default" w:ascii="Times New Roman" w:hAnsi="Times New Roman" w:cs="Times New Roman"/>
          <w:color w:val="auto"/>
          <w:lang w:val="en-US" w:eastAsia="zh-CN"/>
        </w:rPr>
        <w:t>5-2中</w:t>
      </w:r>
      <w:r>
        <w:rPr>
          <w:rFonts w:hint="default" w:ascii="Times New Roman" w:hAnsi="Times New Roman" w:cs="Times New Roman"/>
          <w:color w:val="auto"/>
          <w:lang w:eastAsia="zh-CN"/>
        </w:rPr>
        <w:t>“重点管理</w:t>
      </w:r>
      <w:r>
        <w:rPr>
          <w:rFonts w:hint="default" w:ascii="Times New Roman" w:hAnsi="Times New Roman" w:cs="Times New Roman"/>
          <w:color w:val="auto"/>
          <w:lang w:val="en-US" w:eastAsia="zh-CN"/>
        </w:rPr>
        <w:t>—</w:t>
      </w:r>
      <w:r>
        <w:rPr>
          <w:rFonts w:hint="default" w:ascii="Times New Roman" w:hAnsi="Times New Roman" w:cs="Times New Roman"/>
          <w:color w:val="auto"/>
          <w:lang w:eastAsia="zh-CN"/>
        </w:rPr>
        <w:t>间接排放”</w:t>
      </w:r>
      <w:r>
        <w:rPr>
          <w:rFonts w:hint="default" w:ascii="Times New Roman" w:hAnsi="Times New Roman" w:cs="Times New Roman"/>
          <w:color w:val="auto"/>
          <w:lang w:eastAsia="zh-CN"/>
        </w:rPr>
        <w:t>执行；废气排放口为一般排放口，废气自行监测计划按</w:t>
      </w:r>
      <w:r>
        <w:rPr>
          <w:rFonts w:hint="default" w:ascii="Times New Roman" w:hAnsi="Times New Roman" w:cs="Times New Roman"/>
          <w:color w:val="auto"/>
        </w:rPr>
        <w:t>《排污许可证申请与核发技术规范</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rPr>
        <w:t>电子工业》（HJ1031-2019）</w:t>
      </w:r>
      <w:r>
        <w:rPr>
          <w:rFonts w:hint="default" w:ascii="Times New Roman" w:hAnsi="Times New Roman" w:cs="Times New Roman"/>
          <w:color w:val="auto"/>
          <w:lang w:eastAsia="zh-CN"/>
        </w:rPr>
        <w:t>表</w:t>
      </w:r>
      <w:r>
        <w:rPr>
          <w:rFonts w:hint="default" w:ascii="Times New Roman" w:hAnsi="Times New Roman" w:cs="Times New Roman"/>
          <w:color w:val="auto"/>
          <w:lang w:val="en-US" w:eastAsia="zh-CN"/>
        </w:rPr>
        <w:t>5-1中</w:t>
      </w:r>
      <w:r>
        <w:rPr>
          <w:rFonts w:hint="default" w:ascii="Times New Roman" w:hAnsi="Times New Roman" w:cs="Times New Roman"/>
          <w:color w:val="auto"/>
          <w:lang w:eastAsia="zh-CN"/>
        </w:rPr>
        <w:t>“简化管理—一般排放口”执行。</w:t>
      </w:r>
      <w:r>
        <w:rPr>
          <w:rFonts w:hint="default" w:ascii="Times New Roman" w:hAnsi="Times New Roman" w:cs="Times New Roman"/>
          <w:color w:val="auto"/>
        </w:rPr>
        <w:t>本项目污染源自行监测计划如下。</w:t>
      </w:r>
    </w:p>
    <w:p>
      <w:pPr>
        <w:pStyle w:val="178"/>
        <w:keepNext w:val="0"/>
        <w:keepLines w:val="0"/>
        <w:pageBreakBefore w:val="0"/>
        <w:widowControl/>
        <w:kinsoku/>
        <w:wordWrap/>
        <w:overflowPunct/>
        <w:topLinePunct w:val="0"/>
        <w:autoSpaceDE/>
        <w:autoSpaceDN/>
        <w:bidi w:val="0"/>
        <w:adjustRightInd/>
        <w:snapToGrid/>
        <w:spacing w:beforeLines="0" w:afterLines="0" w:line="360" w:lineRule="auto"/>
        <w:textAlignment w:val="auto"/>
        <w:rPr>
          <w:rFonts w:hint="default" w:ascii="Times New Roman" w:hAnsi="Times New Roman" w:cs="Times New Roman"/>
          <w:color w:val="auto"/>
        </w:rPr>
      </w:pPr>
      <w:r>
        <w:rPr>
          <w:rFonts w:hint="default" w:ascii="Times New Roman" w:hAnsi="Times New Roman" w:cs="Times New Roman"/>
          <w:color w:val="auto"/>
        </w:rPr>
        <w:t>表</w:t>
      </w:r>
      <w:r>
        <w:rPr>
          <w:rFonts w:hint="default" w:ascii="Times New Roman" w:hAnsi="Times New Roman" w:cs="Times New Roman"/>
          <w:color w:val="auto"/>
          <w:lang w:val="en-US" w:eastAsia="zh-CN"/>
        </w:rPr>
        <w:t>9</w:t>
      </w:r>
      <w:r>
        <w:rPr>
          <w:rFonts w:hint="default" w:ascii="Times New Roman" w:hAnsi="Times New Roman" w:cs="Times New Roman"/>
          <w:color w:val="auto"/>
        </w:rPr>
        <w:t>-2运营期</w:t>
      </w:r>
      <w:r>
        <w:rPr>
          <w:rFonts w:hint="default" w:ascii="Times New Roman" w:hAnsi="Times New Roman" w:cs="Times New Roman"/>
          <w:color w:val="auto"/>
          <w:lang w:eastAsia="zh-CN"/>
        </w:rPr>
        <w:t>污染源</w:t>
      </w:r>
      <w:r>
        <w:rPr>
          <w:rFonts w:hint="default" w:ascii="Times New Roman" w:hAnsi="Times New Roman" w:cs="Times New Roman"/>
          <w:color w:val="auto"/>
        </w:rPr>
        <w:t>自行监测计划表</w:t>
      </w:r>
    </w:p>
    <w:tbl>
      <w:tblPr>
        <w:tblStyle w:val="44"/>
        <w:tblW w:w="480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8"/>
        <w:gridCol w:w="2297"/>
        <w:gridCol w:w="2818"/>
        <w:gridCol w:w="20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57" w:type="pct"/>
            <w:shd w:val="clear" w:color="auto" w:fill="auto"/>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监测项目</w:t>
            </w:r>
          </w:p>
        </w:tc>
        <w:tc>
          <w:tcPr>
            <w:tcW w:w="1401" w:type="pct"/>
            <w:shd w:val="clear" w:color="auto" w:fill="auto"/>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监测点位</w:t>
            </w:r>
          </w:p>
        </w:tc>
        <w:tc>
          <w:tcPr>
            <w:tcW w:w="1719" w:type="pct"/>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监测因子</w:t>
            </w:r>
          </w:p>
        </w:tc>
        <w:tc>
          <w:tcPr>
            <w:tcW w:w="1221" w:type="pct"/>
            <w:shd w:val="clear" w:color="auto" w:fill="auto"/>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57" w:type="pct"/>
            <w:vMerge w:val="restart"/>
            <w:vAlign w:val="center"/>
          </w:tcPr>
          <w:p>
            <w:pPr>
              <w:widowControl/>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eastAsia="zh-CN"/>
              </w:rPr>
              <w:t>有组织废气</w:t>
            </w:r>
          </w:p>
        </w:tc>
        <w:tc>
          <w:tcPr>
            <w:tcW w:w="1401" w:type="pct"/>
            <w:shd w:val="clear" w:color="auto" w:fill="auto"/>
            <w:vAlign w:val="center"/>
          </w:tcPr>
          <w:p>
            <w:pPr>
              <w:pStyle w:val="167"/>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Cs w:val="21"/>
                <w:lang w:eastAsia="zh-CN"/>
              </w:rPr>
              <w:t>DA008</w:t>
            </w:r>
            <w:r>
              <w:rPr>
                <w:rFonts w:hint="default" w:ascii="Times New Roman" w:hAnsi="Times New Roman" w:cs="Times New Roman"/>
                <w:color w:val="auto"/>
                <w:szCs w:val="21"/>
              </w:rPr>
              <w:t>排气筒采样检测口（1个）</w:t>
            </w:r>
          </w:p>
        </w:tc>
        <w:tc>
          <w:tcPr>
            <w:tcW w:w="1719" w:type="pct"/>
            <w:vAlign w:val="center"/>
          </w:tcPr>
          <w:p>
            <w:pPr>
              <w:widowControl/>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eastAsia="zh-CN"/>
              </w:rPr>
              <w:t>非甲烷总烃</w:t>
            </w:r>
          </w:p>
        </w:tc>
        <w:tc>
          <w:tcPr>
            <w:tcW w:w="1221" w:type="pct"/>
            <w:shd w:val="clear" w:color="auto" w:fill="auto"/>
            <w:vAlign w:val="center"/>
          </w:tcPr>
          <w:p>
            <w:pPr>
              <w:widowControl/>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rPr>
              <w:t>1次/年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57" w:type="pct"/>
            <w:vMerge w:val="continue"/>
            <w:vAlign w:val="center"/>
          </w:tcPr>
          <w:p>
            <w:pPr>
              <w:widowControl/>
              <w:jc w:val="center"/>
              <w:rPr>
                <w:rFonts w:hint="default" w:ascii="Times New Roman" w:hAnsi="Times New Roman" w:cs="Times New Roman"/>
                <w:color w:val="auto"/>
                <w:kern w:val="0"/>
                <w:sz w:val="21"/>
                <w:szCs w:val="21"/>
                <w:lang w:eastAsia="zh-CN"/>
              </w:rPr>
            </w:pPr>
          </w:p>
        </w:tc>
        <w:tc>
          <w:tcPr>
            <w:tcW w:w="1401" w:type="pct"/>
            <w:shd w:val="clear" w:color="auto" w:fill="auto"/>
            <w:vAlign w:val="center"/>
          </w:tcPr>
          <w:p>
            <w:pPr>
              <w:pStyle w:val="167"/>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DA00</w:t>
            </w:r>
            <w:r>
              <w:rPr>
                <w:rFonts w:hint="default" w:ascii="Times New Roman" w:hAnsi="Times New Roman" w:cs="Times New Roman"/>
                <w:color w:val="auto"/>
                <w:szCs w:val="21"/>
                <w:lang w:val="en-US" w:eastAsia="zh-CN"/>
              </w:rPr>
              <w:t>9</w:t>
            </w:r>
            <w:r>
              <w:rPr>
                <w:rFonts w:hint="default" w:ascii="Times New Roman" w:hAnsi="Times New Roman" w:cs="Times New Roman"/>
                <w:color w:val="auto"/>
                <w:szCs w:val="21"/>
              </w:rPr>
              <w:t>排气筒采样检测口（1个）</w:t>
            </w:r>
          </w:p>
        </w:tc>
        <w:tc>
          <w:tcPr>
            <w:tcW w:w="1719" w:type="pct"/>
            <w:vAlign w:val="center"/>
          </w:tcPr>
          <w:p>
            <w:pPr>
              <w:widowControl/>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TSP</w:t>
            </w:r>
          </w:p>
        </w:tc>
        <w:tc>
          <w:tcPr>
            <w:tcW w:w="1221" w:type="pct"/>
            <w:shd w:val="clear" w:color="auto" w:fill="auto"/>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1次/年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57" w:type="pct"/>
            <w:vMerge w:val="continue"/>
            <w:vAlign w:val="center"/>
          </w:tcPr>
          <w:p>
            <w:pPr>
              <w:widowControl/>
              <w:jc w:val="center"/>
              <w:rPr>
                <w:rFonts w:hint="default" w:ascii="Times New Roman" w:hAnsi="Times New Roman" w:eastAsia="宋体" w:cs="Times New Roman"/>
                <w:color w:val="auto"/>
                <w:kern w:val="0"/>
                <w:sz w:val="21"/>
                <w:szCs w:val="21"/>
                <w:lang w:eastAsia="zh-CN"/>
              </w:rPr>
            </w:pPr>
          </w:p>
        </w:tc>
        <w:tc>
          <w:tcPr>
            <w:tcW w:w="1401" w:type="pct"/>
            <w:shd w:val="clear" w:color="auto" w:fill="auto"/>
            <w:vAlign w:val="center"/>
          </w:tcPr>
          <w:p>
            <w:pPr>
              <w:pStyle w:val="167"/>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DA0</w:t>
            </w:r>
            <w:r>
              <w:rPr>
                <w:rFonts w:hint="default" w:ascii="Times New Roman" w:hAnsi="Times New Roman" w:cs="Times New Roman"/>
                <w:color w:val="auto"/>
                <w:szCs w:val="21"/>
                <w:lang w:val="en-US" w:eastAsia="zh-CN"/>
              </w:rPr>
              <w:t>10</w:t>
            </w:r>
            <w:r>
              <w:rPr>
                <w:rFonts w:hint="default" w:ascii="Times New Roman" w:hAnsi="Times New Roman" w:cs="Times New Roman"/>
                <w:color w:val="auto"/>
                <w:szCs w:val="21"/>
              </w:rPr>
              <w:t>排气筒采样检测口（1个）</w:t>
            </w:r>
          </w:p>
        </w:tc>
        <w:tc>
          <w:tcPr>
            <w:tcW w:w="1719" w:type="pct"/>
            <w:vAlign w:val="center"/>
          </w:tcPr>
          <w:p>
            <w:pPr>
              <w:widowControl/>
              <w:jc w:val="center"/>
              <w:rPr>
                <w:rFonts w:hint="default" w:ascii="Times New Roman" w:hAnsi="Times New Roman" w:eastAsia="宋体" w:cs="Times New Roman"/>
                <w:color w:val="auto"/>
                <w:kern w:val="0"/>
                <w:sz w:val="21"/>
                <w:szCs w:val="21"/>
                <w:lang w:eastAsia="zh-CN"/>
              </w:rPr>
            </w:pPr>
            <w:r>
              <w:rPr>
                <w:rFonts w:hint="default" w:ascii="Times New Roman" w:hAnsi="Times New Roman" w:cs="Times New Roman"/>
                <w:color w:val="auto"/>
                <w:kern w:val="0"/>
                <w:sz w:val="21"/>
                <w:szCs w:val="21"/>
                <w:lang w:eastAsia="zh-CN"/>
              </w:rPr>
              <w:t>氨、硫化氢</w:t>
            </w:r>
          </w:p>
        </w:tc>
        <w:tc>
          <w:tcPr>
            <w:tcW w:w="1221" w:type="pct"/>
            <w:shd w:val="clear" w:color="auto" w:fill="auto"/>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1次/年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57" w:type="pct"/>
            <w:vMerge w:val="continue"/>
            <w:vAlign w:val="center"/>
          </w:tcPr>
          <w:p>
            <w:pPr>
              <w:widowControl/>
              <w:jc w:val="center"/>
              <w:rPr>
                <w:rFonts w:hint="default" w:ascii="Times New Roman" w:hAnsi="Times New Roman" w:eastAsia="宋体" w:cs="Times New Roman"/>
                <w:color w:val="auto"/>
                <w:kern w:val="0"/>
                <w:sz w:val="21"/>
                <w:szCs w:val="21"/>
                <w:lang w:eastAsia="zh-CN"/>
              </w:rPr>
            </w:pPr>
          </w:p>
        </w:tc>
        <w:tc>
          <w:tcPr>
            <w:tcW w:w="1401" w:type="pct"/>
            <w:shd w:val="clear" w:color="auto" w:fill="auto"/>
            <w:vAlign w:val="center"/>
          </w:tcPr>
          <w:p>
            <w:pPr>
              <w:pStyle w:val="167"/>
              <w:rPr>
                <w:rFonts w:hint="default" w:ascii="Times New Roman" w:hAnsi="Times New Roman" w:cs="Times New Roman"/>
                <w:color w:val="auto"/>
                <w:szCs w:val="21"/>
              </w:rPr>
            </w:pPr>
            <w:r>
              <w:rPr>
                <w:rFonts w:hint="default" w:ascii="Times New Roman" w:hAnsi="Times New Roman" w:cs="Times New Roman"/>
                <w:color w:val="auto"/>
                <w:szCs w:val="21"/>
                <w:lang w:eastAsia="zh-CN"/>
              </w:rPr>
              <w:t>DA0</w:t>
            </w:r>
            <w:r>
              <w:rPr>
                <w:rFonts w:hint="default" w:ascii="Times New Roman" w:hAnsi="Times New Roman" w:cs="Times New Roman"/>
                <w:color w:val="auto"/>
                <w:szCs w:val="21"/>
                <w:lang w:val="en-US" w:eastAsia="zh-CN"/>
              </w:rPr>
              <w:t>11</w:t>
            </w:r>
            <w:r>
              <w:rPr>
                <w:rFonts w:hint="default" w:ascii="Times New Roman" w:hAnsi="Times New Roman" w:cs="Times New Roman"/>
                <w:color w:val="auto"/>
                <w:szCs w:val="21"/>
              </w:rPr>
              <w:t>排气筒采样检测口（1个）</w:t>
            </w:r>
          </w:p>
        </w:tc>
        <w:tc>
          <w:tcPr>
            <w:tcW w:w="1719" w:type="pct"/>
            <w:vAlign w:val="center"/>
          </w:tcPr>
          <w:p>
            <w:pPr>
              <w:widowControl/>
              <w:jc w:val="center"/>
              <w:rPr>
                <w:rFonts w:hint="default" w:ascii="Times New Roman" w:hAnsi="Times New Roman" w:eastAsia="宋体" w:cs="Times New Roman"/>
                <w:color w:val="auto"/>
                <w:kern w:val="0"/>
                <w:sz w:val="21"/>
                <w:szCs w:val="21"/>
                <w:lang w:eastAsia="zh-CN"/>
              </w:rPr>
            </w:pPr>
            <w:r>
              <w:rPr>
                <w:rFonts w:hint="default" w:ascii="Times New Roman" w:hAnsi="Times New Roman" w:cs="Times New Roman"/>
                <w:color w:val="auto"/>
                <w:kern w:val="0"/>
                <w:sz w:val="21"/>
                <w:szCs w:val="21"/>
                <w:lang w:eastAsia="zh-CN"/>
              </w:rPr>
              <w:t>氟化物</w:t>
            </w:r>
          </w:p>
        </w:tc>
        <w:tc>
          <w:tcPr>
            <w:tcW w:w="1221" w:type="pct"/>
            <w:shd w:val="clear" w:color="auto" w:fill="auto"/>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1次/年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57" w:type="pct"/>
            <w:vMerge w:val="restart"/>
            <w:shd w:val="clear" w:color="auto" w:fill="auto"/>
            <w:noWrap/>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无组织</w:t>
            </w:r>
          </w:p>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废气</w:t>
            </w:r>
          </w:p>
        </w:tc>
        <w:tc>
          <w:tcPr>
            <w:tcW w:w="1401" w:type="pct"/>
            <w:shd w:val="clear" w:color="auto" w:fill="auto"/>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厂界上风向1个点、下风向3个点位</w:t>
            </w:r>
          </w:p>
        </w:tc>
        <w:tc>
          <w:tcPr>
            <w:tcW w:w="1719" w:type="pct"/>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lang w:eastAsia="zh-CN"/>
              </w:rPr>
              <w:t>非甲烷总烃、氨、硫化氢、氟化物、</w:t>
            </w:r>
            <w:r>
              <w:rPr>
                <w:rFonts w:hint="default" w:ascii="Times New Roman" w:hAnsi="Times New Roman" w:cs="Times New Roman"/>
                <w:color w:val="auto"/>
                <w:kern w:val="0"/>
                <w:sz w:val="21"/>
                <w:szCs w:val="21"/>
                <w:lang w:val="en-US" w:eastAsia="zh-CN"/>
              </w:rPr>
              <w:t>TSP</w:t>
            </w:r>
          </w:p>
        </w:tc>
        <w:tc>
          <w:tcPr>
            <w:tcW w:w="1221" w:type="pct"/>
            <w:shd w:val="clear" w:color="auto" w:fill="auto"/>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1次/年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57" w:type="pct"/>
            <w:vMerge w:val="continue"/>
            <w:shd w:val="clear" w:color="auto" w:fill="auto"/>
            <w:noWrap/>
            <w:vAlign w:val="center"/>
          </w:tcPr>
          <w:p>
            <w:pPr>
              <w:widowControl/>
              <w:jc w:val="center"/>
              <w:rPr>
                <w:rFonts w:hint="default" w:ascii="Times New Roman" w:hAnsi="Times New Roman" w:cs="Times New Roman"/>
                <w:color w:val="auto"/>
                <w:kern w:val="0"/>
                <w:sz w:val="21"/>
                <w:szCs w:val="21"/>
              </w:rPr>
            </w:pPr>
          </w:p>
        </w:tc>
        <w:tc>
          <w:tcPr>
            <w:tcW w:w="1401" w:type="pct"/>
            <w:shd w:val="clear" w:color="auto" w:fill="auto"/>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项目区内1个点位</w:t>
            </w:r>
          </w:p>
        </w:tc>
        <w:tc>
          <w:tcPr>
            <w:tcW w:w="1719" w:type="pct"/>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lang w:eastAsia="zh-CN"/>
              </w:rPr>
              <w:t>非甲烷总烃、非甲烷总烃、氨、硫化氢、氟化物、氮氧化物、</w:t>
            </w:r>
            <w:r>
              <w:rPr>
                <w:rFonts w:hint="default" w:ascii="Times New Roman" w:hAnsi="Times New Roman" w:cs="Times New Roman"/>
                <w:color w:val="auto"/>
                <w:kern w:val="0"/>
                <w:sz w:val="21"/>
                <w:szCs w:val="21"/>
                <w:lang w:val="en-US" w:eastAsia="zh-CN"/>
              </w:rPr>
              <w:t>TSP</w:t>
            </w:r>
          </w:p>
        </w:tc>
        <w:tc>
          <w:tcPr>
            <w:tcW w:w="1221" w:type="pct"/>
            <w:shd w:val="clear" w:color="auto" w:fill="auto"/>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1次/年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657" w:type="pct"/>
            <w:vMerge w:val="restart"/>
            <w:shd w:val="clear" w:color="auto" w:fill="auto"/>
            <w:noWrap/>
            <w:vAlign w:val="center"/>
          </w:tcPr>
          <w:p>
            <w:pPr>
              <w:jc w:val="center"/>
              <w:rPr>
                <w:rFonts w:hint="default" w:ascii="Times New Roman" w:hAnsi="Times New Roman" w:eastAsia="宋体" w:cs="Times New Roman"/>
                <w:color w:val="auto"/>
                <w:kern w:val="0"/>
                <w:sz w:val="21"/>
                <w:szCs w:val="21"/>
                <w:lang w:eastAsia="zh-CN"/>
              </w:rPr>
            </w:pPr>
            <w:r>
              <w:rPr>
                <w:rFonts w:hint="default" w:ascii="Times New Roman" w:hAnsi="Times New Roman" w:cs="Times New Roman"/>
                <w:color w:val="auto"/>
                <w:kern w:val="0"/>
                <w:sz w:val="21"/>
                <w:szCs w:val="21"/>
                <w:lang w:eastAsia="zh-CN"/>
              </w:rPr>
              <w:t>废水</w:t>
            </w:r>
          </w:p>
        </w:tc>
        <w:tc>
          <w:tcPr>
            <w:tcW w:w="1401" w:type="pct"/>
            <w:vMerge w:val="restart"/>
            <w:shd w:val="clear" w:color="auto" w:fill="auto"/>
            <w:noWrap/>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废水总排口</w:t>
            </w:r>
          </w:p>
        </w:tc>
        <w:tc>
          <w:tcPr>
            <w:tcW w:w="1719" w:type="pct"/>
            <w:vAlign w:val="center"/>
          </w:tcPr>
          <w:p>
            <w:pPr>
              <w:widowControl/>
              <w:jc w:val="center"/>
              <w:rPr>
                <w:rFonts w:hint="default" w:ascii="Times New Roman" w:hAnsi="Times New Roman" w:eastAsia="宋体" w:cs="Times New Roman"/>
                <w:color w:val="auto"/>
                <w:kern w:val="0"/>
                <w:sz w:val="21"/>
                <w:szCs w:val="21"/>
                <w:lang w:eastAsia="zh-CN"/>
              </w:rPr>
            </w:pPr>
            <w:r>
              <w:rPr>
                <w:rFonts w:hint="default" w:ascii="Times New Roman" w:hAnsi="Times New Roman" w:cs="Times New Roman"/>
                <w:color w:val="auto"/>
                <w:kern w:val="0"/>
                <w:sz w:val="21"/>
                <w:szCs w:val="21"/>
              </w:rPr>
              <w:t>流量、pH、COD、氨氮</w:t>
            </w:r>
            <w:r>
              <w:rPr>
                <w:rFonts w:hint="default" w:ascii="Times New Roman" w:hAnsi="Times New Roman" w:cs="Times New Roman"/>
                <w:color w:val="auto"/>
                <w:kern w:val="0"/>
                <w:sz w:val="21"/>
                <w:szCs w:val="21"/>
                <w:lang w:eastAsia="zh-CN"/>
              </w:rPr>
              <w:t>、氟化物</w:t>
            </w:r>
            <w:r>
              <w:rPr>
                <w:rFonts w:hint="default" w:ascii="Times New Roman" w:hAnsi="Times New Roman" w:cs="Times New Roman"/>
                <w:color w:val="auto"/>
                <w:kern w:val="0"/>
                <w:sz w:val="21"/>
                <w:szCs w:val="21"/>
                <w:lang w:eastAsia="zh-CN"/>
              </w:rPr>
              <w:t>、总磷</w:t>
            </w:r>
          </w:p>
        </w:tc>
        <w:tc>
          <w:tcPr>
            <w:tcW w:w="1221" w:type="pct"/>
            <w:shd w:val="clear" w:color="auto" w:fill="auto"/>
            <w:vAlign w:val="center"/>
          </w:tcPr>
          <w:p>
            <w:pPr>
              <w:widowControl/>
              <w:jc w:val="center"/>
              <w:rPr>
                <w:rFonts w:hint="default" w:ascii="Times New Roman" w:hAnsi="Times New Roman" w:eastAsia="宋体" w:cs="Times New Roman"/>
                <w:color w:val="auto"/>
                <w:kern w:val="0"/>
                <w:sz w:val="21"/>
                <w:szCs w:val="21"/>
                <w:lang w:eastAsia="zh-CN"/>
              </w:rPr>
            </w:pPr>
            <w:r>
              <w:rPr>
                <w:rFonts w:hint="default" w:ascii="Times New Roman" w:hAnsi="Times New Roman" w:cs="Times New Roman"/>
                <w:bCs/>
                <w:color w:val="auto"/>
                <w:sz w:val="21"/>
                <w:szCs w:val="21"/>
                <w:lang w:eastAsia="zh-CN"/>
              </w:rPr>
              <w:t>自动监测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657" w:type="pct"/>
            <w:vMerge w:val="continue"/>
            <w:shd w:val="clear" w:color="auto" w:fill="auto"/>
            <w:noWrap/>
            <w:vAlign w:val="center"/>
          </w:tcPr>
          <w:p>
            <w:pPr>
              <w:jc w:val="center"/>
              <w:rPr>
                <w:rFonts w:hint="default" w:ascii="Times New Roman" w:hAnsi="Times New Roman" w:cs="Times New Roman"/>
                <w:color w:val="auto"/>
                <w:kern w:val="0"/>
                <w:sz w:val="21"/>
                <w:szCs w:val="21"/>
                <w:lang w:eastAsia="zh-CN"/>
              </w:rPr>
            </w:pPr>
          </w:p>
        </w:tc>
        <w:tc>
          <w:tcPr>
            <w:tcW w:w="1401" w:type="pct"/>
            <w:vMerge w:val="continue"/>
            <w:shd w:val="clear" w:color="auto" w:fill="auto"/>
            <w:noWrap/>
            <w:vAlign w:val="center"/>
          </w:tcPr>
          <w:p>
            <w:pPr>
              <w:widowControl/>
              <w:jc w:val="center"/>
              <w:rPr>
                <w:rFonts w:hint="default" w:ascii="Times New Roman" w:hAnsi="Times New Roman" w:cs="Times New Roman"/>
                <w:color w:val="auto"/>
                <w:kern w:val="0"/>
                <w:sz w:val="21"/>
                <w:szCs w:val="21"/>
              </w:rPr>
            </w:pPr>
          </w:p>
        </w:tc>
        <w:tc>
          <w:tcPr>
            <w:tcW w:w="1719" w:type="pct"/>
            <w:vAlign w:val="center"/>
          </w:tcPr>
          <w:p>
            <w:pPr>
              <w:widowControl/>
              <w:jc w:val="center"/>
              <w:rPr>
                <w:rFonts w:hint="default" w:ascii="Times New Roman" w:hAnsi="Times New Roman" w:eastAsia="宋体" w:cs="Times New Roman"/>
                <w:color w:val="auto"/>
                <w:kern w:val="0"/>
                <w:sz w:val="21"/>
                <w:szCs w:val="21"/>
                <w:lang w:eastAsia="zh-CN"/>
              </w:rPr>
            </w:pPr>
            <w:r>
              <w:rPr>
                <w:rFonts w:hint="default" w:ascii="Times New Roman" w:hAnsi="Times New Roman" w:cs="Times New Roman"/>
                <w:color w:val="auto"/>
                <w:kern w:val="0"/>
                <w:sz w:val="21"/>
                <w:szCs w:val="21"/>
                <w:lang w:eastAsia="zh-CN"/>
              </w:rPr>
              <w:t>总氮、阴离子表面活性剂</w:t>
            </w:r>
          </w:p>
        </w:tc>
        <w:tc>
          <w:tcPr>
            <w:tcW w:w="1221" w:type="pct"/>
            <w:shd w:val="clear" w:color="auto" w:fill="auto"/>
            <w:vAlign w:val="center"/>
          </w:tcPr>
          <w:p>
            <w:pPr>
              <w:widowControl/>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1次/月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57" w:type="pct"/>
            <w:shd w:val="clear" w:color="auto" w:fill="auto"/>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噪声</w:t>
            </w:r>
          </w:p>
        </w:tc>
        <w:tc>
          <w:tcPr>
            <w:tcW w:w="1401" w:type="pct"/>
            <w:shd w:val="clear" w:color="auto" w:fill="auto"/>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四周厂界</w:t>
            </w:r>
          </w:p>
        </w:tc>
        <w:tc>
          <w:tcPr>
            <w:tcW w:w="1719" w:type="pct"/>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等效连续A声级</w:t>
            </w:r>
          </w:p>
        </w:tc>
        <w:tc>
          <w:tcPr>
            <w:tcW w:w="1221" w:type="pct"/>
            <w:shd w:val="clear" w:color="auto" w:fill="auto"/>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bCs/>
                <w:color w:val="auto"/>
                <w:sz w:val="21"/>
                <w:szCs w:val="21"/>
              </w:rPr>
              <w:t>1次/季度</w:t>
            </w:r>
          </w:p>
        </w:tc>
      </w:tr>
    </w:tbl>
    <w:p>
      <w:pPr>
        <w:pStyle w:val="178"/>
        <w:keepNext w:val="0"/>
        <w:keepLines w:val="0"/>
        <w:pageBreakBefore w:val="0"/>
        <w:widowControl/>
        <w:kinsoku/>
        <w:wordWrap/>
        <w:overflowPunct/>
        <w:topLinePunct w:val="0"/>
        <w:autoSpaceDE/>
        <w:autoSpaceDN/>
        <w:bidi w:val="0"/>
        <w:adjustRightInd/>
        <w:snapToGrid/>
        <w:spacing w:before="157" w:beforeLines="50" w:afterLines="0" w:line="360" w:lineRule="auto"/>
        <w:textAlignment w:val="auto"/>
        <w:rPr>
          <w:rFonts w:hint="default" w:ascii="Times New Roman" w:hAnsi="Times New Roman" w:cs="Times New Roman"/>
          <w:color w:val="auto"/>
        </w:rPr>
      </w:pPr>
      <w:r>
        <w:rPr>
          <w:rFonts w:hint="default" w:ascii="Times New Roman" w:hAnsi="Times New Roman" w:cs="Times New Roman"/>
          <w:color w:val="auto"/>
        </w:rPr>
        <w:t>表</w:t>
      </w:r>
      <w:r>
        <w:rPr>
          <w:rFonts w:hint="default" w:ascii="Times New Roman" w:hAnsi="Times New Roman" w:cs="Times New Roman"/>
          <w:color w:val="auto"/>
          <w:lang w:val="en-US" w:eastAsia="zh-CN"/>
        </w:rPr>
        <w:t>9</w:t>
      </w:r>
      <w:r>
        <w:rPr>
          <w:rFonts w:hint="default" w:ascii="Times New Roman" w:hAnsi="Times New Roman" w:cs="Times New Roman"/>
          <w:color w:val="auto"/>
        </w:rPr>
        <w:t>-</w:t>
      </w:r>
      <w:r>
        <w:rPr>
          <w:rFonts w:hint="default" w:ascii="Times New Roman" w:hAnsi="Times New Roman" w:cs="Times New Roman"/>
          <w:color w:val="auto"/>
          <w:lang w:val="en-US" w:eastAsia="zh-CN"/>
        </w:rPr>
        <w:t>3</w:t>
      </w:r>
      <w:r>
        <w:rPr>
          <w:rFonts w:hint="default" w:ascii="Times New Roman" w:hAnsi="Times New Roman" w:cs="Times New Roman"/>
          <w:color w:val="auto"/>
        </w:rPr>
        <w:t>运营期</w:t>
      </w:r>
      <w:r>
        <w:rPr>
          <w:rFonts w:hint="default" w:ascii="Times New Roman" w:hAnsi="Times New Roman" w:cs="Times New Roman"/>
          <w:color w:val="auto"/>
          <w:lang w:eastAsia="zh-CN"/>
        </w:rPr>
        <w:t>环境</w:t>
      </w:r>
      <w:r>
        <w:rPr>
          <w:rFonts w:hint="default" w:ascii="Times New Roman" w:hAnsi="Times New Roman" w:cs="Times New Roman"/>
          <w:color w:val="auto"/>
        </w:rPr>
        <w:t>监测计划表</w:t>
      </w:r>
    </w:p>
    <w:tbl>
      <w:tblPr>
        <w:tblStyle w:val="44"/>
        <w:tblW w:w="480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8"/>
        <w:gridCol w:w="2554"/>
        <w:gridCol w:w="2976"/>
        <w:gridCol w:w="15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57" w:type="pct"/>
            <w:shd w:val="clear" w:color="auto" w:fill="auto"/>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监测项目</w:t>
            </w:r>
          </w:p>
        </w:tc>
        <w:tc>
          <w:tcPr>
            <w:tcW w:w="1558" w:type="pct"/>
            <w:shd w:val="clear" w:color="auto" w:fill="auto"/>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监测点位</w:t>
            </w:r>
          </w:p>
        </w:tc>
        <w:tc>
          <w:tcPr>
            <w:tcW w:w="1815" w:type="pct"/>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监测因子</w:t>
            </w:r>
          </w:p>
        </w:tc>
        <w:tc>
          <w:tcPr>
            <w:tcW w:w="968" w:type="pct"/>
            <w:shd w:val="clear" w:color="auto" w:fill="auto"/>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57" w:type="pct"/>
            <w:shd w:val="clear" w:color="auto" w:fill="auto"/>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环境空气</w:t>
            </w:r>
          </w:p>
        </w:tc>
        <w:tc>
          <w:tcPr>
            <w:tcW w:w="1558" w:type="pct"/>
            <w:shd w:val="clear" w:color="auto" w:fill="auto"/>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项目区下方向50m范围内1个点位</w:t>
            </w:r>
          </w:p>
        </w:tc>
        <w:tc>
          <w:tcPr>
            <w:tcW w:w="1815" w:type="pct"/>
            <w:vAlign w:val="center"/>
          </w:tcPr>
          <w:p>
            <w:pPr>
              <w:widowControl/>
              <w:jc w:val="center"/>
              <w:rPr>
                <w:rFonts w:hint="default" w:ascii="Times New Roman" w:hAnsi="Times New Roman" w:eastAsia="宋体" w:cs="Times New Roman"/>
                <w:color w:val="auto"/>
                <w:kern w:val="0"/>
                <w:sz w:val="21"/>
                <w:szCs w:val="21"/>
                <w:lang w:eastAsia="zh-CN"/>
              </w:rPr>
            </w:pPr>
            <w:r>
              <w:rPr>
                <w:rFonts w:hint="default" w:ascii="Times New Roman" w:hAnsi="Times New Roman" w:cs="Times New Roman"/>
                <w:color w:val="auto"/>
                <w:kern w:val="0"/>
                <w:sz w:val="21"/>
                <w:szCs w:val="21"/>
                <w:lang w:eastAsia="zh-CN"/>
              </w:rPr>
              <w:t>非甲烷总烃、氨、硫化氢、氟化物、</w:t>
            </w:r>
            <w:r>
              <w:rPr>
                <w:rFonts w:hint="default" w:ascii="Times New Roman" w:hAnsi="Times New Roman" w:cs="Times New Roman"/>
                <w:color w:val="auto"/>
                <w:kern w:val="0"/>
                <w:sz w:val="21"/>
                <w:szCs w:val="21"/>
                <w:lang w:val="en-US" w:eastAsia="zh-CN"/>
              </w:rPr>
              <w:t>TSP</w:t>
            </w:r>
          </w:p>
        </w:tc>
        <w:tc>
          <w:tcPr>
            <w:tcW w:w="968" w:type="pct"/>
            <w:shd w:val="clear" w:color="auto" w:fill="auto"/>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1次/年，3天/次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57" w:type="pct"/>
            <w:shd w:val="clear" w:color="auto" w:fill="auto"/>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噪声</w:t>
            </w:r>
          </w:p>
        </w:tc>
        <w:tc>
          <w:tcPr>
            <w:tcW w:w="1558" w:type="pct"/>
            <w:shd w:val="clear" w:color="auto" w:fill="auto"/>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四周厂界</w:t>
            </w:r>
          </w:p>
        </w:tc>
        <w:tc>
          <w:tcPr>
            <w:tcW w:w="1815" w:type="pct"/>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等效连续A声级</w:t>
            </w:r>
          </w:p>
        </w:tc>
        <w:tc>
          <w:tcPr>
            <w:tcW w:w="968" w:type="pct"/>
            <w:shd w:val="clear" w:color="auto" w:fill="auto"/>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1次/季度，每次一天，分昼间、夜间</w:t>
            </w:r>
          </w:p>
        </w:tc>
      </w:tr>
    </w:tbl>
    <w:p>
      <w:pPr>
        <w:spacing w:line="360" w:lineRule="auto"/>
        <w:ind w:firstLine="482"/>
        <w:rPr>
          <w:rFonts w:hint="default" w:ascii="Times New Roman" w:hAnsi="Times New Roman" w:cs="Times New Roman"/>
          <w:color w:val="auto"/>
        </w:rPr>
      </w:pPr>
      <w:r>
        <w:rPr>
          <w:rFonts w:hint="default" w:ascii="Times New Roman" w:hAnsi="Times New Roman" w:cs="Times New Roman"/>
          <w:color w:val="auto"/>
        </w:rPr>
        <w:t>2、竣工验收环境监测计划</w:t>
      </w:r>
    </w:p>
    <w:p>
      <w:pPr>
        <w:pStyle w:val="178"/>
        <w:spacing w:before="62" w:after="46"/>
        <w:rPr>
          <w:rFonts w:hint="default" w:ascii="Times New Roman" w:hAnsi="Times New Roman" w:cs="Times New Roman"/>
          <w:color w:val="auto"/>
        </w:rPr>
      </w:pPr>
      <w:r>
        <w:rPr>
          <w:rFonts w:hint="default" w:ascii="Times New Roman" w:hAnsi="Times New Roman" w:cs="Times New Roman"/>
          <w:color w:val="auto"/>
        </w:rPr>
        <w:t>表</w:t>
      </w:r>
      <w:r>
        <w:rPr>
          <w:rFonts w:hint="default" w:ascii="Times New Roman" w:hAnsi="Times New Roman" w:cs="Times New Roman"/>
          <w:color w:val="auto"/>
          <w:lang w:val="en-US" w:eastAsia="zh-CN"/>
        </w:rPr>
        <w:t>9</w:t>
      </w:r>
      <w:r>
        <w:rPr>
          <w:rFonts w:hint="default" w:ascii="Times New Roman" w:hAnsi="Times New Roman" w:cs="Times New Roman"/>
          <w:color w:val="auto"/>
        </w:rPr>
        <w:t>-</w:t>
      </w:r>
      <w:r>
        <w:rPr>
          <w:rFonts w:hint="default" w:ascii="Times New Roman" w:hAnsi="Times New Roman" w:cs="Times New Roman"/>
          <w:color w:val="auto"/>
          <w:lang w:val="en-US" w:eastAsia="zh-CN"/>
        </w:rPr>
        <w:t>4</w:t>
      </w:r>
      <w:r>
        <w:rPr>
          <w:rFonts w:hint="default" w:ascii="Times New Roman" w:hAnsi="Times New Roman" w:cs="Times New Roman"/>
          <w:color w:val="auto"/>
        </w:rPr>
        <w:t>运营期验收监测计划表</w:t>
      </w:r>
    </w:p>
    <w:tbl>
      <w:tblPr>
        <w:tblStyle w:val="44"/>
        <w:tblW w:w="492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2"/>
        <w:gridCol w:w="3212"/>
        <w:gridCol w:w="3078"/>
        <w:gridCol w:w="1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1" w:type="pct"/>
            <w:shd w:val="clear" w:color="auto" w:fill="auto"/>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监测项目</w:t>
            </w:r>
          </w:p>
        </w:tc>
        <w:tc>
          <w:tcPr>
            <w:tcW w:w="1913" w:type="pct"/>
            <w:shd w:val="clear" w:color="auto" w:fill="auto"/>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监测点位</w:t>
            </w:r>
          </w:p>
        </w:tc>
        <w:tc>
          <w:tcPr>
            <w:tcW w:w="1833" w:type="pct"/>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监测因子</w:t>
            </w:r>
          </w:p>
        </w:tc>
        <w:tc>
          <w:tcPr>
            <w:tcW w:w="691" w:type="pct"/>
            <w:shd w:val="clear" w:color="auto" w:fill="auto"/>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1" w:type="pct"/>
            <w:vMerge w:val="restart"/>
            <w:shd w:val="clear" w:color="auto" w:fill="auto"/>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有组织</w:t>
            </w:r>
          </w:p>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废气</w:t>
            </w:r>
          </w:p>
        </w:tc>
        <w:tc>
          <w:tcPr>
            <w:tcW w:w="1913" w:type="pct"/>
            <w:shd w:val="clear" w:color="auto" w:fill="auto"/>
            <w:vAlign w:val="center"/>
          </w:tcPr>
          <w:p>
            <w:pPr>
              <w:pStyle w:val="167"/>
              <w:rPr>
                <w:rFonts w:hint="default" w:ascii="Times New Roman" w:hAnsi="Times New Roman" w:cs="Times New Roman"/>
                <w:color w:val="auto"/>
                <w:szCs w:val="21"/>
              </w:rPr>
            </w:pPr>
            <w:r>
              <w:rPr>
                <w:rFonts w:hint="default" w:ascii="Times New Roman" w:hAnsi="Times New Roman" w:cs="Times New Roman"/>
                <w:color w:val="auto"/>
                <w:szCs w:val="21"/>
                <w:lang w:eastAsia="zh-CN"/>
              </w:rPr>
              <w:t>DA008</w:t>
            </w:r>
            <w:r>
              <w:rPr>
                <w:rFonts w:hint="default" w:ascii="Times New Roman" w:hAnsi="Times New Roman" w:cs="Times New Roman"/>
                <w:color w:val="auto"/>
                <w:szCs w:val="21"/>
              </w:rPr>
              <w:t>排气筒进口和出口（1个）</w:t>
            </w:r>
          </w:p>
        </w:tc>
        <w:tc>
          <w:tcPr>
            <w:tcW w:w="1833" w:type="pct"/>
            <w:vAlign w:val="center"/>
          </w:tcPr>
          <w:p>
            <w:pPr>
              <w:widowControl/>
              <w:jc w:val="center"/>
              <w:rPr>
                <w:rFonts w:hint="default" w:ascii="Times New Roman" w:hAnsi="Times New Roman" w:eastAsia="宋体" w:cs="Times New Roman"/>
                <w:color w:val="auto"/>
                <w:kern w:val="0"/>
                <w:sz w:val="21"/>
                <w:szCs w:val="21"/>
                <w:lang w:eastAsia="zh-CN"/>
              </w:rPr>
            </w:pPr>
            <w:r>
              <w:rPr>
                <w:rFonts w:hint="default" w:ascii="Times New Roman" w:hAnsi="Times New Roman" w:cs="Times New Roman"/>
                <w:color w:val="auto"/>
                <w:kern w:val="0"/>
                <w:sz w:val="21"/>
                <w:szCs w:val="21"/>
                <w:lang w:eastAsia="zh-CN"/>
              </w:rPr>
              <w:t>非甲烷总烃</w:t>
            </w:r>
          </w:p>
        </w:tc>
        <w:tc>
          <w:tcPr>
            <w:tcW w:w="691" w:type="pct"/>
            <w:vMerge w:val="restart"/>
            <w:shd w:val="clear" w:color="auto" w:fill="auto"/>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sz w:val="21"/>
                <w:szCs w:val="21"/>
              </w:rPr>
              <w:t>监测2天，每天监测3次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561" w:type="pct"/>
            <w:vMerge w:val="continue"/>
            <w:shd w:val="clear" w:color="auto" w:fill="auto"/>
            <w:noWrap/>
            <w:vAlign w:val="center"/>
          </w:tcPr>
          <w:p>
            <w:pPr>
              <w:widowControl/>
              <w:jc w:val="center"/>
              <w:rPr>
                <w:rFonts w:hint="default" w:ascii="Times New Roman" w:hAnsi="Times New Roman" w:cs="Times New Roman"/>
                <w:color w:val="auto"/>
                <w:kern w:val="0"/>
                <w:sz w:val="21"/>
                <w:szCs w:val="21"/>
              </w:rPr>
            </w:pPr>
          </w:p>
        </w:tc>
        <w:tc>
          <w:tcPr>
            <w:tcW w:w="1913" w:type="pct"/>
            <w:shd w:val="clear" w:color="auto" w:fill="auto"/>
            <w:vAlign w:val="center"/>
          </w:tcPr>
          <w:p>
            <w:pPr>
              <w:pStyle w:val="167"/>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Cs w:val="21"/>
                <w:lang w:eastAsia="zh-CN"/>
              </w:rPr>
              <w:t>DA00</w:t>
            </w:r>
            <w:r>
              <w:rPr>
                <w:rFonts w:hint="default" w:ascii="Times New Roman" w:hAnsi="Times New Roman" w:cs="Times New Roman"/>
                <w:color w:val="auto"/>
                <w:szCs w:val="21"/>
                <w:lang w:val="en-US" w:eastAsia="zh-CN"/>
              </w:rPr>
              <w:t>9</w:t>
            </w:r>
            <w:r>
              <w:rPr>
                <w:rFonts w:hint="default" w:ascii="Times New Roman" w:hAnsi="Times New Roman" w:cs="Times New Roman"/>
                <w:color w:val="auto"/>
                <w:szCs w:val="21"/>
              </w:rPr>
              <w:t>排气筒进口和出口（1个）</w:t>
            </w:r>
          </w:p>
        </w:tc>
        <w:tc>
          <w:tcPr>
            <w:tcW w:w="1833" w:type="pct"/>
            <w:vAlign w:val="center"/>
          </w:tcPr>
          <w:p>
            <w:pPr>
              <w:widowControl/>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rPr>
              <w:t>TSP</w:t>
            </w:r>
          </w:p>
        </w:tc>
        <w:tc>
          <w:tcPr>
            <w:tcW w:w="691" w:type="pct"/>
            <w:vMerge w:val="continue"/>
            <w:shd w:val="clear" w:color="auto" w:fill="auto"/>
            <w:vAlign w:val="center"/>
          </w:tcPr>
          <w:p>
            <w:pPr>
              <w:widowControl/>
              <w:jc w:val="center"/>
              <w:rPr>
                <w:rFonts w:hint="default" w:ascii="Times New Roman" w:hAnsi="Times New Roman" w:cs="Times New Roman"/>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561" w:type="pct"/>
            <w:vMerge w:val="continue"/>
            <w:shd w:val="clear" w:color="auto" w:fill="auto"/>
            <w:noWrap/>
            <w:vAlign w:val="center"/>
          </w:tcPr>
          <w:p>
            <w:pPr>
              <w:widowControl/>
              <w:jc w:val="center"/>
              <w:rPr>
                <w:rFonts w:hint="default" w:ascii="Times New Roman" w:hAnsi="Times New Roman" w:cs="Times New Roman"/>
                <w:color w:val="auto"/>
                <w:kern w:val="0"/>
                <w:sz w:val="21"/>
                <w:szCs w:val="21"/>
              </w:rPr>
            </w:pPr>
          </w:p>
        </w:tc>
        <w:tc>
          <w:tcPr>
            <w:tcW w:w="1913" w:type="pct"/>
            <w:shd w:val="clear" w:color="auto" w:fill="auto"/>
            <w:vAlign w:val="center"/>
          </w:tcPr>
          <w:p>
            <w:pPr>
              <w:pStyle w:val="167"/>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Cs w:val="21"/>
                <w:lang w:eastAsia="zh-CN"/>
              </w:rPr>
              <w:t>DA0</w:t>
            </w:r>
            <w:r>
              <w:rPr>
                <w:rFonts w:hint="default" w:ascii="Times New Roman" w:hAnsi="Times New Roman" w:cs="Times New Roman"/>
                <w:color w:val="auto"/>
                <w:szCs w:val="21"/>
                <w:lang w:val="en-US" w:eastAsia="zh-CN"/>
              </w:rPr>
              <w:t>10</w:t>
            </w:r>
            <w:r>
              <w:rPr>
                <w:rFonts w:hint="default" w:ascii="Times New Roman" w:hAnsi="Times New Roman" w:cs="Times New Roman"/>
                <w:color w:val="auto"/>
                <w:szCs w:val="21"/>
              </w:rPr>
              <w:t>排气筒进口和出口（1个）</w:t>
            </w:r>
          </w:p>
        </w:tc>
        <w:tc>
          <w:tcPr>
            <w:tcW w:w="1833" w:type="pct"/>
            <w:vAlign w:val="center"/>
          </w:tcPr>
          <w:p>
            <w:pPr>
              <w:widowControl/>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eastAsia="zh-CN"/>
              </w:rPr>
              <w:t>氨、硫化氢</w:t>
            </w:r>
          </w:p>
        </w:tc>
        <w:tc>
          <w:tcPr>
            <w:tcW w:w="691" w:type="pct"/>
            <w:vMerge w:val="continue"/>
            <w:shd w:val="clear" w:color="auto" w:fill="auto"/>
            <w:vAlign w:val="center"/>
          </w:tcPr>
          <w:p>
            <w:pPr>
              <w:widowControl/>
              <w:jc w:val="center"/>
              <w:rPr>
                <w:rFonts w:hint="default" w:ascii="Times New Roman" w:hAnsi="Times New Roman" w:cs="Times New Roman"/>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561" w:type="pct"/>
            <w:vMerge w:val="continue"/>
            <w:shd w:val="clear" w:color="auto" w:fill="auto"/>
            <w:noWrap/>
            <w:vAlign w:val="center"/>
          </w:tcPr>
          <w:p>
            <w:pPr>
              <w:widowControl/>
              <w:jc w:val="center"/>
              <w:rPr>
                <w:rFonts w:hint="default" w:ascii="Times New Roman" w:hAnsi="Times New Roman" w:cs="Times New Roman"/>
                <w:color w:val="auto"/>
                <w:kern w:val="0"/>
                <w:sz w:val="21"/>
                <w:szCs w:val="21"/>
              </w:rPr>
            </w:pPr>
          </w:p>
        </w:tc>
        <w:tc>
          <w:tcPr>
            <w:tcW w:w="1913" w:type="pct"/>
            <w:shd w:val="clear" w:color="auto" w:fill="auto"/>
            <w:vAlign w:val="center"/>
          </w:tcPr>
          <w:p>
            <w:pPr>
              <w:pStyle w:val="167"/>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Cs w:val="21"/>
                <w:lang w:eastAsia="zh-CN"/>
              </w:rPr>
              <w:t>DA0</w:t>
            </w:r>
            <w:r>
              <w:rPr>
                <w:rFonts w:hint="default" w:ascii="Times New Roman" w:hAnsi="Times New Roman" w:cs="Times New Roman"/>
                <w:color w:val="auto"/>
                <w:szCs w:val="21"/>
                <w:lang w:val="en-US" w:eastAsia="zh-CN"/>
              </w:rPr>
              <w:t>11</w:t>
            </w:r>
            <w:r>
              <w:rPr>
                <w:rFonts w:hint="default" w:ascii="Times New Roman" w:hAnsi="Times New Roman" w:cs="Times New Roman"/>
                <w:color w:val="auto"/>
                <w:szCs w:val="21"/>
              </w:rPr>
              <w:t>排气筒进口和出口（1个）</w:t>
            </w:r>
          </w:p>
        </w:tc>
        <w:tc>
          <w:tcPr>
            <w:tcW w:w="1833" w:type="pct"/>
            <w:vAlign w:val="center"/>
          </w:tcPr>
          <w:p>
            <w:pPr>
              <w:widowControl/>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eastAsia="zh-CN"/>
              </w:rPr>
              <w:t>氟化物</w:t>
            </w:r>
          </w:p>
        </w:tc>
        <w:tc>
          <w:tcPr>
            <w:tcW w:w="691" w:type="pct"/>
            <w:vMerge w:val="continue"/>
            <w:shd w:val="clear" w:color="auto" w:fill="auto"/>
            <w:vAlign w:val="center"/>
          </w:tcPr>
          <w:p>
            <w:pPr>
              <w:widowControl/>
              <w:jc w:val="center"/>
              <w:rPr>
                <w:rFonts w:hint="default" w:ascii="Times New Roman" w:hAnsi="Times New Roman" w:cs="Times New Roman"/>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561" w:type="pct"/>
            <w:shd w:val="clear" w:color="auto" w:fill="auto"/>
            <w:noWrap/>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无组织</w:t>
            </w:r>
          </w:p>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废气</w:t>
            </w:r>
          </w:p>
        </w:tc>
        <w:tc>
          <w:tcPr>
            <w:tcW w:w="1913" w:type="pct"/>
            <w:shd w:val="clear" w:color="auto" w:fill="auto"/>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厂界上风向1个点、下风向3个点位</w:t>
            </w:r>
          </w:p>
        </w:tc>
        <w:tc>
          <w:tcPr>
            <w:tcW w:w="1833" w:type="pct"/>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lang w:eastAsia="zh-CN"/>
              </w:rPr>
              <w:t>非甲烷总烃、氨、硫化氢、氟化物、氮氧化物、</w:t>
            </w:r>
            <w:r>
              <w:rPr>
                <w:rFonts w:hint="default" w:ascii="Times New Roman" w:hAnsi="Times New Roman" w:cs="Times New Roman"/>
                <w:color w:val="auto"/>
                <w:kern w:val="0"/>
                <w:sz w:val="21"/>
                <w:szCs w:val="21"/>
                <w:lang w:val="en-US" w:eastAsia="zh-CN"/>
              </w:rPr>
              <w:t>TSP</w:t>
            </w:r>
          </w:p>
        </w:tc>
        <w:tc>
          <w:tcPr>
            <w:tcW w:w="691" w:type="pct"/>
            <w:vMerge w:val="continue"/>
            <w:shd w:val="clear" w:color="auto" w:fill="auto"/>
            <w:vAlign w:val="center"/>
          </w:tcPr>
          <w:p>
            <w:pPr>
              <w:widowControl/>
              <w:jc w:val="center"/>
              <w:rPr>
                <w:rFonts w:hint="default" w:ascii="Times New Roman" w:hAnsi="Times New Roman" w:cs="Times New Roman"/>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561" w:type="pct"/>
            <w:shd w:val="clear" w:color="auto" w:fill="auto"/>
            <w:noWrap/>
            <w:vAlign w:val="center"/>
          </w:tcPr>
          <w:p>
            <w:pPr>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生产废水</w:t>
            </w:r>
          </w:p>
        </w:tc>
        <w:tc>
          <w:tcPr>
            <w:tcW w:w="1913" w:type="pct"/>
            <w:shd w:val="clear" w:color="auto" w:fill="auto"/>
            <w:noWrap/>
            <w:vAlign w:val="center"/>
          </w:tcPr>
          <w:p>
            <w:pPr>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lang w:eastAsia="zh-CN"/>
              </w:rPr>
              <w:t>综合污水处理站</w:t>
            </w:r>
            <w:r>
              <w:rPr>
                <w:rFonts w:hint="default" w:ascii="Times New Roman" w:hAnsi="Times New Roman" w:cs="Times New Roman"/>
                <w:color w:val="auto"/>
                <w:kern w:val="0"/>
                <w:sz w:val="21"/>
                <w:szCs w:val="21"/>
              </w:rPr>
              <w:t>进水口及出水口</w:t>
            </w:r>
          </w:p>
        </w:tc>
        <w:tc>
          <w:tcPr>
            <w:tcW w:w="1833" w:type="pct"/>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pH值、CODcr、BOD</w:t>
            </w:r>
            <w:r>
              <w:rPr>
                <w:rFonts w:hint="default" w:ascii="Times New Roman" w:hAnsi="Times New Roman" w:cs="Times New Roman"/>
                <w:color w:val="auto"/>
                <w:kern w:val="0"/>
                <w:sz w:val="21"/>
                <w:szCs w:val="21"/>
                <w:vertAlign w:val="subscript"/>
              </w:rPr>
              <w:t>5</w:t>
            </w:r>
            <w:r>
              <w:rPr>
                <w:rFonts w:hint="default" w:ascii="Times New Roman" w:hAnsi="Times New Roman" w:cs="Times New Roman"/>
                <w:color w:val="auto"/>
                <w:kern w:val="0"/>
                <w:sz w:val="21"/>
                <w:szCs w:val="21"/>
              </w:rPr>
              <w:t>、氨氮、SS、总磷、总氮、阴离子表面活性剂</w:t>
            </w:r>
            <w:r>
              <w:rPr>
                <w:rFonts w:hint="default" w:ascii="Times New Roman" w:hAnsi="Times New Roman" w:cs="Times New Roman"/>
                <w:color w:val="auto"/>
                <w:kern w:val="0"/>
                <w:sz w:val="21"/>
                <w:szCs w:val="21"/>
                <w:lang w:eastAsia="zh-CN"/>
              </w:rPr>
              <w:t>、氟化物</w:t>
            </w:r>
            <w:r>
              <w:rPr>
                <w:rFonts w:hint="default" w:ascii="Times New Roman" w:hAnsi="Times New Roman" w:cs="Times New Roman"/>
                <w:color w:val="auto"/>
                <w:kern w:val="0"/>
                <w:sz w:val="21"/>
                <w:szCs w:val="21"/>
              </w:rPr>
              <w:t>等</w:t>
            </w:r>
          </w:p>
        </w:tc>
        <w:tc>
          <w:tcPr>
            <w:tcW w:w="691" w:type="pct"/>
            <w:shd w:val="clear" w:color="auto" w:fill="auto"/>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连续监测3天，每天采样分析一次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561" w:type="pct"/>
            <w:shd w:val="clear" w:color="auto" w:fill="auto"/>
            <w:noWrap/>
            <w:vAlign w:val="center"/>
          </w:tcPr>
          <w:p>
            <w:pPr>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生产废水、生活废水</w:t>
            </w:r>
          </w:p>
        </w:tc>
        <w:tc>
          <w:tcPr>
            <w:tcW w:w="1913" w:type="pct"/>
            <w:shd w:val="clear" w:color="auto" w:fill="auto"/>
            <w:noWrap/>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废水总排口</w:t>
            </w:r>
          </w:p>
        </w:tc>
        <w:tc>
          <w:tcPr>
            <w:tcW w:w="1833" w:type="pct"/>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pH值、CODcr、BOD</w:t>
            </w:r>
            <w:r>
              <w:rPr>
                <w:rFonts w:hint="default" w:ascii="Times New Roman" w:hAnsi="Times New Roman" w:cs="Times New Roman"/>
                <w:color w:val="auto"/>
                <w:kern w:val="0"/>
                <w:sz w:val="21"/>
                <w:szCs w:val="21"/>
                <w:vertAlign w:val="subscript"/>
              </w:rPr>
              <w:t>5</w:t>
            </w:r>
            <w:r>
              <w:rPr>
                <w:rFonts w:hint="default" w:ascii="Times New Roman" w:hAnsi="Times New Roman" w:cs="Times New Roman"/>
                <w:color w:val="auto"/>
                <w:kern w:val="0"/>
                <w:sz w:val="21"/>
                <w:szCs w:val="21"/>
              </w:rPr>
              <w:t>、氨氮、SS、总磷、总氮、阴离子表面活性剂</w:t>
            </w:r>
            <w:r>
              <w:rPr>
                <w:rFonts w:hint="default" w:ascii="Times New Roman" w:hAnsi="Times New Roman" w:cs="Times New Roman"/>
                <w:color w:val="auto"/>
                <w:kern w:val="0"/>
                <w:sz w:val="21"/>
                <w:szCs w:val="21"/>
                <w:lang w:eastAsia="zh-CN"/>
              </w:rPr>
              <w:t>、氟化物</w:t>
            </w:r>
            <w:r>
              <w:rPr>
                <w:rFonts w:hint="default" w:ascii="Times New Roman" w:hAnsi="Times New Roman" w:cs="Times New Roman"/>
                <w:color w:val="auto"/>
                <w:kern w:val="0"/>
                <w:sz w:val="21"/>
                <w:szCs w:val="21"/>
              </w:rPr>
              <w:t>等</w:t>
            </w:r>
          </w:p>
        </w:tc>
        <w:tc>
          <w:tcPr>
            <w:tcW w:w="691" w:type="pct"/>
            <w:shd w:val="clear" w:color="auto" w:fill="auto"/>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连续监测3天，每天采样分析一次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1" w:type="pct"/>
            <w:shd w:val="clear" w:color="auto" w:fill="auto"/>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噪声</w:t>
            </w:r>
          </w:p>
        </w:tc>
        <w:tc>
          <w:tcPr>
            <w:tcW w:w="1913" w:type="pct"/>
            <w:shd w:val="clear" w:color="auto" w:fill="auto"/>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四周厂界</w:t>
            </w:r>
          </w:p>
        </w:tc>
        <w:tc>
          <w:tcPr>
            <w:tcW w:w="1833" w:type="pct"/>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等效连续A声级</w:t>
            </w:r>
          </w:p>
        </w:tc>
        <w:tc>
          <w:tcPr>
            <w:tcW w:w="691" w:type="pct"/>
            <w:shd w:val="clear" w:color="auto" w:fill="auto"/>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sz w:val="21"/>
                <w:szCs w:val="21"/>
              </w:rPr>
              <w:t>监测2天，昼夜各监测1次</w:t>
            </w:r>
          </w:p>
        </w:tc>
      </w:tr>
    </w:tbl>
    <w:p>
      <w:pPr>
        <w:pStyle w:val="4"/>
        <w:spacing w:before="0" w:after="0" w:line="360" w:lineRule="auto"/>
        <w:rPr>
          <w:rFonts w:hint="default" w:ascii="Times New Roman" w:hAnsi="Times New Roman" w:eastAsia="宋体" w:cs="Times New Roman"/>
          <w:color w:val="auto"/>
          <w:sz w:val="28"/>
          <w:szCs w:val="28"/>
        </w:rPr>
      </w:pPr>
      <w:bookmarkStart w:id="1077" w:name="_Toc533415774"/>
      <w:bookmarkStart w:id="1078" w:name="_Toc21707922"/>
      <w:bookmarkStart w:id="1079" w:name="_Toc12488120"/>
      <w:bookmarkStart w:id="1080" w:name="_Toc518069216"/>
      <w:bookmarkStart w:id="1081" w:name="_Toc489094809"/>
      <w:bookmarkStart w:id="1082" w:name="_Toc25124"/>
      <w:r>
        <w:rPr>
          <w:rFonts w:hint="default" w:ascii="Times New Roman" w:hAnsi="Times New Roman" w:eastAsia="宋体" w:cs="Times New Roman"/>
          <w:color w:val="auto"/>
          <w:sz w:val="28"/>
          <w:szCs w:val="28"/>
          <w:lang w:val="en-US" w:eastAsia="zh-CN"/>
        </w:rPr>
        <w:t>9</w:t>
      </w:r>
      <w:r>
        <w:rPr>
          <w:rFonts w:hint="default" w:ascii="Times New Roman" w:hAnsi="Times New Roman" w:eastAsia="宋体" w:cs="Times New Roman"/>
          <w:color w:val="auto"/>
          <w:sz w:val="28"/>
          <w:szCs w:val="28"/>
        </w:rPr>
        <w:t>.6环保竣工验收及管理要求</w:t>
      </w:r>
      <w:bookmarkEnd w:id="1077"/>
      <w:bookmarkEnd w:id="1078"/>
      <w:bookmarkEnd w:id="1079"/>
      <w:bookmarkEnd w:id="1080"/>
      <w:bookmarkEnd w:id="1081"/>
      <w:bookmarkEnd w:id="1082"/>
    </w:p>
    <w:p>
      <w:pPr>
        <w:pStyle w:val="6"/>
        <w:spacing w:before="0" w:after="0" w:line="360" w:lineRule="auto"/>
        <w:rPr>
          <w:rFonts w:hint="default" w:ascii="Times New Roman" w:hAnsi="Times New Roman" w:cs="Times New Roman"/>
          <w:color w:val="auto"/>
          <w:szCs w:val="28"/>
        </w:rPr>
      </w:pPr>
      <w:bookmarkStart w:id="1083" w:name="_Toc518069217"/>
      <w:bookmarkStart w:id="1084" w:name="_Toc12488121"/>
      <w:bookmarkStart w:id="1085" w:name="_Toc30282"/>
      <w:r>
        <w:rPr>
          <w:rFonts w:hint="default" w:ascii="Times New Roman" w:hAnsi="Times New Roman" w:cs="Times New Roman"/>
          <w:color w:val="auto"/>
          <w:szCs w:val="28"/>
          <w:lang w:val="en-US" w:eastAsia="zh-CN"/>
        </w:rPr>
        <w:t>9</w:t>
      </w:r>
      <w:r>
        <w:rPr>
          <w:rFonts w:hint="default" w:ascii="Times New Roman" w:hAnsi="Times New Roman" w:cs="Times New Roman"/>
          <w:color w:val="auto"/>
          <w:szCs w:val="28"/>
        </w:rPr>
        <w:t>.6.1环保竣工验收内容及要求</w:t>
      </w:r>
      <w:bookmarkEnd w:id="1083"/>
      <w:bookmarkEnd w:id="1084"/>
      <w:bookmarkEnd w:id="1085"/>
    </w:p>
    <w:p>
      <w:pPr>
        <w:pStyle w:val="197"/>
        <w:ind w:firstLine="480"/>
        <w:rPr>
          <w:rFonts w:hint="default" w:ascii="Times New Roman" w:hAnsi="Times New Roman" w:cs="Times New Roman"/>
          <w:color w:val="auto"/>
        </w:rPr>
      </w:pPr>
      <w:r>
        <w:rPr>
          <w:rFonts w:hint="default" w:ascii="Times New Roman" w:hAnsi="Times New Roman" w:cs="Times New Roman"/>
          <w:color w:val="auto"/>
        </w:rPr>
        <w:t>本项目的环保设施应与生产设施同时设计、同时施工、同时竣工投入使用。本项目工程环境保护设施“三同时”验收情况见下表</w:t>
      </w:r>
      <w:r>
        <w:rPr>
          <w:rFonts w:hint="default" w:ascii="Times New Roman" w:hAnsi="Times New Roman" w:cs="Times New Roman"/>
          <w:color w:val="auto"/>
          <w:lang w:eastAsia="zh-CN"/>
        </w:rPr>
        <w:t>，由于本项目绝大部分环保设施均为依托原有项目已建设设施，不属于本项目竣工验收内容。因此竣工验收内容仅为本次项目新建环保设施</w:t>
      </w:r>
      <w:r>
        <w:rPr>
          <w:rFonts w:hint="default" w:ascii="Times New Roman" w:hAnsi="Times New Roman" w:cs="Times New Roman"/>
          <w:color w:val="auto"/>
        </w:rPr>
        <w:t>。</w:t>
      </w:r>
    </w:p>
    <w:p>
      <w:pPr>
        <w:spacing w:line="360" w:lineRule="auto"/>
        <w:ind w:firstLine="200"/>
        <w:rPr>
          <w:rFonts w:hint="default" w:ascii="Times New Roman" w:hAnsi="Times New Roman" w:cs="Times New Roman"/>
          <w:color w:val="auto"/>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178"/>
        <w:spacing w:before="65" w:after="48"/>
        <w:ind w:firstLine="480"/>
        <w:rPr>
          <w:rFonts w:hint="default" w:ascii="Times New Roman" w:hAnsi="Times New Roman" w:cs="Times New Roman"/>
          <w:color w:val="auto"/>
        </w:rPr>
      </w:pPr>
      <w:r>
        <w:rPr>
          <w:rFonts w:hint="default" w:ascii="Times New Roman" w:hAnsi="Times New Roman" w:cs="Times New Roman"/>
          <w:color w:val="auto"/>
        </w:rPr>
        <w:t>表</w:t>
      </w:r>
      <w:r>
        <w:rPr>
          <w:rFonts w:hint="default" w:ascii="Times New Roman" w:hAnsi="Times New Roman" w:cs="Times New Roman"/>
          <w:color w:val="auto"/>
          <w:lang w:val="en-US" w:eastAsia="zh-CN"/>
        </w:rPr>
        <w:t>9</w:t>
      </w:r>
      <w:r>
        <w:rPr>
          <w:rFonts w:hint="default" w:ascii="Times New Roman" w:hAnsi="Times New Roman" w:cs="Times New Roman"/>
          <w:color w:val="auto"/>
        </w:rPr>
        <w:t>-</w:t>
      </w:r>
      <w:r>
        <w:rPr>
          <w:rFonts w:hint="default" w:ascii="Times New Roman" w:hAnsi="Times New Roman" w:cs="Times New Roman"/>
          <w:color w:val="auto"/>
          <w:lang w:val="en-US" w:eastAsia="zh-CN"/>
        </w:rPr>
        <w:t>5</w:t>
      </w:r>
      <w:r>
        <w:rPr>
          <w:rFonts w:hint="default" w:ascii="Times New Roman" w:hAnsi="Times New Roman" w:cs="Times New Roman"/>
          <w:color w:val="auto"/>
        </w:rPr>
        <w:t xml:space="preserve"> 本项目环保措施“三同时”竣工验收一览表</w:t>
      </w:r>
    </w:p>
    <w:tbl>
      <w:tblPr>
        <w:tblStyle w:val="44"/>
        <w:tblW w:w="515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7"/>
        <w:gridCol w:w="1977"/>
        <w:gridCol w:w="4825"/>
        <w:gridCol w:w="1864"/>
        <w:gridCol w:w="1076"/>
        <w:gridCol w:w="40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6" w:type="pct"/>
            <w:shd w:val="clear" w:color="auto" w:fill="auto"/>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项目</w:t>
            </w:r>
          </w:p>
        </w:tc>
        <w:tc>
          <w:tcPr>
            <w:tcW w:w="676" w:type="pct"/>
            <w:shd w:val="clear" w:color="auto" w:fill="auto"/>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处理对象</w:t>
            </w:r>
          </w:p>
        </w:tc>
        <w:tc>
          <w:tcPr>
            <w:tcW w:w="2290" w:type="pct"/>
            <w:gridSpan w:val="2"/>
            <w:shd w:val="clear" w:color="auto" w:fill="auto"/>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治理措施</w:t>
            </w:r>
          </w:p>
        </w:tc>
        <w:tc>
          <w:tcPr>
            <w:tcW w:w="368" w:type="pct"/>
            <w:shd w:val="clear" w:color="auto" w:fill="auto"/>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处理效果</w:t>
            </w:r>
          </w:p>
        </w:tc>
        <w:tc>
          <w:tcPr>
            <w:tcW w:w="1398" w:type="pct"/>
            <w:shd w:val="clear" w:color="auto" w:fill="auto"/>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6" w:type="pct"/>
            <w:vMerge w:val="restart"/>
            <w:shd w:val="clear" w:color="auto" w:fill="auto"/>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废气治理</w:t>
            </w:r>
          </w:p>
        </w:tc>
        <w:tc>
          <w:tcPr>
            <w:tcW w:w="676" w:type="pct"/>
            <w:shd w:val="clear" w:color="auto" w:fill="auto"/>
            <w:vAlign w:val="center"/>
          </w:tcPr>
          <w:p>
            <w:pPr>
              <w:widowControl/>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有机废气</w:t>
            </w:r>
          </w:p>
        </w:tc>
        <w:tc>
          <w:tcPr>
            <w:tcW w:w="2290" w:type="pct"/>
            <w:gridSpan w:val="2"/>
            <w:shd w:val="clear" w:color="auto" w:fill="auto"/>
            <w:vAlign w:val="center"/>
          </w:tcPr>
          <w:p>
            <w:pPr>
              <w:widowControl/>
              <w:jc w:val="left"/>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eastAsia="zh-CN"/>
              </w:rPr>
              <w:t>依托已建成的</w:t>
            </w:r>
            <w:r>
              <w:rPr>
                <w:rFonts w:hint="default" w:ascii="Times New Roman" w:hAnsi="Times New Roman" w:cs="Times New Roman"/>
                <w:color w:val="auto"/>
                <w:kern w:val="0"/>
                <w:sz w:val="21"/>
                <w:szCs w:val="21"/>
                <w:lang w:val="en-US" w:eastAsia="zh-CN"/>
              </w:rPr>
              <w:t>1套活性炭吸附塔治理后由1根15m排气筒DA008排放</w:t>
            </w:r>
          </w:p>
        </w:tc>
        <w:tc>
          <w:tcPr>
            <w:tcW w:w="368" w:type="pct"/>
            <w:shd w:val="clear" w:color="auto" w:fill="auto"/>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达标排放</w:t>
            </w:r>
          </w:p>
        </w:tc>
        <w:tc>
          <w:tcPr>
            <w:tcW w:w="1398" w:type="pct"/>
            <w:vMerge w:val="restart"/>
            <w:shd w:val="clear" w:color="auto" w:fill="auto"/>
            <w:vAlign w:val="center"/>
          </w:tcPr>
          <w:p>
            <w:pPr>
              <w:widowControl/>
              <w:jc w:val="left"/>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rPr>
              <w:t>《大气污染物综合排放标准》（GB16297-1996）表2浓度限值</w:t>
            </w:r>
            <w:r>
              <w:rPr>
                <w:rFonts w:hint="default" w:ascii="Times New Roman" w:hAnsi="Times New Roman" w:cs="Times New Roman"/>
                <w:color w:val="auto"/>
                <w:kern w:val="0"/>
                <w:sz w:val="21"/>
                <w:szCs w:val="21"/>
                <w:lang w:eastAsia="zh-CN"/>
              </w:rPr>
              <w:t>，排放速率再严格</w:t>
            </w:r>
            <w:r>
              <w:rPr>
                <w:rFonts w:hint="default" w:ascii="Times New Roman" w:hAnsi="Times New Roman" w:cs="Times New Roman"/>
                <w:color w:val="auto"/>
                <w:kern w:val="0"/>
                <w:sz w:val="21"/>
                <w:szCs w:val="21"/>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6" w:type="pct"/>
            <w:vMerge w:val="continue"/>
            <w:shd w:val="clear" w:color="auto" w:fill="auto"/>
            <w:vAlign w:val="center"/>
          </w:tcPr>
          <w:p>
            <w:pPr>
              <w:widowControl/>
              <w:jc w:val="center"/>
              <w:rPr>
                <w:rFonts w:hint="default" w:ascii="Times New Roman" w:hAnsi="Times New Roman" w:cs="Times New Roman"/>
                <w:color w:val="auto"/>
                <w:kern w:val="0"/>
                <w:sz w:val="21"/>
                <w:szCs w:val="21"/>
              </w:rPr>
            </w:pPr>
          </w:p>
        </w:tc>
        <w:tc>
          <w:tcPr>
            <w:tcW w:w="676" w:type="pct"/>
            <w:shd w:val="clear" w:color="auto" w:fill="auto"/>
            <w:vAlign w:val="center"/>
          </w:tcPr>
          <w:p>
            <w:pPr>
              <w:widowControl/>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切割粉尘</w:t>
            </w:r>
          </w:p>
        </w:tc>
        <w:tc>
          <w:tcPr>
            <w:tcW w:w="2290" w:type="pct"/>
            <w:gridSpan w:val="2"/>
            <w:shd w:val="clear" w:color="auto" w:fill="auto"/>
            <w:vAlign w:val="center"/>
          </w:tcPr>
          <w:p>
            <w:pPr>
              <w:widowControl/>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lang w:eastAsia="zh-CN"/>
              </w:rPr>
              <w:t>依托已建成的</w:t>
            </w:r>
            <w:r>
              <w:rPr>
                <w:rFonts w:hint="default" w:ascii="Times New Roman" w:hAnsi="Times New Roman" w:cs="Times New Roman"/>
                <w:color w:val="auto"/>
                <w:kern w:val="0"/>
                <w:sz w:val="21"/>
                <w:szCs w:val="21"/>
                <w:lang w:val="en-US" w:eastAsia="zh-CN"/>
              </w:rPr>
              <w:t>1套</w:t>
            </w:r>
            <w:r>
              <w:rPr>
                <w:rFonts w:hint="default" w:ascii="Times New Roman" w:hAnsi="Times New Roman" w:cs="Times New Roman"/>
                <w:color w:val="auto"/>
                <w:kern w:val="0"/>
                <w:sz w:val="21"/>
                <w:szCs w:val="21"/>
                <w:lang w:val="en-US" w:eastAsia="zh-CN"/>
              </w:rPr>
              <w:t>文丘里洗涤塔</w:t>
            </w:r>
            <w:r>
              <w:rPr>
                <w:rFonts w:hint="default" w:ascii="Times New Roman" w:hAnsi="Times New Roman" w:cs="Times New Roman"/>
                <w:color w:val="auto"/>
                <w:kern w:val="0"/>
                <w:sz w:val="21"/>
                <w:szCs w:val="21"/>
                <w:lang w:val="en-US" w:eastAsia="zh-CN"/>
              </w:rPr>
              <w:t>治理后由1根15m排气筒DA00</w:t>
            </w:r>
            <w:r>
              <w:rPr>
                <w:rFonts w:hint="default" w:ascii="Times New Roman" w:hAnsi="Times New Roman" w:cs="Times New Roman"/>
                <w:color w:val="auto"/>
                <w:kern w:val="0"/>
                <w:sz w:val="21"/>
                <w:szCs w:val="21"/>
                <w:lang w:val="en-US" w:eastAsia="zh-CN"/>
              </w:rPr>
              <w:t>9</w:t>
            </w:r>
            <w:r>
              <w:rPr>
                <w:rFonts w:hint="default" w:ascii="Times New Roman" w:hAnsi="Times New Roman" w:cs="Times New Roman"/>
                <w:color w:val="auto"/>
                <w:kern w:val="0"/>
                <w:sz w:val="21"/>
                <w:szCs w:val="21"/>
                <w:lang w:val="en-US" w:eastAsia="zh-CN"/>
              </w:rPr>
              <w:t>排放</w:t>
            </w:r>
          </w:p>
        </w:tc>
        <w:tc>
          <w:tcPr>
            <w:tcW w:w="368" w:type="pct"/>
            <w:shd w:val="clear" w:color="auto" w:fill="auto"/>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达标排放</w:t>
            </w:r>
          </w:p>
        </w:tc>
        <w:tc>
          <w:tcPr>
            <w:tcW w:w="1398" w:type="pct"/>
            <w:vMerge w:val="continue"/>
            <w:shd w:val="clear" w:color="auto" w:fill="auto"/>
            <w:vAlign w:val="center"/>
          </w:tcPr>
          <w:p>
            <w:pPr>
              <w:widowControl/>
              <w:jc w:val="left"/>
              <w:rPr>
                <w:rFonts w:hint="default" w:ascii="Times New Roman" w:hAnsi="Times New Roman" w:cs="Times New Roman"/>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266" w:type="pct"/>
            <w:vMerge w:val="continue"/>
            <w:shd w:val="clear" w:color="auto" w:fill="auto"/>
            <w:vAlign w:val="center"/>
          </w:tcPr>
          <w:p>
            <w:pPr>
              <w:widowControl/>
              <w:jc w:val="center"/>
              <w:rPr>
                <w:rFonts w:hint="default" w:ascii="Times New Roman" w:hAnsi="Times New Roman" w:cs="Times New Roman"/>
                <w:color w:val="auto"/>
                <w:kern w:val="0"/>
                <w:sz w:val="21"/>
                <w:szCs w:val="21"/>
              </w:rPr>
            </w:pPr>
          </w:p>
        </w:tc>
        <w:tc>
          <w:tcPr>
            <w:tcW w:w="676" w:type="pct"/>
            <w:shd w:val="clear" w:color="auto" w:fill="auto"/>
            <w:vAlign w:val="center"/>
          </w:tcPr>
          <w:p>
            <w:pPr>
              <w:widowControl/>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lang w:eastAsia="zh-CN"/>
              </w:rPr>
              <w:t>酸洗废气</w:t>
            </w:r>
          </w:p>
        </w:tc>
        <w:tc>
          <w:tcPr>
            <w:tcW w:w="2290" w:type="pct"/>
            <w:gridSpan w:val="2"/>
            <w:shd w:val="clear" w:color="auto" w:fill="auto"/>
            <w:vAlign w:val="center"/>
          </w:tcPr>
          <w:p>
            <w:pPr>
              <w:widowControl/>
              <w:jc w:val="left"/>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rPr>
              <w:t>设置1套</w:t>
            </w:r>
            <w:r>
              <w:rPr>
                <w:rFonts w:hint="default" w:ascii="Times New Roman" w:hAnsi="Times New Roman" w:cs="Times New Roman"/>
                <w:color w:val="auto"/>
                <w:sz w:val="21"/>
                <w:szCs w:val="21"/>
                <w:lang w:eastAsia="zh-CN"/>
              </w:rPr>
              <w:t>四级氢氧化钠洗涤塔</w:t>
            </w:r>
            <w:r>
              <w:rPr>
                <w:rFonts w:hint="default" w:ascii="Times New Roman" w:hAnsi="Times New Roman" w:cs="Times New Roman"/>
                <w:color w:val="auto"/>
                <w:sz w:val="21"/>
                <w:szCs w:val="21"/>
              </w:rPr>
              <w:t>治理后由</w:t>
            </w:r>
            <w:r>
              <w:rPr>
                <w:rFonts w:hint="default" w:ascii="Times New Roman" w:hAnsi="Times New Roman" w:cs="Times New Roman"/>
                <w:color w:val="auto"/>
                <w:kern w:val="0"/>
                <w:sz w:val="21"/>
                <w:szCs w:val="21"/>
              </w:rPr>
              <w:t>1根</w:t>
            </w:r>
            <w:r>
              <w:rPr>
                <w:rFonts w:hint="default" w:ascii="Times New Roman" w:hAnsi="Times New Roman" w:cs="Times New Roman"/>
                <w:color w:val="auto"/>
                <w:kern w:val="0"/>
                <w:sz w:val="21"/>
                <w:szCs w:val="21"/>
                <w:lang w:val="en-US" w:eastAsia="zh-CN"/>
              </w:rPr>
              <w:t>15m</w:t>
            </w:r>
            <w:r>
              <w:rPr>
                <w:rFonts w:hint="default" w:ascii="Times New Roman" w:hAnsi="Times New Roman" w:cs="Times New Roman"/>
                <w:color w:val="auto"/>
                <w:kern w:val="0"/>
                <w:sz w:val="21"/>
                <w:szCs w:val="21"/>
              </w:rPr>
              <w:t>排气筒</w:t>
            </w:r>
            <w:r>
              <w:rPr>
                <w:rFonts w:hint="default" w:ascii="Times New Roman" w:hAnsi="Times New Roman" w:cs="Times New Roman"/>
                <w:color w:val="auto"/>
                <w:kern w:val="0"/>
                <w:sz w:val="21"/>
                <w:szCs w:val="21"/>
                <w:lang w:eastAsia="zh-CN"/>
              </w:rPr>
              <w:t>DA0</w:t>
            </w:r>
            <w:r>
              <w:rPr>
                <w:rFonts w:hint="default" w:ascii="Times New Roman" w:hAnsi="Times New Roman" w:cs="Times New Roman"/>
                <w:color w:val="auto"/>
                <w:kern w:val="0"/>
                <w:sz w:val="21"/>
                <w:szCs w:val="21"/>
                <w:lang w:val="en-US" w:eastAsia="zh-CN"/>
              </w:rPr>
              <w:t>11</w:t>
            </w:r>
            <w:r>
              <w:rPr>
                <w:rFonts w:hint="default" w:ascii="Times New Roman" w:hAnsi="Times New Roman" w:cs="Times New Roman"/>
                <w:color w:val="auto"/>
                <w:kern w:val="0"/>
                <w:sz w:val="21"/>
                <w:szCs w:val="21"/>
              </w:rPr>
              <w:t>排放</w:t>
            </w:r>
          </w:p>
        </w:tc>
        <w:tc>
          <w:tcPr>
            <w:tcW w:w="368" w:type="pct"/>
            <w:shd w:val="clear" w:color="auto" w:fill="auto"/>
            <w:vAlign w:val="center"/>
          </w:tcPr>
          <w:p>
            <w:pPr>
              <w:widowControl/>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rPr>
              <w:t>达标排放</w:t>
            </w:r>
          </w:p>
        </w:tc>
        <w:tc>
          <w:tcPr>
            <w:tcW w:w="1398" w:type="pct"/>
            <w:vMerge w:val="continue"/>
            <w:shd w:val="clear" w:color="auto" w:fill="auto"/>
            <w:vAlign w:val="center"/>
          </w:tcPr>
          <w:p>
            <w:pPr>
              <w:widowControl/>
              <w:jc w:val="left"/>
              <w:rPr>
                <w:rFonts w:hint="default" w:ascii="Times New Roman" w:hAnsi="Times New Roman" w:eastAsia="宋体" w:cs="Times New Roman"/>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6" w:type="pct"/>
            <w:vMerge w:val="continue"/>
            <w:shd w:val="clear" w:color="auto" w:fill="auto"/>
            <w:vAlign w:val="center"/>
          </w:tcPr>
          <w:p>
            <w:pPr>
              <w:widowControl/>
              <w:jc w:val="center"/>
              <w:rPr>
                <w:rFonts w:hint="default" w:ascii="Times New Roman" w:hAnsi="Times New Roman" w:cs="Times New Roman"/>
                <w:color w:val="auto"/>
                <w:kern w:val="0"/>
                <w:sz w:val="21"/>
                <w:szCs w:val="21"/>
              </w:rPr>
            </w:pPr>
          </w:p>
        </w:tc>
        <w:tc>
          <w:tcPr>
            <w:tcW w:w="676" w:type="pct"/>
            <w:shd w:val="clear" w:color="auto" w:fill="auto"/>
            <w:vAlign w:val="center"/>
          </w:tcPr>
          <w:p>
            <w:pPr>
              <w:widowControl/>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恶臭</w:t>
            </w:r>
          </w:p>
        </w:tc>
        <w:tc>
          <w:tcPr>
            <w:tcW w:w="2290" w:type="pct"/>
            <w:gridSpan w:val="2"/>
            <w:shd w:val="clear" w:color="auto" w:fill="auto"/>
            <w:vAlign w:val="center"/>
          </w:tcPr>
          <w:p>
            <w:pPr>
              <w:widowControl/>
              <w:jc w:val="left"/>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eastAsia="zh-CN"/>
              </w:rPr>
              <w:t>依托已建成的</w:t>
            </w:r>
            <w:r>
              <w:rPr>
                <w:rFonts w:hint="default" w:ascii="Times New Roman" w:hAnsi="Times New Roman" w:cs="Times New Roman"/>
                <w:color w:val="auto"/>
                <w:kern w:val="0"/>
                <w:sz w:val="21"/>
                <w:szCs w:val="21"/>
                <w:lang w:val="en-US" w:eastAsia="zh-CN"/>
              </w:rPr>
              <w:t>1套除臭系统（碱吸收）治理后</w:t>
            </w:r>
            <w:r>
              <w:rPr>
                <w:rFonts w:hint="default" w:ascii="Times New Roman" w:hAnsi="Times New Roman" w:cs="Times New Roman"/>
                <w:color w:val="auto"/>
                <w:sz w:val="21"/>
                <w:szCs w:val="21"/>
              </w:rPr>
              <w:t>由</w:t>
            </w:r>
            <w:r>
              <w:rPr>
                <w:rFonts w:hint="default" w:ascii="Times New Roman" w:hAnsi="Times New Roman" w:cs="Times New Roman"/>
                <w:color w:val="auto"/>
                <w:kern w:val="0"/>
                <w:sz w:val="21"/>
                <w:szCs w:val="21"/>
              </w:rPr>
              <w:t>1根</w:t>
            </w:r>
            <w:r>
              <w:rPr>
                <w:rFonts w:hint="default" w:ascii="Times New Roman" w:hAnsi="Times New Roman" w:cs="Times New Roman"/>
                <w:color w:val="auto"/>
                <w:kern w:val="0"/>
                <w:sz w:val="21"/>
                <w:szCs w:val="21"/>
                <w:lang w:val="en-US" w:eastAsia="zh-CN"/>
              </w:rPr>
              <w:t>15m</w:t>
            </w:r>
            <w:r>
              <w:rPr>
                <w:rFonts w:hint="default" w:ascii="Times New Roman" w:hAnsi="Times New Roman" w:cs="Times New Roman"/>
                <w:color w:val="auto"/>
                <w:kern w:val="0"/>
                <w:sz w:val="21"/>
                <w:szCs w:val="21"/>
              </w:rPr>
              <w:t>排气筒</w:t>
            </w:r>
            <w:r>
              <w:rPr>
                <w:rFonts w:hint="default" w:ascii="Times New Roman" w:hAnsi="Times New Roman" w:cs="Times New Roman"/>
                <w:color w:val="auto"/>
                <w:kern w:val="0"/>
                <w:sz w:val="21"/>
                <w:szCs w:val="21"/>
                <w:lang w:eastAsia="zh-CN"/>
              </w:rPr>
              <w:t>DA0</w:t>
            </w:r>
            <w:r>
              <w:rPr>
                <w:rFonts w:hint="default" w:ascii="Times New Roman" w:hAnsi="Times New Roman" w:cs="Times New Roman"/>
                <w:color w:val="auto"/>
                <w:kern w:val="0"/>
                <w:sz w:val="21"/>
                <w:szCs w:val="21"/>
                <w:lang w:val="en-US" w:eastAsia="zh-CN"/>
              </w:rPr>
              <w:t>1</w:t>
            </w:r>
            <w:r>
              <w:rPr>
                <w:rFonts w:hint="default" w:ascii="Times New Roman" w:hAnsi="Times New Roman" w:cs="Times New Roman"/>
                <w:color w:val="auto"/>
                <w:kern w:val="0"/>
                <w:sz w:val="21"/>
                <w:szCs w:val="21"/>
                <w:lang w:val="en-US" w:eastAsia="zh-CN"/>
              </w:rPr>
              <w:t>0</w:t>
            </w:r>
            <w:r>
              <w:rPr>
                <w:rFonts w:hint="default" w:ascii="Times New Roman" w:hAnsi="Times New Roman" w:cs="Times New Roman"/>
                <w:color w:val="auto"/>
                <w:kern w:val="0"/>
                <w:sz w:val="21"/>
                <w:szCs w:val="21"/>
              </w:rPr>
              <w:t>排放</w:t>
            </w:r>
          </w:p>
        </w:tc>
        <w:tc>
          <w:tcPr>
            <w:tcW w:w="368" w:type="pct"/>
            <w:shd w:val="clear" w:color="auto" w:fill="auto"/>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达标排放</w:t>
            </w:r>
          </w:p>
        </w:tc>
        <w:tc>
          <w:tcPr>
            <w:tcW w:w="1398" w:type="pct"/>
            <w:shd w:val="clear" w:color="auto" w:fill="auto"/>
            <w:vAlign w:val="center"/>
          </w:tcPr>
          <w:p>
            <w:pPr>
              <w:widowControl/>
              <w:jc w:val="left"/>
              <w:rPr>
                <w:rFonts w:hint="default" w:ascii="Times New Roman" w:hAnsi="Times New Roman" w:eastAsia="宋体" w:cs="Times New Roman"/>
                <w:color w:val="auto"/>
                <w:kern w:val="0"/>
                <w:sz w:val="21"/>
                <w:szCs w:val="21"/>
                <w:lang w:eastAsia="zh-CN"/>
              </w:rPr>
            </w:pPr>
            <w:r>
              <w:rPr>
                <w:rFonts w:hint="default" w:ascii="Times New Roman" w:hAnsi="Times New Roman" w:cs="Times New Roman"/>
                <w:color w:val="auto"/>
                <w:kern w:val="0"/>
                <w:sz w:val="21"/>
                <w:szCs w:val="21"/>
                <w:lang w:eastAsia="zh-CN"/>
              </w:rPr>
              <w:t>《恶臭污染物排放标准》（</w:t>
            </w:r>
            <w:r>
              <w:rPr>
                <w:rFonts w:hint="default" w:ascii="Times New Roman" w:hAnsi="Times New Roman" w:cs="Times New Roman"/>
                <w:color w:val="auto"/>
                <w:kern w:val="0"/>
                <w:sz w:val="21"/>
                <w:szCs w:val="21"/>
                <w:lang w:val="en-US" w:eastAsia="zh-CN"/>
              </w:rPr>
              <w:t>GB14554-93</w:t>
            </w:r>
            <w:r>
              <w:rPr>
                <w:rFonts w:hint="default" w:ascii="Times New Roman" w:hAnsi="Times New Roman" w:cs="Times New Roman"/>
                <w:color w:val="auto"/>
                <w:kern w:val="0"/>
                <w:sz w:val="21"/>
                <w:szCs w:val="21"/>
                <w:lang w:eastAsia="zh-CN"/>
              </w:rPr>
              <w:t>）表</w:t>
            </w:r>
            <w:r>
              <w:rPr>
                <w:rFonts w:hint="default" w:ascii="Times New Roman" w:hAnsi="Times New Roman" w:cs="Times New Roman"/>
                <w:color w:val="auto"/>
                <w:kern w:val="0"/>
                <w:sz w:val="21"/>
                <w:szCs w:val="21"/>
                <w:lang w:val="en-US" w:eastAsia="zh-CN"/>
              </w:rPr>
              <w:t>2</w:t>
            </w:r>
            <w:r>
              <w:rPr>
                <w:rFonts w:hint="default" w:ascii="Times New Roman" w:hAnsi="Times New Roman" w:cs="Times New Roman"/>
                <w:color w:val="auto"/>
                <w:kern w:val="0"/>
                <w:sz w:val="21"/>
                <w:szCs w:val="21"/>
                <w:lang w:val="en-US" w:eastAsia="zh-CN"/>
              </w:rPr>
              <w:t>中</w:t>
            </w:r>
            <w:r>
              <w:rPr>
                <w:rFonts w:hint="default" w:ascii="Times New Roman" w:hAnsi="Times New Roman" w:cs="Times New Roman"/>
                <w:color w:val="auto"/>
                <w:kern w:val="0"/>
                <w:sz w:val="21"/>
                <w:szCs w:val="21"/>
                <w:lang w:val="en-US" w:eastAsia="zh-CN"/>
              </w:rPr>
              <w:t>排放速率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6" w:type="pct"/>
            <w:vMerge w:val="restart"/>
            <w:shd w:val="clear" w:color="auto" w:fill="auto"/>
            <w:vAlign w:val="center"/>
          </w:tcPr>
          <w:p>
            <w:pPr>
              <w:widowControl/>
              <w:jc w:val="center"/>
              <w:rPr>
                <w:rFonts w:hint="default" w:ascii="Times New Roman" w:hAnsi="Times New Roman" w:eastAsia="宋体" w:cs="Times New Roman"/>
                <w:color w:val="auto"/>
                <w:kern w:val="0"/>
                <w:sz w:val="21"/>
                <w:szCs w:val="21"/>
                <w:lang w:eastAsia="zh-CN"/>
              </w:rPr>
            </w:pPr>
            <w:r>
              <w:rPr>
                <w:rFonts w:hint="default" w:ascii="Times New Roman" w:hAnsi="Times New Roman" w:cs="Times New Roman"/>
                <w:color w:val="auto"/>
                <w:kern w:val="0"/>
                <w:sz w:val="21"/>
                <w:szCs w:val="21"/>
                <w:lang w:eastAsia="zh-CN"/>
              </w:rPr>
              <w:t>废水治理</w:t>
            </w:r>
          </w:p>
        </w:tc>
        <w:tc>
          <w:tcPr>
            <w:tcW w:w="676" w:type="pct"/>
            <w:vMerge w:val="restart"/>
            <w:shd w:val="clear" w:color="auto" w:fill="auto"/>
            <w:vAlign w:val="center"/>
          </w:tcPr>
          <w:p>
            <w:pPr>
              <w:widowControl/>
              <w:jc w:val="center"/>
              <w:rPr>
                <w:rFonts w:hint="default" w:ascii="Times New Roman" w:hAnsi="Times New Roman" w:eastAsia="宋体" w:cs="Times New Roman"/>
                <w:color w:val="auto"/>
                <w:kern w:val="0"/>
                <w:sz w:val="21"/>
                <w:szCs w:val="21"/>
                <w:lang w:eastAsia="zh-CN"/>
              </w:rPr>
            </w:pPr>
            <w:r>
              <w:rPr>
                <w:rFonts w:hint="default" w:ascii="Times New Roman" w:hAnsi="Times New Roman" w:cs="Times New Roman"/>
                <w:color w:val="auto"/>
                <w:kern w:val="0"/>
                <w:sz w:val="21"/>
                <w:szCs w:val="21"/>
                <w:lang w:eastAsia="zh-CN"/>
              </w:rPr>
              <w:t>生产废水</w:t>
            </w:r>
          </w:p>
        </w:tc>
        <w:tc>
          <w:tcPr>
            <w:tcW w:w="1652" w:type="pct"/>
            <w:shd w:val="clear" w:color="auto" w:fill="auto"/>
            <w:vAlign w:val="center"/>
          </w:tcPr>
          <w:p>
            <w:pPr>
              <w:widowControl/>
              <w:jc w:val="left"/>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lang w:eastAsia="zh-CN"/>
              </w:rPr>
              <w:t>切割依托已建成的</w:t>
            </w:r>
            <w:r>
              <w:rPr>
                <w:rFonts w:hint="default" w:ascii="Times New Roman" w:hAnsi="Times New Roman" w:cs="Times New Roman"/>
                <w:color w:val="auto"/>
                <w:kern w:val="0"/>
                <w:sz w:val="21"/>
                <w:szCs w:val="21"/>
                <w:lang w:val="en-US" w:eastAsia="zh-CN"/>
              </w:rPr>
              <w:t>11套总规模为55m</w:t>
            </w:r>
            <w:r>
              <w:rPr>
                <w:rFonts w:hint="default" w:ascii="Times New Roman" w:hAnsi="Times New Roman" w:cs="Times New Roman"/>
                <w:color w:val="auto"/>
                <w:kern w:val="0"/>
                <w:sz w:val="21"/>
                <w:szCs w:val="21"/>
                <w:vertAlign w:val="superscript"/>
                <w:lang w:val="en-US" w:eastAsia="zh-CN"/>
              </w:rPr>
              <w:t>3</w:t>
            </w:r>
            <w:r>
              <w:rPr>
                <w:rFonts w:hint="default" w:ascii="Times New Roman" w:hAnsi="Times New Roman" w:cs="Times New Roman"/>
                <w:color w:val="auto"/>
                <w:kern w:val="0"/>
                <w:sz w:val="21"/>
                <w:szCs w:val="21"/>
                <w:vertAlign w:val="baseline"/>
                <w:lang w:val="en-US" w:eastAsia="zh-CN"/>
              </w:rPr>
              <w:t>/h的隔膜压滤系统</w:t>
            </w:r>
            <w:r>
              <w:rPr>
                <w:rFonts w:hint="default" w:ascii="Times New Roman" w:hAnsi="Times New Roman" w:cs="Times New Roman"/>
                <w:color w:val="auto"/>
                <w:kern w:val="0"/>
                <w:sz w:val="21"/>
                <w:szCs w:val="21"/>
                <w:vertAlign w:val="baseline"/>
                <w:lang w:val="en-US" w:eastAsia="zh-CN"/>
              </w:rPr>
              <w:t>处理</w:t>
            </w:r>
          </w:p>
        </w:tc>
        <w:tc>
          <w:tcPr>
            <w:tcW w:w="638" w:type="pct"/>
            <w:vMerge w:val="restart"/>
            <w:shd w:val="clear" w:color="auto" w:fill="auto"/>
            <w:vAlign w:val="center"/>
          </w:tcPr>
          <w:p>
            <w:pPr>
              <w:widowControl/>
              <w:jc w:val="left"/>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lang w:eastAsia="zh-CN"/>
              </w:rPr>
              <w:t>依托已建成的处理规模为</w:t>
            </w:r>
            <w:r>
              <w:rPr>
                <w:rFonts w:hint="default" w:ascii="Times New Roman" w:hAnsi="Times New Roman" w:cs="Times New Roman"/>
                <w:color w:val="auto"/>
                <w:kern w:val="0"/>
                <w:sz w:val="21"/>
                <w:szCs w:val="21"/>
                <w:lang w:val="en-US" w:eastAsia="zh-CN"/>
              </w:rPr>
              <w:t>353m</w:t>
            </w:r>
            <w:r>
              <w:rPr>
                <w:rFonts w:hint="default" w:ascii="Times New Roman" w:hAnsi="Times New Roman" w:cs="Times New Roman"/>
                <w:color w:val="auto"/>
                <w:kern w:val="0"/>
                <w:sz w:val="21"/>
                <w:szCs w:val="21"/>
                <w:vertAlign w:val="superscript"/>
                <w:lang w:val="en-US" w:eastAsia="zh-CN"/>
              </w:rPr>
              <w:t>3</w:t>
            </w:r>
            <w:r>
              <w:rPr>
                <w:rFonts w:hint="default" w:ascii="Times New Roman" w:hAnsi="Times New Roman" w:cs="Times New Roman"/>
                <w:color w:val="auto"/>
                <w:kern w:val="0"/>
                <w:sz w:val="21"/>
                <w:szCs w:val="21"/>
                <w:vertAlign w:val="baseline"/>
                <w:lang w:val="en-US" w:eastAsia="zh-CN"/>
              </w:rPr>
              <w:t>/h的综合污水处理站处理后外排至市政污水管网，最终进入楚雄市富民工业园区污水处理厂</w:t>
            </w:r>
          </w:p>
        </w:tc>
        <w:tc>
          <w:tcPr>
            <w:tcW w:w="368" w:type="pct"/>
            <w:vMerge w:val="restart"/>
            <w:shd w:val="clear" w:color="auto" w:fill="auto"/>
            <w:vAlign w:val="center"/>
          </w:tcPr>
          <w:p>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达标排放</w:t>
            </w:r>
          </w:p>
        </w:tc>
        <w:tc>
          <w:tcPr>
            <w:tcW w:w="1398" w:type="pct"/>
            <w:vMerge w:val="restart"/>
            <w:shd w:val="clear" w:color="auto" w:fill="auto"/>
            <w:vAlign w:val="center"/>
          </w:tcPr>
          <w:p>
            <w:pPr>
              <w:widowControl/>
              <w:jc w:val="left"/>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达到</w:t>
            </w:r>
            <w:r>
              <w:rPr>
                <w:rFonts w:hint="default" w:ascii="Times New Roman" w:hAnsi="Times New Roman" w:cs="Times New Roman"/>
                <w:color w:val="auto"/>
                <w:sz w:val="21"/>
                <w:szCs w:val="21"/>
              </w:rPr>
              <w:t>《污水综合排放标准》（GB8978-1996）三级标准、《污水排入城镇下水道水质标准》(GB/T31962-2015)B级标准值、《电子工业水污染物排放标准》(GB39731-2020)间接排放标准值三者取严执行标准值</w:t>
            </w:r>
            <w:r>
              <w:rPr>
                <w:rFonts w:hint="default" w:ascii="Times New Roman" w:hAnsi="Times New Roman" w:cs="Times New Roman"/>
                <w:color w:val="auto"/>
                <w:sz w:val="21"/>
                <w:szCs w:val="21"/>
                <w:lang w:eastAsia="zh-CN"/>
              </w:rPr>
              <w:t>以及本次环评提出的特别排放限值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6" w:type="pct"/>
            <w:vMerge w:val="continue"/>
            <w:shd w:val="clear" w:color="auto" w:fill="auto"/>
            <w:vAlign w:val="center"/>
          </w:tcPr>
          <w:p>
            <w:pPr>
              <w:widowControl/>
              <w:jc w:val="center"/>
              <w:rPr>
                <w:rFonts w:hint="default" w:ascii="Times New Roman" w:hAnsi="Times New Roman" w:cs="Times New Roman"/>
                <w:color w:val="auto"/>
                <w:kern w:val="0"/>
                <w:sz w:val="21"/>
                <w:szCs w:val="21"/>
                <w:lang w:val="en-US" w:eastAsia="zh-CN"/>
              </w:rPr>
            </w:pPr>
          </w:p>
        </w:tc>
        <w:tc>
          <w:tcPr>
            <w:tcW w:w="676" w:type="pct"/>
            <w:vMerge w:val="continue"/>
            <w:shd w:val="clear" w:color="auto" w:fill="auto"/>
            <w:vAlign w:val="center"/>
          </w:tcPr>
          <w:p>
            <w:pPr>
              <w:widowControl/>
              <w:jc w:val="center"/>
              <w:rPr>
                <w:rFonts w:hint="default" w:ascii="Times New Roman" w:hAnsi="Times New Roman" w:eastAsia="宋体" w:cs="Times New Roman"/>
                <w:color w:val="auto"/>
                <w:kern w:val="0"/>
                <w:sz w:val="21"/>
                <w:szCs w:val="21"/>
                <w:lang w:val="en-US" w:eastAsia="zh-CN"/>
              </w:rPr>
            </w:pPr>
          </w:p>
        </w:tc>
        <w:tc>
          <w:tcPr>
            <w:tcW w:w="1652" w:type="pct"/>
            <w:shd w:val="clear" w:color="auto" w:fill="auto"/>
            <w:vAlign w:val="center"/>
          </w:tcPr>
          <w:p>
            <w:pPr>
              <w:widowControl/>
              <w:jc w:val="left"/>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lang w:eastAsia="zh-CN"/>
              </w:rPr>
              <w:t>含氟废水依托已建成的</w:t>
            </w:r>
            <w:r>
              <w:rPr>
                <w:rFonts w:hint="default" w:ascii="Times New Roman" w:hAnsi="Times New Roman" w:cs="Times New Roman"/>
                <w:color w:val="auto"/>
                <w:kern w:val="0"/>
                <w:sz w:val="21"/>
                <w:szCs w:val="21"/>
                <w:lang w:val="en-US" w:eastAsia="zh-CN"/>
              </w:rPr>
              <w:t>处理规模为100m</w:t>
            </w:r>
            <w:r>
              <w:rPr>
                <w:rFonts w:hint="default" w:ascii="Times New Roman" w:hAnsi="Times New Roman" w:cs="Times New Roman"/>
                <w:color w:val="auto"/>
                <w:kern w:val="0"/>
                <w:sz w:val="21"/>
                <w:szCs w:val="21"/>
                <w:vertAlign w:val="superscript"/>
                <w:lang w:val="en-US" w:eastAsia="zh-CN"/>
              </w:rPr>
              <w:t>3</w:t>
            </w:r>
            <w:r>
              <w:rPr>
                <w:rFonts w:hint="default" w:ascii="Times New Roman" w:hAnsi="Times New Roman" w:cs="Times New Roman"/>
                <w:color w:val="auto"/>
                <w:kern w:val="0"/>
                <w:sz w:val="21"/>
                <w:szCs w:val="21"/>
                <w:vertAlign w:val="baseline"/>
                <w:lang w:val="en-US" w:eastAsia="zh-CN"/>
              </w:rPr>
              <w:t>/h的含氟废水处理站，处理工艺为“</w:t>
            </w:r>
            <w:r>
              <w:rPr>
                <w:rFonts w:hint="default" w:ascii="Times New Roman" w:hAnsi="Times New Roman" w:cs="Times New Roman"/>
                <w:color w:val="auto"/>
                <w:kern w:val="0"/>
                <w:sz w:val="21"/>
                <w:szCs w:val="21"/>
                <w:vertAlign w:val="baseline"/>
                <w:lang w:val="en-US" w:eastAsia="zh-CN"/>
              </w:rPr>
              <w:t>混凝沉淀+AO</w:t>
            </w:r>
            <w:r>
              <w:rPr>
                <w:rFonts w:hint="default" w:ascii="Times New Roman" w:hAnsi="Times New Roman" w:cs="Times New Roman"/>
                <w:color w:val="auto"/>
                <w:kern w:val="0"/>
                <w:sz w:val="21"/>
                <w:szCs w:val="21"/>
                <w:vertAlign w:val="baseline"/>
                <w:lang w:val="en-US" w:eastAsia="zh-CN"/>
              </w:rPr>
              <w:t>”</w:t>
            </w:r>
            <w:r>
              <w:rPr>
                <w:rFonts w:hint="default" w:ascii="Times New Roman" w:hAnsi="Times New Roman" w:cs="Times New Roman"/>
                <w:color w:val="auto"/>
                <w:kern w:val="0"/>
                <w:sz w:val="21"/>
                <w:szCs w:val="21"/>
                <w:vertAlign w:val="baseline"/>
                <w:lang w:val="en-US" w:eastAsia="zh-CN"/>
              </w:rPr>
              <w:t>工艺</w:t>
            </w:r>
          </w:p>
        </w:tc>
        <w:tc>
          <w:tcPr>
            <w:tcW w:w="638" w:type="pct"/>
            <w:vMerge w:val="continue"/>
            <w:shd w:val="clear" w:color="auto" w:fill="auto"/>
            <w:vAlign w:val="center"/>
          </w:tcPr>
          <w:p>
            <w:pPr>
              <w:widowControl/>
              <w:jc w:val="left"/>
              <w:rPr>
                <w:rFonts w:hint="default" w:ascii="Times New Roman" w:hAnsi="Times New Roman" w:cs="Times New Roman"/>
                <w:color w:val="auto"/>
                <w:kern w:val="0"/>
                <w:sz w:val="21"/>
                <w:szCs w:val="21"/>
                <w:lang w:eastAsia="zh-CN"/>
              </w:rPr>
            </w:pPr>
          </w:p>
        </w:tc>
        <w:tc>
          <w:tcPr>
            <w:tcW w:w="368" w:type="pct"/>
            <w:vMerge w:val="continue"/>
            <w:shd w:val="clear" w:color="auto" w:fill="auto"/>
            <w:vAlign w:val="center"/>
          </w:tcPr>
          <w:p>
            <w:pPr>
              <w:widowControl/>
              <w:jc w:val="center"/>
              <w:rPr>
                <w:rFonts w:hint="default" w:ascii="Times New Roman" w:hAnsi="Times New Roman" w:eastAsia="宋体" w:cs="Times New Roman"/>
                <w:color w:val="auto"/>
                <w:kern w:val="0"/>
                <w:sz w:val="21"/>
                <w:szCs w:val="21"/>
                <w:lang w:val="en-US" w:eastAsia="zh-CN"/>
              </w:rPr>
            </w:pPr>
          </w:p>
        </w:tc>
        <w:tc>
          <w:tcPr>
            <w:tcW w:w="1398" w:type="pct"/>
            <w:vMerge w:val="continue"/>
            <w:shd w:val="clear" w:color="auto" w:fill="auto"/>
            <w:vAlign w:val="center"/>
          </w:tcPr>
          <w:p>
            <w:pPr>
              <w:widowControl/>
              <w:jc w:val="left"/>
              <w:rPr>
                <w:rFonts w:hint="default" w:ascii="Times New Roman" w:hAnsi="Times New Roman" w:eastAsia="宋体" w:cs="Times New Roman"/>
                <w:color w:val="auto"/>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6" w:type="pct"/>
            <w:vMerge w:val="continue"/>
            <w:shd w:val="clear" w:color="auto" w:fill="auto"/>
            <w:vAlign w:val="center"/>
          </w:tcPr>
          <w:p>
            <w:pPr>
              <w:widowControl/>
              <w:jc w:val="center"/>
              <w:rPr>
                <w:rFonts w:hint="default" w:ascii="Times New Roman" w:hAnsi="Times New Roman" w:cs="Times New Roman"/>
                <w:color w:val="auto"/>
                <w:kern w:val="0"/>
                <w:sz w:val="21"/>
                <w:szCs w:val="21"/>
                <w:lang w:val="en-US" w:eastAsia="zh-CN"/>
              </w:rPr>
            </w:pPr>
          </w:p>
        </w:tc>
        <w:tc>
          <w:tcPr>
            <w:tcW w:w="676" w:type="pct"/>
            <w:vMerge w:val="continue"/>
            <w:shd w:val="clear" w:color="auto" w:fill="auto"/>
            <w:vAlign w:val="center"/>
          </w:tcPr>
          <w:p>
            <w:pPr>
              <w:widowControl/>
              <w:jc w:val="center"/>
              <w:rPr>
                <w:rFonts w:hint="default" w:ascii="Times New Roman" w:hAnsi="Times New Roman" w:eastAsia="宋体" w:cs="Times New Roman"/>
                <w:color w:val="auto"/>
                <w:kern w:val="0"/>
                <w:sz w:val="21"/>
                <w:szCs w:val="21"/>
                <w:lang w:val="en-US" w:eastAsia="zh-CN"/>
              </w:rPr>
            </w:pPr>
          </w:p>
        </w:tc>
        <w:tc>
          <w:tcPr>
            <w:tcW w:w="1652" w:type="pct"/>
            <w:shd w:val="clear" w:color="auto" w:fill="auto"/>
            <w:vAlign w:val="center"/>
          </w:tcPr>
          <w:p>
            <w:pPr>
              <w:widowControl/>
              <w:jc w:val="left"/>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脱胶废水</w:t>
            </w:r>
          </w:p>
        </w:tc>
        <w:tc>
          <w:tcPr>
            <w:tcW w:w="638" w:type="pct"/>
            <w:vMerge w:val="continue"/>
            <w:shd w:val="clear" w:color="auto" w:fill="auto"/>
            <w:vAlign w:val="center"/>
          </w:tcPr>
          <w:p>
            <w:pPr>
              <w:widowControl/>
              <w:jc w:val="left"/>
              <w:rPr>
                <w:rFonts w:hint="default" w:ascii="Times New Roman" w:hAnsi="Times New Roman" w:cs="Times New Roman"/>
                <w:color w:val="auto"/>
                <w:kern w:val="0"/>
                <w:sz w:val="21"/>
                <w:szCs w:val="21"/>
                <w:lang w:val="en-US"/>
              </w:rPr>
            </w:pPr>
          </w:p>
        </w:tc>
        <w:tc>
          <w:tcPr>
            <w:tcW w:w="368" w:type="pct"/>
            <w:vMerge w:val="continue"/>
            <w:shd w:val="clear" w:color="auto" w:fill="auto"/>
            <w:vAlign w:val="center"/>
          </w:tcPr>
          <w:p>
            <w:pPr>
              <w:widowControl/>
              <w:jc w:val="center"/>
              <w:rPr>
                <w:rFonts w:hint="default" w:ascii="Times New Roman" w:hAnsi="Times New Roman" w:cs="Times New Roman"/>
                <w:color w:val="auto"/>
                <w:kern w:val="0"/>
                <w:sz w:val="21"/>
                <w:szCs w:val="21"/>
                <w:lang w:val="en-US"/>
              </w:rPr>
            </w:pPr>
          </w:p>
        </w:tc>
        <w:tc>
          <w:tcPr>
            <w:tcW w:w="1398" w:type="pct"/>
            <w:vMerge w:val="continue"/>
            <w:shd w:val="clear" w:color="auto" w:fill="auto"/>
            <w:vAlign w:val="center"/>
          </w:tcPr>
          <w:p>
            <w:pPr>
              <w:widowControl/>
              <w:jc w:val="left"/>
              <w:rPr>
                <w:rFonts w:hint="default" w:ascii="Times New Roman" w:hAnsi="Times New Roman" w:eastAsia="宋体" w:cs="Times New Roman"/>
                <w:color w:val="auto"/>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6" w:type="pct"/>
            <w:vMerge w:val="continue"/>
            <w:shd w:val="clear" w:color="auto" w:fill="auto"/>
            <w:vAlign w:val="center"/>
          </w:tcPr>
          <w:p>
            <w:pPr>
              <w:widowControl/>
              <w:jc w:val="center"/>
              <w:rPr>
                <w:rFonts w:hint="default" w:ascii="Times New Roman" w:hAnsi="Times New Roman" w:cs="Times New Roman"/>
                <w:color w:val="auto"/>
                <w:kern w:val="0"/>
                <w:sz w:val="21"/>
                <w:szCs w:val="21"/>
                <w:lang w:val="en-US" w:eastAsia="zh-CN"/>
              </w:rPr>
            </w:pPr>
          </w:p>
        </w:tc>
        <w:tc>
          <w:tcPr>
            <w:tcW w:w="676" w:type="pct"/>
            <w:vMerge w:val="continue"/>
            <w:shd w:val="clear" w:color="auto" w:fill="auto"/>
            <w:vAlign w:val="center"/>
          </w:tcPr>
          <w:p>
            <w:pPr>
              <w:widowControl/>
              <w:jc w:val="center"/>
              <w:rPr>
                <w:rFonts w:hint="default" w:ascii="Times New Roman" w:hAnsi="Times New Roman" w:eastAsia="宋体" w:cs="Times New Roman"/>
                <w:color w:val="auto"/>
                <w:kern w:val="0"/>
                <w:sz w:val="21"/>
                <w:szCs w:val="21"/>
                <w:lang w:val="en-US" w:eastAsia="zh-CN"/>
              </w:rPr>
            </w:pPr>
          </w:p>
        </w:tc>
        <w:tc>
          <w:tcPr>
            <w:tcW w:w="1652" w:type="pct"/>
            <w:shd w:val="clear" w:color="auto" w:fill="auto"/>
            <w:vAlign w:val="center"/>
          </w:tcPr>
          <w:p>
            <w:pPr>
              <w:widowControl/>
              <w:jc w:val="left"/>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初洗废水</w:t>
            </w:r>
          </w:p>
        </w:tc>
        <w:tc>
          <w:tcPr>
            <w:tcW w:w="638" w:type="pct"/>
            <w:vMerge w:val="continue"/>
            <w:shd w:val="clear" w:color="auto" w:fill="auto"/>
            <w:vAlign w:val="center"/>
          </w:tcPr>
          <w:p>
            <w:pPr>
              <w:widowControl/>
              <w:jc w:val="left"/>
              <w:rPr>
                <w:rFonts w:hint="default" w:ascii="Times New Roman" w:hAnsi="Times New Roman" w:cs="Times New Roman"/>
                <w:color w:val="auto"/>
                <w:kern w:val="0"/>
                <w:sz w:val="21"/>
                <w:szCs w:val="21"/>
                <w:lang w:val="en-US"/>
              </w:rPr>
            </w:pPr>
          </w:p>
        </w:tc>
        <w:tc>
          <w:tcPr>
            <w:tcW w:w="368" w:type="pct"/>
            <w:vMerge w:val="continue"/>
            <w:shd w:val="clear" w:color="auto" w:fill="auto"/>
            <w:vAlign w:val="center"/>
          </w:tcPr>
          <w:p>
            <w:pPr>
              <w:widowControl/>
              <w:jc w:val="center"/>
              <w:rPr>
                <w:rFonts w:hint="default" w:ascii="Times New Roman" w:hAnsi="Times New Roman" w:cs="Times New Roman"/>
                <w:color w:val="auto"/>
                <w:kern w:val="0"/>
                <w:sz w:val="21"/>
                <w:szCs w:val="21"/>
                <w:lang w:val="en-US"/>
              </w:rPr>
            </w:pPr>
          </w:p>
        </w:tc>
        <w:tc>
          <w:tcPr>
            <w:tcW w:w="1398" w:type="pct"/>
            <w:vMerge w:val="continue"/>
            <w:shd w:val="clear" w:color="auto" w:fill="auto"/>
            <w:vAlign w:val="center"/>
          </w:tcPr>
          <w:p>
            <w:pPr>
              <w:widowControl/>
              <w:jc w:val="left"/>
              <w:rPr>
                <w:rFonts w:hint="default" w:ascii="Times New Roman" w:hAnsi="Times New Roman" w:eastAsia="宋体" w:cs="Times New Roman"/>
                <w:color w:val="auto"/>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6" w:type="pct"/>
            <w:vMerge w:val="continue"/>
            <w:shd w:val="clear" w:color="auto" w:fill="auto"/>
            <w:vAlign w:val="center"/>
          </w:tcPr>
          <w:p>
            <w:pPr>
              <w:widowControl/>
              <w:jc w:val="center"/>
              <w:rPr>
                <w:rFonts w:hint="default" w:ascii="Times New Roman" w:hAnsi="Times New Roman" w:cs="Times New Roman"/>
                <w:color w:val="auto"/>
                <w:kern w:val="0"/>
                <w:sz w:val="21"/>
                <w:szCs w:val="21"/>
                <w:lang w:val="en-US" w:eastAsia="zh-CN"/>
              </w:rPr>
            </w:pPr>
          </w:p>
        </w:tc>
        <w:tc>
          <w:tcPr>
            <w:tcW w:w="676" w:type="pct"/>
            <w:vMerge w:val="continue"/>
            <w:shd w:val="clear" w:color="auto" w:fill="auto"/>
            <w:vAlign w:val="center"/>
          </w:tcPr>
          <w:p>
            <w:pPr>
              <w:widowControl/>
              <w:jc w:val="center"/>
              <w:rPr>
                <w:rFonts w:hint="default" w:ascii="Times New Roman" w:hAnsi="Times New Roman" w:eastAsia="宋体" w:cs="Times New Roman"/>
                <w:color w:val="auto"/>
                <w:kern w:val="0"/>
                <w:sz w:val="21"/>
                <w:szCs w:val="21"/>
                <w:lang w:val="en-US" w:eastAsia="zh-CN"/>
              </w:rPr>
            </w:pPr>
          </w:p>
        </w:tc>
        <w:tc>
          <w:tcPr>
            <w:tcW w:w="1652" w:type="pct"/>
            <w:shd w:val="clear" w:color="auto" w:fill="auto"/>
            <w:vAlign w:val="center"/>
          </w:tcPr>
          <w:p>
            <w:pPr>
              <w:widowControl/>
              <w:jc w:val="left"/>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精洗废水</w:t>
            </w:r>
          </w:p>
        </w:tc>
        <w:tc>
          <w:tcPr>
            <w:tcW w:w="638" w:type="pct"/>
            <w:vMerge w:val="continue"/>
            <w:shd w:val="clear" w:color="auto" w:fill="auto"/>
            <w:vAlign w:val="center"/>
          </w:tcPr>
          <w:p>
            <w:pPr>
              <w:widowControl/>
              <w:jc w:val="left"/>
              <w:rPr>
                <w:rFonts w:hint="default" w:ascii="Times New Roman" w:hAnsi="Times New Roman" w:cs="Times New Roman"/>
                <w:color w:val="auto"/>
                <w:kern w:val="0"/>
                <w:sz w:val="21"/>
                <w:szCs w:val="21"/>
                <w:lang w:val="en-US"/>
              </w:rPr>
            </w:pPr>
          </w:p>
        </w:tc>
        <w:tc>
          <w:tcPr>
            <w:tcW w:w="368" w:type="pct"/>
            <w:vMerge w:val="continue"/>
            <w:shd w:val="clear" w:color="auto" w:fill="auto"/>
            <w:vAlign w:val="center"/>
          </w:tcPr>
          <w:p>
            <w:pPr>
              <w:widowControl/>
              <w:jc w:val="center"/>
              <w:rPr>
                <w:rFonts w:hint="default" w:ascii="Times New Roman" w:hAnsi="Times New Roman" w:cs="Times New Roman"/>
                <w:color w:val="auto"/>
                <w:kern w:val="0"/>
                <w:sz w:val="21"/>
                <w:szCs w:val="21"/>
                <w:lang w:val="en-US"/>
              </w:rPr>
            </w:pPr>
          </w:p>
        </w:tc>
        <w:tc>
          <w:tcPr>
            <w:tcW w:w="1398" w:type="pct"/>
            <w:vMerge w:val="continue"/>
            <w:shd w:val="clear" w:color="auto" w:fill="auto"/>
            <w:vAlign w:val="center"/>
          </w:tcPr>
          <w:p>
            <w:pPr>
              <w:widowControl/>
              <w:jc w:val="left"/>
              <w:rPr>
                <w:rFonts w:hint="default" w:ascii="Times New Roman" w:hAnsi="Times New Roman" w:eastAsia="宋体" w:cs="Times New Roman"/>
                <w:color w:val="auto"/>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6" w:type="pct"/>
            <w:vMerge w:val="continue"/>
            <w:shd w:val="clear" w:color="auto" w:fill="auto"/>
            <w:vAlign w:val="center"/>
          </w:tcPr>
          <w:p>
            <w:pPr>
              <w:widowControl/>
              <w:jc w:val="center"/>
              <w:rPr>
                <w:rFonts w:hint="default" w:ascii="Times New Roman" w:hAnsi="Times New Roman" w:cs="Times New Roman"/>
                <w:color w:val="auto"/>
                <w:kern w:val="0"/>
                <w:sz w:val="21"/>
                <w:szCs w:val="21"/>
                <w:lang w:val="en-US" w:eastAsia="zh-CN"/>
              </w:rPr>
            </w:pPr>
          </w:p>
        </w:tc>
        <w:tc>
          <w:tcPr>
            <w:tcW w:w="676" w:type="pct"/>
            <w:vMerge w:val="continue"/>
            <w:shd w:val="clear" w:color="auto" w:fill="auto"/>
            <w:vAlign w:val="center"/>
          </w:tcPr>
          <w:p>
            <w:pPr>
              <w:widowControl/>
              <w:jc w:val="center"/>
              <w:rPr>
                <w:rFonts w:hint="default" w:ascii="Times New Roman" w:hAnsi="Times New Roman" w:eastAsia="宋体" w:cs="Times New Roman"/>
                <w:color w:val="auto"/>
                <w:kern w:val="0"/>
                <w:sz w:val="21"/>
                <w:szCs w:val="21"/>
                <w:lang w:val="en-US" w:eastAsia="zh-CN"/>
              </w:rPr>
            </w:pPr>
          </w:p>
        </w:tc>
        <w:tc>
          <w:tcPr>
            <w:tcW w:w="1652" w:type="pct"/>
            <w:shd w:val="clear" w:color="auto" w:fill="auto"/>
            <w:vAlign w:val="center"/>
          </w:tcPr>
          <w:p>
            <w:pPr>
              <w:widowControl/>
              <w:jc w:val="left"/>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除臭系统碱吸收废水</w:t>
            </w:r>
          </w:p>
        </w:tc>
        <w:tc>
          <w:tcPr>
            <w:tcW w:w="638" w:type="pct"/>
            <w:vMerge w:val="continue"/>
            <w:shd w:val="clear" w:color="auto" w:fill="auto"/>
            <w:vAlign w:val="center"/>
          </w:tcPr>
          <w:p>
            <w:pPr>
              <w:widowControl/>
              <w:jc w:val="left"/>
              <w:rPr>
                <w:rFonts w:hint="default" w:ascii="Times New Roman" w:hAnsi="Times New Roman" w:cs="Times New Roman"/>
                <w:color w:val="auto"/>
                <w:kern w:val="0"/>
                <w:sz w:val="21"/>
                <w:szCs w:val="21"/>
                <w:lang w:val="en-US"/>
              </w:rPr>
            </w:pPr>
          </w:p>
        </w:tc>
        <w:tc>
          <w:tcPr>
            <w:tcW w:w="368" w:type="pct"/>
            <w:vMerge w:val="continue"/>
            <w:shd w:val="clear" w:color="auto" w:fill="auto"/>
            <w:vAlign w:val="center"/>
          </w:tcPr>
          <w:p>
            <w:pPr>
              <w:widowControl/>
              <w:jc w:val="center"/>
              <w:rPr>
                <w:rFonts w:hint="default" w:ascii="Times New Roman" w:hAnsi="Times New Roman" w:cs="Times New Roman"/>
                <w:color w:val="auto"/>
                <w:kern w:val="0"/>
                <w:sz w:val="21"/>
                <w:szCs w:val="21"/>
                <w:lang w:val="en-US"/>
              </w:rPr>
            </w:pPr>
          </w:p>
        </w:tc>
        <w:tc>
          <w:tcPr>
            <w:tcW w:w="1398" w:type="pct"/>
            <w:vMerge w:val="continue"/>
            <w:shd w:val="clear" w:color="auto" w:fill="auto"/>
            <w:vAlign w:val="center"/>
          </w:tcPr>
          <w:p>
            <w:pPr>
              <w:widowControl/>
              <w:jc w:val="left"/>
              <w:rPr>
                <w:rFonts w:hint="default" w:ascii="Times New Roman" w:hAnsi="Times New Roman" w:eastAsia="宋体" w:cs="Times New Roman"/>
                <w:color w:val="auto"/>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6" w:type="pct"/>
            <w:vMerge w:val="continue"/>
            <w:shd w:val="clear" w:color="auto" w:fill="auto"/>
            <w:vAlign w:val="center"/>
          </w:tcPr>
          <w:p>
            <w:pPr>
              <w:widowControl/>
              <w:jc w:val="center"/>
              <w:rPr>
                <w:rFonts w:hint="default" w:ascii="Times New Roman" w:hAnsi="Times New Roman" w:cs="Times New Roman"/>
                <w:color w:val="auto"/>
                <w:kern w:val="0"/>
                <w:sz w:val="21"/>
                <w:szCs w:val="21"/>
                <w:lang w:val="en-US" w:eastAsia="zh-CN"/>
              </w:rPr>
            </w:pPr>
          </w:p>
        </w:tc>
        <w:tc>
          <w:tcPr>
            <w:tcW w:w="676" w:type="pct"/>
            <w:vMerge w:val="continue"/>
            <w:shd w:val="clear" w:color="auto" w:fill="auto"/>
            <w:vAlign w:val="center"/>
          </w:tcPr>
          <w:p>
            <w:pPr>
              <w:widowControl/>
              <w:jc w:val="center"/>
              <w:rPr>
                <w:rFonts w:hint="default" w:ascii="Times New Roman" w:hAnsi="Times New Roman" w:eastAsia="宋体" w:cs="Times New Roman"/>
                <w:color w:val="auto"/>
                <w:kern w:val="0"/>
                <w:sz w:val="21"/>
                <w:szCs w:val="21"/>
                <w:lang w:val="en-US" w:eastAsia="zh-CN"/>
              </w:rPr>
            </w:pPr>
          </w:p>
        </w:tc>
        <w:tc>
          <w:tcPr>
            <w:tcW w:w="1652" w:type="pct"/>
            <w:shd w:val="clear" w:color="auto" w:fill="auto"/>
            <w:vAlign w:val="center"/>
          </w:tcPr>
          <w:p>
            <w:pPr>
              <w:widowControl/>
              <w:jc w:val="left"/>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清净下水</w:t>
            </w:r>
          </w:p>
        </w:tc>
        <w:tc>
          <w:tcPr>
            <w:tcW w:w="638" w:type="pct"/>
            <w:shd w:val="clear" w:color="auto" w:fill="auto"/>
            <w:vAlign w:val="center"/>
          </w:tcPr>
          <w:p>
            <w:pPr>
              <w:widowControl/>
              <w:jc w:val="left"/>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直接排入市政污水管网</w:t>
            </w:r>
          </w:p>
        </w:tc>
        <w:tc>
          <w:tcPr>
            <w:tcW w:w="368" w:type="pct"/>
            <w:shd w:val="clear" w:color="auto" w:fill="auto"/>
            <w:vAlign w:val="center"/>
          </w:tcPr>
          <w:p>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w:t>
            </w:r>
          </w:p>
        </w:tc>
        <w:tc>
          <w:tcPr>
            <w:tcW w:w="1398" w:type="pct"/>
            <w:shd w:val="clear" w:color="auto" w:fill="auto"/>
            <w:vAlign w:val="center"/>
          </w:tcPr>
          <w:p>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6" w:type="pct"/>
            <w:vMerge w:val="continue"/>
            <w:shd w:val="clear" w:color="auto" w:fill="auto"/>
            <w:vAlign w:val="center"/>
          </w:tcPr>
          <w:p>
            <w:pPr>
              <w:widowControl/>
              <w:jc w:val="center"/>
              <w:rPr>
                <w:rFonts w:hint="default" w:ascii="Times New Roman" w:hAnsi="Times New Roman" w:cs="Times New Roman"/>
                <w:color w:val="auto"/>
                <w:kern w:val="0"/>
                <w:sz w:val="21"/>
                <w:szCs w:val="21"/>
                <w:lang w:val="en-US" w:eastAsia="zh-CN"/>
              </w:rPr>
            </w:pPr>
          </w:p>
        </w:tc>
        <w:tc>
          <w:tcPr>
            <w:tcW w:w="676" w:type="pct"/>
            <w:shd w:val="clear" w:color="auto" w:fill="auto"/>
            <w:vAlign w:val="center"/>
          </w:tcPr>
          <w:p>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生活废水</w:t>
            </w:r>
          </w:p>
        </w:tc>
        <w:tc>
          <w:tcPr>
            <w:tcW w:w="1652" w:type="pct"/>
            <w:shd w:val="clear" w:color="auto" w:fill="auto"/>
            <w:vAlign w:val="center"/>
          </w:tcPr>
          <w:p>
            <w:pPr>
              <w:widowControl/>
              <w:jc w:val="left"/>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lang w:val="en-US" w:eastAsia="zh-CN"/>
              </w:rPr>
              <w:t>依托已建成的2座总容积为19.52m</w:t>
            </w:r>
            <w:r>
              <w:rPr>
                <w:rFonts w:hint="default" w:ascii="Times New Roman" w:hAnsi="Times New Roman" w:cs="Times New Roman"/>
                <w:color w:val="auto"/>
                <w:kern w:val="0"/>
                <w:sz w:val="21"/>
                <w:szCs w:val="21"/>
                <w:vertAlign w:val="superscript"/>
                <w:lang w:val="en-US" w:eastAsia="zh-CN"/>
              </w:rPr>
              <w:t>3</w:t>
            </w:r>
            <w:r>
              <w:rPr>
                <w:rFonts w:hint="default" w:ascii="Times New Roman" w:hAnsi="Times New Roman" w:cs="Times New Roman"/>
                <w:color w:val="auto"/>
                <w:kern w:val="0"/>
                <w:sz w:val="21"/>
                <w:szCs w:val="21"/>
                <w:vertAlign w:val="baseline"/>
                <w:lang w:val="en-US" w:eastAsia="zh-CN"/>
              </w:rPr>
              <w:t>的隔油池及9座总容积为207.52</w:t>
            </w:r>
            <w:r>
              <w:rPr>
                <w:rFonts w:hint="default" w:ascii="Times New Roman" w:hAnsi="Times New Roman" w:cs="Times New Roman"/>
                <w:color w:val="auto"/>
                <w:kern w:val="0"/>
                <w:sz w:val="21"/>
                <w:szCs w:val="21"/>
                <w:lang w:val="en-US" w:eastAsia="zh-CN"/>
              </w:rPr>
              <w:t>m</w:t>
            </w:r>
            <w:r>
              <w:rPr>
                <w:rFonts w:hint="default" w:ascii="Times New Roman" w:hAnsi="Times New Roman" w:cs="Times New Roman"/>
                <w:color w:val="auto"/>
                <w:kern w:val="0"/>
                <w:sz w:val="21"/>
                <w:szCs w:val="21"/>
                <w:vertAlign w:val="superscript"/>
                <w:lang w:val="en-US" w:eastAsia="zh-CN"/>
              </w:rPr>
              <w:t>3</w:t>
            </w:r>
            <w:r>
              <w:rPr>
                <w:rFonts w:hint="default" w:ascii="Times New Roman" w:hAnsi="Times New Roman" w:cs="Times New Roman"/>
                <w:color w:val="auto"/>
                <w:kern w:val="0"/>
                <w:sz w:val="21"/>
                <w:szCs w:val="21"/>
                <w:vertAlign w:val="baseline"/>
                <w:lang w:val="en-US" w:eastAsia="zh-CN"/>
              </w:rPr>
              <w:t>的化粪池</w:t>
            </w:r>
          </w:p>
        </w:tc>
        <w:tc>
          <w:tcPr>
            <w:tcW w:w="638" w:type="pct"/>
            <w:shd w:val="clear" w:color="auto" w:fill="auto"/>
            <w:vAlign w:val="center"/>
          </w:tcPr>
          <w:p>
            <w:pPr>
              <w:widowControl/>
              <w:jc w:val="left"/>
              <w:rPr>
                <w:rFonts w:hint="default" w:ascii="Times New Roman" w:hAnsi="Times New Roman" w:cs="Times New Roman"/>
                <w:color w:val="auto"/>
                <w:kern w:val="0"/>
                <w:sz w:val="21"/>
                <w:szCs w:val="21"/>
                <w:lang w:val="en-US"/>
              </w:rPr>
            </w:pPr>
            <w:r>
              <w:rPr>
                <w:rFonts w:hint="default" w:ascii="Times New Roman" w:hAnsi="Times New Roman" w:cs="Times New Roman"/>
                <w:color w:val="auto"/>
                <w:kern w:val="0"/>
                <w:sz w:val="21"/>
                <w:szCs w:val="21"/>
                <w:lang w:val="en-US" w:eastAsia="zh-CN"/>
              </w:rPr>
              <w:t>直接排入市政污水管网</w:t>
            </w:r>
          </w:p>
        </w:tc>
        <w:tc>
          <w:tcPr>
            <w:tcW w:w="368" w:type="pct"/>
            <w:shd w:val="clear" w:color="auto" w:fill="auto"/>
            <w:vAlign w:val="center"/>
          </w:tcPr>
          <w:p>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达标排放</w:t>
            </w:r>
          </w:p>
        </w:tc>
        <w:tc>
          <w:tcPr>
            <w:tcW w:w="1398" w:type="pct"/>
            <w:shd w:val="clear" w:color="auto" w:fill="auto"/>
            <w:vAlign w:val="center"/>
          </w:tcPr>
          <w:p>
            <w:pPr>
              <w:widowControl/>
              <w:jc w:val="left"/>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达到</w:t>
            </w:r>
            <w:r>
              <w:rPr>
                <w:rFonts w:hint="default" w:ascii="Times New Roman" w:hAnsi="Times New Roman" w:cs="Times New Roman"/>
                <w:color w:val="auto"/>
                <w:sz w:val="21"/>
                <w:szCs w:val="21"/>
              </w:rPr>
              <w:t>《污水综合排放标准》（GB8978-1996）三级标准、《污水排入城镇下水道水质标准》(GB/T31962-2015)B级标准值、《电子工业水污染物排放标准》(GB39731-2020)间接排放标准值三者取严执行标准值</w:t>
            </w:r>
            <w:r>
              <w:rPr>
                <w:rFonts w:hint="default" w:ascii="Times New Roman" w:hAnsi="Times New Roman" w:cs="Times New Roman"/>
                <w:color w:val="auto"/>
                <w:sz w:val="21"/>
                <w:szCs w:val="21"/>
                <w:lang w:eastAsia="zh-CN"/>
              </w:rPr>
              <w:t>以及本次环评提出的特别排放限值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6" w:type="pct"/>
            <w:shd w:val="clear" w:color="auto" w:fill="auto"/>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噪声防治</w:t>
            </w:r>
          </w:p>
        </w:tc>
        <w:tc>
          <w:tcPr>
            <w:tcW w:w="676" w:type="pct"/>
            <w:shd w:val="clear" w:color="auto" w:fill="auto"/>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生产设备</w:t>
            </w:r>
          </w:p>
        </w:tc>
        <w:tc>
          <w:tcPr>
            <w:tcW w:w="2290" w:type="pct"/>
            <w:gridSpan w:val="2"/>
            <w:shd w:val="clear" w:color="auto" w:fill="auto"/>
            <w:vAlign w:val="center"/>
          </w:tcPr>
          <w:p>
            <w:pPr>
              <w:widowControl/>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采用低噪声设备、减震、隔音</w:t>
            </w:r>
          </w:p>
        </w:tc>
        <w:tc>
          <w:tcPr>
            <w:tcW w:w="368" w:type="pct"/>
            <w:shd w:val="clear" w:color="auto" w:fill="auto"/>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达标排放</w:t>
            </w:r>
          </w:p>
        </w:tc>
        <w:tc>
          <w:tcPr>
            <w:tcW w:w="1398" w:type="pct"/>
            <w:shd w:val="clear" w:color="auto" w:fill="auto"/>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《工业企业厂界环境噪声排放标准》(GB12348-2008)3类标准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6" w:type="pct"/>
            <w:vMerge w:val="restart"/>
            <w:shd w:val="clear" w:color="auto" w:fill="auto"/>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固废防治</w:t>
            </w:r>
          </w:p>
        </w:tc>
        <w:tc>
          <w:tcPr>
            <w:tcW w:w="676" w:type="pct"/>
            <w:shd w:val="clear" w:color="auto" w:fill="auto"/>
            <w:vAlign w:val="center"/>
          </w:tcPr>
          <w:p>
            <w:pPr>
              <w:jc w:val="center"/>
              <w:rPr>
                <w:rFonts w:hint="default" w:ascii="Times New Roman" w:hAnsi="Times New Roman" w:eastAsia="宋体" w:cs="Times New Roman"/>
                <w:bCs/>
                <w:color w:val="auto"/>
                <w:sz w:val="21"/>
                <w:szCs w:val="21"/>
                <w:lang w:eastAsia="zh-CN"/>
              </w:rPr>
            </w:pPr>
            <w:r>
              <w:rPr>
                <w:rFonts w:hint="default" w:ascii="Times New Roman" w:hAnsi="Times New Roman" w:cs="Times New Roman"/>
                <w:bCs/>
                <w:color w:val="auto"/>
                <w:sz w:val="21"/>
                <w:szCs w:val="21"/>
                <w:lang w:eastAsia="zh-CN"/>
              </w:rPr>
              <w:t>废胶</w:t>
            </w:r>
          </w:p>
        </w:tc>
        <w:tc>
          <w:tcPr>
            <w:tcW w:w="2290" w:type="pct"/>
            <w:gridSpan w:val="2"/>
            <w:vMerge w:val="restart"/>
            <w:shd w:val="clear" w:color="auto" w:fill="auto"/>
            <w:vAlign w:val="center"/>
          </w:tcPr>
          <w:p>
            <w:pPr>
              <w:jc w:val="left"/>
              <w:rPr>
                <w:rFonts w:hint="default" w:ascii="Times New Roman" w:hAnsi="Times New Roman" w:eastAsia="宋体" w:cs="Times New Roman"/>
                <w:bCs/>
                <w:color w:val="auto"/>
                <w:sz w:val="21"/>
                <w:szCs w:val="21"/>
                <w:lang w:eastAsia="zh-CN"/>
              </w:rPr>
            </w:pPr>
            <w:r>
              <w:rPr>
                <w:rFonts w:hint="default" w:ascii="Times New Roman" w:hAnsi="Times New Roman" w:cs="Times New Roman"/>
                <w:bCs/>
                <w:color w:val="auto"/>
                <w:sz w:val="21"/>
                <w:szCs w:val="21"/>
              </w:rPr>
              <w:t>暂存在危废库，委托</w:t>
            </w:r>
            <w:r>
              <w:rPr>
                <w:rFonts w:hint="default" w:ascii="Times New Roman" w:hAnsi="Times New Roman" w:cs="Times New Roman"/>
                <w:bCs/>
                <w:color w:val="auto"/>
                <w:sz w:val="21"/>
                <w:szCs w:val="21"/>
                <w:lang w:eastAsia="zh-CN"/>
              </w:rPr>
              <w:t>有危废处置资质的单位进行处理</w:t>
            </w:r>
          </w:p>
        </w:tc>
        <w:tc>
          <w:tcPr>
            <w:tcW w:w="368" w:type="pct"/>
            <w:vMerge w:val="restart"/>
            <w:shd w:val="clear" w:color="auto" w:fill="auto"/>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处置率100%</w:t>
            </w:r>
          </w:p>
        </w:tc>
        <w:tc>
          <w:tcPr>
            <w:tcW w:w="1398" w:type="pct"/>
            <w:shd w:val="clear" w:color="auto" w:fill="auto"/>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6" w:type="pct"/>
            <w:vMerge w:val="continue"/>
            <w:shd w:val="clear" w:color="auto" w:fill="auto"/>
            <w:vAlign w:val="center"/>
          </w:tcPr>
          <w:p>
            <w:pPr>
              <w:widowControl/>
              <w:jc w:val="center"/>
              <w:rPr>
                <w:rFonts w:hint="default" w:ascii="Times New Roman" w:hAnsi="Times New Roman" w:cs="Times New Roman"/>
                <w:color w:val="auto"/>
                <w:kern w:val="0"/>
                <w:sz w:val="21"/>
                <w:szCs w:val="21"/>
              </w:rPr>
            </w:pPr>
          </w:p>
        </w:tc>
        <w:tc>
          <w:tcPr>
            <w:tcW w:w="676" w:type="pct"/>
            <w:shd w:val="clear" w:color="auto" w:fill="auto"/>
            <w:vAlign w:val="center"/>
          </w:tcPr>
          <w:p>
            <w:pPr>
              <w:jc w:val="center"/>
              <w:rPr>
                <w:rFonts w:hint="default" w:ascii="Times New Roman" w:hAnsi="Times New Roman" w:eastAsia="宋体" w:cs="Times New Roman"/>
                <w:bCs/>
                <w:color w:val="auto"/>
                <w:sz w:val="21"/>
                <w:szCs w:val="21"/>
                <w:lang w:eastAsia="zh-CN"/>
              </w:rPr>
            </w:pPr>
            <w:r>
              <w:rPr>
                <w:rFonts w:hint="default" w:ascii="Times New Roman" w:hAnsi="Times New Roman" w:cs="Times New Roman"/>
                <w:bCs/>
                <w:color w:val="auto"/>
                <w:sz w:val="21"/>
                <w:szCs w:val="21"/>
                <w:lang w:eastAsia="zh-CN"/>
              </w:rPr>
              <w:t>废活性炭</w:t>
            </w:r>
          </w:p>
        </w:tc>
        <w:tc>
          <w:tcPr>
            <w:tcW w:w="2290" w:type="pct"/>
            <w:gridSpan w:val="2"/>
            <w:vMerge w:val="continue"/>
            <w:shd w:val="clear" w:color="auto" w:fill="auto"/>
            <w:vAlign w:val="center"/>
          </w:tcPr>
          <w:p>
            <w:pPr>
              <w:jc w:val="left"/>
              <w:rPr>
                <w:rFonts w:hint="default" w:ascii="Times New Roman" w:hAnsi="Times New Roman" w:cs="Times New Roman"/>
                <w:bCs/>
                <w:color w:val="auto"/>
                <w:sz w:val="21"/>
                <w:szCs w:val="21"/>
              </w:rPr>
            </w:pPr>
          </w:p>
        </w:tc>
        <w:tc>
          <w:tcPr>
            <w:tcW w:w="368" w:type="pct"/>
            <w:vMerge w:val="continue"/>
            <w:shd w:val="clear" w:color="auto" w:fill="auto"/>
            <w:vAlign w:val="center"/>
          </w:tcPr>
          <w:p>
            <w:pPr>
              <w:widowControl/>
              <w:jc w:val="center"/>
              <w:rPr>
                <w:rFonts w:hint="default" w:ascii="Times New Roman" w:hAnsi="Times New Roman" w:cs="Times New Roman"/>
                <w:color w:val="auto"/>
                <w:kern w:val="0"/>
                <w:sz w:val="21"/>
                <w:szCs w:val="21"/>
              </w:rPr>
            </w:pPr>
          </w:p>
        </w:tc>
        <w:tc>
          <w:tcPr>
            <w:tcW w:w="1398" w:type="pct"/>
            <w:shd w:val="clear" w:color="auto" w:fill="auto"/>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6" w:type="pct"/>
            <w:vMerge w:val="continue"/>
            <w:shd w:val="clear" w:color="auto" w:fill="auto"/>
            <w:vAlign w:val="center"/>
          </w:tcPr>
          <w:p>
            <w:pPr>
              <w:widowControl/>
              <w:jc w:val="center"/>
              <w:rPr>
                <w:rFonts w:hint="default" w:ascii="Times New Roman" w:hAnsi="Times New Roman" w:cs="Times New Roman"/>
                <w:color w:val="auto"/>
                <w:kern w:val="0"/>
                <w:sz w:val="21"/>
                <w:szCs w:val="21"/>
              </w:rPr>
            </w:pPr>
          </w:p>
        </w:tc>
        <w:tc>
          <w:tcPr>
            <w:tcW w:w="676" w:type="pct"/>
            <w:shd w:val="clear" w:color="auto" w:fill="auto"/>
            <w:vAlign w:val="center"/>
          </w:tcPr>
          <w:p>
            <w:pPr>
              <w:jc w:val="center"/>
              <w:rPr>
                <w:rFonts w:hint="default" w:ascii="Times New Roman" w:hAnsi="Times New Roman" w:eastAsia="宋体" w:cs="Times New Roman"/>
                <w:bCs/>
                <w:color w:val="auto"/>
                <w:sz w:val="21"/>
                <w:szCs w:val="21"/>
                <w:lang w:eastAsia="zh-CN"/>
              </w:rPr>
            </w:pPr>
            <w:r>
              <w:rPr>
                <w:rFonts w:hint="default" w:ascii="Times New Roman" w:hAnsi="Times New Roman" w:cs="Times New Roman"/>
                <w:bCs/>
                <w:color w:val="auto"/>
                <w:sz w:val="21"/>
                <w:szCs w:val="21"/>
                <w:lang w:eastAsia="zh-CN"/>
              </w:rPr>
              <w:t>废切片</w:t>
            </w:r>
          </w:p>
        </w:tc>
        <w:tc>
          <w:tcPr>
            <w:tcW w:w="2290" w:type="pct"/>
            <w:gridSpan w:val="2"/>
            <w:shd w:val="clear" w:color="auto" w:fill="auto"/>
            <w:vAlign w:val="center"/>
          </w:tcPr>
          <w:p>
            <w:pPr>
              <w:jc w:val="left"/>
              <w:rPr>
                <w:rFonts w:hint="default" w:ascii="Times New Roman" w:hAnsi="Times New Roman" w:eastAsia="宋体" w:cs="Times New Roman"/>
                <w:bCs/>
                <w:color w:val="auto"/>
                <w:sz w:val="21"/>
                <w:szCs w:val="21"/>
                <w:lang w:eastAsia="zh-CN"/>
              </w:rPr>
            </w:pPr>
            <w:r>
              <w:rPr>
                <w:rFonts w:hint="default" w:ascii="Times New Roman" w:hAnsi="Times New Roman" w:cs="Times New Roman"/>
                <w:bCs/>
                <w:color w:val="auto"/>
                <w:sz w:val="21"/>
                <w:szCs w:val="21"/>
                <w:lang w:eastAsia="zh-CN"/>
              </w:rPr>
              <w:t>破碎后回用于单晶硅棒生产</w:t>
            </w:r>
          </w:p>
        </w:tc>
        <w:tc>
          <w:tcPr>
            <w:tcW w:w="368" w:type="pct"/>
            <w:vMerge w:val="continue"/>
            <w:shd w:val="clear" w:color="auto" w:fill="auto"/>
            <w:vAlign w:val="center"/>
          </w:tcPr>
          <w:p>
            <w:pPr>
              <w:widowControl/>
              <w:jc w:val="center"/>
              <w:rPr>
                <w:rFonts w:hint="default" w:ascii="Times New Roman" w:hAnsi="Times New Roman" w:cs="Times New Roman"/>
                <w:color w:val="auto"/>
                <w:kern w:val="0"/>
                <w:sz w:val="21"/>
                <w:szCs w:val="21"/>
              </w:rPr>
            </w:pPr>
          </w:p>
        </w:tc>
        <w:tc>
          <w:tcPr>
            <w:tcW w:w="1398" w:type="pct"/>
            <w:shd w:val="clear" w:color="auto" w:fill="auto"/>
            <w:vAlign w:val="center"/>
          </w:tcPr>
          <w:p>
            <w:pPr>
              <w:widowControl/>
              <w:jc w:val="center"/>
              <w:rPr>
                <w:rFonts w:hint="default" w:ascii="Times New Roman" w:hAnsi="Times New Roman" w:cs="Times New Roman"/>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6" w:type="pct"/>
            <w:vMerge w:val="continue"/>
            <w:shd w:val="clear" w:color="auto" w:fill="auto"/>
            <w:vAlign w:val="center"/>
          </w:tcPr>
          <w:p>
            <w:pPr>
              <w:widowControl/>
              <w:jc w:val="center"/>
              <w:rPr>
                <w:rFonts w:hint="default" w:ascii="Times New Roman" w:hAnsi="Times New Roman" w:cs="Times New Roman"/>
                <w:color w:val="auto"/>
                <w:kern w:val="0"/>
                <w:sz w:val="21"/>
                <w:szCs w:val="21"/>
              </w:rPr>
            </w:pPr>
          </w:p>
        </w:tc>
        <w:tc>
          <w:tcPr>
            <w:tcW w:w="676" w:type="pct"/>
            <w:shd w:val="clear" w:color="auto" w:fill="auto"/>
            <w:vAlign w:val="center"/>
          </w:tcPr>
          <w:p>
            <w:pPr>
              <w:jc w:val="center"/>
              <w:rPr>
                <w:rFonts w:hint="default" w:ascii="Times New Roman" w:hAnsi="Times New Roman" w:eastAsia="宋体" w:cs="Times New Roman"/>
                <w:bCs/>
                <w:color w:val="auto"/>
                <w:sz w:val="21"/>
                <w:szCs w:val="21"/>
                <w:lang w:eastAsia="zh-CN"/>
              </w:rPr>
            </w:pPr>
            <w:r>
              <w:rPr>
                <w:rFonts w:hint="default" w:ascii="Times New Roman" w:hAnsi="Times New Roman" w:cs="Times New Roman"/>
                <w:bCs/>
                <w:color w:val="auto"/>
                <w:sz w:val="21"/>
                <w:szCs w:val="21"/>
                <w:lang w:eastAsia="zh-CN"/>
              </w:rPr>
              <w:t>废金刚线</w:t>
            </w:r>
          </w:p>
        </w:tc>
        <w:tc>
          <w:tcPr>
            <w:tcW w:w="2290" w:type="pct"/>
            <w:gridSpan w:val="2"/>
            <w:vMerge w:val="restart"/>
            <w:shd w:val="clear" w:color="auto" w:fill="auto"/>
            <w:vAlign w:val="center"/>
          </w:tcPr>
          <w:p>
            <w:pPr>
              <w:jc w:val="left"/>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暂存在硅泥库，委托废旧资源回收公司回收综合利用</w:t>
            </w:r>
          </w:p>
        </w:tc>
        <w:tc>
          <w:tcPr>
            <w:tcW w:w="368" w:type="pct"/>
            <w:vMerge w:val="continue"/>
            <w:shd w:val="clear" w:color="auto" w:fill="auto"/>
            <w:vAlign w:val="center"/>
          </w:tcPr>
          <w:p>
            <w:pPr>
              <w:widowControl/>
              <w:jc w:val="center"/>
              <w:rPr>
                <w:rFonts w:hint="default" w:ascii="Times New Roman" w:hAnsi="Times New Roman" w:cs="Times New Roman"/>
                <w:color w:val="auto"/>
                <w:kern w:val="0"/>
                <w:sz w:val="21"/>
                <w:szCs w:val="21"/>
              </w:rPr>
            </w:pPr>
          </w:p>
        </w:tc>
        <w:tc>
          <w:tcPr>
            <w:tcW w:w="1398" w:type="pct"/>
            <w:shd w:val="clear" w:color="auto" w:fill="auto"/>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6" w:type="pct"/>
            <w:vMerge w:val="continue"/>
            <w:shd w:val="clear" w:color="auto" w:fill="auto"/>
            <w:vAlign w:val="center"/>
          </w:tcPr>
          <w:p>
            <w:pPr>
              <w:widowControl/>
              <w:jc w:val="center"/>
              <w:rPr>
                <w:rFonts w:hint="default" w:ascii="Times New Roman" w:hAnsi="Times New Roman" w:cs="Times New Roman"/>
                <w:color w:val="auto"/>
                <w:kern w:val="0"/>
                <w:sz w:val="21"/>
                <w:szCs w:val="21"/>
              </w:rPr>
            </w:pPr>
          </w:p>
        </w:tc>
        <w:tc>
          <w:tcPr>
            <w:tcW w:w="676" w:type="pct"/>
            <w:shd w:val="clear" w:color="auto" w:fill="auto"/>
            <w:vAlign w:val="center"/>
          </w:tcPr>
          <w:p>
            <w:pPr>
              <w:jc w:val="center"/>
              <w:rPr>
                <w:rFonts w:hint="default" w:ascii="Times New Roman" w:hAnsi="Times New Roman" w:eastAsia="宋体" w:cs="Times New Roman"/>
                <w:bCs/>
                <w:color w:val="auto"/>
                <w:sz w:val="21"/>
                <w:szCs w:val="21"/>
                <w:lang w:eastAsia="zh-CN"/>
              </w:rPr>
            </w:pPr>
            <w:r>
              <w:rPr>
                <w:rFonts w:hint="default" w:ascii="Times New Roman" w:hAnsi="Times New Roman" w:cs="Times New Roman"/>
                <w:bCs/>
                <w:color w:val="auto"/>
                <w:sz w:val="21"/>
                <w:szCs w:val="21"/>
                <w:lang w:eastAsia="zh-CN"/>
              </w:rPr>
              <w:t>废包装及容器</w:t>
            </w:r>
          </w:p>
        </w:tc>
        <w:tc>
          <w:tcPr>
            <w:tcW w:w="2290" w:type="pct"/>
            <w:gridSpan w:val="2"/>
            <w:vMerge w:val="continue"/>
            <w:shd w:val="clear" w:color="auto" w:fill="auto"/>
            <w:vAlign w:val="center"/>
          </w:tcPr>
          <w:p>
            <w:pPr>
              <w:jc w:val="left"/>
              <w:rPr>
                <w:rFonts w:hint="default" w:ascii="Times New Roman" w:hAnsi="Times New Roman" w:cs="Times New Roman"/>
                <w:bCs/>
                <w:color w:val="auto"/>
                <w:sz w:val="21"/>
                <w:szCs w:val="21"/>
                <w:lang w:val="en-US" w:eastAsia="zh-CN"/>
              </w:rPr>
            </w:pPr>
          </w:p>
        </w:tc>
        <w:tc>
          <w:tcPr>
            <w:tcW w:w="368" w:type="pct"/>
            <w:vMerge w:val="continue"/>
            <w:shd w:val="clear" w:color="auto" w:fill="auto"/>
            <w:vAlign w:val="center"/>
          </w:tcPr>
          <w:p>
            <w:pPr>
              <w:widowControl/>
              <w:jc w:val="center"/>
              <w:rPr>
                <w:rFonts w:hint="default" w:ascii="Times New Roman" w:hAnsi="Times New Roman" w:cs="Times New Roman"/>
                <w:color w:val="auto"/>
                <w:kern w:val="0"/>
                <w:sz w:val="21"/>
                <w:szCs w:val="21"/>
              </w:rPr>
            </w:pPr>
          </w:p>
        </w:tc>
        <w:tc>
          <w:tcPr>
            <w:tcW w:w="1398" w:type="pct"/>
            <w:shd w:val="clear" w:color="auto" w:fill="auto"/>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6" w:type="pct"/>
            <w:vMerge w:val="continue"/>
            <w:shd w:val="clear" w:color="auto" w:fill="auto"/>
            <w:vAlign w:val="center"/>
          </w:tcPr>
          <w:p>
            <w:pPr>
              <w:widowControl/>
              <w:jc w:val="center"/>
              <w:rPr>
                <w:rFonts w:hint="default" w:ascii="Times New Roman" w:hAnsi="Times New Roman" w:cs="Times New Roman"/>
                <w:color w:val="auto"/>
                <w:kern w:val="0"/>
                <w:sz w:val="21"/>
                <w:szCs w:val="21"/>
              </w:rPr>
            </w:pPr>
          </w:p>
        </w:tc>
        <w:tc>
          <w:tcPr>
            <w:tcW w:w="676" w:type="pct"/>
            <w:shd w:val="clear" w:color="auto" w:fill="auto"/>
            <w:vAlign w:val="center"/>
          </w:tcPr>
          <w:p>
            <w:pPr>
              <w:jc w:val="center"/>
              <w:rPr>
                <w:rFonts w:hint="default" w:ascii="Times New Roman" w:hAnsi="Times New Roman" w:eastAsia="宋体" w:cs="Times New Roman"/>
                <w:bCs/>
                <w:color w:val="auto"/>
                <w:sz w:val="21"/>
                <w:szCs w:val="21"/>
                <w:lang w:eastAsia="zh-CN"/>
              </w:rPr>
            </w:pPr>
            <w:r>
              <w:rPr>
                <w:rFonts w:hint="default" w:ascii="Times New Roman" w:hAnsi="Times New Roman" w:cs="Times New Roman"/>
                <w:bCs/>
                <w:color w:val="auto"/>
                <w:sz w:val="21"/>
                <w:szCs w:val="21"/>
                <w:lang w:eastAsia="zh-CN"/>
              </w:rPr>
              <w:t>压滤硅泥</w:t>
            </w:r>
          </w:p>
        </w:tc>
        <w:tc>
          <w:tcPr>
            <w:tcW w:w="2290" w:type="pct"/>
            <w:gridSpan w:val="2"/>
            <w:shd w:val="clear" w:color="auto" w:fill="auto"/>
            <w:vAlign w:val="center"/>
          </w:tcPr>
          <w:p>
            <w:pPr>
              <w:jc w:val="left"/>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暂存在硅泥库内，外售给工业硅生产企业</w:t>
            </w:r>
          </w:p>
        </w:tc>
        <w:tc>
          <w:tcPr>
            <w:tcW w:w="368" w:type="pct"/>
            <w:vMerge w:val="continue"/>
            <w:shd w:val="clear" w:color="auto" w:fill="auto"/>
            <w:vAlign w:val="center"/>
          </w:tcPr>
          <w:p>
            <w:pPr>
              <w:widowControl/>
              <w:jc w:val="center"/>
              <w:rPr>
                <w:rFonts w:hint="default" w:ascii="Times New Roman" w:hAnsi="Times New Roman" w:cs="Times New Roman"/>
                <w:color w:val="auto"/>
                <w:kern w:val="0"/>
                <w:sz w:val="21"/>
                <w:szCs w:val="21"/>
              </w:rPr>
            </w:pPr>
          </w:p>
        </w:tc>
        <w:tc>
          <w:tcPr>
            <w:tcW w:w="1398" w:type="pct"/>
            <w:shd w:val="clear" w:color="auto" w:fill="auto"/>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266" w:type="pct"/>
            <w:vMerge w:val="continue"/>
            <w:shd w:val="clear" w:color="auto" w:fill="auto"/>
            <w:vAlign w:val="center"/>
          </w:tcPr>
          <w:p>
            <w:pPr>
              <w:widowControl/>
              <w:jc w:val="center"/>
              <w:rPr>
                <w:rFonts w:hint="default" w:ascii="Times New Roman" w:hAnsi="Times New Roman" w:cs="Times New Roman"/>
                <w:color w:val="auto"/>
                <w:kern w:val="0"/>
                <w:sz w:val="21"/>
                <w:szCs w:val="21"/>
              </w:rPr>
            </w:pPr>
          </w:p>
        </w:tc>
        <w:tc>
          <w:tcPr>
            <w:tcW w:w="676" w:type="pct"/>
            <w:shd w:val="clear" w:color="auto" w:fill="auto"/>
            <w:vAlign w:val="center"/>
          </w:tcPr>
          <w:p>
            <w:pPr>
              <w:jc w:val="center"/>
              <w:rPr>
                <w:rFonts w:hint="default" w:ascii="Times New Roman" w:hAnsi="Times New Roman" w:cs="Times New Roman"/>
                <w:bCs/>
                <w:color w:val="auto"/>
                <w:sz w:val="21"/>
                <w:szCs w:val="21"/>
                <w:lang w:eastAsia="zh-CN"/>
              </w:rPr>
            </w:pPr>
            <w:r>
              <w:rPr>
                <w:rFonts w:hint="default" w:ascii="Times New Roman" w:hAnsi="Times New Roman" w:cs="Times New Roman"/>
                <w:bCs/>
                <w:color w:val="auto"/>
                <w:sz w:val="21"/>
                <w:szCs w:val="21"/>
                <w:lang w:val="en-US" w:eastAsia="zh-CN"/>
              </w:rPr>
              <w:t>废反渗透膜和废离子交换树脂</w:t>
            </w:r>
          </w:p>
        </w:tc>
        <w:tc>
          <w:tcPr>
            <w:tcW w:w="2290" w:type="pct"/>
            <w:gridSpan w:val="2"/>
            <w:shd w:val="clear" w:color="auto" w:fill="auto"/>
            <w:vAlign w:val="center"/>
          </w:tcPr>
          <w:p>
            <w:pPr>
              <w:jc w:val="left"/>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由生产厂家上门回收再生处理</w:t>
            </w:r>
          </w:p>
        </w:tc>
        <w:tc>
          <w:tcPr>
            <w:tcW w:w="368" w:type="pct"/>
            <w:vMerge w:val="continue"/>
            <w:shd w:val="clear" w:color="auto" w:fill="auto"/>
            <w:vAlign w:val="center"/>
          </w:tcPr>
          <w:p>
            <w:pPr>
              <w:widowControl/>
              <w:jc w:val="center"/>
              <w:rPr>
                <w:rFonts w:hint="default" w:ascii="Times New Roman" w:hAnsi="Times New Roman" w:cs="Times New Roman"/>
                <w:color w:val="auto"/>
                <w:kern w:val="0"/>
                <w:sz w:val="21"/>
                <w:szCs w:val="21"/>
              </w:rPr>
            </w:pPr>
          </w:p>
        </w:tc>
        <w:tc>
          <w:tcPr>
            <w:tcW w:w="1398" w:type="pct"/>
            <w:shd w:val="clear" w:color="auto" w:fill="auto"/>
            <w:vAlign w:val="center"/>
          </w:tcPr>
          <w:p>
            <w:pPr>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6" w:type="pct"/>
            <w:vMerge w:val="continue"/>
            <w:shd w:val="clear" w:color="auto" w:fill="auto"/>
            <w:vAlign w:val="center"/>
          </w:tcPr>
          <w:p>
            <w:pPr>
              <w:widowControl/>
              <w:jc w:val="center"/>
              <w:rPr>
                <w:rFonts w:hint="default" w:ascii="Times New Roman" w:hAnsi="Times New Roman" w:cs="Times New Roman"/>
                <w:color w:val="auto"/>
                <w:kern w:val="0"/>
                <w:sz w:val="21"/>
                <w:szCs w:val="21"/>
              </w:rPr>
            </w:pPr>
          </w:p>
        </w:tc>
        <w:tc>
          <w:tcPr>
            <w:tcW w:w="676" w:type="pct"/>
            <w:shd w:val="clear" w:color="auto" w:fill="auto"/>
            <w:vAlign w:val="center"/>
          </w:tcPr>
          <w:p>
            <w:pPr>
              <w:jc w:val="center"/>
              <w:rPr>
                <w:rFonts w:hint="default" w:ascii="Times New Roman" w:hAnsi="Times New Roman" w:cs="Times New Roman"/>
                <w:bCs/>
                <w:color w:val="auto"/>
                <w:sz w:val="21"/>
                <w:szCs w:val="21"/>
                <w:lang w:eastAsia="zh-CN"/>
              </w:rPr>
            </w:pPr>
            <w:r>
              <w:rPr>
                <w:rFonts w:hint="default" w:ascii="Times New Roman" w:hAnsi="Times New Roman" w:cs="Times New Roman"/>
                <w:bCs/>
                <w:color w:val="auto"/>
                <w:sz w:val="21"/>
                <w:szCs w:val="21"/>
                <w:lang w:eastAsia="zh-CN"/>
              </w:rPr>
              <w:t>综合污水处理站污泥</w:t>
            </w:r>
          </w:p>
        </w:tc>
        <w:tc>
          <w:tcPr>
            <w:tcW w:w="2290" w:type="pct"/>
            <w:gridSpan w:val="2"/>
            <w:shd w:val="clear" w:color="auto" w:fill="auto"/>
            <w:vAlign w:val="center"/>
          </w:tcPr>
          <w:p>
            <w:pPr>
              <w:jc w:val="left"/>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需进行固废属性鉴别，若属于危险废物，则应委托有危废资质的单位处置，不属于危废则外售给污泥综合利用公司进行处置</w:t>
            </w:r>
          </w:p>
        </w:tc>
        <w:tc>
          <w:tcPr>
            <w:tcW w:w="368" w:type="pct"/>
            <w:vMerge w:val="continue"/>
            <w:shd w:val="clear" w:color="auto" w:fill="auto"/>
            <w:vAlign w:val="center"/>
          </w:tcPr>
          <w:p>
            <w:pPr>
              <w:widowControl/>
              <w:jc w:val="center"/>
              <w:rPr>
                <w:rFonts w:hint="default" w:ascii="Times New Roman" w:hAnsi="Times New Roman" w:cs="Times New Roman"/>
                <w:color w:val="auto"/>
                <w:kern w:val="0"/>
                <w:sz w:val="21"/>
                <w:szCs w:val="21"/>
              </w:rPr>
            </w:pPr>
          </w:p>
        </w:tc>
        <w:tc>
          <w:tcPr>
            <w:tcW w:w="1398" w:type="pct"/>
            <w:shd w:val="clear" w:color="auto" w:fill="auto"/>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6" w:type="pct"/>
            <w:vMerge w:val="continue"/>
            <w:shd w:val="clear" w:color="auto" w:fill="auto"/>
            <w:vAlign w:val="center"/>
          </w:tcPr>
          <w:p>
            <w:pPr>
              <w:widowControl/>
              <w:jc w:val="center"/>
              <w:rPr>
                <w:rFonts w:hint="default" w:ascii="Times New Roman" w:hAnsi="Times New Roman" w:cs="Times New Roman"/>
                <w:color w:val="auto"/>
                <w:kern w:val="0"/>
                <w:sz w:val="21"/>
                <w:szCs w:val="21"/>
              </w:rPr>
            </w:pPr>
          </w:p>
        </w:tc>
        <w:tc>
          <w:tcPr>
            <w:tcW w:w="676" w:type="pct"/>
            <w:shd w:val="clear" w:color="auto" w:fill="auto"/>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生活垃圾</w:t>
            </w:r>
          </w:p>
        </w:tc>
        <w:tc>
          <w:tcPr>
            <w:tcW w:w="2290" w:type="pct"/>
            <w:gridSpan w:val="2"/>
            <w:shd w:val="clear" w:color="auto" w:fill="auto"/>
            <w:vAlign w:val="center"/>
          </w:tcPr>
          <w:p>
            <w:pPr>
              <w:jc w:val="left"/>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收集后交由环卫部门定期清运处置</w:t>
            </w:r>
          </w:p>
        </w:tc>
        <w:tc>
          <w:tcPr>
            <w:tcW w:w="368" w:type="pct"/>
            <w:vMerge w:val="continue"/>
            <w:shd w:val="clear" w:color="auto" w:fill="auto"/>
            <w:vAlign w:val="center"/>
          </w:tcPr>
          <w:p>
            <w:pPr>
              <w:widowControl/>
              <w:jc w:val="center"/>
              <w:rPr>
                <w:rFonts w:hint="default" w:ascii="Times New Roman" w:hAnsi="Times New Roman" w:cs="Times New Roman"/>
                <w:color w:val="auto"/>
                <w:kern w:val="0"/>
                <w:sz w:val="21"/>
                <w:szCs w:val="21"/>
              </w:rPr>
            </w:pPr>
          </w:p>
        </w:tc>
        <w:tc>
          <w:tcPr>
            <w:tcW w:w="1398" w:type="pct"/>
            <w:shd w:val="clear" w:color="auto" w:fill="auto"/>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2" w:type="pct"/>
            <w:gridSpan w:val="2"/>
            <w:shd w:val="clear" w:color="auto" w:fill="auto"/>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地下水防治</w:t>
            </w:r>
          </w:p>
        </w:tc>
        <w:tc>
          <w:tcPr>
            <w:tcW w:w="4057" w:type="pct"/>
            <w:gridSpan w:val="4"/>
            <w:shd w:val="clear" w:color="auto" w:fill="auto"/>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分区防渗、并保留防渗隐蔽工程的施工期影像资料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2" w:type="pct"/>
            <w:gridSpan w:val="2"/>
            <w:shd w:val="clear" w:color="auto" w:fill="auto"/>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环境风险</w:t>
            </w:r>
          </w:p>
        </w:tc>
        <w:tc>
          <w:tcPr>
            <w:tcW w:w="4057" w:type="pct"/>
            <w:gridSpan w:val="4"/>
            <w:shd w:val="clear" w:color="auto" w:fill="auto"/>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制定突发环境事件应急预案并报环保管理部门备案</w:t>
            </w:r>
          </w:p>
        </w:tc>
      </w:tr>
    </w:tbl>
    <w:p>
      <w:pPr>
        <w:ind w:firstLine="480"/>
        <w:rPr>
          <w:rFonts w:hint="default" w:ascii="Times New Roman" w:hAnsi="Times New Roman" w:cs="Times New Roman"/>
          <w:color w:val="auto"/>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26" w:charSpace="0"/>
        </w:sectPr>
      </w:pPr>
    </w:p>
    <w:p>
      <w:pPr>
        <w:pStyle w:val="6"/>
        <w:spacing w:before="0" w:after="0" w:line="360" w:lineRule="auto"/>
        <w:rPr>
          <w:rFonts w:hint="default" w:ascii="Times New Roman" w:hAnsi="Times New Roman" w:cs="Times New Roman"/>
          <w:color w:val="auto"/>
          <w:szCs w:val="28"/>
        </w:rPr>
      </w:pPr>
      <w:bookmarkStart w:id="1086" w:name="_Toc12488122"/>
      <w:bookmarkStart w:id="1087" w:name="_Toc518069218"/>
      <w:bookmarkStart w:id="1088" w:name="_Toc23813"/>
      <w:r>
        <w:rPr>
          <w:rFonts w:hint="default" w:ascii="Times New Roman" w:hAnsi="Times New Roman" w:cs="Times New Roman"/>
          <w:color w:val="auto"/>
          <w:szCs w:val="28"/>
          <w:lang w:val="en-US" w:eastAsia="zh-CN"/>
        </w:rPr>
        <w:t>9</w:t>
      </w:r>
      <w:r>
        <w:rPr>
          <w:rFonts w:hint="default" w:ascii="Times New Roman" w:hAnsi="Times New Roman" w:cs="Times New Roman"/>
          <w:color w:val="auto"/>
          <w:szCs w:val="28"/>
        </w:rPr>
        <w:t>.6.2项目环保竣工验收条件</w:t>
      </w:r>
      <w:bookmarkEnd w:id="1086"/>
      <w:bookmarkEnd w:id="1087"/>
      <w:bookmarkEnd w:id="1088"/>
    </w:p>
    <w:p>
      <w:pPr>
        <w:spacing w:line="360" w:lineRule="auto"/>
        <w:ind w:firstLine="480" w:firstLineChars="200"/>
        <w:rPr>
          <w:rFonts w:hint="default" w:ascii="Times New Roman" w:hAnsi="Times New Roman" w:cs="Times New Roman"/>
          <w:color w:val="auto"/>
          <w:kern w:val="0"/>
        </w:rPr>
      </w:pPr>
      <w:r>
        <w:rPr>
          <w:rFonts w:hint="default" w:ascii="Times New Roman" w:hAnsi="Times New Roman" w:cs="Times New Roman"/>
          <w:color w:val="auto"/>
          <w:kern w:val="0"/>
        </w:rPr>
        <w:t>1、建设前期的环境保护审查、审批手续、技术资料与环境保护资料齐全。</w:t>
      </w:r>
    </w:p>
    <w:p>
      <w:pPr>
        <w:spacing w:line="360" w:lineRule="auto"/>
        <w:ind w:firstLine="480" w:firstLineChars="200"/>
        <w:rPr>
          <w:rFonts w:hint="default" w:ascii="Times New Roman" w:hAnsi="Times New Roman" w:cs="Times New Roman"/>
          <w:color w:val="auto"/>
          <w:kern w:val="0"/>
        </w:rPr>
      </w:pPr>
      <w:r>
        <w:rPr>
          <w:rFonts w:hint="default" w:ascii="Times New Roman" w:hAnsi="Times New Roman" w:cs="Times New Roman"/>
          <w:color w:val="auto"/>
          <w:kern w:val="0"/>
        </w:rPr>
        <w:t>2、环境保护设施及其他措施等已按批准的环境影响报告的要求建成或落实，环境保护设施经负荷试车检验合格，其防治污染的能力适应主体工程的需要。</w:t>
      </w:r>
    </w:p>
    <w:p>
      <w:pPr>
        <w:spacing w:line="360" w:lineRule="auto"/>
        <w:ind w:firstLine="480" w:firstLineChars="200"/>
        <w:rPr>
          <w:rFonts w:hint="default" w:ascii="Times New Roman" w:hAnsi="Times New Roman" w:cs="Times New Roman"/>
          <w:color w:val="auto"/>
          <w:kern w:val="0"/>
        </w:rPr>
      </w:pPr>
      <w:r>
        <w:rPr>
          <w:rFonts w:hint="default" w:ascii="Times New Roman" w:hAnsi="Times New Roman" w:cs="Times New Roman"/>
          <w:color w:val="auto"/>
          <w:kern w:val="0"/>
        </w:rPr>
        <w:t>3、环境保护设施安装质量符合国家和有关部门颁发的专业工程验收规范、规章和检验评定标准。</w:t>
      </w:r>
    </w:p>
    <w:p>
      <w:pPr>
        <w:spacing w:line="360" w:lineRule="auto"/>
        <w:ind w:firstLine="480" w:firstLineChars="200"/>
        <w:rPr>
          <w:rFonts w:hint="default" w:ascii="Times New Roman" w:hAnsi="Times New Roman" w:cs="Times New Roman"/>
          <w:color w:val="auto"/>
          <w:kern w:val="0"/>
        </w:rPr>
      </w:pPr>
      <w:r>
        <w:rPr>
          <w:rFonts w:hint="default" w:ascii="Times New Roman" w:hAnsi="Times New Roman" w:cs="Times New Roman"/>
          <w:color w:val="auto"/>
          <w:kern w:val="0"/>
        </w:rPr>
        <w:t>4、具有环保设施正常运行的条件，包括经培训合格的操作人员，健全的岗位操作规程及相应的规章制度，原料、动力供应落实，符合交付使用的其他要求。</w:t>
      </w:r>
    </w:p>
    <w:p>
      <w:pPr>
        <w:spacing w:line="360" w:lineRule="auto"/>
        <w:ind w:firstLine="480" w:firstLineChars="200"/>
        <w:rPr>
          <w:rFonts w:hint="default" w:ascii="Times New Roman" w:hAnsi="Times New Roman" w:cs="Times New Roman"/>
          <w:color w:val="auto"/>
          <w:kern w:val="0"/>
        </w:rPr>
      </w:pPr>
      <w:r>
        <w:rPr>
          <w:rFonts w:hint="default" w:ascii="Times New Roman" w:hAnsi="Times New Roman" w:cs="Times New Roman"/>
          <w:color w:val="auto"/>
          <w:kern w:val="0"/>
        </w:rPr>
        <w:t>5、污染物排放符合报告书提出的标准。</w:t>
      </w:r>
    </w:p>
    <w:p>
      <w:pPr>
        <w:spacing w:line="360" w:lineRule="auto"/>
        <w:ind w:firstLine="480" w:firstLineChars="200"/>
        <w:rPr>
          <w:rFonts w:hint="default" w:ascii="Times New Roman" w:hAnsi="Times New Roman" w:cs="Times New Roman"/>
          <w:color w:val="auto"/>
          <w:kern w:val="0"/>
        </w:rPr>
      </w:pPr>
      <w:r>
        <w:rPr>
          <w:rFonts w:hint="default" w:ascii="Times New Roman" w:hAnsi="Times New Roman" w:cs="Times New Roman"/>
          <w:color w:val="auto"/>
          <w:kern w:val="0"/>
        </w:rPr>
        <w:t>6、环境影响报告书提出的环境影响防范措施已经落实。</w:t>
      </w:r>
    </w:p>
    <w:p>
      <w:pPr>
        <w:pStyle w:val="4"/>
        <w:spacing w:before="0" w:after="0" w:line="360" w:lineRule="auto"/>
        <w:rPr>
          <w:rFonts w:hint="default" w:ascii="Times New Roman" w:hAnsi="Times New Roman" w:eastAsia="宋体" w:cs="Times New Roman"/>
          <w:color w:val="auto"/>
          <w:sz w:val="28"/>
          <w:szCs w:val="28"/>
        </w:rPr>
      </w:pPr>
      <w:bookmarkStart w:id="1089" w:name="_Toc19836"/>
      <w:r>
        <w:rPr>
          <w:rFonts w:hint="default" w:ascii="Times New Roman" w:hAnsi="Times New Roman" w:eastAsia="宋体" w:cs="Times New Roman"/>
          <w:color w:val="auto"/>
          <w:sz w:val="28"/>
          <w:szCs w:val="28"/>
          <w:lang w:val="en-US" w:eastAsia="zh-CN"/>
        </w:rPr>
        <w:t>9</w:t>
      </w:r>
      <w:r>
        <w:rPr>
          <w:rFonts w:hint="default" w:ascii="Times New Roman" w:hAnsi="Times New Roman" w:eastAsia="宋体" w:cs="Times New Roman"/>
          <w:color w:val="auto"/>
          <w:sz w:val="28"/>
          <w:szCs w:val="28"/>
        </w:rPr>
        <w:t>.7污染物排放清单</w:t>
      </w:r>
      <w:bookmarkEnd w:id="1089"/>
    </w:p>
    <w:p>
      <w:pPr>
        <w:pStyle w:val="178"/>
        <w:spacing w:beforeLines="0" w:afterLines="0" w:line="360" w:lineRule="auto"/>
        <w:rPr>
          <w:rFonts w:hint="default" w:ascii="Times New Roman" w:hAnsi="Times New Roman" w:cs="Times New Roman"/>
          <w:color w:val="auto"/>
        </w:rPr>
      </w:pPr>
      <w:r>
        <w:rPr>
          <w:rFonts w:hint="default" w:ascii="Times New Roman" w:hAnsi="Times New Roman" w:cs="Times New Roman"/>
          <w:color w:val="auto"/>
        </w:rPr>
        <w:t>表</w:t>
      </w:r>
      <w:r>
        <w:rPr>
          <w:rFonts w:hint="default" w:ascii="Times New Roman" w:hAnsi="Times New Roman" w:cs="Times New Roman"/>
          <w:color w:val="auto"/>
          <w:lang w:val="en-US" w:eastAsia="zh-CN"/>
        </w:rPr>
        <w:t>9</w:t>
      </w:r>
      <w:r>
        <w:rPr>
          <w:rFonts w:hint="default" w:ascii="Times New Roman" w:hAnsi="Times New Roman" w:cs="Times New Roman"/>
          <w:color w:val="auto"/>
        </w:rPr>
        <w:t>-</w:t>
      </w:r>
      <w:r>
        <w:rPr>
          <w:rFonts w:hint="default" w:ascii="Times New Roman" w:hAnsi="Times New Roman" w:cs="Times New Roman"/>
          <w:color w:val="auto"/>
          <w:lang w:val="en-US" w:eastAsia="zh-CN"/>
        </w:rPr>
        <w:t>6</w:t>
      </w:r>
      <w:r>
        <w:rPr>
          <w:rFonts w:hint="default" w:ascii="Times New Roman" w:hAnsi="Times New Roman" w:cs="Times New Roman"/>
          <w:color w:val="auto"/>
        </w:rPr>
        <w:t>本项目污染物排放清单一览表</w:t>
      </w:r>
    </w:p>
    <w:tbl>
      <w:tblPr>
        <w:tblStyle w:val="44"/>
        <w:tblW w:w="8863"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15" w:type="dxa"/>
          <w:left w:w="15" w:type="dxa"/>
          <w:bottom w:w="15" w:type="dxa"/>
          <w:right w:w="15" w:type="dxa"/>
        </w:tblCellMar>
      </w:tblPr>
      <w:tblGrid>
        <w:gridCol w:w="568"/>
        <w:gridCol w:w="890"/>
        <w:gridCol w:w="1148"/>
        <w:gridCol w:w="2674"/>
        <w:gridCol w:w="1091"/>
        <w:gridCol w:w="1316"/>
        <w:gridCol w:w="117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15" w:type="dxa"/>
            <w:left w:w="15" w:type="dxa"/>
            <w:bottom w:w="15" w:type="dxa"/>
            <w:right w:w="15" w:type="dxa"/>
          </w:tblCellMar>
        </w:tblPrEx>
        <w:trPr>
          <w:trHeight w:val="283" w:hRule="atLeast"/>
          <w:jc w:val="center"/>
        </w:trPr>
        <w:tc>
          <w:tcPr>
            <w:tcW w:w="568" w:type="dxa"/>
            <w:vAlign w:val="center"/>
          </w:tcPr>
          <w:p>
            <w:pPr>
              <w:widowControl/>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类型</w:t>
            </w:r>
          </w:p>
        </w:tc>
        <w:tc>
          <w:tcPr>
            <w:tcW w:w="890" w:type="dxa"/>
            <w:vAlign w:val="center"/>
          </w:tcPr>
          <w:p>
            <w:pPr>
              <w:widowControl/>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污染源</w:t>
            </w:r>
          </w:p>
        </w:tc>
        <w:tc>
          <w:tcPr>
            <w:tcW w:w="1148" w:type="dxa"/>
            <w:vAlign w:val="center"/>
          </w:tcPr>
          <w:p>
            <w:pPr>
              <w:widowControl/>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污染物名称</w:t>
            </w:r>
          </w:p>
        </w:tc>
        <w:tc>
          <w:tcPr>
            <w:tcW w:w="2674" w:type="dxa"/>
            <w:vAlign w:val="center"/>
          </w:tcPr>
          <w:p>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环保措施</w:t>
            </w:r>
          </w:p>
        </w:tc>
        <w:tc>
          <w:tcPr>
            <w:tcW w:w="1091" w:type="dxa"/>
            <w:vAlign w:val="center"/>
          </w:tcPr>
          <w:p>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排放浓度</w:t>
            </w:r>
          </w:p>
        </w:tc>
        <w:tc>
          <w:tcPr>
            <w:tcW w:w="1316" w:type="dxa"/>
            <w:vAlign w:val="center"/>
          </w:tcPr>
          <w:p>
            <w:pPr>
              <w:widowControl/>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排放量</w:t>
            </w:r>
          </w:p>
        </w:tc>
        <w:tc>
          <w:tcPr>
            <w:tcW w:w="1176" w:type="dxa"/>
            <w:vAlign w:val="center"/>
          </w:tcPr>
          <w:p>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排放方式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15" w:type="dxa"/>
            <w:left w:w="15" w:type="dxa"/>
            <w:bottom w:w="15" w:type="dxa"/>
            <w:right w:w="15" w:type="dxa"/>
          </w:tblCellMar>
        </w:tblPrEx>
        <w:trPr>
          <w:trHeight w:val="67" w:hRule="atLeast"/>
          <w:jc w:val="center"/>
        </w:trPr>
        <w:tc>
          <w:tcPr>
            <w:tcW w:w="568" w:type="dxa"/>
            <w:vMerge w:val="restart"/>
            <w:vAlign w:val="center"/>
          </w:tcPr>
          <w:p>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废气</w:t>
            </w:r>
          </w:p>
        </w:tc>
        <w:tc>
          <w:tcPr>
            <w:tcW w:w="890" w:type="dxa"/>
            <w:vMerge w:val="restart"/>
            <w:vAlign w:val="center"/>
          </w:tcPr>
          <w:p>
            <w:pPr>
              <w:widowControl/>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DA008</w:t>
            </w:r>
          </w:p>
        </w:tc>
        <w:tc>
          <w:tcPr>
            <w:tcW w:w="1148" w:type="dxa"/>
            <w:vAlign w:val="center"/>
          </w:tcPr>
          <w:p>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废气量</w:t>
            </w:r>
          </w:p>
        </w:tc>
        <w:tc>
          <w:tcPr>
            <w:tcW w:w="2674" w:type="dxa"/>
            <w:vMerge w:val="restart"/>
            <w:vAlign w:val="center"/>
          </w:tcPr>
          <w:p>
            <w:pPr>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1套活性炭吸附塔治理后通过1根</w:t>
            </w:r>
            <w:r>
              <w:rPr>
                <w:rFonts w:hint="default" w:ascii="Times New Roman" w:hAnsi="Times New Roman" w:cs="Times New Roman"/>
                <w:color w:val="auto"/>
                <w:kern w:val="0"/>
                <w:sz w:val="21"/>
                <w:szCs w:val="21"/>
                <w:lang w:val="en-US" w:eastAsia="zh-CN"/>
              </w:rPr>
              <w:t>15m</w:t>
            </w:r>
            <w:r>
              <w:rPr>
                <w:rFonts w:hint="default" w:ascii="Times New Roman" w:hAnsi="Times New Roman" w:cs="Times New Roman"/>
                <w:color w:val="auto"/>
                <w:kern w:val="0"/>
                <w:sz w:val="21"/>
                <w:szCs w:val="21"/>
              </w:rPr>
              <w:t>高排气筒排放</w:t>
            </w:r>
          </w:p>
        </w:tc>
        <w:tc>
          <w:tcPr>
            <w:tcW w:w="1091" w:type="dxa"/>
            <w:vAlign w:val="center"/>
          </w:tcPr>
          <w:p>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w:t>
            </w:r>
          </w:p>
        </w:tc>
        <w:tc>
          <w:tcPr>
            <w:tcW w:w="1316" w:type="dxa"/>
            <w:vAlign w:val="center"/>
          </w:tcPr>
          <w:p>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lang w:val="en-US" w:eastAsia="zh-CN"/>
              </w:rPr>
              <w:t>39420</w:t>
            </w:r>
            <w:r>
              <w:rPr>
                <w:rFonts w:hint="default" w:ascii="Times New Roman" w:hAnsi="Times New Roman" w:cs="Times New Roman"/>
                <w:color w:val="auto"/>
                <w:kern w:val="0"/>
                <w:sz w:val="21"/>
                <w:szCs w:val="21"/>
              </w:rPr>
              <w:t>万m</w:t>
            </w:r>
            <w:r>
              <w:rPr>
                <w:rFonts w:hint="default" w:ascii="Times New Roman" w:hAnsi="Times New Roman" w:cs="Times New Roman"/>
                <w:color w:val="auto"/>
                <w:kern w:val="0"/>
                <w:sz w:val="21"/>
                <w:szCs w:val="21"/>
                <w:vertAlign w:val="superscript"/>
              </w:rPr>
              <w:t>3</w:t>
            </w:r>
            <w:r>
              <w:rPr>
                <w:rFonts w:hint="default" w:ascii="Times New Roman" w:hAnsi="Times New Roman" w:cs="Times New Roman"/>
                <w:color w:val="auto"/>
                <w:kern w:val="0"/>
                <w:sz w:val="21"/>
                <w:szCs w:val="21"/>
              </w:rPr>
              <w:t>/a</w:t>
            </w:r>
          </w:p>
        </w:tc>
        <w:tc>
          <w:tcPr>
            <w:tcW w:w="1176" w:type="dxa"/>
            <w:vMerge w:val="restart"/>
            <w:vAlign w:val="center"/>
          </w:tcPr>
          <w:p>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有组织排放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15" w:type="dxa"/>
            <w:left w:w="15" w:type="dxa"/>
            <w:bottom w:w="15" w:type="dxa"/>
            <w:right w:w="15" w:type="dxa"/>
          </w:tblCellMar>
        </w:tblPrEx>
        <w:trPr>
          <w:trHeight w:val="67" w:hRule="atLeast"/>
          <w:jc w:val="center"/>
        </w:trPr>
        <w:tc>
          <w:tcPr>
            <w:tcW w:w="568" w:type="dxa"/>
            <w:vMerge w:val="continue"/>
            <w:vAlign w:val="center"/>
          </w:tcPr>
          <w:p>
            <w:pPr>
              <w:widowControl/>
              <w:jc w:val="center"/>
              <w:textAlignment w:val="center"/>
              <w:rPr>
                <w:rFonts w:hint="default" w:ascii="Times New Roman" w:hAnsi="Times New Roman" w:cs="Times New Roman"/>
                <w:color w:val="auto"/>
                <w:kern w:val="0"/>
                <w:sz w:val="21"/>
                <w:szCs w:val="21"/>
              </w:rPr>
            </w:pPr>
          </w:p>
        </w:tc>
        <w:tc>
          <w:tcPr>
            <w:tcW w:w="890" w:type="dxa"/>
            <w:vMerge w:val="continue"/>
            <w:vAlign w:val="center"/>
          </w:tcPr>
          <w:p>
            <w:pPr>
              <w:widowControl/>
              <w:jc w:val="center"/>
              <w:rPr>
                <w:rFonts w:hint="default" w:ascii="Times New Roman" w:hAnsi="Times New Roman" w:cs="Times New Roman"/>
                <w:color w:val="auto"/>
                <w:sz w:val="21"/>
                <w:szCs w:val="21"/>
              </w:rPr>
            </w:pPr>
          </w:p>
        </w:tc>
        <w:tc>
          <w:tcPr>
            <w:tcW w:w="1148" w:type="dxa"/>
            <w:vAlign w:val="center"/>
          </w:tcPr>
          <w:p>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非甲烷总烃</w:t>
            </w:r>
          </w:p>
        </w:tc>
        <w:tc>
          <w:tcPr>
            <w:tcW w:w="2674" w:type="dxa"/>
            <w:vMerge w:val="continue"/>
            <w:vAlign w:val="center"/>
          </w:tcPr>
          <w:p>
            <w:pPr>
              <w:widowControl/>
              <w:jc w:val="center"/>
              <w:textAlignment w:val="center"/>
              <w:rPr>
                <w:rFonts w:hint="default" w:ascii="Times New Roman" w:hAnsi="Times New Roman" w:cs="Times New Roman"/>
                <w:color w:val="auto"/>
                <w:kern w:val="0"/>
                <w:sz w:val="21"/>
                <w:szCs w:val="21"/>
              </w:rPr>
            </w:pPr>
          </w:p>
        </w:tc>
        <w:tc>
          <w:tcPr>
            <w:tcW w:w="1091"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val="en-US" w:eastAsia="zh-CN"/>
              </w:rPr>
              <w:t>3.18</w:t>
            </w:r>
            <w:r>
              <w:rPr>
                <w:rFonts w:hint="default" w:ascii="Times New Roman" w:hAnsi="Times New Roman" w:cs="Times New Roman"/>
                <w:color w:val="auto"/>
                <w:kern w:val="0"/>
                <w:sz w:val="21"/>
                <w:szCs w:val="21"/>
              </w:rPr>
              <w:t>mg/m</w:t>
            </w:r>
            <w:r>
              <w:rPr>
                <w:rFonts w:hint="default" w:ascii="Times New Roman" w:hAnsi="Times New Roman" w:cs="Times New Roman"/>
                <w:color w:val="auto"/>
                <w:kern w:val="0"/>
                <w:sz w:val="21"/>
                <w:szCs w:val="21"/>
                <w:vertAlign w:val="superscript"/>
              </w:rPr>
              <w:t>3</w:t>
            </w:r>
          </w:p>
        </w:tc>
        <w:tc>
          <w:tcPr>
            <w:tcW w:w="1316"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lang w:val="en-US" w:eastAsia="zh-CN"/>
              </w:rPr>
              <w:t>253</w:t>
            </w:r>
            <w:r>
              <w:rPr>
                <w:rFonts w:hint="default" w:ascii="Times New Roman" w:hAnsi="Times New Roman" w:cs="Times New Roman"/>
                <w:color w:val="auto"/>
                <w:sz w:val="21"/>
                <w:szCs w:val="21"/>
                <w:lang w:val="en-US" w:eastAsia="zh-CN"/>
              </w:rPr>
              <w:t>t/a</w:t>
            </w:r>
          </w:p>
        </w:tc>
        <w:tc>
          <w:tcPr>
            <w:tcW w:w="1176" w:type="dxa"/>
            <w:vMerge w:val="continue"/>
            <w:vAlign w:val="center"/>
          </w:tcPr>
          <w:p>
            <w:pPr>
              <w:jc w:val="center"/>
              <w:textAlignment w:val="center"/>
              <w:rPr>
                <w:rFonts w:hint="default" w:ascii="Times New Roman" w:hAnsi="Times New Roman" w:cs="Times New Roman"/>
                <w:color w:val="auto"/>
                <w:kern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15" w:type="dxa"/>
            <w:left w:w="15" w:type="dxa"/>
            <w:bottom w:w="15" w:type="dxa"/>
            <w:right w:w="15" w:type="dxa"/>
          </w:tblCellMar>
        </w:tblPrEx>
        <w:trPr>
          <w:trHeight w:val="67" w:hRule="atLeast"/>
          <w:jc w:val="center"/>
        </w:trPr>
        <w:tc>
          <w:tcPr>
            <w:tcW w:w="568" w:type="dxa"/>
            <w:vMerge w:val="continue"/>
            <w:vAlign w:val="center"/>
          </w:tcPr>
          <w:p>
            <w:pPr>
              <w:widowControl/>
              <w:jc w:val="center"/>
              <w:textAlignment w:val="center"/>
              <w:rPr>
                <w:rFonts w:hint="default" w:ascii="Times New Roman" w:hAnsi="Times New Roman" w:cs="Times New Roman"/>
                <w:color w:val="auto"/>
                <w:kern w:val="0"/>
                <w:sz w:val="21"/>
                <w:szCs w:val="21"/>
              </w:rPr>
            </w:pPr>
          </w:p>
        </w:tc>
        <w:tc>
          <w:tcPr>
            <w:tcW w:w="890" w:type="dxa"/>
            <w:vMerge w:val="restart"/>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DA009</w:t>
            </w:r>
          </w:p>
        </w:tc>
        <w:tc>
          <w:tcPr>
            <w:tcW w:w="1148" w:type="dxa"/>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rPr>
              <w:t>废气量</w:t>
            </w:r>
          </w:p>
        </w:tc>
        <w:tc>
          <w:tcPr>
            <w:tcW w:w="2674" w:type="dxa"/>
            <w:vMerge w:val="restart"/>
            <w:vAlign w:val="center"/>
          </w:tcPr>
          <w:p>
            <w:pP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rPr>
              <w:t>1套</w:t>
            </w:r>
            <w:r>
              <w:rPr>
                <w:rFonts w:hint="default" w:ascii="Times New Roman" w:hAnsi="Times New Roman" w:cs="Times New Roman"/>
                <w:color w:val="auto"/>
                <w:kern w:val="0"/>
                <w:sz w:val="21"/>
                <w:szCs w:val="21"/>
                <w:lang w:eastAsia="zh-CN"/>
              </w:rPr>
              <w:t>文丘里洗涤塔</w:t>
            </w:r>
            <w:r>
              <w:rPr>
                <w:rFonts w:hint="default" w:ascii="Times New Roman" w:hAnsi="Times New Roman" w:cs="Times New Roman"/>
                <w:color w:val="auto"/>
                <w:kern w:val="0"/>
                <w:sz w:val="21"/>
                <w:szCs w:val="21"/>
              </w:rPr>
              <w:t>治理后通过1根</w:t>
            </w:r>
            <w:r>
              <w:rPr>
                <w:rFonts w:hint="default" w:ascii="Times New Roman" w:hAnsi="Times New Roman" w:cs="Times New Roman"/>
                <w:color w:val="auto"/>
                <w:kern w:val="0"/>
                <w:sz w:val="21"/>
                <w:szCs w:val="21"/>
                <w:lang w:val="en-US" w:eastAsia="zh-CN"/>
              </w:rPr>
              <w:t>15m</w:t>
            </w:r>
            <w:r>
              <w:rPr>
                <w:rFonts w:hint="default" w:ascii="Times New Roman" w:hAnsi="Times New Roman" w:cs="Times New Roman"/>
                <w:color w:val="auto"/>
                <w:kern w:val="0"/>
                <w:sz w:val="21"/>
                <w:szCs w:val="21"/>
              </w:rPr>
              <w:t>高排气筒排放</w:t>
            </w:r>
          </w:p>
        </w:tc>
        <w:tc>
          <w:tcPr>
            <w:tcW w:w="1091" w:type="dxa"/>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rPr>
              <w:t>—</w:t>
            </w:r>
          </w:p>
        </w:tc>
        <w:tc>
          <w:tcPr>
            <w:tcW w:w="1316" w:type="dxa"/>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rPr>
              <w:t>39420</w:t>
            </w:r>
            <w:r>
              <w:rPr>
                <w:rFonts w:hint="default" w:ascii="Times New Roman" w:hAnsi="Times New Roman" w:cs="Times New Roman"/>
                <w:color w:val="auto"/>
                <w:kern w:val="0"/>
                <w:sz w:val="21"/>
                <w:szCs w:val="21"/>
              </w:rPr>
              <w:t>万m</w:t>
            </w:r>
            <w:r>
              <w:rPr>
                <w:rFonts w:hint="default" w:ascii="Times New Roman" w:hAnsi="Times New Roman" w:cs="Times New Roman"/>
                <w:color w:val="auto"/>
                <w:kern w:val="0"/>
                <w:sz w:val="21"/>
                <w:szCs w:val="21"/>
                <w:vertAlign w:val="superscript"/>
              </w:rPr>
              <w:t>3</w:t>
            </w:r>
            <w:r>
              <w:rPr>
                <w:rFonts w:hint="default" w:ascii="Times New Roman" w:hAnsi="Times New Roman" w:cs="Times New Roman"/>
                <w:color w:val="auto"/>
                <w:kern w:val="0"/>
                <w:sz w:val="21"/>
                <w:szCs w:val="21"/>
              </w:rPr>
              <w:t>/a</w:t>
            </w:r>
          </w:p>
        </w:tc>
        <w:tc>
          <w:tcPr>
            <w:tcW w:w="1176" w:type="dxa"/>
            <w:vMerge w:val="restart"/>
            <w:vAlign w:val="center"/>
          </w:tcPr>
          <w:p>
            <w:pPr>
              <w:jc w:val="center"/>
              <w:textAlignment w:val="center"/>
              <w:rPr>
                <w:rFonts w:hint="default" w:ascii="Times New Roman" w:hAnsi="Times New Roman" w:eastAsia="宋体" w:cs="Times New Roman"/>
                <w:color w:val="auto"/>
                <w:kern w:val="0"/>
                <w:sz w:val="21"/>
                <w:szCs w:val="21"/>
                <w:lang w:eastAsia="zh-CN"/>
              </w:rPr>
            </w:pPr>
            <w:r>
              <w:rPr>
                <w:rFonts w:hint="default" w:ascii="Times New Roman" w:hAnsi="Times New Roman" w:cs="Times New Roman"/>
                <w:color w:val="auto"/>
                <w:kern w:val="0"/>
                <w:sz w:val="21"/>
                <w:szCs w:val="21"/>
                <w:lang w:eastAsia="zh-CN"/>
              </w:rPr>
              <w:t>有组织排放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15" w:type="dxa"/>
            <w:left w:w="15" w:type="dxa"/>
            <w:bottom w:w="15" w:type="dxa"/>
            <w:right w:w="15" w:type="dxa"/>
          </w:tblCellMar>
        </w:tblPrEx>
        <w:trPr>
          <w:trHeight w:val="67" w:hRule="atLeast"/>
          <w:jc w:val="center"/>
        </w:trPr>
        <w:tc>
          <w:tcPr>
            <w:tcW w:w="568" w:type="dxa"/>
            <w:vMerge w:val="continue"/>
            <w:vAlign w:val="center"/>
          </w:tcPr>
          <w:p>
            <w:pPr>
              <w:widowControl/>
              <w:jc w:val="center"/>
              <w:textAlignment w:val="center"/>
              <w:rPr>
                <w:rFonts w:hint="default" w:ascii="Times New Roman" w:hAnsi="Times New Roman" w:cs="Times New Roman"/>
                <w:color w:val="auto"/>
                <w:kern w:val="0"/>
                <w:sz w:val="21"/>
                <w:szCs w:val="21"/>
              </w:rPr>
            </w:pPr>
          </w:p>
        </w:tc>
        <w:tc>
          <w:tcPr>
            <w:tcW w:w="890" w:type="dxa"/>
            <w:vMerge w:val="continue"/>
            <w:vAlign w:val="center"/>
          </w:tcPr>
          <w:p>
            <w:pPr>
              <w:widowControl/>
              <w:jc w:val="center"/>
              <w:rPr>
                <w:rFonts w:hint="default" w:ascii="Times New Roman" w:hAnsi="Times New Roman" w:cs="Times New Roman"/>
                <w:color w:val="auto"/>
                <w:sz w:val="21"/>
                <w:szCs w:val="21"/>
              </w:rPr>
            </w:pPr>
          </w:p>
        </w:tc>
        <w:tc>
          <w:tcPr>
            <w:tcW w:w="1148" w:type="dxa"/>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eastAsia="zh-CN"/>
              </w:rPr>
              <w:t>颗粒物</w:t>
            </w:r>
          </w:p>
        </w:tc>
        <w:tc>
          <w:tcPr>
            <w:tcW w:w="2674" w:type="dxa"/>
            <w:vMerge w:val="continue"/>
            <w:vAlign w:val="center"/>
          </w:tcPr>
          <w:p>
            <w:pPr>
              <w:widowControl/>
              <w:jc w:val="center"/>
              <w:textAlignment w:val="center"/>
              <w:rPr>
                <w:rFonts w:hint="default" w:ascii="Times New Roman" w:hAnsi="Times New Roman" w:cs="Times New Roman"/>
                <w:color w:val="auto"/>
                <w:kern w:val="0"/>
                <w:sz w:val="21"/>
                <w:szCs w:val="21"/>
              </w:rPr>
            </w:pPr>
          </w:p>
        </w:tc>
        <w:tc>
          <w:tcPr>
            <w:tcW w:w="1091" w:type="dxa"/>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0"/>
                <w:sz w:val="21"/>
                <w:szCs w:val="21"/>
                <w:lang w:val="en-US" w:eastAsia="zh-CN"/>
              </w:rPr>
              <w:t>0.836</w:t>
            </w:r>
            <w:r>
              <w:rPr>
                <w:rFonts w:hint="default" w:ascii="Times New Roman" w:hAnsi="Times New Roman" w:cs="Times New Roman"/>
                <w:color w:val="auto"/>
                <w:kern w:val="0"/>
                <w:sz w:val="21"/>
                <w:szCs w:val="21"/>
              </w:rPr>
              <w:t>mg/m</w:t>
            </w:r>
            <w:r>
              <w:rPr>
                <w:rFonts w:hint="default" w:ascii="Times New Roman" w:hAnsi="Times New Roman" w:cs="Times New Roman"/>
                <w:color w:val="auto"/>
                <w:kern w:val="0"/>
                <w:sz w:val="21"/>
                <w:szCs w:val="21"/>
                <w:vertAlign w:val="superscript"/>
              </w:rPr>
              <w:t>3</w:t>
            </w:r>
          </w:p>
        </w:tc>
        <w:tc>
          <w:tcPr>
            <w:tcW w:w="1316" w:type="dxa"/>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0.33</w:t>
            </w:r>
            <w:r>
              <w:rPr>
                <w:rFonts w:hint="default" w:ascii="Times New Roman" w:hAnsi="Times New Roman" w:cs="Times New Roman"/>
                <w:color w:val="auto"/>
                <w:sz w:val="21"/>
                <w:szCs w:val="21"/>
                <w:lang w:val="en-US" w:eastAsia="zh-CN"/>
              </w:rPr>
              <w:t>t/a</w:t>
            </w:r>
          </w:p>
        </w:tc>
        <w:tc>
          <w:tcPr>
            <w:tcW w:w="1176" w:type="dxa"/>
            <w:vMerge w:val="continue"/>
            <w:vAlign w:val="center"/>
          </w:tcPr>
          <w:p>
            <w:pPr>
              <w:jc w:val="center"/>
              <w:textAlignment w:val="center"/>
              <w:rPr>
                <w:rFonts w:hint="default" w:ascii="Times New Roman" w:hAnsi="Times New Roman" w:cs="Times New Roman"/>
                <w:color w:val="auto"/>
                <w:kern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15" w:type="dxa"/>
            <w:left w:w="15" w:type="dxa"/>
            <w:bottom w:w="15" w:type="dxa"/>
            <w:right w:w="15" w:type="dxa"/>
          </w:tblCellMar>
        </w:tblPrEx>
        <w:trPr>
          <w:trHeight w:val="67" w:hRule="atLeast"/>
          <w:jc w:val="center"/>
        </w:trPr>
        <w:tc>
          <w:tcPr>
            <w:tcW w:w="568" w:type="dxa"/>
            <w:vMerge w:val="continue"/>
            <w:vAlign w:val="center"/>
          </w:tcPr>
          <w:p>
            <w:pPr>
              <w:widowControl/>
              <w:jc w:val="center"/>
              <w:textAlignment w:val="center"/>
              <w:rPr>
                <w:rFonts w:hint="default" w:ascii="Times New Roman" w:hAnsi="Times New Roman" w:cs="Times New Roman"/>
                <w:color w:val="auto"/>
                <w:kern w:val="0"/>
                <w:sz w:val="21"/>
                <w:szCs w:val="21"/>
              </w:rPr>
            </w:pPr>
          </w:p>
        </w:tc>
        <w:tc>
          <w:tcPr>
            <w:tcW w:w="890" w:type="dxa"/>
            <w:vMerge w:val="restart"/>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DA010</w:t>
            </w:r>
          </w:p>
        </w:tc>
        <w:tc>
          <w:tcPr>
            <w:tcW w:w="1148" w:type="dxa"/>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rPr>
              <w:t>废气量</w:t>
            </w:r>
          </w:p>
        </w:tc>
        <w:tc>
          <w:tcPr>
            <w:tcW w:w="2674" w:type="dxa"/>
            <w:vMerge w:val="restart"/>
            <w:vAlign w:val="center"/>
          </w:tcPr>
          <w:p>
            <w:pP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rPr>
              <w:t>1套</w:t>
            </w:r>
            <w:r>
              <w:rPr>
                <w:rFonts w:hint="default" w:ascii="Times New Roman" w:hAnsi="Times New Roman" w:cs="Times New Roman"/>
                <w:color w:val="auto"/>
                <w:kern w:val="0"/>
                <w:sz w:val="21"/>
                <w:szCs w:val="21"/>
                <w:lang w:eastAsia="zh-CN"/>
              </w:rPr>
              <w:t>除臭系统（碱吸收）</w:t>
            </w:r>
            <w:r>
              <w:rPr>
                <w:rFonts w:hint="default" w:ascii="Times New Roman" w:hAnsi="Times New Roman" w:cs="Times New Roman"/>
                <w:color w:val="auto"/>
                <w:kern w:val="0"/>
                <w:sz w:val="21"/>
                <w:szCs w:val="21"/>
              </w:rPr>
              <w:t>治理后通过1根</w:t>
            </w:r>
            <w:r>
              <w:rPr>
                <w:rFonts w:hint="default" w:ascii="Times New Roman" w:hAnsi="Times New Roman" w:cs="Times New Roman"/>
                <w:color w:val="auto"/>
                <w:kern w:val="0"/>
                <w:sz w:val="21"/>
                <w:szCs w:val="21"/>
                <w:lang w:val="en-US" w:eastAsia="zh-CN"/>
              </w:rPr>
              <w:t>15m</w:t>
            </w:r>
            <w:r>
              <w:rPr>
                <w:rFonts w:hint="default" w:ascii="Times New Roman" w:hAnsi="Times New Roman" w:cs="Times New Roman"/>
                <w:color w:val="auto"/>
                <w:kern w:val="0"/>
                <w:sz w:val="21"/>
                <w:szCs w:val="21"/>
              </w:rPr>
              <w:t>高排气筒排放</w:t>
            </w:r>
          </w:p>
        </w:tc>
        <w:tc>
          <w:tcPr>
            <w:tcW w:w="1091" w:type="dxa"/>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rPr>
              <w:t>—</w:t>
            </w:r>
          </w:p>
        </w:tc>
        <w:tc>
          <w:tcPr>
            <w:tcW w:w="1316" w:type="dxa"/>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rPr>
              <w:t>13140</w:t>
            </w:r>
            <w:r>
              <w:rPr>
                <w:rFonts w:hint="default" w:ascii="Times New Roman" w:hAnsi="Times New Roman" w:cs="Times New Roman"/>
                <w:color w:val="auto"/>
                <w:kern w:val="0"/>
                <w:sz w:val="21"/>
                <w:szCs w:val="21"/>
              </w:rPr>
              <w:t>万m</w:t>
            </w:r>
            <w:r>
              <w:rPr>
                <w:rFonts w:hint="default" w:ascii="Times New Roman" w:hAnsi="Times New Roman" w:cs="Times New Roman"/>
                <w:color w:val="auto"/>
                <w:kern w:val="0"/>
                <w:sz w:val="21"/>
                <w:szCs w:val="21"/>
                <w:vertAlign w:val="superscript"/>
              </w:rPr>
              <w:t>3</w:t>
            </w:r>
            <w:r>
              <w:rPr>
                <w:rFonts w:hint="default" w:ascii="Times New Roman" w:hAnsi="Times New Roman" w:cs="Times New Roman"/>
                <w:color w:val="auto"/>
                <w:kern w:val="0"/>
                <w:sz w:val="21"/>
                <w:szCs w:val="21"/>
              </w:rPr>
              <w:t>/a</w:t>
            </w:r>
          </w:p>
        </w:tc>
        <w:tc>
          <w:tcPr>
            <w:tcW w:w="1176" w:type="dxa"/>
            <w:vMerge w:val="restart"/>
            <w:vAlign w:val="center"/>
          </w:tcPr>
          <w:p>
            <w:pPr>
              <w:jc w:val="center"/>
              <w:textAlignment w:val="center"/>
              <w:rPr>
                <w:rFonts w:hint="default" w:ascii="Times New Roman" w:hAnsi="Times New Roman" w:eastAsia="宋体" w:cs="Times New Roman"/>
                <w:color w:val="auto"/>
                <w:kern w:val="0"/>
                <w:sz w:val="21"/>
                <w:szCs w:val="21"/>
                <w:lang w:eastAsia="zh-CN"/>
              </w:rPr>
            </w:pPr>
            <w:r>
              <w:rPr>
                <w:rFonts w:hint="default" w:ascii="Times New Roman" w:hAnsi="Times New Roman" w:cs="Times New Roman"/>
                <w:color w:val="auto"/>
                <w:kern w:val="0"/>
                <w:sz w:val="21"/>
                <w:szCs w:val="21"/>
                <w:lang w:eastAsia="zh-CN"/>
              </w:rPr>
              <w:t>有组织排放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15" w:type="dxa"/>
            <w:left w:w="15" w:type="dxa"/>
            <w:bottom w:w="15" w:type="dxa"/>
            <w:right w:w="15" w:type="dxa"/>
          </w:tblCellMar>
        </w:tblPrEx>
        <w:trPr>
          <w:trHeight w:val="67" w:hRule="atLeast"/>
          <w:jc w:val="center"/>
        </w:trPr>
        <w:tc>
          <w:tcPr>
            <w:tcW w:w="568" w:type="dxa"/>
            <w:vMerge w:val="continue"/>
            <w:vAlign w:val="center"/>
          </w:tcPr>
          <w:p>
            <w:pPr>
              <w:widowControl/>
              <w:jc w:val="center"/>
              <w:textAlignment w:val="center"/>
              <w:rPr>
                <w:rFonts w:hint="default" w:ascii="Times New Roman" w:hAnsi="Times New Roman" w:cs="Times New Roman"/>
                <w:color w:val="auto"/>
                <w:kern w:val="0"/>
                <w:sz w:val="21"/>
                <w:szCs w:val="21"/>
              </w:rPr>
            </w:pPr>
          </w:p>
        </w:tc>
        <w:tc>
          <w:tcPr>
            <w:tcW w:w="890" w:type="dxa"/>
            <w:vMerge w:val="continue"/>
            <w:vAlign w:val="center"/>
          </w:tcPr>
          <w:p>
            <w:pPr>
              <w:widowControl/>
              <w:jc w:val="center"/>
              <w:rPr>
                <w:rFonts w:hint="default" w:ascii="Times New Roman" w:hAnsi="Times New Roman" w:cs="Times New Roman"/>
                <w:color w:val="auto"/>
                <w:sz w:val="21"/>
                <w:szCs w:val="21"/>
              </w:rPr>
            </w:pPr>
          </w:p>
        </w:tc>
        <w:tc>
          <w:tcPr>
            <w:tcW w:w="1148" w:type="dxa"/>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eastAsia="zh-CN"/>
              </w:rPr>
              <w:t>氨气</w:t>
            </w:r>
          </w:p>
        </w:tc>
        <w:tc>
          <w:tcPr>
            <w:tcW w:w="2674" w:type="dxa"/>
            <w:vMerge w:val="continue"/>
            <w:vAlign w:val="center"/>
          </w:tcPr>
          <w:p>
            <w:pPr>
              <w:widowControl/>
              <w:jc w:val="center"/>
              <w:textAlignment w:val="center"/>
              <w:rPr>
                <w:rFonts w:hint="default" w:ascii="Times New Roman" w:hAnsi="Times New Roman" w:cs="Times New Roman"/>
                <w:color w:val="auto"/>
                <w:kern w:val="0"/>
                <w:sz w:val="21"/>
                <w:szCs w:val="21"/>
              </w:rPr>
            </w:pPr>
          </w:p>
        </w:tc>
        <w:tc>
          <w:tcPr>
            <w:tcW w:w="1091" w:type="dxa"/>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0"/>
                <w:sz w:val="21"/>
                <w:szCs w:val="21"/>
                <w:lang w:val="en-US" w:eastAsia="zh-CN"/>
              </w:rPr>
              <w:t>1.44</w:t>
            </w:r>
            <w:r>
              <w:rPr>
                <w:rFonts w:hint="default" w:ascii="Times New Roman" w:hAnsi="Times New Roman" w:cs="Times New Roman"/>
                <w:color w:val="auto"/>
                <w:kern w:val="0"/>
                <w:sz w:val="21"/>
                <w:szCs w:val="21"/>
              </w:rPr>
              <w:t>mg/m</w:t>
            </w:r>
            <w:r>
              <w:rPr>
                <w:rFonts w:hint="default" w:ascii="Times New Roman" w:hAnsi="Times New Roman" w:cs="Times New Roman"/>
                <w:color w:val="auto"/>
                <w:kern w:val="0"/>
                <w:sz w:val="21"/>
                <w:szCs w:val="21"/>
                <w:vertAlign w:val="superscript"/>
              </w:rPr>
              <w:t>3</w:t>
            </w:r>
          </w:p>
        </w:tc>
        <w:tc>
          <w:tcPr>
            <w:tcW w:w="1316" w:type="dxa"/>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0.193</w:t>
            </w:r>
            <w:r>
              <w:rPr>
                <w:rFonts w:hint="default" w:ascii="Times New Roman" w:hAnsi="Times New Roman" w:cs="Times New Roman"/>
                <w:color w:val="auto"/>
                <w:sz w:val="21"/>
                <w:szCs w:val="21"/>
                <w:lang w:val="en-US" w:eastAsia="zh-CN"/>
              </w:rPr>
              <w:t>t/a</w:t>
            </w:r>
          </w:p>
        </w:tc>
        <w:tc>
          <w:tcPr>
            <w:tcW w:w="1176" w:type="dxa"/>
            <w:vMerge w:val="continue"/>
            <w:vAlign w:val="center"/>
          </w:tcPr>
          <w:p>
            <w:pPr>
              <w:jc w:val="center"/>
              <w:textAlignment w:val="center"/>
              <w:rPr>
                <w:rFonts w:hint="default" w:ascii="Times New Roman" w:hAnsi="Times New Roman" w:cs="Times New Roman"/>
                <w:color w:val="auto"/>
                <w:kern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15" w:type="dxa"/>
            <w:left w:w="15" w:type="dxa"/>
            <w:bottom w:w="15" w:type="dxa"/>
            <w:right w:w="15" w:type="dxa"/>
          </w:tblCellMar>
        </w:tblPrEx>
        <w:trPr>
          <w:trHeight w:val="67" w:hRule="atLeast"/>
          <w:jc w:val="center"/>
        </w:trPr>
        <w:tc>
          <w:tcPr>
            <w:tcW w:w="568" w:type="dxa"/>
            <w:vMerge w:val="continue"/>
            <w:vAlign w:val="center"/>
          </w:tcPr>
          <w:p>
            <w:pPr>
              <w:widowControl/>
              <w:jc w:val="center"/>
              <w:textAlignment w:val="center"/>
              <w:rPr>
                <w:rFonts w:hint="default" w:ascii="Times New Roman" w:hAnsi="Times New Roman" w:cs="Times New Roman"/>
                <w:color w:val="auto"/>
                <w:kern w:val="0"/>
                <w:sz w:val="21"/>
                <w:szCs w:val="21"/>
              </w:rPr>
            </w:pPr>
          </w:p>
        </w:tc>
        <w:tc>
          <w:tcPr>
            <w:tcW w:w="890" w:type="dxa"/>
            <w:vMerge w:val="continue"/>
            <w:vAlign w:val="center"/>
          </w:tcPr>
          <w:p>
            <w:pPr>
              <w:widowControl/>
              <w:jc w:val="center"/>
              <w:rPr>
                <w:rFonts w:hint="default" w:ascii="Times New Roman" w:hAnsi="Times New Roman" w:cs="Times New Roman"/>
                <w:color w:val="auto"/>
                <w:sz w:val="21"/>
                <w:szCs w:val="21"/>
              </w:rPr>
            </w:pPr>
          </w:p>
        </w:tc>
        <w:tc>
          <w:tcPr>
            <w:tcW w:w="1148" w:type="dxa"/>
            <w:vAlign w:val="center"/>
          </w:tcPr>
          <w:p>
            <w:pPr>
              <w:widowControl/>
              <w:jc w:val="center"/>
              <w:textAlignment w:val="center"/>
              <w:rPr>
                <w:rFonts w:hint="default" w:ascii="Times New Roman" w:hAnsi="Times New Roman" w:eastAsia="宋体" w:cs="Times New Roman"/>
                <w:color w:val="auto"/>
                <w:kern w:val="0"/>
                <w:sz w:val="21"/>
                <w:szCs w:val="21"/>
                <w:lang w:eastAsia="zh-CN"/>
              </w:rPr>
            </w:pPr>
            <w:r>
              <w:rPr>
                <w:rFonts w:hint="default" w:ascii="Times New Roman" w:hAnsi="Times New Roman" w:cs="Times New Roman"/>
                <w:color w:val="auto"/>
                <w:kern w:val="0"/>
                <w:sz w:val="21"/>
                <w:szCs w:val="21"/>
                <w:lang w:eastAsia="zh-CN"/>
              </w:rPr>
              <w:t>硫化氢</w:t>
            </w:r>
          </w:p>
        </w:tc>
        <w:tc>
          <w:tcPr>
            <w:tcW w:w="2674" w:type="dxa"/>
            <w:vMerge w:val="continue"/>
            <w:vAlign w:val="center"/>
          </w:tcPr>
          <w:p>
            <w:pPr>
              <w:widowControl/>
              <w:jc w:val="center"/>
              <w:textAlignment w:val="center"/>
              <w:rPr>
                <w:rFonts w:hint="default" w:ascii="Times New Roman" w:hAnsi="Times New Roman" w:cs="Times New Roman"/>
                <w:color w:val="auto"/>
                <w:kern w:val="0"/>
                <w:sz w:val="21"/>
                <w:szCs w:val="21"/>
              </w:rPr>
            </w:pPr>
          </w:p>
        </w:tc>
        <w:tc>
          <w:tcPr>
            <w:tcW w:w="1091" w:type="dxa"/>
            <w:vAlign w:val="center"/>
          </w:tcPr>
          <w:p>
            <w:pPr>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0.0015</w:t>
            </w:r>
            <w:r>
              <w:rPr>
                <w:rFonts w:hint="default" w:ascii="Times New Roman" w:hAnsi="Times New Roman" w:cs="Times New Roman"/>
                <w:color w:val="auto"/>
                <w:kern w:val="0"/>
                <w:sz w:val="21"/>
                <w:szCs w:val="21"/>
              </w:rPr>
              <w:t>mg/m</w:t>
            </w:r>
            <w:r>
              <w:rPr>
                <w:rFonts w:hint="default" w:ascii="Times New Roman" w:hAnsi="Times New Roman" w:cs="Times New Roman"/>
                <w:color w:val="auto"/>
                <w:kern w:val="0"/>
                <w:sz w:val="21"/>
                <w:szCs w:val="21"/>
                <w:vertAlign w:val="superscript"/>
              </w:rPr>
              <w:t>3</w:t>
            </w:r>
          </w:p>
        </w:tc>
        <w:tc>
          <w:tcPr>
            <w:tcW w:w="1316"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0.002t/a</w:t>
            </w:r>
          </w:p>
        </w:tc>
        <w:tc>
          <w:tcPr>
            <w:tcW w:w="1176" w:type="dxa"/>
            <w:vMerge w:val="continue"/>
            <w:vAlign w:val="center"/>
          </w:tcPr>
          <w:p>
            <w:pPr>
              <w:jc w:val="center"/>
              <w:textAlignment w:val="center"/>
              <w:rPr>
                <w:rFonts w:hint="default" w:ascii="Times New Roman" w:hAnsi="Times New Roman" w:cs="Times New Roman"/>
                <w:color w:val="auto"/>
                <w:kern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15" w:type="dxa"/>
            <w:left w:w="15" w:type="dxa"/>
            <w:bottom w:w="15" w:type="dxa"/>
            <w:right w:w="15" w:type="dxa"/>
          </w:tblCellMar>
        </w:tblPrEx>
        <w:trPr>
          <w:trHeight w:val="357" w:hRule="atLeast"/>
          <w:jc w:val="center"/>
        </w:trPr>
        <w:tc>
          <w:tcPr>
            <w:tcW w:w="568" w:type="dxa"/>
            <w:vMerge w:val="continue"/>
            <w:vAlign w:val="center"/>
          </w:tcPr>
          <w:p>
            <w:pPr>
              <w:widowControl/>
              <w:jc w:val="center"/>
              <w:textAlignment w:val="center"/>
              <w:rPr>
                <w:rFonts w:hint="default" w:ascii="Times New Roman" w:hAnsi="Times New Roman" w:cs="Times New Roman"/>
                <w:color w:val="auto"/>
                <w:kern w:val="0"/>
                <w:sz w:val="21"/>
                <w:szCs w:val="21"/>
              </w:rPr>
            </w:pPr>
          </w:p>
        </w:tc>
        <w:tc>
          <w:tcPr>
            <w:tcW w:w="890" w:type="dxa"/>
            <w:vMerge w:val="restart"/>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DA011</w:t>
            </w:r>
          </w:p>
        </w:tc>
        <w:tc>
          <w:tcPr>
            <w:tcW w:w="1148" w:type="dxa"/>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rPr>
              <w:t>废气量</w:t>
            </w:r>
          </w:p>
        </w:tc>
        <w:tc>
          <w:tcPr>
            <w:tcW w:w="2674" w:type="dxa"/>
            <w:vMerge w:val="restart"/>
            <w:vAlign w:val="center"/>
          </w:tcPr>
          <w:p>
            <w:pP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rPr>
              <w:t>1套</w:t>
            </w:r>
            <w:r>
              <w:rPr>
                <w:rFonts w:hint="default" w:ascii="Times New Roman" w:hAnsi="Times New Roman" w:cs="Times New Roman"/>
                <w:color w:val="auto"/>
                <w:kern w:val="0"/>
                <w:sz w:val="21"/>
                <w:szCs w:val="21"/>
                <w:lang w:eastAsia="zh-CN"/>
              </w:rPr>
              <w:t>四级氢氧化钠洗涤塔</w:t>
            </w:r>
            <w:r>
              <w:rPr>
                <w:rFonts w:hint="default" w:ascii="Times New Roman" w:hAnsi="Times New Roman" w:cs="Times New Roman"/>
                <w:color w:val="auto"/>
                <w:kern w:val="0"/>
                <w:sz w:val="21"/>
                <w:szCs w:val="21"/>
              </w:rPr>
              <w:t>治理后通过1根</w:t>
            </w:r>
            <w:r>
              <w:rPr>
                <w:rFonts w:hint="default" w:ascii="Times New Roman" w:hAnsi="Times New Roman" w:cs="Times New Roman"/>
                <w:color w:val="auto"/>
                <w:kern w:val="0"/>
                <w:sz w:val="21"/>
                <w:szCs w:val="21"/>
                <w:lang w:val="en-US" w:eastAsia="zh-CN"/>
              </w:rPr>
              <w:t>15m</w:t>
            </w:r>
            <w:r>
              <w:rPr>
                <w:rFonts w:hint="default" w:ascii="Times New Roman" w:hAnsi="Times New Roman" w:cs="Times New Roman"/>
                <w:color w:val="auto"/>
                <w:kern w:val="0"/>
                <w:sz w:val="21"/>
                <w:szCs w:val="21"/>
              </w:rPr>
              <w:t>高排气筒排放</w:t>
            </w:r>
          </w:p>
        </w:tc>
        <w:tc>
          <w:tcPr>
            <w:tcW w:w="1091" w:type="dxa"/>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rPr>
              <w:t>—</w:t>
            </w:r>
          </w:p>
        </w:tc>
        <w:tc>
          <w:tcPr>
            <w:tcW w:w="1316" w:type="dxa"/>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rPr>
              <w:t>13140</w:t>
            </w:r>
            <w:r>
              <w:rPr>
                <w:rFonts w:hint="default" w:ascii="Times New Roman" w:hAnsi="Times New Roman" w:cs="Times New Roman"/>
                <w:color w:val="auto"/>
                <w:kern w:val="0"/>
                <w:sz w:val="21"/>
                <w:szCs w:val="21"/>
              </w:rPr>
              <w:t>万m</w:t>
            </w:r>
            <w:r>
              <w:rPr>
                <w:rFonts w:hint="default" w:ascii="Times New Roman" w:hAnsi="Times New Roman" w:cs="Times New Roman"/>
                <w:color w:val="auto"/>
                <w:kern w:val="0"/>
                <w:sz w:val="21"/>
                <w:szCs w:val="21"/>
                <w:vertAlign w:val="superscript"/>
              </w:rPr>
              <w:t>3</w:t>
            </w:r>
            <w:r>
              <w:rPr>
                <w:rFonts w:hint="default" w:ascii="Times New Roman" w:hAnsi="Times New Roman" w:cs="Times New Roman"/>
                <w:color w:val="auto"/>
                <w:kern w:val="0"/>
                <w:sz w:val="21"/>
                <w:szCs w:val="21"/>
              </w:rPr>
              <w:t>/a</w:t>
            </w:r>
          </w:p>
        </w:tc>
        <w:tc>
          <w:tcPr>
            <w:tcW w:w="1176" w:type="dxa"/>
            <w:vMerge w:val="restart"/>
            <w:vAlign w:val="center"/>
          </w:tcPr>
          <w:p>
            <w:pPr>
              <w:jc w:val="center"/>
              <w:textAlignment w:val="center"/>
              <w:rPr>
                <w:rFonts w:hint="default" w:ascii="Times New Roman" w:hAnsi="Times New Roman" w:eastAsia="宋体" w:cs="Times New Roman"/>
                <w:color w:val="auto"/>
                <w:kern w:val="0"/>
                <w:sz w:val="21"/>
                <w:szCs w:val="21"/>
                <w:lang w:eastAsia="zh-CN"/>
              </w:rPr>
            </w:pPr>
            <w:r>
              <w:rPr>
                <w:rFonts w:hint="default" w:ascii="Times New Roman" w:hAnsi="Times New Roman" w:cs="Times New Roman"/>
                <w:color w:val="auto"/>
                <w:kern w:val="0"/>
                <w:sz w:val="21"/>
                <w:szCs w:val="21"/>
                <w:lang w:eastAsia="zh-CN"/>
              </w:rPr>
              <w:t>有组织排放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15" w:type="dxa"/>
            <w:left w:w="15" w:type="dxa"/>
            <w:bottom w:w="15" w:type="dxa"/>
            <w:right w:w="15" w:type="dxa"/>
          </w:tblCellMar>
        </w:tblPrEx>
        <w:trPr>
          <w:trHeight w:val="67" w:hRule="atLeast"/>
          <w:jc w:val="center"/>
        </w:trPr>
        <w:tc>
          <w:tcPr>
            <w:tcW w:w="568" w:type="dxa"/>
            <w:vMerge w:val="continue"/>
            <w:vAlign w:val="center"/>
          </w:tcPr>
          <w:p>
            <w:pPr>
              <w:widowControl/>
              <w:jc w:val="center"/>
              <w:textAlignment w:val="center"/>
              <w:rPr>
                <w:rFonts w:hint="default" w:ascii="Times New Roman" w:hAnsi="Times New Roman" w:cs="Times New Roman"/>
                <w:color w:val="auto"/>
                <w:kern w:val="0"/>
                <w:sz w:val="21"/>
                <w:szCs w:val="21"/>
              </w:rPr>
            </w:pPr>
          </w:p>
        </w:tc>
        <w:tc>
          <w:tcPr>
            <w:tcW w:w="890" w:type="dxa"/>
            <w:vMerge w:val="continue"/>
            <w:vAlign w:val="center"/>
          </w:tcPr>
          <w:p>
            <w:pPr>
              <w:widowControl/>
              <w:jc w:val="center"/>
              <w:rPr>
                <w:rFonts w:hint="default" w:ascii="Times New Roman" w:hAnsi="Times New Roman" w:cs="Times New Roman"/>
                <w:color w:val="auto"/>
                <w:sz w:val="21"/>
                <w:szCs w:val="21"/>
              </w:rPr>
            </w:pPr>
          </w:p>
        </w:tc>
        <w:tc>
          <w:tcPr>
            <w:tcW w:w="1148" w:type="dxa"/>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氟化物</w:t>
            </w:r>
          </w:p>
        </w:tc>
        <w:tc>
          <w:tcPr>
            <w:tcW w:w="2674" w:type="dxa"/>
            <w:vMerge w:val="continue"/>
            <w:vAlign w:val="center"/>
          </w:tcPr>
          <w:p>
            <w:pPr>
              <w:jc w:val="center"/>
              <w:rPr>
                <w:rFonts w:hint="default" w:ascii="Times New Roman" w:hAnsi="Times New Roman" w:eastAsia="宋体" w:cs="Times New Roman"/>
                <w:color w:val="auto"/>
                <w:kern w:val="0"/>
                <w:sz w:val="21"/>
                <w:szCs w:val="21"/>
                <w:lang w:val="en-US" w:eastAsia="zh-CN" w:bidi="ar-SA"/>
              </w:rPr>
            </w:pPr>
          </w:p>
        </w:tc>
        <w:tc>
          <w:tcPr>
            <w:tcW w:w="1091" w:type="dxa"/>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1.02</w:t>
            </w:r>
            <w:r>
              <w:rPr>
                <w:rFonts w:hint="default" w:ascii="Times New Roman" w:hAnsi="Times New Roman" w:cs="Times New Roman"/>
                <w:color w:val="auto"/>
                <w:kern w:val="0"/>
                <w:sz w:val="21"/>
                <w:szCs w:val="21"/>
              </w:rPr>
              <w:t>mg/m</w:t>
            </w:r>
            <w:r>
              <w:rPr>
                <w:rFonts w:hint="default" w:ascii="Times New Roman" w:hAnsi="Times New Roman" w:cs="Times New Roman"/>
                <w:color w:val="auto"/>
                <w:kern w:val="0"/>
                <w:sz w:val="21"/>
                <w:szCs w:val="21"/>
                <w:vertAlign w:val="superscript"/>
              </w:rPr>
              <w:t>3</w:t>
            </w:r>
          </w:p>
        </w:tc>
        <w:tc>
          <w:tcPr>
            <w:tcW w:w="1316" w:type="dxa"/>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0.0</w:t>
            </w:r>
            <w:r>
              <w:rPr>
                <w:rFonts w:hint="default" w:ascii="Times New Roman" w:hAnsi="Times New Roman" w:cs="Times New Roman"/>
                <w:color w:val="auto"/>
                <w:kern w:val="0"/>
                <w:sz w:val="21"/>
                <w:szCs w:val="21"/>
                <w:lang w:val="en-US" w:eastAsia="zh-CN" w:bidi="ar-SA"/>
              </w:rPr>
              <w:t>05</w:t>
            </w:r>
            <w:r>
              <w:rPr>
                <w:rFonts w:hint="default" w:ascii="Times New Roman" w:hAnsi="Times New Roman" w:cs="Times New Roman"/>
                <w:color w:val="auto"/>
                <w:sz w:val="21"/>
                <w:szCs w:val="21"/>
                <w:lang w:val="en-US" w:eastAsia="zh-CN"/>
              </w:rPr>
              <w:t>t/a</w:t>
            </w:r>
          </w:p>
        </w:tc>
        <w:tc>
          <w:tcPr>
            <w:tcW w:w="1176" w:type="dxa"/>
            <w:vMerge w:val="continue"/>
            <w:vAlign w:val="center"/>
          </w:tcPr>
          <w:p>
            <w:pPr>
              <w:jc w:val="center"/>
              <w:textAlignment w:val="center"/>
              <w:rPr>
                <w:rFonts w:hint="default" w:ascii="Times New Roman" w:hAnsi="Times New Roman" w:cs="Times New Roman"/>
                <w:color w:val="auto"/>
                <w:kern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15" w:type="dxa"/>
            <w:left w:w="15" w:type="dxa"/>
            <w:bottom w:w="15" w:type="dxa"/>
            <w:right w:w="15" w:type="dxa"/>
          </w:tblCellMar>
        </w:tblPrEx>
        <w:trPr>
          <w:trHeight w:val="67" w:hRule="atLeast"/>
          <w:jc w:val="center"/>
        </w:trPr>
        <w:tc>
          <w:tcPr>
            <w:tcW w:w="568" w:type="dxa"/>
            <w:vMerge w:val="continue"/>
            <w:vAlign w:val="center"/>
          </w:tcPr>
          <w:p>
            <w:pPr>
              <w:widowControl/>
              <w:jc w:val="center"/>
              <w:textAlignment w:val="center"/>
              <w:rPr>
                <w:rFonts w:hint="default" w:ascii="Times New Roman" w:hAnsi="Times New Roman" w:cs="Times New Roman"/>
                <w:color w:val="auto"/>
                <w:kern w:val="0"/>
                <w:sz w:val="21"/>
                <w:szCs w:val="21"/>
              </w:rPr>
            </w:pPr>
          </w:p>
        </w:tc>
        <w:tc>
          <w:tcPr>
            <w:tcW w:w="890" w:type="dxa"/>
            <w:vAlign w:val="center"/>
          </w:tcPr>
          <w:p>
            <w:pPr>
              <w:widowControl/>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切片车间</w:t>
            </w:r>
          </w:p>
        </w:tc>
        <w:tc>
          <w:tcPr>
            <w:tcW w:w="1148" w:type="dxa"/>
            <w:vAlign w:val="center"/>
          </w:tcPr>
          <w:p>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非甲烷总烃</w:t>
            </w:r>
          </w:p>
        </w:tc>
        <w:tc>
          <w:tcPr>
            <w:tcW w:w="2674" w:type="dxa"/>
            <w:vAlign w:val="center"/>
          </w:tcPr>
          <w:p>
            <w:pPr>
              <w:widowControl/>
              <w:jc w:val="center"/>
              <w:textAlignment w:val="center"/>
              <w:rPr>
                <w:rFonts w:hint="default" w:ascii="Times New Roman" w:hAnsi="Times New Roman" w:eastAsia="宋体" w:cs="Times New Roman"/>
                <w:color w:val="auto"/>
                <w:kern w:val="0"/>
                <w:sz w:val="21"/>
                <w:szCs w:val="21"/>
                <w:lang w:eastAsia="zh-CN"/>
              </w:rPr>
            </w:pPr>
            <w:r>
              <w:rPr>
                <w:rFonts w:hint="default" w:ascii="Times New Roman" w:hAnsi="Times New Roman" w:cs="Times New Roman"/>
                <w:color w:val="auto"/>
                <w:kern w:val="0"/>
                <w:sz w:val="21"/>
                <w:szCs w:val="21"/>
                <w:lang w:val="en-US" w:eastAsia="zh-CN"/>
              </w:rPr>
              <w:t>/</w:t>
            </w:r>
          </w:p>
        </w:tc>
        <w:tc>
          <w:tcPr>
            <w:tcW w:w="1091" w:type="dxa"/>
            <w:vAlign w:val="center"/>
          </w:tcPr>
          <w:p>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w:t>
            </w:r>
          </w:p>
        </w:tc>
        <w:tc>
          <w:tcPr>
            <w:tcW w:w="1316" w:type="dxa"/>
            <w:vAlign w:val="center"/>
          </w:tcPr>
          <w:p>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0.</w:t>
            </w:r>
            <w:r>
              <w:rPr>
                <w:rFonts w:hint="default" w:ascii="Times New Roman" w:hAnsi="Times New Roman" w:cs="Times New Roman"/>
                <w:color w:val="auto"/>
                <w:kern w:val="0"/>
                <w:sz w:val="21"/>
                <w:szCs w:val="21"/>
                <w:lang w:val="en-US" w:eastAsia="zh-CN"/>
              </w:rPr>
              <w:t>350</w:t>
            </w:r>
            <w:r>
              <w:rPr>
                <w:rFonts w:hint="default" w:ascii="Times New Roman" w:hAnsi="Times New Roman" w:cs="Times New Roman"/>
                <w:color w:val="auto"/>
                <w:kern w:val="0"/>
                <w:sz w:val="21"/>
                <w:szCs w:val="21"/>
              </w:rPr>
              <w:t>t/a</w:t>
            </w:r>
          </w:p>
        </w:tc>
        <w:tc>
          <w:tcPr>
            <w:tcW w:w="1176" w:type="dxa"/>
            <w:vAlign w:val="center"/>
          </w:tcPr>
          <w:p>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无组织排放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15" w:type="dxa"/>
            <w:left w:w="15" w:type="dxa"/>
            <w:bottom w:w="15" w:type="dxa"/>
            <w:right w:w="15" w:type="dxa"/>
          </w:tblCellMar>
        </w:tblPrEx>
        <w:trPr>
          <w:trHeight w:val="67" w:hRule="atLeast"/>
          <w:jc w:val="center"/>
        </w:trPr>
        <w:tc>
          <w:tcPr>
            <w:tcW w:w="568" w:type="dxa"/>
            <w:vMerge w:val="restart"/>
            <w:vAlign w:val="center"/>
          </w:tcPr>
          <w:p>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废水</w:t>
            </w:r>
          </w:p>
        </w:tc>
        <w:tc>
          <w:tcPr>
            <w:tcW w:w="890" w:type="dxa"/>
            <w:vMerge w:val="restart"/>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综合废水</w:t>
            </w:r>
          </w:p>
        </w:tc>
        <w:tc>
          <w:tcPr>
            <w:tcW w:w="1148" w:type="dxa"/>
            <w:vAlign w:val="center"/>
          </w:tcPr>
          <w:p>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废水量</w:t>
            </w:r>
          </w:p>
        </w:tc>
        <w:tc>
          <w:tcPr>
            <w:tcW w:w="2674" w:type="dxa"/>
            <w:vMerge w:val="restart"/>
            <w:vAlign w:val="center"/>
          </w:tcPr>
          <w:p>
            <w:pPr>
              <w:widowControl/>
              <w:jc w:val="center"/>
              <w:textAlignment w:val="center"/>
              <w:rPr>
                <w:rFonts w:hint="default" w:ascii="Times New Roman" w:hAnsi="Times New Roman" w:eastAsia="宋体" w:cs="Times New Roman"/>
                <w:color w:val="auto"/>
                <w:kern w:val="0"/>
                <w:sz w:val="21"/>
                <w:szCs w:val="21"/>
                <w:lang w:eastAsia="zh-CN"/>
              </w:rPr>
            </w:pPr>
            <w:r>
              <w:rPr>
                <w:rFonts w:hint="default" w:ascii="Times New Roman" w:hAnsi="Times New Roman" w:cs="Times New Roman"/>
                <w:color w:val="auto"/>
                <w:kern w:val="0"/>
                <w:sz w:val="21"/>
                <w:szCs w:val="21"/>
                <w:lang w:eastAsia="zh-CN"/>
              </w:rPr>
              <w:t>生活废水进入</w:t>
            </w:r>
            <w:r>
              <w:rPr>
                <w:rFonts w:hint="default" w:ascii="Times New Roman" w:hAnsi="Times New Roman" w:cs="Times New Roman"/>
                <w:color w:val="auto"/>
                <w:kern w:val="0"/>
                <w:sz w:val="21"/>
                <w:szCs w:val="21"/>
                <w:lang w:eastAsia="zh-CN"/>
              </w:rPr>
              <w:t>隔油池、</w:t>
            </w:r>
            <w:r>
              <w:rPr>
                <w:rFonts w:hint="default" w:ascii="Times New Roman" w:hAnsi="Times New Roman" w:cs="Times New Roman"/>
                <w:color w:val="auto"/>
                <w:kern w:val="0"/>
                <w:sz w:val="21"/>
                <w:szCs w:val="21"/>
                <w:lang w:eastAsia="zh-CN"/>
              </w:rPr>
              <w:t>化粪池处理；</w:t>
            </w:r>
            <w:r>
              <w:rPr>
                <w:rFonts w:hint="default" w:ascii="Times New Roman" w:hAnsi="Times New Roman" w:cs="Times New Roman"/>
                <w:color w:val="auto"/>
                <w:kern w:val="0"/>
                <w:sz w:val="21"/>
                <w:szCs w:val="21"/>
                <w:lang w:eastAsia="zh-CN"/>
              </w:rPr>
              <w:t>预处理后的含氟废水、预处理后的</w:t>
            </w:r>
            <w:r>
              <w:rPr>
                <w:rFonts w:hint="default" w:ascii="Times New Roman" w:hAnsi="Times New Roman" w:cs="Times New Roman"/>
                <w:color w:val="auto"/>
                <w:kern w:val="0"/>
                <w:sz w:val="21"/>
                <w:szCs w:val="21"/>
                <w:lang w:eastAsia="zh-CN"/>
              </w:rPr>
              <w:t>切割废水、脱胶废水、切片初洗废水、切片精洗废水</w:t>
            </w:r>
            <w:r>
              <w:rPr>
                <w:rFonts w:hint="default" w:ascii="Times New Roman" w:hAnsi="Times New Roman" w:cs="Times New Roman"/>
                <w:color w:val="auto"/>
                <w:kern w:val="0"/>
                <w:sz w:val="21"/>
                <w:szCs w:val="21"/>
                <w:lang w:eastAsia="zh-CN"/>
              </w:rPr>
              <w:t>、除臭系统碱吸收废水</w:t>
            </w:r>
            <w:r>
              <w:rPr>
                <w:rFonts w:hint="default" w:ascii="Times New Roman" w:hAnsi="Times New Roman" w:cs="Times New Roman"/>
                <w:color w:val="auto"/>
                <w:kern w:val="0"/>
                <w:sz w:val="21"/>
                <w:szCs w:val="21"/>
                <w:lang w:eastAsia="zh-CN"/>
              </w:rPr>
              <w:t>进入综合污水处理站处理；纯水制备产生的浓水直接排入管网</w:t>
            </w:r>
          </w:p>
        </w:tc>
        <w:tc>
          <w:tcPr>
            <w:tcW w:w="1091"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w:t>
            </w:r>
          </w:p>
        </w:tc>
        <w:tc>
          <w:tcPr>
            <w:tcW w:w="1316" w:type="dxa"/>
            <w:vAlign w:val="center"/>
          </w:tcPr>
          <w:p>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sz w:val="21"/>
                <w:szCs w:val="21"/>
                <w:lang w:val="en-US" w:eastAsia="zh-CN"/>
              </w:rPr>
              <w:t>211.52</w:t>
            </w:r>
            <w:r>
              <w:rPr>
                <w:rFonts w:hint="default" w:ascii="Times New Roman" w:hAnsi="Times New Roman" w:cs="Times New Roman"/>
                <w:color w:val="auto"/>
                <w:sz w:val="21"/>
                <w:szCs w:val="21"/>
                <w:lang w:val="en-US" w:eastAsia="zh-CN"/>
              </w:rPr>
              <w:t>万</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/a</w:t>
            </w:r>
          </w:p>
        </w:tc>
        <w:tc>
          <w:tcPr>
            <w:tcW w:w="1176" w:type="dxa"/>
            <w:vMerge w:val="restart"/>
            <w:vAlign w:val="center"/>
          </w:tcPr>
          <w:p>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进入楚雄市富民工业园区污水处理厂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15" w:type="dxa"/>
            <w:left w:w="15" w:type="dxa"/>
            <w:bottom w:w="15" w:type="dxa"/>
            <w:right w:w="15" w:type="dxa"/>
          </w:tblCellMar>
        </w:tblPrEx>
        <w:trPr>
          <w:trHeight w:val="67" w:hRule="atLeast"/>
          <w:jc w:val="center"/>
        </w:trPr>
        <w:tc>
          <w:tcPr>
            <w:tcW w:w="568" w:type="dxa"/>
            <w:vMerge w:val="continue"/>
            <w:vAlign w:val="center"/>
          </w:tcPr>
          <w:p>
            <w:pPr>
              <w:widowControl/>
              <w:jc w:val="center"/>
              <w:textAlignment w:val="center"/>
              <w:rPr>
                <w:rFonts w:hint="default" w:ascii="Times New Roman" w:hAnsi="Times New Roman" w:cs="Times New Roman"/>
                <w:color w:val="auto"/>
                <w:kern w:val="0"/>
                <w:sz w:val="21"/>
                <w:szCs w:val="21"/>
              </w:rPr>
            </w:pPr>
          </w:p>
        </w:tc>
        <w:tc>
          <w:tcPr>
            <w:tcW w:w="890" w:type="dxa"/>
            <w:vMerge w:val="continue"/>
            <w:vAlign w:val="center"/>
          </w:tcPr>
          <w:p>
            <w:pPr>
              <w:jc w:val="center"/>
              <w:rPr>
                <w:rFonts w:hint="default" w:ascii="Times New Roman" w:hAnsi="Times New Roman" w:cs="Times New Roman"/>
                <w:color w:val="auto"/>
                <w:sz w:val="21"/>
                <w:szCs w:val="21"/>
              </w:rPr>
            </w:pPr>
          </w:p>
        </w:tc>
        <w:tc>
          <w:tcPr>
            <w:tcW w:w="1148" w:type="dxa"/>
            <w:vAlign w:val="center"/>
          </w:tcPr>
          <w:p>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COD</w:t>
            </w:r>
          </w:p>
        </w:tc>
        <w:tc>
          <w:tcPr>
            <w:tcW w:w="2674" w:type="dxa"/>
            <w:vMerge w:val="continue"/>
            <w:vAlign w:val="center"/>
          </w:tcPr>
          <w:p>
            <w:pPr>
              <w:jc w:val="center"/>
              <w:textAlignment w:val="center"/>
              <w:rPr>
                <w:rFonts w:hint="default" w:ascii="Times New Roman" w:hAnsi="Times New Roman" w:cs="Times New Roman"/>
                <w:color w:val="auto"/>
                <w:kern w:val="0"/>
                <w:sz w:val="21"/>
                <w:szCs w:val="21"/>
              </w:rPr>
            </w:pPr>
          </w:p>
        </w:tc>
        <w:tc>
          <w:tcPr>
            <w:tcW w:w="1091"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68.50</w:t>
            </w:r>
            <w:r>
              <w:rPr>
                <w:rFonts w:hint="default" w:ascii="Times New Roman" w:hAnsi="Times New Roman" w:cs="Times New Roman"/>
                <w:color w:val="auto"/>
                <w:sz w:val="21"/>
                <w:szCs w:val="21"/>
              </w:rPr>
              <w:t>mg/L</w:t>
            </w:r>
          </w:p>
        </w:tc>
        <w:tc>
          <w:tcPr>
            <w:tcW w:w="1316"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144.89</w:t>
            </w:r>
            <w:r>
              <w:rPr>
                <w:rFonts w:hint="default" w:ascii="Times New Roman" w:hAnsi="Times New Roman" w:cs="Times New Roman"/>
                <w:color w:val="auto"/>
                <w:kern w:val="0"/>
                <w:sz w:val="21"/>
                <w:szCs w:val="21"/>
              </w:rPr>
              <w:t>t/a</w:t>
            </w:r>
          </w:p>
        </w:tc>
        <w:tc>
          <w:tcPr>
            <w:tcW w:w="1176" w:type="dxa"/>
            <w:vMerge w:val="continue"/>
            <w:vAlign w:val="center"/>
          </w:tcPr>
          <w:p>
            <w:pPr>
              <w:widowControl/>
              <w:jc w:val="center"/>
              <w:textAlignment w:val="center"/>
              <w:rPr>
                <w:rFonts w:hint="default" w:ascii="Times New Roman" w:hAnsi="Times New Roman" w:cs="Times New Roman"/>
                <w:color w:val="auto"/>
                <w:kern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15" w:type="dxa"/>
            <w:left w:w="15" w:type="dxa"/>
            <w:bottom w:w="15" w:type="dxa"/>
            <w:right w:w="15" w:type="dxa"/>
          </w:tblCellMar>
        </w:tblPrEx>
        <w:trPr>
          <w:trHeight w:val="283" w:hRule="atLeast"/>
          <w:jc w:val="center"/>
        </w:trPr>
        <w:tc>
          <w:tcPr>
            <w:tcW w:w="568" w:type="dxa"/>
            <w:vMerge w:val="continue"/>
            <w:vAlign w:val="center"/>
          </w:tcPr>
          <w:p>
            <w:pPr>
              <w:widowControl/>
              <w:jc w:val="center"/>
              <w:textAlignment w:val="center"/>
              <w:rPr>
                <w:rFonts w:hint="default" w:ascii="Times New Roman" w:hAnsi="Times New Roman" w:cs="Times New Roman"/>
                <w:color w:val="auto"/>
                <w:kern w:val="0"/>
                <w:sz w:val="21"/>
                <w:szCs w:val="21"/>
              </w:rPr>
            </w:pPr>
          </w:p>
        </w:tc>
        <w:tc>
          <w:tcPr>
            <w:tcW w:w="890" w:type="dxa"/>
            <w:vMerge w:val="continue"/>
            <w:vAlign w:val="center"/>
          </w:tcPr>
          <w:p>
            <w:pPr>
              <w:jc w:val="center"/>
              <w:rPr>
                <w:rFonts w:hint="default" w:ascii="Times New Roman" w:hAnsi="Times New Roman" w:cs="Times New Roman"/>
                <w:color w:val="auto"/>
                <w:sz w:val="21"/>
                <w:szCs w:val="21"/>
              </w:rPr>
            </w:pPr>
          </w:p>
        </w:tc>
        <w:tc>
          <w:tcPr>
            <w:tcW w:w="1148" w:type="dxa"/>
            <w:vAlign w:val="center"/>
          </w:tcPr>
          <w:p>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eastAsia="Times New Roman" w:cs="Times New Roman"/>
                <w:color w:val="auto"/>
                <w:sz w:val="21"/>
                <w:szCs w:val="21"/>
              </w:rPr>
              <w:t>BOD</w:t>
            </w:r>
            <w:r>
              <w:rPr>
                <w:rFonts w:hint="default" w:ascii="Times New Roman" w:hAnsi="Times New Roman" w:eastAsia="Times New Roman" w:cs="Times New Roman"/>
                <w:color w:val="auto"/>
                <w:sz w:val="21"/>
                <w:szCs w:val="21"/>
                <w:vertAlign w:val="subscript"/>
              </w:rPr>
              <w:t>5</w:t>
            </w:r>
          </w:p>
        </w:tc>
        <w:tc>
          <w:tcPr>
            <w:tcW w:w="2674" w:type="dxa"/>
            <w:vMerge w:val="continue"/>
            <w:vAlign w:val="center"/>
          </w:tcPr>
          <w:p>
            <w:pPr>
              <w:jc w:val="center"/>
              <w:textAlignment w:val="center"/>
              <w:rPr>
                <w:rFonts w:hint="default" w:ascii="Times New Roman" w:hAnsi="Times New Roman" w:cs="Times New Roman"/>
                <w:color w:val="auto"/>
                <w:kern w:val="0"/>
                <w:sz w:val="21"/>
                <w:szCs w:val="21"/>
              </w:rPr>
            </w:pPr>
          </w:p>
        </w:tc>
        <w:tc>
          <w:tcPr>
            <w:tcW w:w="1091"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27.37</w:t>
            </w:r>
            <w:r>
              <w:rPr>
                <w:rFonts w:hint="default" w:ascii="Times New Roman" w:hAnsi="Times New Roman" w:cs="Times New Roman"/>
                <w:color w:val="auto"/>
                <w:sz w:val="21"/>
                <w:szCs w:val="21"/>
              </w:rPr>
              <w:t>mg/L</w:t>
            </w:r>
          </w:p>
        </w:tc>
        <w:tc>
          <w:tcPr>
            <w:tcW w:w="1316"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57.91</w:t>
            </w:r>
            <w:r>
              <w:rPr>
                <w:rFonts w:hint="default" w:ascii="Times New Roman" w:hAnsi="Times New Roman" w:cs="Times New Roman"/>
                <w:color w:val="auto"/>
                <w:sz w:val="21"/>
                <w:szCs w:val="21"/>
                <w:lang w:val="en-US" w:eastAsia="zh-CN"/>
              </w:rPr>
              <w:t xml:space="preserve"> </w:t>
            </w:r>
            <w:r>
              <w:rPr>
                <w:rFonts w:hint="default" w:ascii="Times New Roman" w:hAnsi="Times New Roman" w:cs="Times New Roman"/>
                <w:color w:val="auto"/>
                <w:kern w:val="0"/>
                <w:sz w:val="21"/>
                <w:szCs w:val="21"/>
              </w:rPr>
              <w:t>t/a</w:t>
            </w:r>
          </w:p>
        </w:tc>
        <w:tc>
          <w:tcPr>
            <w:tcW w:w="1176" w:type="dxa"/>
            <w:vMerge w:val="continue"/>
            <w:vAlign w:val="center"/>
          </w:tcPr>
          <w:p>
            <w:pPr>
              <w:widowControl/>
              <w:jc w:val="center"/>
              <w:textAlignment w:val="center"/>
              <w:rPr>
                <w:rFonts w:hint="default" w:ascii="Times New Roman" w:hAnsi="Times New Roman" w:cs="Times New Roman"/>
                <w:color w:val="auto"/>
                <w:kern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15" w:type="dxa"/>
            <w:left w:w="15" w:type="dxa"/>
            <w:bottom w:w="15" w:type="dxa"/>
            <w:right w:w="15" w:type="dxa"/>
          </w:tblCellMar>
        </w:tblPrEx>
        <w:trPr>
          <w:trHeight w:val="54" w:hRule="atLeast"/>
          <w:jc w:val="center"/>
        </w:trPr>
        <w:tc>
          <w:tcPr>
            <w:tcW w:w="568" w:type="dxa"/>
            <w:vMerge w:val="continue"/>
            <w:vAlign w:val="center"/>
          </w:tcPr>
          <w:p>
            <w:pPr>
              <w:widowControl/>
              <w:jc w:val="center"/>
              <w:textAlignment w:val="center"/>
              <w:rPr>
                <w:rFonts w:hint="default" w:ascii="Times New Roman" w:hAnsi="Times New Roman" w:cs="Times New Roman"/>
                <w:color w:val="auto"/>
                <w:kern w:val="0"/>
                <w:sz w:val="21"/>
                <w:szCs w:val="21"/>
              </w:rPr>
            </w:pPr>
          </w:p>
        </w:tc>
        <w:tc>
          <w:tcPr>
            <w:tcW w:w="890" w:type="dxa"/>
            <w:vMerge w:val="continue"/>
            <w:vAlign w:val="center"/>
          </w:tcPr>
          <w:p>
            <w:pPr>
              <w:jc w:val="center"/>
              <w:rPr>
                <w:rFonts w:hint="default" w:ascii="Times New Roman" w:hAnsi="Times New Roman" w:cs="Times New Roman"/>
                <w:color w:val="auto"/>
                <w:sz w:val="21"/>
                <w:szCs w:val="21"/>
              </w:rPr>
            </w:pPr>
          </w:p>
        </w:tc>
        <w:tc>
          <w:tcPr>
            <w:tcW w:w="1148" w:type="dxa"/>
            <w:vAlign w:val="center"/>
          </w:tcPr>
          <w:p>
            <w:pPr>
              <w:widowControl/>
              <w:jc w:val="center"/>
              <w:textAlignment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sz w:val="21"/>
                <w:szCs w:val="21"/>
              </w:rPr>
              <w:t>SS</w:t>
            </w:r>
          </w:p>
        </w:tc>
        <w:tc>
          <w:tcPr>
            <w:tcW w:w="2674" w:type="dxa"/>
            <w:vMerge w:val="continue"/>
            <w:vAlign w:val="center"/>
          </w:tcPr>
          <w:p>
            <w:pPr>
              <w:jc w:val="center"/>
              <w:textAlignment w:val="center"/>
              <w:rPr>
                <w:rFonts w:hint="default" w:ascii="Times New Roman" w:hAnsi="Times New Roman" w:cs="Times New Roman"/>
                <w:color w:val="auto"/>
                <w:kern w:val="0"/>
                <w:sz w:val="21"/>
                <w:szCs w:val="21"/>
              </w:rPr>
            </w:pPr>
          </w:p>
        </w:tc>
        <w:tc>
          <w:tcPr>
            <w:tcW w:w="1091"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22.27</w:t>
            </w:r>
            <w:r>
              <w:rPr>
                <w:rFonts w:hint="default" w:ascii="Times New Roman" w:hAnsi="Times New Roman" w:cs="Times New Roman"/>
                <w:color w:val="auto"/>
                <w:sz w:val="21"/>
                <w:szCs w:val="21"/>
              </w:rPr>
              <w:t>mg/L</w:t>
            </w:r>
          </w:p>
        </w:tc>
        <w:tc>
          <w:tcPr>
            <w:tcW w:w="1316"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47.11</w:t>
            </w:r>
            <w:r>
              <w:rPr>
                <w:rFonts w:hint="default" w:ascii="Times New Roman" w:hAnsi="Times New Roman" w:cs="Times New Roman"/>
                <w:color w:val="auto"/>
                <w:sz w:val="21"/>
                <w:szCs w:val="21"/>
                <w:lang w:val="en-US" w:eastAsia="zh-CN"/>
              </w:rPr>
              <w:t xml:space="preserve"> </w:t>
            </w:r>
            <w:r>
              <w:rPr>
                <w:rFonts w:hint="default" w:ascii="Times New Roman" w:hAnsi="Times New Roman" w:cs="Times New Roman"/>
                <w:color w:val="auto"/>
                <w:kern w:val="0"/>
                <w:sz w:val="21"/>
                <w:szCs w:val="21"/>
              </w:rPr>
              <w:t>t/a</w:t>
            </w:r>
          </w:p>
        </w:tc>
        <w:tc>
          <w:tcPr>
            <w:tcW w:w="1176" w:type="dxa"/>
            <w:vMerge w:val="continue"/>
            <w:vAlign w:val="center"/>
          </w:tcPr>
          <w:p>
            <w:pPr>
              <w:widowControl/>
              <w:jc w:val="center"/>
              <w:textAlignment w:val="center"/>
              <w:rPr>
                <w:rFonts w:hint="default" w:ascii="Times New Roman" w:hAnsi="Times New Roman" w:cs="Times New Roman"/>
                <w:color w:val="auto"/>
                <w:kern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15" w:type="dxa"/>
            <w:left w:w="15" w:type="dxa"/>
            <w:bottom w:w="15" w:type="dxa"/>
            <w:right w:w="15" w:type="dxa"/>
          </w:tblCellMar>
        </w:tblPrEx>
        <w:trPr>
          <w:trHeight w:val="283" w:hRule="atLeast"/>
          <w:jc w:val="center"/>
        </w:trPr>
        <w:tc>
          <w:tcPr>
            <w:tcW w:w="568" w:type="dxa"/>
            <w:vMerge w:val="continue"/>
            <w:vAlign w:val="center"/>
          </w:tcPr>
          <w:p>
            <w:pPr>
              <w:widowControl/>
              <w:jc w:val="center"/>
              <w:textAlignment w:val="center"/>
              <w:rPr>
                <w:rFonts w:hint="default" w:ascii="Times New Roman" w:hAnsi="Times New Roman" w:cs="Times New Roman"/>
                <w:color w:val="auto"/>
                <w:kern w:val="0"/>
                <w:sz w:val="21"/>
                <w:szCs w:val="21"/>
              </w:rPr>
            </w:pPr>
          </w:p>
        </w:tc>
        <w:tc>
          <w:tcPr>
            <w:tcW w:w="890" w:type="dxa"/>
            <w:vMerge w:val="continue"/>
            <w:vAlign w:val="center"/>
          </w:tcPr>
          <w:p>
            <w:pPr>
              <w:jc w:val="center"/>
              <w:rPr>
                <w:rFonts w:hint="default" w:ascii="Times New Roman" w:hAnsi="Times New Roman" w:cs="Times New Roman"/>
                <w:color w:val="auto"/>
                <w:sz w:val="21"/>
                <w:szCs w:val="21"/>
              </w:rPr>
            </w:pPr>
          </w:p>
        </w:tc>
        <w:tc>
          <w:tcPr>
            <w:tcW w:w="1148" w:type="dxa"/>
            <w:vAlign w:val="center"/>
          </w:tcPr>
          <w:p>
            <w:pPr>
              <w:widowControl/>
              <w:jc w:val="center"/>
              <w:textAlignment w:val="center"/>
              <w:rPr>
                <w:rFonts w:hint="default" w:ascii="Times New Roman" w:hAnsi="Times New Roman" w:eastAsia="宋体" w:cs="Times New Roman"/>
                <w:color w:val="auto"/>
                <w:kern w:val="0"/>
                <w:sz w:val="21"/>
                <w:szCs w:val="21"/>
                <w:lang w:eastAsia="zh-CN"/>
              </w:rPr>
            </w:pPr>
            <w:r>
              <w:rPr>
                <w:rFonts w:hint="default" w:ascii="Times New Roman" w:hAnsi="Times New Roman" w:cs="Times New Roman"/>
                <w:color w:val="auto"/>
                <w:kern w:val="0"/>
                <w:sz w:val="21"/>
                <w:szCs w:val="21"/>
                <w:lang w:eastAsia="zh-CN"/>
              </w:rPr>
              <w:t>阴离子表面活性剂</w:t>
            </w:r>
          </w:p>
        </w:tc>
        <w:tc>
          <w:tcPr>
            <w:tcW w:w="2674" w:type="dxa"/>
            <w:vMerge w:val="continue"/>
            <w:vAlign w:val="center"/>
          </w:tcPr>
          <w:p>
            <w:pPr>
              <w:jc w:val="center"/>
              <w:textAlignment w:val="center"/>
              <w:rPr>
                <w:rFonts w:hint="default" w:ascii="Times New Roman" w:hAnsi="Times New Roman" w:cs="Times New Roman"/>
                <w:color w:val="auto"/>
                <w:kern w:val="0"/>
                <w:sz w:val="21"/>
                <w:szCs w:val="21"/>
              </w:rPr>
            </w:pPr>
          </w:p>
        </w:tc>
        <w:tc>
          <w:tcPr>
            <w:tcW w:w="1091"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5.40</w:t>
            </w:r>
            <w:r>
              <w:rPr>
                <w:rFonts w:hint="default" w:ascii="Times New Roman" w:hAnsi="Times New Roman" w:cs="Times New Roman"/>
                <w:color w:val="auto"/>
                <w:sz w:val="21"/>
                <w:szCs w:val="21"/>
              </w:rPr>
              <w:t>mg/L</w:t>
            </w:r>
          </w:p>
        </w:tc>
        <w:tc>
          <w:tcPr>
            <w:tcW w:w="1316"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11.42</w:t>
            </w:r>
            <w:r>
              <w:rPr>
                <w:rFonts w:hint="default" w:ascii="Times New Roman" w:hAnsi="Times New Roman" w:cs="Times New Roman"/>
                <w:color w:val="auto"/>
                <w:kern w:val="0"/>
                <w:sz w:val="21"/>
                <w:szCs w:val="21"/>
              </w:rPr>
              <w:t>t/a</w:t>
            </w:r>
          </w:p>
        </w:tc>
        <w:tc>
          <w:tcPr>
            <w:tcW w:w="1176" w:type="dxa"/>
            <w:vMerge w:val="continue"/>
            <w:vAlign w:val="center"/>
          </w:tcPr>
          <w:p>
            <w:pPr>
              <w:widowControl/>
              <w:jc w:val="center"/>
              <w:textAlignment w:val="center"/>
              <w:rPr>
                <w:rFonts w:hint="default" w:ascii="Times New Roman" w:hAnsi="Times New Roman" w:cs="Times New Roman"/>
                <w:color w:val="auto"/>
                <w:kern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15" w:type="dxa"/>
            <w:left w:w="15" w:type="dxa"/>
            <w:bottom w:w="15" w:type="dxa"/>
            <w:right w:w="15" w:type="dxa"/>
          </w:tblCellMar>
        </w:tblPrEx>
        <w:trPr>
          <w:trHeight w:val="283" w:hRule="atLeast"/>
          <w:jc w:val="center"/>
        </w:trPr>
        <w:tc>
          <w:tcPr>
            <w:tcW w:w="568" w:type="dxa"/>
            <w:vMerge w:val="continue"/>
            <w:vAlign w:val="center"/>
          </w:tcPr>
          <w:p>
            <w:pPr>
              <w:widowControl/>
              <w:jc w:val="center"/>
              <w:textAlignment w:val="center"/>
              <w:rPr>
                <w:rFonts w:hint="default" w:ascii="Times New Roman" w:hAnsi="Times New Roman" w:cs="Times New Roman"/>
                <w:color w:val="auto"/>
                <w:kern w:val="0"/>
                <w:sz w:val="21"/>
                <w:szCs w:val="21"/>
              </w:rPr>
            </w:pPr>
          </w:p>
        </w:tc>
        <w:tc>
          <w:tcPr>
            <w:tcW w:w="890" w:type="dxa"/>
            <w:vMerge w:val="continue"/>
            <w:vAlign w:val="center"/>
          </w:tcPr>
          <w:p>
            <w:pPr>
              <w:jc w:val="center"/>
              <w:rPr>
                <w:rFonts w:hint="default" w:ascii="Times New Roman" w:hAnsi="Times New Roman" w:cs="Times New Roman"/>
                <w:color w:val="auto"/>
                <w:sz w:val="21"/>
                <w:szCs w:val="21"/>
              </w:rPr>
            </w:pPr>
          </w:p>
        </w:tc>
        <w:tc>
          <w:tcPr>
            <w:tcW w:w="1148" w:type="dxa"/>
            <w:vAlign w:val="center"/>
          </w:tcPr>
          <w:p>
            <w:pPr>
              <w:widowControl/>
              <w:jc w:val="center"/>
              <w:textAlignment w:val="center"/>
              <w:rPr>
                <w:rFonts w:hint="default" w:ascii="Times New Roman" w:hAnsi="Times New Roman" w:cs="Times New Roman"/>
                <w:color w:val="auto"/>
                <w:kern w:val="0"/>
                <w:sz w:val="21"/>
                <w:szCs w:val="21"/>
                <w:lang w:eastAsia="zh-CN"/>
              </w:rPr>
            </w:pPr>
            <w:r>
              <w:rPr>
                <w:rFonts w:hint="default" w:ascii="Times New Roman" w:hAnsi="Times New Roman" w:cs="Times New Roman"/>
                <w:color w:val="auto"/>
                <w:kern w:val="0"/>
                <w:sz w:val="21"/>
                <w:szCs w:val="21"/>
                <w:lang w:eastAsia="zh-CN"/>
              </w:rPr>
              <w:t>氟化物</w:t>
            </w:r>
          </w:p>
        </w:tc>
        <w:tc>
          <w:tcPr>
            <w:tcW w:w="2674" w:type="dxa"/>
            <w:vMerge w:val="continue"/>
            <w:vAlign w:val="center"/>
          </w:tcPr>
          <w:p>
            <w:pPr>
              <w:jc w:val="center"/>
              <w:textAlignment w:val="center"/>
              <w:rPr>
                <w:rFonts w:hint="default" w:ascii="Times New Roman" w:hAnsi="Times New Roman" w:cs="Times New Roman"/>
                <w:color w:val="auto"/>
                <w:kern w:val="0"/>
                <w:sz w:val="21"/>
                <w:szCs w:val="21"/>
              </w:rPr>
            </w:pPr>
          </w:p>
        </w:tc>
        <w:tc>
          <w:tcPr>
            <w:tcW w:w="1091"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1.59</w:t>
            </w:r>
            <w:r>
              <w:rPr>
                <w:rFonts w:hint="default" w:ascii="Times New Roman" w:hAnsi="Times New Roman" w:cs="Times New Roman"/>
                <w:color w:val="auto"/>
                <w:sz w:val="21"/>
                <w:szCs w:val="21"/>
              </w:rPr>
              <w:t>mg/L</w:t>
            </w:r>
          </w:p>
        </w:tc>
        <w:tc>
          <w:tcPr>
            <w:tcW w:w="1316"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kern w:val="0"/>
                <w:sz w:val="21"/>
                <w:szCs w:val="21"/>
                <w:lang w:val="en-US" w:eastAsia="zh-CN"/>
              </w:rPr>
              <w:t>3.35</w:t>
            </w:r>
            <w:r>
              <w:rPr>
                <w:rFonts w:hint="default" w:ascii="Times New Roman" w:hAnsi="Times New Roman" w:cs="Times New Roman"/>
                <w:color w:val="auto"/>
                <w:kern w:val="0"/>
                <w:sz w:val="21"/>
                <w:szCs w:val="21"/>
              </w:rPr>
              <w:t>t/a</w:t>
            </w:r>
          </w:p>
        </w:tc>
        <w:tc>
          <w:tcPr>
            <w:tcW w:w="1176" w:type="dxa"/>
            <w:vMerge w:val="continue"/>
            <w:vAlign w:val="center"/>
          </w:tcPr>
          <w:p>
            <w:pPr>
              <w:widowControl/>
              <w:jc w:val="center"/>
              <w:textAlignment w:val="center"/>
              <w:rPr>
                <w:rFonts w:hint="default" w:ascii="Times New Roman" w:hAnsi="Times New Roman" w:cs="Times New Roman"/>
                <w:color w:val="auto"/>
                <w:kern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15" w:type="dxa"/>
            <w:left w:w="15" w:type="dxa"/>
            <w:bottom w:w="15" w:type="dxa"/>
            <w:right w:w="15" w:type="dxa"/>
          </w:tblCellMar>
        </w:tblPrEx>
        <w:trPr>
          <w:trHeight w:val="285" w:hRule="atLeast"/>
          <w:jc w:val="center"/>
        </w:trPr>
        <w:tc>
          <w:tcPr>
            <w:tcW w:w="568" w:type="dxa"/>
            <w:vMerge w:val="restart"/>
            <w:vAlign w:val="center"/>
          </w:tcPr>
          <w:p>
            <w:pPr>
              <w:widowControl/>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固废</w:t>
            </w:r>
          </w:p>
        </w:tc>
        <w:tc>
          <w:tcPr>
            <w:tcW w:w="2038" w:type="dxa"/>
            <w:gridSpan w:val="2"/>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废活性炭</w:t>
            </w:r>
          </w:p>
        </w:tc>
        <w:tc>
          <w:tcPr>
            <w:tcW w:w="3765" w:type="dxa"/>
            <w:gridSpan w:val="2"/>
            <w:vMerge w:val="restart"/>
            <w:vAlign w:val="center"/>
          </w:tcPr>
          <w:p>
            <w:pPr>
              <w:jc w:val="center"/>
              <w:rPr>
                <w:rFonts w:hint="default" w:ascii="Times New Roman" w:hAnsi="Times New Roman" w:cs="Times New Roman"/>
                <w:color w:val="auto"/>
                <w:kern w:val="0"/>
                <w:sz w:val="21"/>
                <w:szCs w:val="21"/>
              </w:rPr>
            </w:pPr>
            <w:r>
              <w:rPr>
                <w:rFonts w:hint="default" w:ascii="Times New Roman" w:hAnsi="Times New Roman" w:cs="Times New Roman"/>
                <w:bCs/>
                <w:color w:val="auto"/>
                <w:sz w:val="21"/>
                <w:szCs w:val="21"/>
              </w:rPr>
              <w:t>暂存在危废库，委托</w:t>
            </w:r>
            <w:r>
              <w:rPr>
                <w:rFonts w:hint="default" w:ascii="Times New Roman" w:hAnsi="Times New Roman" w:cs="Times New Roman"/>
                <w:bCs/>
                <w:color w:val="auto"/>
                <w:sz w:val="21"/>
                <w:szCs w:val="21"/>
                <w:lang w:eastAsia="zh-CN"/>
              </w:rPr>
              <w:t>有危废处置资质的单位进行处理</w:t>
            </w:r>
          </w:p>
        </w:tc>
        <w:tc>
          <w:tcPr>
            <w:tcW w:w="1316" w:type="dxa"/>
            <w:vMerge w:val="restart"/>
            <w:vAlign w:val="center"/>
          </w:tcPr>
          <w:p>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100%处置</w:t>
            </w:r>
          </w:p>
        </w:tc>
        <w:tc>
          <w:tcPr>
            <w:tcW w:w="1176" w:type="dxa"/>
            <w:vMerge w:val="restart"/>
            <w:vAlign w:val="center"/>
          </w:tcPr>
          <w:p>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15" w:type="dxa"/>
            <w:left w:w="15" w:type="dxa"/>
            <w:bottom w:w="15" w:type="dxa"/>
            <w:right w:w="15" w:type="dxa"/>
          </w:tblCellMar>
        </w:tblPrEx>
        <w:trPr>
          <w:trHeight w:val="285" w:hRule="atLeast"/>
          <w:jc w:val="center"/>
        </w:trPr>
        <w:tc>
          <w:tcPr>
            <w:tcW w:w="568" w:type="dxa"/>
            <w:vMerge w:val="continue"/>
            <w:vAlign w:val="center"/>
          </w:tcPr>
          <w:p>
            <w:pPr>
              <w:widowControl/>
              <w:jc w:val="center"/>
              <w:rPr>
                <w:rFonts w:hint="default" w:ascii="Times New Roman" w:hAnsi="Times New Roman" w:cs="Times New Roman"/>
                <w:color w:val="auto"/>
                <w:sz w:val="21"/>
                <w:szCs w:val="21"/>
              </w:rPr>
            </w:pPr>
          </w:p>
        </w:tc>
        <w:tc>
          <w:tcPr>
            <w:tcW w:w="2038" w:type="dxa"/>
            <w:gridSpan w:val="2"/>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废胶</w:t>
            </w:r>
          </w:p>
        </w:tc>
        <w:tc>
          <w:tcPr>
            <w:tcW w:w="3765" w:type="dxa"/>
            <w:gridSpan w:val="2"/>
            <w:vMerge w:val="continue"/>
            <w:vAlign w:val="center"/>
          </w:tcPr>
          <w:p>
            <w:pPr>
              <w:jc w:val="center"/>
              <w:rPr>
                <w:rFonts w:hint="default" w:ascii="Times New Roman" w:hAnsi="Times New Roman" w:cs="Times New Roman"/>
                <w:bCs/>
                <w:color w:val="auto"/>
                <w:sz w:val="21"/>
                <w:szCs w:val="21"/>
              </w:rPr>
            </w:pPr>
          </w:p>
        </w:tc>
        <w:tc>
          <w:tcPr>
            <w:tcW w:w="1316" w:type="dxa"/>
            <w:vMerge w:val="continue"/>
            <w:vAlign w:val="center"/>
          </w:tcPr>
          <w:p>
            <w:pPr>
              <w:widowControl/>
              <w:jc w:val="center"/>
              <w:textAlignment w:val="center"/>
              <w:rPr>
                <w:rFonts w:hint="default" w:ascii="Times New Roman" w:hAnsi="Times New Roman" w:cs="Times New Roman"/>
                <w:color w:val="auto"/>
                <w:kern w:val="0"/>
                <w:sz w:val="21"/>
                <w:szCs w:val="21"/>
              </w:rPr>
            </w:pPr>
          </w:p>
        </w:tc>
        <w:tc>
          <w:tcPr>
            <w:tcW w:w="1176" w:type="dxa"/>
            <w:vMerge w:val="continue"/>
            <w:vAlign w:val="center"/>
          </w:tcPr>
          <w:p>
            <w:pPr>
              <w:widowControl/>
              <w:jc w:val="center"/>
              <w:textAlignment w:val="center"/>
              <w:rPr>
                <w:rFonts w:hint="default" w:ascii="Times New Roman" w:hAnsi="Times New Roman" w:cs="Times New Roman"/>
                <w:color w:val="auto"/>
                <w:kern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15" w:type="dxa"/>
            <w:left w:w="15" w:type="dxa"/>
            <w:bottom w:w="15" w:type="dxa"/>
            <w:right w:w="15" w:type="dxa"/>
          </w:tblCellMar>
        </w:tblPrEx>
        <w:trPr>
          <w:trHeight w:val="90" w:hRule="atLeast"/>
          <w:jc w:val="center"/>
        </w:trPr>
        <w:tc>
          <w:tcPr>
            <w:tcW w:w="568" w:type="dxa"/>
            <w:vMerge w:val="continue"/>
            <w:vAlign w:val="center"/>
          </w:tcPr>
          <w:p>
            <w:pPr>
              <w:widowControl/>
              <w:jc w:val="center"/>
              <w:rPr>
                <w:rFonts w:hint="default" w:ascii="Times New Roman" w:hAnsi="Times New Roman" w:cs="Times New Roman"/>
                <w:color w:val="auto"/>
                <w:sz w:val="21"/>
                <w:szCs w:val="21"/>
              </w:rPr>
            </w:pPr>
          </w:p>
        </w:tc>
        <w:tc>
          <w:tcPr>
            <w:tcW w:w="2038" w:type="dxa"/>
            <w:gridSpan w:val="2"/>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废切片</w:t>
            </w:r>
          </w:p>
        </w:tc>
        <w:tc>
          <w:tcPr>
            <w:tcW w:w="3765" w:type="dxa"/>
            <w:gridSpan w:val="2"/>
            <w:vAlign w:val="center"/>
          </w:tcPr>
          <w:p>
            <w:pPr>
              <w:jc w:val="center"/>
              <w:rPr>
                <w:rFonts w:hint="default" w:ascii="Times New Roman" w:hAnsi="Times New Roman" w:cs="Times New Roman"/>
                <w:color w:val="auto"/>
                <w:kern w:val="0"/>
                <w:sz w:val="21"/>
                <w:szCs w:val="21"/>
              </w:rPr>
            </w:pPr>
            <w:r>
              <w:rPr>
                <w:rFonts w:hint="default" w:ascii="Times New Roman" w:hAnsi="Times New Roman" w:cs="Times New Roman"/>
                <w:bCs/>
                <w:color w:val="auto"/>
                <w:sz w:val="21"/>
                <w:szCs w:val="21"/>
                <w:lang w:val="en-US" w:eastAsia="zh-CN"/>
              </w:rPr>
              <w:t>破碎</w:t>
            </w:r>
            <w:r>
              <w:rPr>
                <w:rFonts w:hint="default" w:ascii="Times New Roman" w:hAnsi="Times New Roman" w:cs="Times New Roman"/>
                <w:bCs/>
                <w:color w:val="auto"/>
                <w:sz w:val="21"/>
                <w:szCs w:val="21"/>
                <w:lang w:eastAsia="zh-CN"/>
              </w:rPr>
              <w:t>后回用于单晶硅棒生产</w:t>
            </w:r>
          </w:p>
        </w:tc>
        <w:tc>
          <w:tcPr>
            <w:tcW w:w="1316" w:type="dxa"/>
            <w:vMerge w:val="continue"/>
            <w:vAlign w:val="center"/>
          </w:tcPr>
          <w:p>
            <w:pPr>
              <w:widowControl/>
              <w:jc w:val="center"/>
              <w:textAlignment w:val="center"/>
              <w:rPr>
                <w:rFonts w:hint="default" w:ascii="Times New Roman" w:hAnsi="Times New Roman" w:cs="Times New Roman"/>
                <w:color w:val="auto"/>
                <w:kern w:val="0"/>
                <w:sz w:val="21"/>
                <w:szCs w:val="21"/>
              </w:rPr>
            </w:pPr>
          </w:p>
        </w:tc>
        <w:tc>
          <w:tcPr>
            <w:tcW w:w="1176" w:type="dxa"/>
            <w:vMerge w:val="continue"/>
            <w:vAlign w:val="center"/>
          </w:tcPr>
          <w:p>
            <w:pPr>
              <w:widowControl/>
              <w:jc w:val="center"/>
              <w:textAlignment w:val="center"/>
              <w:rPr>
                <w:rFonts w:hint="default" w:ascii="Times New Roman" w:hAnsi="Times New Roman" w:cs="Times New Roman"/>
                <w:color w:val="auto"/>
                <w:kern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15" w:type="dxa"/>
            <w:left w:w="15" w:type="dxa"/>
            <w:bottom w:w="15" w:type="dxa"/>
            <w:right w:w="15" w:type="dxa"/>
          </w:tblCellMar>
        </w:tblPrEx>
        <w:trPr>
          <w:trHeight w:val="285" w:hRule="atLeast"/>
          <w:jc w:val="center"/>
        </w:trPr>
        <w:tc>
          <w:tcPr>
            <w:tcW w:w="568" w:type="dxa"/>
            <w:vMerge w:val="continue"/>
            <w:vAlign w:val="center"/>
          </w:tcPr>
          <w:p>
            <w:pPr>
              <w:widowControl/>
              <w:jc w:val="center"/>
              <w:rPr>
                <w:rFonts w:hint="default" w:ascii="Times New Roman" w:hAnsi="Times New Roman" w:cs="Times New Roman"/>
                <w:color w:val="auto"/>
                <w:sz w:val="21"/>
                <w:szCs w:val="21"/>
              </w:rPr>
            </w:pPr>
          </w:p>
        </w:tc>
        <w:tc>
          <w:tcPr>
            <w:tcW w:w="2038" w:type="dxa"/>
            <w:gridSpan w:val="2"/>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bCs/>
                <w:color w:val="auto"/>
                <w:sz w:val="21"/>
                <w:szCs w:val="21"/>
                <w:lang w:eastAsia="zh-CN"/>
              </w:rPr>
              <w:t>废金刚线</w:t>
            </w:r>
          </w:p>
        </w:tc>
        <w:tc>
          <w:tcPr>
            <w:tcW w:w="3765" w:type="dxa"/>
            <w:gridSpan w:val="2"/>
            <w:vMerge w:val="restart"/>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bCs/>
                <w:color w:val="auto"/>
                <w:sz w:val="21"/>
                <w:szCs w:val="21"/>
                <w:lang w:val="en-US" w:eastAsia="zh-CN"/>
              </w:rPr>
              <w:t>暂存在硅泥库，委托废旧资源回收公司回收综合利用</w:t>
            </w:r>
          </w:p>
        </w:tc>
        <w:tc>
          <w:tcPr>
            <w:tcW w:w="1316" w:type="dxa"/>
            <w:vMerge w:val="continue"/>
            <w:vAlign w:val="center"/>
          </w:tcPr>
          <w:p>
            <w:pPr>
              <w:widowControl/>
              <w:jc w:val="center"/>
              <w:textAlignment w:val="center"/>
              <w:rPr>
                <w:rFonts w:hint="default" w:ascii="Times New Roman" w:hAnsi="Times New Roman" w:cs="Times New Roman"/>
                <w:color w:val="auto"/>
                <w:kern w:val="0"/>
                <w:sz w:val="21"/>
                <w:szCs w:val="21"/>
              </w:rPr>
            </w:pPr>
          </w:p>
        </w:tc>
        <w:tc>
          <w:tcPr>
            <w:tcW w:w="1176" w:type="dxa"/>
            <w:vMerge w:val="continue"/>
            <w:vAlign w:val="center"/>
          </w:tcPr>
          <w:p>
            <w:pPr>
              <w:widowControl/>
              <w:jc w:val="center"/>
              <w:textAlignment w:val="center"/>
              <w:rPr>
                <w:rFonts w:hint="default" w:ascii="Times New Roman" w:hAnsi="Times New Roman" w:cs="Times New Roman"/>
                <w:color w:val="auto"/>
                <w:kern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15" w:type="dxa"/>
            <w:left w:w="15" w:type="dxa"/>
            <w:bottom w:w="15" w:type="dxa"/>
            <w:right w:w="15" w:type="dxa"/>
          </w:tblCellMar>
        </w:tblPrEx>
        <w:trPr>
          <w:trHeight w:val="285" w:hRule="atLeast"/>
          <w:jc w:val="center"/>
        </w:trPr>
        <w:tc>
          <w:tcPr>
            <w:tcW w:w="568" w:type="dxa"/>
            <w:vMerge w:val="continue"/>
            <w:vAlign w:val="center"/>
          </w:tcPr>
          <w:p>
            <w:pPr>
              <w:widowControl/>
              <w:jc w:val="center"/>
              <w:rPr>
                <w:rFonts w:hint="default" w:ascii="Times New Roman" w:hAnsi="Times New Roman" w:cs="Times New Roman"/>
                <w:color w:val="auto"/>
                <w:sz w:val="21"/>
                <w:szCs w:val="21"/>
              </w:rPr>
            </w:pPr>
          </w:p>
        </w:tc>
        <w:tc>
          <w:tcPr>
            <w:tcW w:w="2038" w:type="dxa"/>
            <w:gridSpan w:val="2"/>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bCs/>
                <w:color w:val="auto"/>
                <w:sz w:val="21"/>
                <w:szCs w:val="21"/>
                <w:lang w:eastAsia="zh-CN"/>
              </w:rPr>
              <w:t>废包装及容器</w:t>
            </w:r>
          </w:p>
        </w:tc>
        <w:tc>
          <w:tcPr>
            <w:tcW w:w="3765" w:type="dxa"/>
            <w:gridSpan w:val="2"/>
            <w:vMerge w:val="continue"/>
            <w:vAlign w:val="center"/>
          </w:tcPr>
          <w:p>
            <w:pPr>
              <w:jc w:val="center"/>
              <w:rPr>
                <w:rFonts w:hint="default" w:ascii="Times New Roman" w:hAnsi="Times New Roman" w:cs="Times New Roman"/>
                <w:color w:val="auto"/>
                <w:sz w:val="21"/>
                <w:szCs w:val="21"/>
              </w:rPr>
            </w:pPr>
          </w:p>
        </w:tc>
        <w:tc>
          <w:tcPr>
            <w:tcW w:w="1316" w:type="dxa"/>
            <w:vMerge w:val="continue"/>
            <w:vAlign w:val="center"/>
          </w:tcPr>
          <w:p>
            <w:pPr>
              <w:widowControl/>
              <w:jc w:val="center"/>
              <w:textAlignment w:val="center"/>
              <w:rPr>
                <w:rFonts w:hint="default" w:ascii="Times New Roman" w:hAnsi="Times New Roman" w:cs="Times New Roman"/>
                <w:color w:val="auto"/>
                <w:kern w:val="0"/>
                <w:sz w:val="21"/>
                <w:szCs w:val="21"/>
              </w:rPr>
            </w:pPr>
          </w:p>
        </w:tc>
        <w:tc>
          <w:tcPr>
            <w:tcW w:w="1176" w:type="dxa"/>
            <w:vMerge w:val="continue"/>
            <w:vAlign w:val="center"/>
          </w:tcPr>
          <w:p>
            <w:pPr>
              <w:widowControl/>
              <w:jc w:val="center"/>
              <w:textAlignment w:val="center"/>
              <w:rPr>
                <w:rFonts w:hint="default" w:ascii="Times New Roman" w:hAnsi="Times New Roman" w:cs="Times New Roman"/>
                <w:color w:val="auto"/>
                <w:kern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15" w:type="dxa"/>
            <w:left w:w="15" w:type="dxa"/>
            <w:bottom w:w="15" w:type="dxa"/>
            <w:right w:w="15" w:type="dxa"/>
          </w:tblCellMar>
        </w:tblPrEx>
        <w:trPr>
          <w:trHeight w:val="285" w:hRule="atLeast"/>
          <w:jc w:val="center"/>
        </w:trPr>
        <w:tc>
          <w:tcPr>
            <w:tcW w:w="568" w:type="dxa"/>
            <w:vMerge w:val="continue"/>
            <w:vAlign w:val="center"/>
          </w:tcPr>
          <w:p>
            <w:pPr>
              <w:widowControl/>
              <w:jc w:val="center"/>
              <w:rPr>
                <w:rFonts w:hint="default" w:ascii="Times New Roman" w:hAnsi="Times New Roman" w:cs="Times New Roman"/>
                <w:color w:val="auto"/>
                <w:sz w:val="21"/>
                <w:szCs w:val="21"/>
              </w:rPr>
            </w:pPr>
          </w:p>
        </w:tc>
        <w:tc>
          <w:tcPr>
            <w:tcW w:w="2038" w:type="dxa"/>
            <w:gridSpan w:val="2"/>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bCs/>
                <w:color w:val="auto"/>
                <w:sz w:val="21"/>
                <w:szCs w:val="21"/>
                <w:lang w:eastAsia="zh-CN"/>
              </w:rPr>
              <w:t>压滤硅泥</w:t>
            </w:r>
          </w:p>
        </w:tc>
        <w:tc>
          <w:tcPr>
            <w:tcW w:w="3765" w:type="dxa"/>
            <w:gridSpan w:val="2"/>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bCs/>
                <w:color w:val="auto"/>
                <w:sz w:val="21"/>
                <w:szCs w:val="21"/>
                <w:lang w:val="en-US" w:eastAsia="zh-CN"/>
              </w:rPr>
              <w:t>暂存在硅泥库内，外售给工业硅生产企业</w:t>
            </w:r>
          </w:p>
        </w:tc>
        <w:tc>
          <w:tcPr>
            <w:tcW w:w="1316" w:type="dxa"/>
            <w:vMerge w:val="continue"/>
            <w:vAlign w:val="center"/>
          </w:tcPr>
          <w:p>
            <w:pPr>
              <w:widowControl/>
              <w:jc w:val="center"/>
              <w:textAlignment w:val="center"/>
              <w:rPr>
                <w:rFonts w:hint="default" w:ascii="Times New Roman" w:hAnsi="Times New Roman" w:cs="Times New Roman"/>
                <w:color w:val="auto"/>
                <w:kern w:val="0"/>
                <w:sz w:val="21"/>
                <w:szCs w:val="21"/>
              </w:rPr>
            </w:pPr>
          </w:p>
        </w:tc>
        <w:tc>
          <w:tcPr>
            <w:tcW w:w="1176" w:type="dxa"/>
            <w:vMerge w:val="continue"/>
            <w:vAlign w:val="center"/>
          </w:tcPr>
          <w:p>
            <w:pPr>
              <w:widowControl/>
              <w:jc w:val="center"/>
              <w:textAlignment w:val="center"/>
              <w:rPr>
                <w:rFonts w:hint="default" w:ascii="Times New Roman" w:hAnsi="Times New Roman" w:cs="Times New Roman"/>
                <w:color w:val="auto"/>
                <w:kern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15" w:type="dxa"/>
            <w:left w:w="15" w:type="dxa"/>
            <w:bottom w:w="15" w:type="dxa"/>
            <w:right w:w="15" w:type="dxa"/>
          </w:tblCellMar>
        </w:tblPrEx>
        <w:trPr>
          <w:trHeight w:val="96" w:hRule="atLeast"/>
          <w:jc w:val="center"/>
        </w:trPr>
        <w:tc>
          <w:tcPr>
            <w:tcW w:w="568" w:type="dxa"/>
            <w:vMerge w:val="continue"/>
            <w:vAlign w:val="center"/>
          </w:tcPr>
          <w:p>
            <w:pPr>
              <w:widowControl/>
              <w:jc w:val="center"/>
              <w:rPr>
                <w:rFonts w:hint="default" w:ascii="Times New Roman" w:hAnsi="Times New Roman" w:cs="Times New Roman"/>
                <w:color w:val="auto"/>
                <w:sz w:val="21"/>
                <w:szCs w:val="21"/>
              </w:rPr>
            </w:pPr>
          </w:p>
        </w:tc>
        <w:tc>
          <w:tcPr>
            <w:tcW w:w="2038" w:type="dxa"/>
            <w:gridSpan w:val="2"/>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bCs/>
                <w:color w:val="auto"/>
                <w:sz w:val="21"/>
                <w:szCs w:val="21"/>
                <w:lang w:val="en-US" w:eastAsia="zh-CN"/>
              </w:rPr>
              <w:t>废反渗透膜和废离子交换树脂</w:t>
            </w:r>
          </w:p>
        </w:tc>
        <w:tc>
          <w:tcPr>
            <w:tcW w:w="3765" w:type="dxa"/>
            <w:gridSpan w:val="2"/>
            <w:vAlign w:val="center"/>
          </w:tcPr>
          <w:p>
            <w:pPr>
              <w:jc w:val="left"/>
              <w:rPr>
                <w:rFonts w:hint="default" w:ascii="Times New Roman" w:hAnsi="Times New Roman" w:cs="Times New Roman"/>
                <w:color w:val="auto"/>
                <w:sz w:val="21"/>
                <w:szCs w:val="21"/>
              </w:rPr>
            </w:pPr>
            <w:r>
              <w:rPr>
                <w:rFonts w:hint="default" w:ascii="Times New Roman" w:hAnsi="Times New Roman" w:cs="Times New Roman"/>
                <w:bCs/>
                <w:color w:val="auto"/>
                <w:sz w:val="21"/>
                <w:szCs w:val="21"/>
                <w:lang w:val="en-US" w:eastAsia="zh-CN"/>
              </w:rPr>
              <w:t>由生产厂家上门回收再生处理</w:t>
            </w:r>
          </w:p>
        </w:tc>
        <w:tc>
          <w:tcPr>
            <w:tcW w:w="1316" w:type="dxa"/>
            <w:vMerge w:val="continue"/>
            <w:vAlign w:val="center"/>
          </w:tcPr>
          <w:p>
            <w:pPr>
              <w:widowControl/>
              <w:jc w:val="center"/>
              <w:textAlignment w:val="center"/>
              <w:rPr>
                <w:rFonts w:hint="default" w:ascii="Times New Roman" w:hAnsi="Times New Roman" w:cs="Times New Roman"/>
                <w:color w:val="auto"/>
                <w:kern w:val="0"/>
                <w:sz w:val="21"/>
                <w:szCs w:val="21"/>
              </w:rPr>
            </w:pPr>
          </w:p>
        </w:tc>
        <w:tc>
          <w:tcPr>
            <w:tcW w:w="1176" w:type="dxa"/>
            <w:vMerge w:val="continue"/>
            <w:vAlign w:val="center"/>
          </w:tcPr>
          <w:p>
            <w:pPr>
              <w:widowControl/>
              <w:jc w:val="center"/>
              <w:textAlignment w:val="center"/>
              <w:rPr>
                <w:rFonts w:hint="default" w:ascii="Times New Roman" w:hAnsi="Times New Roman" w:cs="Times New Roman"/>
                <w:color w:val="auto"/>
                <w:kern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15" w:type="dxa"/>
            <w:left w:w="15" w:type="dxa"/>
            <w:bottom w:w="15" w:type="dxa"/>
            <w:right w:w="15" w:type="dxa"/>
          </w:tblCellMar>
        </w:tblPrEx>
        <w:trPr>
          <w:trHeight w:val="285" w:hRule="atLeast"/>
          <w:jc w:val="center"/>
        </w:trPr>
        <w:tc>
          <w:tcPr>
            <w:tcW w:w="568" w:type="dxa"/>
            <w:vMerge w:val="continue"/>
            <w:vAlign w:val="center"/>
          </w:tcPr>
          <w:p>
            <w:pPr>
              <w:widowControl/>
              <w:jc w:val="center"/>
              <w:rPr>
                <w:rFonts w:hint="default" w:ascii="Times New Roman" w:hAnsi="Times New Roman" w:cs="Times New Roman"/>
                <w:color w:val="auto"/>
                <w:sz w:val="21"/>
                <w:szCs w:val="21"/>
              </w:rPr>
            </w:pPr>
          </w:p>
        </w:tc>
        <w:tc>
          <w:tcPr>
            <w:tcW w:w="2038" w:type="dxa"/>
            <w:gridSpan w:val="2"/>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bCs/>
                <w:color w:val="auto"/>
                <w:sz w:val="21"/>
                <w:szCs w:val="21"/>
                <w:lang w:eastAsia="zh-CN"/>
              </w:rPr>
              <w:t>综合污水处理站污泥</w:t>
            </w:r>
          </w:p>
        </w:tc>
        <w:tc>
          <w:tcPr>
            <w:tcW w:w="3765" w:type="dxa"/>
            <w:gridSpan w:val="2"/>
            <w:vAlign w:val="center"/>
          </w:tcPr>
          <w:p>
            <w:pPr>
              <w:jc w:val="left"/>
              <w:rPr>
                <w:rFonts w:hint="default" w:ascii="Times New Roman" w:hAnsi="Times New Roman" w:cs="Times New Roman"/>
                <w:color w:val="auto"/>
                <w:sz w:val="21"/>
                <w:szCs w:val="21"/>
              </w:rPr>
            </w:pPr>
            <w:r>
              <w:rPr>
                <w:rFonts w:hint="default" w:ascii="Times New Roman" w:hAnsi="Times New Roman" w:cs="Times New Roman"/>
                <w:bCs/>
                <w:color w:val="auto"/>
                <w:sz w:val="21"/>
                <w:szCs w:val="21"/>
                <w:lang w:val="en-US" w:eastAsia="zh-CN"/>
              </w:rPr>
              <w:t>需进行固废属性鉴别，若属于危险废物，则应委托有危废资质的单位处置，不属于危废则外售给污泥综合利用公司进行处置</w:t>
            </w:r>
          </w:p>
        </w:tc>
        <w:tc>
          <w:tcPr>
            <w:tcW w:w="1316" w:type="dxa"/>
            <w:vMerge w:val="continue"/>
            <w:vAlign w:val="center"/>
          </w:tcPr>
          <w:p>
            <w:pPr>
              <w:widowControl/>
              <w:jc w:val="center"/>
              <w:textAlignment w:val="center"/>
              <w:rPr>
                <w:rFonts w:hint="default" w:ascii="Times New Roman" w:hAnsi="Times New Roman" w:cs="Times New Roman"/>
                <w:color w:val="auto"/>
                <w:kern w:val="0"/>
                <w:sz w:val="21"/>
                <w:szCs w:val="21"/>
              </w:rPr>
            </w:pPr>
          </w:p>
        </w:tc>
        <w:tc>
          <w:tcPr>
            <w:tcW w:w="1176" w:type="dxa"/>
            <w:vMerge w:val="continue"/>
            <w:vAlign w:val="center"/>
          </w:tcPr>
          <w:p>
            <w:pPr>
              <w:widowControl/>
              <w:jc w:val="center"/>
              <w:textAlignment w:val="center"/>
              <w:rPr>
                <w:rFonts w:hint="default" w:ascii="Times New Roman" w:hAnsi="Times New Roman" w:cs="Times New Roman"/>
                <w:color w:val="auto"/>
                <w:kern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15" w:type="dxa"/>
            <w:left w:w="15" w:type="dxa"/>
            <w:bottom w:w="15" w:type="dxa"/>
            <w:right w:w="15" w:type="dxa"/>
          </w:tblCellMar>
        </w:tblPrEx>
        <w:trPr>
          <w:trHeight w:val="285" w:hRule="atLeast"/>
          <w:jc w:val="center"/>
        </w:trPr>
        <w:tc>
          <w:tcPr>
            <w:tcW w:w="568" w:type="dxa"/>
            <w:vMerge w:val="continue"/>
            <w:vAlign w:val="center"/>
          </w:tcPr>
          <w:p>
            <w:pPr>
              <w:widowControl/>
              <w:jc w:val="center"/>
              <w:rPr>
                <w:rFonts w:hint="default" w:ascii="Times New Roman" w:hAnsi="Times New Roman" w:cs="Times New Roman"/>
                <w:color w:val="auto"/>
                <w:sz w:val="21"/>
                <w:szCs w:val="21"/>
              </w:rPr>
            </w:pPr>
          </w:p>
        </w:tc>
        <w:tc>
          <w:tcPr>
            <w:tcW w:w="2038" w:type="dxa"/>
            <w:gridSpan w:val="2"/>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bCs/>
                <w:color w:val="auto"/>
                <w:sz w:val="21"/>
                <w:szCs w:val="21"/>
              </w:rPr>
              <w:t>生活垃圾</w:t>
            </w:r>
          </w:p>
        </w:tc>
        <w:tc>
          <w:tcPr>
            <w:tcW w:w="3765" w:type="dxa"/>
            <w:gridSpan w:val="2"/>
            <w:vAlign w:val="center"/>
          </w:tcPr>
          <w:p>
            <w:pPr>
              <w:jc w:val="left"/>
              <w:rPr>
                <w:rFonts w:hint="default" w:ascii="Times New Roman" w:hAnsi="Times New Roman" w:cs="Times New Roman"/>
                <w:color w:val="auto"/>
                <w:sz w:val="21"/>
                <w:szCs w:val="21"/>
              </w:rPr>
            </w:pPr>
            <w:r>
              <w:rPr>
                <w:rFonts w:hint="default" w:ascii="Times New Roman" w:hAnsi="Times New Roman" w:cs="Times New Roman"/>
                <w:bCs/>
                <w:color w:val="auto"/>
                <w:sz w:val="21"/>
                <w:szCs w:val="21"/>
              </w:rPr>
              <w:t>收集后交由环卫部门定期清运处置</w:t>
            </w:r>
          </w:p>
        </w:tc>
        <w:tc>
          <w:tcPr>
            <w:tcW w:w="1316" w:type="dxa"/>
            <w:vMerge w:val="continue"/>
            <w:vAlign w:val="center"/>
          </w:tcPr>
          <w:p>
            <w:pPr>
              <w:widowControl/>
              <w:jc w:val="center"/>
              <w:textAlignment w:val="center"/>
              <w:rPr>
                <w:rFonts w:hint="default" w:ascii="Times New Roman" w:hAnsi="Times New Roman" w:cs="Times New Roman"/>
                <w:color w:val="auto"/>
                <w:kern w:val="0"/>
                <w:sz w:val="21"/>
                <w:szCs w:val="21"/>
              </w:rPr>
            </w:pPr>
          </w:p>
        </w:tc>
        <w:tc>
          <w:tcPr>
            <w:tcW w:w="1176" w:type="dxa"/>
            <w:vMerge w:val="continue"/>
            <w:vAlign w:val="center"/>
          </w:tcPr>
          <w:p>
            <w:pPr>
              <w:widowControl/>
              <w:jc w:val="center"/>
              <w:textAlignment w:val="center"/>
              <w:rPr>
                <w:rFonts w:hint="default" w:ascii="Times New Roman" w:hAnsi="Times New Roman" w:cs="Times New Roman"/>
                <w:color w:val="auto"/>
                <w:kern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15" w:type="dxa"/>
            <w:left w:w="15" w:type="dxa"/>
            <w:bottom w:w="15" w:type="dxa"/>
            <w:right w:w="15" w:type="dxa"/>
          </w:tblCellMar>
        </w:tblPrEx>
        <w:trPr>
          <w:trHeight w:val="320" w:hRule="atLeast"/>
          <w:jc w:val="center"/>
        </w:trPr>
        <w:tc>
          <w:tcPr>
            <w:tcW w:w="568" w:type="dxa"/>
            <w:vAlign w:val="center"/>
          </w:tcPr>
          <w:p>
            <w:pPr>
              <w:widowControl/>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噪声</w:t>
            </w:r>
          </w:p>
        </w:tc>
        <w:tc>
          <w:tcPr>
            <w:tcW w:w="2038" w:type="dxa"/>
            <w:gridSpan w:val="2"/>
            <w:vAlign w:val="center"/>
          </w:tcPr>
          <w:p>
            <w:pPr>
              <w:widowControl/>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设备噪声</w:t>
            </w:r>
          </w:p>
        </w:tc>
        <w:tc>
          <w:tcPr>
            <w:tcW w:w="3765" w:type="dxa"/>
            <w:gridSpan w:val="2"/>
            <w:vAlign w:val="center"/>
          </w:tcPr>
          <w:p>
            <w:pPr>
              <w:widowControl/>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加装减震垫、厂房隔声</w:t>
            </w:r>
          </w:p>
        </w:tc>
        <w:tc>
          <w:tcPr>
            <w:tcW w:w="1316" w:type="dxa"/>
            <w:vAlign w:val="center"/>
          </w:tcPr>
          <w:p>
            <w:pPr>
              <w:widowControl/>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达标排放</w:t>
            </w:r>
          </w:p>
        </w:tc>
        <w:tc>
          <w:tcPr>
            <w:tcW w:w="1176" w:type="dxa"/>
            <w:vAlign w:val="center"/>
          </w:tcPr>
          <w:p>
            <w:pPr>
              <w:widowControl/>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连续</w:t>
            </w:r>
          </w:p>
        </w:tc>
      </w:tr>
    </w:tbl>
    <w:p>
      <w:pPr>
        <w:pStyle w:val="4"/>
        <w:spacing w:beforeLines="50" w:after="0" w:line="360" w:lineRule="auto"/>
        <w:rPr>
          <w:rFonts w:hint="default" w:ascii="Times New Roman" w:hAnsi="Times New Roman" w:eastAsia="宋体" w:cs="Times New Roman"/>
          <w:color w:val="auto"/>
          <w:sz w:val="28"/>
          <w:szCs w:val="28"/>
        </w:rPr>
      </w:pPr>
      <w:bookmarkStart w:id="1090" w:name="_Toc76771248"/>
      <w:bookmarkStart w:id="1091" w:name="_Toc9106"/>
      <w:r>
        <w:rPr>
          <w:rFonts w:hint="default" w:ascii="Times New Roman" w:hAnsi="Times New Roman" w:eastAsia="宋体" w:cs="Times New Roman"/>
          <w:color w:val="auto"/>
          <w:sz w:val="28"/>
          <w:szCs w:val="28"/>
          <w:lang w:val="en-US" w:eastAsia="zh-CN"/>
        </w:rPr>
        <w:t>9</w:t>
      </w:r>
      <w:r>
        <w:rPr>
          <w:rFonts w:hint="default" w:ascii="Times New Roman" w:hAnsi="Times New Roman" w:eastAsia="宋体" w:cs="Times New Roman"/>
          <w:color w:val="auto"/>
          <w:sz w:val="28"/>
          <w:szCs w:val="28"/>
        </w:rPr>
        <w:t>.8污染物排放总量控制</w:t>
      </w:r>
      <w:bookmarkEnd w:id="1090"/>
      <w:bookmarkEnd w:id="1091"/>
    </w:p>
    <w:p>
      <w:pPr>
        <w:spacing w:line="360" w:lineRule="auto"/>
        <w:ind w:firstLine="480" w:firstLineChars="200"/>
        <w:rPr>
          <w:rFonts w:hint="default" w:ascii="Times New Roman" w:hAnsi="Times New Roman" w:cs="Times New Roman"/>
          <w:color w:val="auto"/>
          <w:kern w:val="0"/>
        </w:rPr>
      </w:pPr>
      <w:r>
        <w:rPr>
          <w:rFonts w:hint="default" w:ascii="Times New Roman" w:hAnsi="Times New Roman" w:cs="Times New Roman"/>
          <w:color w:val="auto"/>
        </w:rPr>
        <w:t>“十三五”期间国家规定的污染物排放总量控制指标有：①大气环境污染物：二氧化硫、氮氧化物、颗粒物、挥发性有机物。②水环境污染物：化学需氧量、氨氮。</w:t>
      </w:r>
    </w:p>
    <w:p>
      <w:pPr>
        <w:spacing w:line="360" w:lineRule="auto"/>
        <w:ind w:firstLine="482" w:firstLineChars="200"/>
        <w:rPr>
          <w:rFonts w:hint="default" w:ascii="Times New Roman" w:hAnsi="Times New Roman" w:cs="Times New Roman"/>
          <w:b/>
          <w:bCs/>
          <w:color w:val="auto"/>
        </w:rPr>
      </w:pPr>
      <w:r>
        <w:rPr>
          <w:rFonts w:hint="default" w:ascii="Times New Roman" w:hAnsi="Times New Roman" w:cs="Times New Roman"/>
          <w:b/>
          <w:bCs/>
          <w:color w:val="auto"/>
        </w:rPr>
        <w:t>（1）大气污染排放总量</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项目运营期产生的废气主要是非甲烷总烃</w:t>
      </w:r>
      <w:r>
        <w:rPr>
          <w:rFonts w:hint="default" w:ascii="Times New Roman" w:hAnsi="Times New Roman" w:cs="Times New Roman"/>
          <w:color w:val="auto"/>
          <w:lang w:eastAsia="zh-CN"/>
        </w:rPr>
        <w:t>、颗粒物、氟化物、氨、硫化氢</w:t>
      </w:r>
      <w:r>
        <w:rPr>
          <w:rFonts w:hint="default" w:ascii="Times New Roman" w:hAnsi="Times New Roman" w:cs="Times New Roman"/>
          <w:color w:val="auto"/>
        </w:rPr>
        <w:t>。</w:t>
      </w:r>
      <w:r>
        <w:rPr>
          <w:rFonts w:hint="default" w:ascii="Times New Roman" w:hAnsi="Times New Roman" w:cs="Times New Roman"/>
          <w:color w:val="auto"/>
          <w:lang w:eastAsia="zh-CN"/>
        </w:rPr>
        <w:t>需要设置总量控制的污染物为非甲烷总烃、颗粒物。根据计算，本项目非甲烷总烃总量控制指标为</w:t>
      </w:r>
      <w:r>
        <w:rPr>
          <w:rFonts w:hint="default" w:ascii="Times New Roman" w:hAnsi="Times New Roman" w:cs="Times New Roman"/>
          <w:color w:val="auto"/>
          <w:lang w:val="en-US" w:eastAsia="zh-CN"/>
        </w:rPr>
        <w:t>43.8t/a、颗粒物总量控制指标为15.33t/a</w:t>
      </w:r>
      <w:r>
        <w:rPr>
          <w:rFonts w:hint="default" w:ascii="Times New Roman" w:hAnsi="Times New Roman" w:cs="Times New Roman"/>
          <w:color w:val="auto"/>
        </w:rPr>
        <w:t>。</w:t>
      </w:r>
    </w:p>
    <w:p>
      <w:pPr>
        <w:spacing w:line="360" w:lineRule="auto"/>
        <w:ind w:firstLine="482" w:firstLineChars="200"/>
        <w:rPr>
          <w:rFonts w:hint="default" w:ascii="Times New Roman" w:hAnsi="Times New Roman" w:cs="Times New Roman"/>
          <w:b/>
          <w:bCs/>
          <w:color w:val="auto"/>
        </w:rPr>
      </w:pPr>
      <w:r>
        <w:rPr>
          <w:rFonts w:hint="default" w:ascii="Times New Roman" w:hAnsi="Times New Roman" w:cs="Times New Roman"/>
          <w:b/>
          <w:bCs/>
          <w:color w:val="auto"/>
        </w:rPr>
        <w:t>（2）水污染物排放总量</w:t>
      </w:r>
    </w:p>
    <w:p>
      <w:pPr>
        <w:spacing w:line="360" w:lineRule="auto"/>
        <w:ind w:firstLine="480" w:firstLineChars="200"/>
        <w:rPr>
          <w:rFonts w:hint="default" w:ascii="Times New Roman" w:hAnsi="Times New Roman" w:cs="Times New Roman"/>
          <w:color w:val="auto"/>
          <w:szCs w:val="28"/>
        </w:rPr>
      </w:pPr>
      <w:r>
        <w:rPr>
          <w:rFonts w:hint="default" w:ascii="Times New Roman" w:hAnsi="Times New Roman" w:cs="Times New Roman"/>
          <w:color w:val="auto"/>
        </w:rPr>
        <w:t>本项目产生的</w:t>
      </w:r>
      <w:r>
        <w:rPr>
          <w:rFonts w:hint="default" w:ascii="Times New Roman" w:hAnsi="Times New Roman" w:cs="Times New Roman"/>
          <w:color w:val="auto"/>
          <w:lang w:eastAsia="zh-CN"/>
        </w:rPr>
        <w:t>废水</w:t>
      </w:r>
      <w:r>
        <w:rPr>
          <w:rFonts w:hint="default" w:ascii="Times New Roman" w:hAnsi="Times New Roman" w:cs="Times New Roman"/>
          <w:color w:val="auto"/>
        </w:rPr>
        <w:t>主要为</w:t>
      </w:r>
      <w:r>
        <w:rPr>
          <w:rFonts w:hint="default" w:ascii="Times New Roman" w:hAnsi="Times New Roman" w:cs="Times New Roman"/>
          <w:color w:val="auto"/>
          <w:lang w:eastAsia="zh-CN"/>
        </w:rPr>
        <w:t>切割废水</w:t>
      </w:r>
      <w:r>
        <w:rPr>
          <w:rFonts w:hint="default" w:ascii="Times New Roman" w:hAnsi="Times New Roman" w:cs="Times New Roman"/>
          <w:color w:val="auto"/>
        </w:rPr>
        <w:t>、脱胶废水、切片</w:t>
      </w:r>
      <w:r>
        <w:rPr>
          <w:rFonts w:hint="default" w:ascii="Times New Roman" w:hAnsi="Times New Roman" w:cs="Times New Roman"/>
          <w:color w:val="auto"/>
          <w:lang w:eastAsia="zh-CN"/>
        </w:rPr>
        <w:t>初洗</w:t>
      </w:r>
      <w:r>
        <w:rPr>
          <w:rFonts w:hint="default" w:ascii="Times New Roman" w:hAnsi="Times New Roman" w:cs="Times New Roman"/>
          <w:color w:val="auto"/>
        </w:rPr>
        <w:t>废水、切片</w:t>
      </w:r>
      <w:r>
        <w:rPr>
          <w:rFonts w:hint="default" w:ascii="Times New Roman" w:hAnsi="Times New Roman" w:cs="Times New Roman"/>
          <w:color w:val="auto"/>
          <w:lang w:eastAsia="zh-CN"/>
        </w:rPr>
        <w:t>精洗</w:t>
      </w:r>
      <w:r>
        <w:rPr>
          <w:rFonts w:hint="default" w:ascii="Times New Roman" w:hAnsi="Times New Roman" w:cs="Times New Roman"/>
          <w:color w:val="auto"/>
        </w:rPr>
        <w:t>废水、</w:t>
      </w:r>
      <w:r>
        <w:rPr>
          <w:rFonts w:hint="default" w:ascii="Times New Roman" w:hAnsi="Times New Roman" w:cs="Times New Roman"/>
          <w:color w:val="auto"/>
          <w:lang w:eastAsia="zh-CN"/>
        </w:rPr>
        <w:t>纯水制备产生的浓水、</w:t>
      </w:r>
      <w:r>
        <w:rPr>
          <w:rFonts w:hint="default" w:ascii="Times New Roman" w:hAnsi="Times New Roman" w:cs="Times New Roman"/>
          <w:color w:val="auto"/>
          <w:lang w:eastAsia="zh-CN"/>
        </w:rPr>
        <w:t>含氟废水、除臭系统碱吸收废水、</w:t>
      </w:r>
      <w:r>
        <w:rPr>
          <w:rFonts w:hint="default" w:ascii="Times New Roman" w:hAnsi="Times New Roman" w:cs="Times New Roman"/>
          <w:color w:val="auto"/>
        </w:rPr>
        <w:t>生活废水。项目废水经厂内污水处理设施处理达标后通过一个总排口排入市政污水管网，进入楚雄市富民工业园区污水处理厂进行处理。由于</w:t>
      </w:r>
      <w:r>
        <w:rPr>
          <w:rFonts w:hint="default" w:ascii="Times New Roman" w:hAnsi="Times New Roman" w:cs="Times New Roman"/>
          <w:bCs/>
          <w:color w:val="auto"/>
        </w:rPr>
        <w:t>项目废水经处理达标后排入市政污水管网，最终进入</w:t>
      </w:r>
      <w:r>
        <w:rPr>
          <w:rFonts w:hint="default" w:ascii="Times New Roman" w:hAnsi="Times New Roman" w:cs="Times New Roman"/>
          <w:color w:val="auto"/>
        </w:rPr>
        <w:t>楚雄市富民工业园区污水处理厂</w:t>
      </w:r>
      <w:r>
        <w:rPr>
          <w:rFonts w:hint="default" w:ascii="Times New Roman" w:hAnsi="Times New Roman" w:cs="Times New Roman"/>
          <w:bCs/>
          <w:color w:val="auto"/>
        </w:rPr>
        <w:t>，其总量纳入污水处理厂总量考核，不单独设置废水总量控制指标。</w:t>
      </w:r>
    </w:p>
    <w:bookmarkEnd w:id="1059"/>
    <w:bookmarkEnd w:id="1060"/>
    <w:p>
      <w:pPr>
        <w:pStyle w:val="4"/>
        <w:spacing w:before="0" w:after="0" w:line="360" w:lineRule="auto"/>
        <w:rPr>
          <w:rFonts w:hint="default" w:ascii="Times New Roman" w:hAnsi="Times New Roman" w:eastAsia="宋体" w:cs="Times New Roman"/>
          <w:color w:val="auto"/>
          <w:sz w:val="28"/>
          <w:szCs w:val="28"/>
        </w:rPr>
      </w:pPr>
      <w:bookmarkStart w:id="1092" w:name="_Toc69115068"/>
      <w:bookmarkStart w:id="1093" w:name="_Toc10892"/>
      <w:r>
        <w:rPr>
          <w:rFonts w:hint="default" w:ascii="Times New Roman" w:hAnsi="Times New Roman" w:eastAsia="宋体" w:cs="Times New Roman"/>
          <w:color w:val="auto"/>
          <w:sz w:val="28"/>
          <w:szCs w:val="28"/>
          <w:lang w:val="en-US" w:eastAsia="zh-CN"/>
        </w:rPr>
        <w:t>9</w:t>
      </w:r>
      <w:r>
        <w:rPr>
          <w:rFonts w:hint="default" w:ascii="Times New Roman" w:hAnsi="Times New Roman" w:eastAsia="宋体" w:cs="Times New Roman"/>
          <w:color w:val="auto"/>
          <w:sz w:val="28"/>
          <w:szCs w:val="28"/>
        </w:rPr>
        <w:t>.9排污口规范化管理</w:t>
      </w:r>
      <w:bookmarkEnd w:id="1092"/>
      <w:bookmarkEnd w:id="1093"/>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排污口规范化管理体制是实施污染物排放总量控制的基础性工作之一，也是总量控制不可缺少的一部分内容。此项工作可强化污染源的现场监督检查，促进排污单位加强管理和污染源治理，实现主要污染物排放的科学化、定量化管理。同时进行排污口规范化管理。具体要求如下。</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1、排污口规范化范围与时间</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规范化工作应与污染治理同步实施，即污染治理设施完工时，规范化工作必须同时完成，并列入污染治理设施的竣工验收内容。</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排污口规范化的内容：</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①废气排放口</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各排气筒应设置永久采样孔，并安装采样监测平台，废气采样口设置必须符合《污染源监测技术规范》规定的高度和要求，便于采样、监测的要求，并得到授权的环境监察支队和环境监测中心站共同确认。如在线监控数据出现异常，应及时采取相应污染防治以及事故应急措施。</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②固定噪声排放源</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按规定对固定噪声进行治理，并在边界噪声敏感点、且对外界影响最大处设置标志牌。</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③固体废物贮存处置</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对各种固体废物应分类收集，设置暂存点应有防扬尘、防流失、防渗漏等措施，暂存场应设置规范化标志牌。</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2、排污口的管理</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项目应按照《关于开展排放口规范化整治工作的通知》（环发〔1999〕24 号）和《排污口规范化整治技术要求（试行）》（环监〔1996〕470号）等文件要求，进行排污口规范化设置工作。</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①根据《环境保护图形标志》实施细则，在各排污口标志牌上应注明主要排放污染物的名称，标志牌设置位置应距污染物排放口及固体废物堆放场或采样点较近且醒目处，设置高度一般为标志牌上缘距离地面约2m。标志牌必须保持清晰、完整，发现形象损坏、颜色污染或有变化、退色等不符合图形标志标准的情况，应及时修复或更换，检查时间至少每年一次。</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②如实填写《中华人民共和国规范化排污口标志登记证》的有关内容，由环保主管部门签发登记证。</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③将有关排污口的情况如：排污口的性质、编号、排污口的位置；主要排放的污染物种类、数量、浓度、排放规律、排放去向；污染治理设施的运行情况等进行建档管理，并报送环保主管部门备案。</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④排放口规范化整治要遵循便于采集样品、便于监测计量、便于日常监督管理的原则，严格按排放口规范化整治技术要求进行。</w:t>
      </w:r>
    </w:p>
    <w:p>
      <w:pPr>
        <w:pStyle w:val="178"/>
        <w:spacing w:beforeLines="0" w:afterLines="0" w:line="360" w:lineRule="auto"/>
        <w:outlineLvl w:val="9"/>
        <w:rPr>
          <w:rFonts w:hint="default" w:ascii="Times New Roman" w:hAnsi="Times New Roman" w:cs="Times New Roman"/>
          <w:color w:val="auto"/>
        </w:rPr>
      </w:pPr>
      <w:r>
        <w:rPr>
          <w:rFonts w:hint="default" w:ascii="Times New Roman" w:hAnsi="Times New Roman" w:cs="Times New Roman"/>
          <w:color w:val="auto"/>
        </w:rPr>
        <w:t>表</w:t>
      </w:r>
      <w:r>
        <w:rPr>
          <w:rFonts w:hint="default" w:ascii="Times New Roman" w:hAnsi="Times New Roman" w:cs="Times New Roman"/>
          <w:color w:val="auto"/>
          <w:lang w:val="en-US" w:eastAsia="zh-CN"/>
        </w:rPr>
        <w:t>9</w:t>
      </w:r>
      <w:r>
        <w:rPr>
          <w:rFonts w:hint="default" w:ascii="Times New Roman" w:hAnsi="Times New Roman" w:cs="Times New Roman"/>
          <w:color w:val="auto"/>
        </w:rPr>
        <w:t>-</w:t>
      </w:r>
      <w:r>
        <w:rPr>
          <w:rFonts w:hint="default" w:ascii="Times New Roman" w:hAnsi="Times New Roman" w:cs="Times New Roman"/>
          <w:color w:val="auto"/>
          <w:lang w:val="en-US" w:eastAsia="zh-CN"/>
        </w:rPr>
        <w:t>7</w:t>
      </w:r>
      <w:r>
        <w:rPr>
          <w:rFonts w:hint="default" w:ascii="Times New Roman" w:hAnsi="Times New Roman" w:cs="Times New Roman"/>
          <w:color w:val="auto"/>
        </w:rPr>
        <w:t>排污口提示图形符号</w:t>
      </w:r>
    </w:p>
    <w:tbl>
      <w:tblPr>
        <w:tblStyle w:val="44"/>
        <w:tblW w:w="5000" w:type="pct"/>
        <w:tblInd w:w="0" w:type="dxa"/>
        <w:tblLayout w:type="autofit"/>
        <w:tblCellMar>
          <w:top w:w="0" w:type="dxa"/>
          <w:left w:w="0" w:type="dxa"/>
          <w:bottom w:w="0" w:type="dxa"/>
          <w:right w:w="0" w:type="dxa"/>
        </w:tblCellMar>
      </w:tblPr>
      <w:tblGrid>
        <w:gridCol w:w="1580"/>
        <w:gridCol w:w="1686"/>
        <w:gridCol w:w="1684"/>
        <w:gridCol w:w="1686"/>
        <w:gridCol w:w="1686"/>
      </w:tblGrid>
      <w:tr>
        <w:tblPrEx>
          <w:tblCellMar>
            <w:top w:w="0" w:type="dxa"/>
            <w:left w:w="0" w:type="dxa"/>
            <w:bottom w:w="0" w:type="dxa"/>
            <w:right w:w="0" w:type="dxa"/>
          </w:tblCellMar>
        </w:tblPrEx>
        <w:trPr>
          <w:trHeight w:val="340" w:hRule="atLeast"/>
        </w:trPr>
        <w:tc>
          <w:tcPr>
            <w:tcW w:w="949" w:type="pct"/>
            <w:tcBorders>
              <w:top w:val="single" w:color="000000" w:sz="4" w:space="0"/>
              <w:left w:val="single" w:color="000000" w:sz="4" w:space="0"/>
              <w:bottom w:val="single" w:color="000000" w:sz="4" w:space="0"/>
              <w:right w:val="single" w:color="000000" w:sz="4" w:space="0"/>
            </w:tcBorders>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排放口</w:t>
            </w:r>
          </w:p>
        </w:tc>
        <w:tc>
          <w:tcPr>
            <w:tcW w:w="1013" w:type="pct"/>
            <w:tcBorders>
              <w:top w:val="single" w:color="000000" w:sz="4" w:space="0"/>
              <w:left w:val="single" w:color="000000" w:sz="4" w:space="0"/>
              <w:bottom w:val="single" w:color="000000" w:sz="4" w:space="0"/>
              <w:right w:val="single" w:color="000000" w:sz="4" w:space="0"/>
            </w:tcBorders>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废水排放口</w:t>
            </w:r>
          </w:p>
        </w:tc>
        <w:tc>
          <w:tcPr>
            <w:tcW w:w="1012" w:type="pct"/>
            <w:tcBorders>
              <w:top w:val="single" w:color="000000" w:sz="4" w:space="0"/>
              <w:left w:val="single" w:color="000000" w:sz="4" w:space="0"/>
              <w:bottom w:val="single" w:color="000000" w:sz="4" w:space="0"/>
              <w:right w:val="single" w:color="000000" w:sz="4" w:space="0"/>
            </w:tcBorders>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废气排放口</w:t>
            </w:r>
          </w:p>
        </w:tc>
        <w:tc>
          <w:tcPr>
            <w:tcW w:w="1013" w:type="pct"/>
            <w:tcBorders>
              <w:top w:val="single" w:color="000000" w:sz="4" w:space="0"/>
              <w:left w:val="single" w:color="000000" w:sz="4" w:space="0"/>
              <w:bottom w:val="single" w:color="000000" w:sz="4" w:space="0"/>
              <w:right w:val="single" w:color="000000" w:sz="4" w:space="0"/>
            </w:tcBorders>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噪声排放源</w:t>
            </w:r>
          </w:p>
        </w:tc>
        <w:tc>
          <w:tcPr>
            <w:tcW w:w="1013" w:type="pct"/>
            <w:tcBorders>
              <w:top w:val="single" w:color="000000" w:sz="4" w:space="0"/>
              <w:left w:val="single" w:color="000000" w:sz="4" w:space="0"/>
              <w:bottom w:val="single" w:color="000000" w:sz="4" w:space="0"/>
              <w:right w:val="single" w:color="000000" w:sz="4" w:space="0"/>
            </w:tcBorders>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固体废物提示</w:t>
            </w:r>
          </w:p>
        </w:tc>
      </w:tr>
      <w:tr>
        <w:tblPrEx>
          <w:tblCellMar>
            <w:top w:w="0" w:type="dxa"/>
            <w:left w:w="0" w:type="dxa"/>
            <w:bottom w:w="0" w:type="dxa"/>
            <w:right w:w="0" w:type="dxa"/>
          </w:tblCellMar>
        </w:tblPrEx>
        <w:trPr>
          <w:trHeight w:val="340" w:hRule="atLeast"/>
        </w:trPr>
        <w:tc>
          <w:tcPr>
            <w:tcW w:w="949" w:type="pct"/>
            <w:tcBorders>
              <w:top w:val="single" w:color="000000" w:sz="4" w:space="0"/>
              <w:left w:val="single" w:color="000000" w:sz="4" w:space="0"/>
              <w:bottom w:val="single" w:color="000000" w:sz="4" w:space="0"/>
              <w:right w:val="single" w:color="000000" w:sz="4" w:space="0"/>
            </w:tcBorders>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图形符号</w:t>
            </w:r>
          </w:p>
        </w:tc>
        <w:tc>
          <w:tcPr>
            <w:tcW w:w="1013" w:type="pct"/>
            <w:tcBorders>
              <w:top w:val="single" w:color="000000" w:sz="4" w:space="0"/>
              <w:left w:val="single" w:color="000000" w:sz="4" w:space="0"/>
              <w:bottom w:val="single" w:color="000000" w:sz="4" w:space="0"/>
              <w:right w:val="single" w:color="000000" w:sz="4" w:space="0"/>
            </w:tcBorders>
            <w:vAlign w:val="center"/>
          </w:tcPr>
          <w:p>
            <w:pPr>
              <w:pStyle w:val="167"/>
              <w:rPr>
                <w:rFonts w:hint="default" w:ascii="Times New Roman" w:hAnsi="Times New Roman" w:cs="Times New Roman"/>
                <w:color w:val="auto"/>
              </w:rPr>
            </w:pPr>
            <w:r>
              <w:rPr>
                <w:rFonts w:hint="default" w:ascii="Times New Roman" w:hAnsi="Times New Roman" w:cs="Times New Roman"/>
                <w:color w:val="auto"/>
              </w:rPr>
              <w:drawing>
                <wp:inline distT="0" distB="0" distL="0" distR="0">
                  <wp:extent cx="946150" cy="946150"/>
                  <wp:effectExtent l="19050" t="0" r="6350" b="0"/>
                  <wp:docPr id="45" name="图片 120" descr="说明: 说明: 点击看大图及详细资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20" descr="说明: 说明: 点击看大图及详细资料"/>
                          <pic:cNvPicPr>
                            <a:picLocks noChangeAspect="1" noChangeArrowheads="1"/>
                          </pic:cNvPicPr>
                        </pic:nvPicPr>
                        <pic:blipFill>
                          <a:blip r:embed="rId48" cstate="print"/>
                          <a:srcRect/>
                          <a:stretch>
                            <a:fillRect/>
                          </a:stretch>
                        </pic:blipFill>
                        <pic:spPr>
                          <a:xfrm>
                            <a:off x="0" y="0"/>
                            <a:ext cx="946150" cy="946150"/>
                          </a:xfrm>
                          <a:prstGeom prst="rect">
                            <a:avLst/>
                          </a:prstGeom>
                          <a:noFill/>
                          <a:ln w="9525">
                            <a:noFill/>
                            <a:miter lim="800000"/>
                            <a:headEnd/>
                            <a:tailEnd/>
                          </a:ln>
                        </pic:spPr>
                      </pic:pic>
                    </a:graphicData>
                  </a:graphic>
                </wp:inline>
              </w:drawing>
            </w:r>
          </w:p>
        </w:tc>
        <w:tc>
          <w:tcPr>
            <w:tcW w:w="1012" w:type="pct"/>
            <w:tcBorders>
              <w:top w:val="single" w:color="000000" w:sz="4" w:space="0"/>
              <w:left w:val="single" w:color="000000" w:sz="4" w:space="0"/>
              <w:bottom w:val="single" w:color="000000" w:sz="4" w:space="0"/>
              <w:right w:val="single" w:color="000000" w:sz="4" w:space="0"/>
            </w:tcBorders>
            <w:vAlign w:val="center"/>
          </w:tcPr>
          <w:p>
            <w:pPr>
              <w:pStyle w:val="167"/>
              <w:rPr>
                <w:rFonts w:hint="default" w:ascii="Times New Roman" w:hAnsi="Times New Roman" w:cs="Times New Roman"/>
                <w:color w:val="auto"/>
              </w:rPr>
            </w:pPr>
            <w:r>
              <w:rPr>
                <w:rFonts w:hint="default" w:ascii="Times New Roman" w:hAnsi="Times New Roman" w:cs="Times New Roman"/>
                <w:color w:val="auto"/>
              </w:rPr>
              <w:drawing>
                <wp:inline distT="0" distB="0" distL="0" distR="0">
                  <wp:extent cx="946150" cy="946150"/>
                  <wp:effectExtent l="19050" t="0" r="6350" b="0"/>
                  <wp:docPr id="46" name="图片 121" descr="说明: 说明: 点击看大图及详细资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21" descr="说明: 说明: 点击看大图及详细资料"/>
                          <pic:cNvPicPr>
                            <a:picLocks noChangeAspect="1" noChangeArrowheads="1"/>
                          </pic:cNvPicPr>
                        </pic:nvPicPr>
                        <pic:blipFill>
                          <a:blip r:embed="rId49" cstate="print"/>
                          <a:srcRect/>
                          <a:stretch>
                            <a:fillRect/>
                          </a:stretch>
                        </pic:blipFill>
                        <pic:spPr>
                          <a:xfrm>
                            <a:off x="0" y="0"/>
                            <a:ext cx="946150" cy="946150"/>
                          </a:xfrm>
                          <a:prstGeom prst="rect">
                            <a:avLst/>
                          </a:prstGeom>
                          <a:noFill/>
                          <a:ln w="9525">
                            <a:noFill/>
                            <a:miter lim="800000"/>
                            <a:headEnd/>
                            <a:tailEnd/>
                          </a:ln>
                        </pic:spPr>
                      </pic:pic>
                    </a:graphicData>
                  </a:graphic>
                </wp:inline>
              </w:drawing>
            </w:r>
          </w:p>
        </w:tc>
        <w:tc>
          <w:tcPr>
            <w:tcW w:w="1013" w:type="pct"/>
            <w:tcBorders>
              <w:top w:val="single" w:color="000000" w:sz="4" w:space="0"/>
              <w:left w:val="single" w:color="000000" w:sz="4" w:space="0"/>
              <w:bottom w:val="single" w:color="000000" w:sz="4" w:space="0"/>
              <w:right w:val="single" w:color="000000" w:sz="4" w:space="0"/>
            </w:tcBorders>
            <w:vAlign w:val="center"/>
          </w:tcPr>
          <w:p>
            <w:pPr>
              <w:pStyle w:val="167"/>
              <w:rPr>
                <w:rFonts w:hint="default" w:ascii="Times New Roman" w:hAnsi="Times New Roman" w:cs="Times New Roman"/>
                <w:color w:val="auto"/>
              </w:rPr>
            </w:pPr>
            <w:r>
              <w:rPr>
                <w:rFonts w:hint="default" w:ascii="Times New Roman" w:hAnsi="Times New Roman" w:cs="Times New Roman"/>
                <w:color w:val="auto"/>
              </w:rPr>
              <w:drawing>
                <wp:inline distT="0" distB="0" distL="0" distR="0">
                  <wp:extent cx="946150" cy="946150"/>
                  <wp:effectExtent l="19050" t="0" r="6350" b="0"/>
                  <wp:docPr id="47" name="图片 122" descr="说明: 说明: 点击看大图及详细资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22" descr="说明: 说明: 点击看大图及详细资料"/>
                          <pic:cNvPicPr>
                            <a:picLocks noChangeAspect="1" noChangeArrowheads="1"/>
                          </pic:cNvPicPr>
                        </pic:nvPicPr>
                        <pic:blipFill>
                          <a:blip r:embed="rId50" cstate="print"/>
                          <a:srcRect/>
                          <a:stretch>
                            <a:fillRect/>
                          </a:stretch>
                        </pic:blipFill>
                        <pic:spPr>
                          <a:xfrm>
                            <a:off x="0" y="0"/>
                            <a:ext cx="946150" cy="946150"/>
                          </a:xfrm>
                          <a:prstGeom prst="rect">
                            <a:avLst/>
                          </a:prstGeom>
                          <a:noFill/>
                          <a:ln w="9525">
                            <a:noFill/>
                            <a:miter lim="800000"/>
                            <a:headEnd/>
                            <a:tailEnd/>
                          </a:ln>
                        </pic:spPr>
                      </pic:pic>
                    </a:graphicData>
                  </a:graphic>
                </wp:inline>
              </w:drawing>
            </w:r>
          </w:p>
        </w:tc>
        <w:tc>
          <w:tcPr>
            <w:tcW w:w="1013" w:type="pct"/>
            <w:tcBorders>
              <w:top w:val="single" w:color="000000" w:sz="4" w:space="0"/>
              <w:left w:val="single" w:color="000000" w:sz="4" w:space="0"/>
              <w:bottom w:val="single" w:color="000000" w:sz="4" w:space="0"/>
              <w:right w:val="single" w:color="000000" w:sz="4" w:space="0"/>
            </w:tcBorders>
            <w:vAlign w:val="center"/>
          </w:tcPr>
          <w:p>
            <w:pPr>
              <w:pStyle w:val="167"/>
              <w:rPr>
                <w:rFonts w:hint="default" w:ascii="Times New Roman" w:hAnsi="Times New Roman" w:cs="Times New Roman"/>
                <w:color w:val="auto"/>
              </w:rPr>
            </w:pPr>
            <w:r>
              <w:rPr>
                <w:rFonts w:hint="default" w:ascii="Times New Roman" w:hAnsi="Times New Roman" w:cs="Times New Roman"/>
                <w:color w:val="auto"/>
              </w:rPr>
              <w:drawing>
                <wp:inline distT="0" distB="0" distL="0" distR="0">
                  <wp:extent cx="946150" cy="935355"/>
                  <wp:effectExtent l="19050" t="0" r="6350" b="0"/>
                  <wp:docPr id="48" name="图片 123" descr="说明: 说明: 点击看大图及详细资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23" descr="说明: 说明: 点击看大图及详细资料"/>
                          <pic:cNvPicPr>
                            <a:picLocks noChangeAspect="1" noChangeArrowheads="1"/>
                          </pic:cNvPicPr>
                        </pic:nvPicPr>
                        <pic:blipFill>
                          <a:blip r:embed="rId51" cstate="print"/>
                          <a:srcRect/>
                          <a:stretch>
                            <a:fillRect/>
                          </a:stretch>
                        </pic:blipFill>
                        <pic:spPr>
                          <a:xfrm>
                            <a:off x="0" y="0"/>
                            <a:ext cx="946150" cy="935355"/>
                          </a:xfrm>
                          <a:prstGeom prst="rect">
                            <a:avLst/>
                          </a:prstGeom>
                          <a:noFill/>
                          <a:ln w="9525">
                            <a:noFill/>
                            <a:miter lim="800000"/>
                            <a:headEnd/>
                            <a:tailEnd/>
                          </a:ln>
                        </pic:spPr>
                      </pic:pic>
                    </a:graphicData>
                  </a:graphic>
                </wp:inline>
              </w:drawing>
            </w:r>
          </w:p>
        </w:tc>
      </w:tr>
      <w:tr>
        <w:tblPrEx>
          <w:tblCellMar>
            <w:top w:w="0" w:type="dxa"/>
            <w:left w:w="0" w:type="dxa"/>
            <w:bottom w:w="0" w:type="dxa"/>
            <w:right w:w="0" w:type="dxa"/>
          </w:tblCellMar>
        </w:tblPrEx>
        <w:trPr>
          <w:trHeight w:val="340" w:hRule="atLeast"/>
        </w:trPr>
        <w:tc>
          <w:tcPr>
            <w:tcW w:w="949" w:type="pct"/>
            <w:tcBorders>
              <w:top w:val="single" w:color="000000" w:sz="4" w:space="0"/>
              <w:left w:val="single" w:color="000000" w:sz="4" w:space="0"/>
              <w:bottom w:val="single" w:color="000000" w:sz="4" w:space="0"/>
              <w:right w:val="single" w:color="000000" w:sz="4" w:space="0"/>
            </w:tcBorders>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背景颜色</w:t>
            </w:r>
          </w:p>
        </w:tc>
        <w:tc>
          <w:tcPr>
            <w:tcW w:w="4051" w:type="pct"/>
            <w:gridSpan w:val="4"/>
            <w:tcBorders>
              <w:top w:val="single" w:color="000000" w:sz="4" w:space="0"/>
              <w:left w:val="single" w:color="000000" w:sz="4" w:space="0"/>
              <w:bottom w:val="single" w:color="000000" w:sz="4" w:space="0"/>
              <w:right w:val="single" w:color="000000" w:sz="4" w:space="0"/>
            </w:tcBorders>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绿色</w:t>
            </w:r>
          </w:p>
        </w:tc>
      </w:tr>
      <w:tr>
        <w:tblPrEx>
          <w:tblCellMar>
            <w:top w:w="0" w:type="dxa"/>
            <w:left w:w="0" w:type="dxa"/>
            <w:bottom w:w="0" w:type="dxa"/>
            <w:right w:w="0" w:type="dxa"/>
          </w:tblCellMar>
        </w:tblPrEx>
        <w:trPr>
          <w:trHeight w:val="340" w:hRule="atLeast"/>
        </w:trPr>
        <w:tc>
          <w:tcPr>
            <w:tcW w:w="949" w:type="pct"/>
            <w:tcBorders>
              <w:top w:val="single" w:color="000000" w:sz="4" w:space="0"/>
              <w:left w:val="single" w:color="000000" w:sz="4" w:space="0"/>
              <w:bottom w:val="single" w:color="000000" w:sz="4" w:space="0"/>
              <w:right w:val="single" w:color="000000" w:sz="4" w:space="0"/>
            </w:tcBorders>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图形颜色</w:t>
            </w:r>
          </w:p>
        </w:tc>
        <w:tc>
          <w:tcPr>
            <w:tcW w:w="4051" w:type="pct"/>
            <w:gridSpan w:val="4"/>
            <w:tcBorders>
              <w:top w:val="single" w:color="000000" w:sz="4" w:space="0"/>
              <w:left w:val="single" w:color="000000" w:sz="4" w:space="0"/>
              <w:bottom w:val="single" w:color="000000" w:sz="4" w:space="0"/>
              <w:right w:val="single" w:color="000000" w:sz="4" w:space="0"/>
            </w:tcBorders>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白色</w:t>
            </w:r>
          </w:p>
        </w:tc>
      </w:tr>
    </w:tbl>
    <w:p>
      <w:pPr>
        <w:pStyle w:val="178"/>
        <w:spacing w:beforeLines="50" w:afterLines="0" w:line="360" w:lineRule="auto"/>
        <w:outlineLvl w:val="9"/>
        <w:rPr>
          <w:rFonts w:hint="default" w:ascii="Times New Roman" w:hAnsi="Times New Roman" w:cs="Times New Roman"/>
          <w:color w:val="auto"/>
        </w:rPr>
      </w:pPr>
      <w:r>
        <w:rPr>
          <w:rFonts w:hint="default" w:ascii="Times New Roman" w:hAnsi="Times New Roman" w:cs="Times New Roman"/>
          <w:color w:val="auto"/>
        </w:rPr>
        <w:t>表</w:t>
      </w:r>
      <w:r>
        <w:rPr>
          <w:rFonts w:hint="default" w:ascii="Times New Roman" w:hAnsi="Times New Roman" w:cs="Times New Roman"/>
          <w:color w:val="auto"/>
          <w:lang w:val="en-US" w:eastAsia="zh-CN"/>
        </w:rPr>
        <w:t>9-8</w:t>
      </w:r>
      <w:r>
        <w:rPr>
          <w:rFonts w:hint="default" w:ascii="Times New Roman" w:hAnsi="Times New Roman" w:cs="Times New Roman"/>
          <w:color w:val="auto"/>
        </w:rPr>
        <w:t>排污口警告图形符号</w:t>
      </w:r>
    </w:p>
    <w:tbl>
      <w:tblPr>
        <w:tblStyle w:val="44"/>
        <w:tblW w:w="5000" w:type="pct"/>
        <w:tblInd w:w="0" w:type="dxa"/>
        <w:tblLayout w:type="autofit"/>
        <w:tblCellMar>
          <w:top w:w="0" w:type="dxa"/>
          <w:left w:w="0" w:type="dxa"/>
          <w:bottom w:w="0" w:type="dxa"/>
          <w:right w:w="0" w:type="dxa"/>
        </w:tblCellMar>
      </w:tblPr>
      <w:tblGrid>
        <w:gridCol w:w="1315"/>
        <w:gridCol w:w="1403"/>
        <w:gridCol w:w="1403"/>
        <w:gridCol w:w="1403"/>
        <w:gridCol w:w="1403"/>
        <w:gridCol w:w="1395"/>
      </w:tblGrid>
      <w:tr>
        <w:tblPrEx>
          <w:tblCellMar>
            <w:top w:w="0" w:type="dxa"/>
            <w:left w:w="0" w:type="dxa"/>
            <w:bottom w:w="0" w:type="dxa"/>
            <w:right w:w="0" w:type="dxa"/>
          </w:tblCellMar>
        </w:tblPrEx>
        <w:trPr>
          <w:trHeight w:val="340" w:hRule="atLeast"/>
        </w:trPr>
        <w:tc>
          <w:tcPr>
            <w:tcW w:w="790" w:type="pct"/>
            <w:tcBorders>
              <w:top w:val="single" w:color="000000" w:sz="4" w:space="0"/>
              <w:left w:val="single" w:color="000000" w:sz="4" w:space="0"/>
              <w:bottom w:val="single" w:color="000000" w:sz="4" w:space="0"/>
              <w:right w:val="single" w:color="000000" w:sz="4" w:space="0"/>
            </w:tcBorders>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排放口</w:t>
            </w:r>
          </w:p>
        </w:tc>
        <w:tc>
          <w:tcPr>
            <w:tcW w:w="843" w:type="pct"/>
            <w:tcBorders>
              <w:top w:val="single" w:color="000000" w:sz="4" w:space="0"/>
              <w:left w:val="single" w:color="000000" w:sz="4" w:space="0"/>
              <w:bottom w:val="single" w:color="000000" w:sz="4" w:space="0"/>
              <w:right w:val="single" w:color="000000" w:sz="4" w:space="0"/>
            </w:tcBorders>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废水排放口</w:t>
            </w:r>
          </w:p>
        </w:tc>
        <w:tc>
          <w:tcPr>
            <w:tcW w:w="843" w:type="pct"/>
            <w:tcBorders>
              <w:top w:val="single" w:color="000000" w:sz="4" w:space="0"/>
              <w:left w:val="single" w:color="000000" w:sz="4" w:space="0"/>
              <w:bottom w:val="single" w:color="000000" w:sz="4" w:space="0"/>
              <w:right w:val="single" w:color="000000" w:sz="4" w:space="0"/>
            </w:tcBorders>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废气排放口</w:t>
            </w:r>
          </w:p>
        </w:tc>
        <w:tc>
          <w:tcPr>
            <w:tcW w:w="843" w:type="pct"/>
            <w:tcBorders>
              <w:top w:val="single" w:color="000000" w:sz="4" w:space="0"/>
              <w:left w:val="single" w:color="000000" w:sz="4" w:space="0"/>
              <w:bottom w:val="single" w:color="000000" w:sz="4" w:space="0"/>
              <w:right w:val="single" w:color="000000" w:sz="4" w:space="0"/>
            </w:tcBorders>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噪声排放源</w:t>
            </w:r>
          </w:p>
        </w:tc>
        <w:tc>
          <w:tcPr>
            <w:tcW w:w="843" w:type="pct"/>
            <w:tcBorders>
              <w:top w:val="single" w:color="000000" w:sz="4" w:space="0"/>
              <w:left w:val="single" w:color="000000" w:sz="4" w:space="0"/>
              <w:bottom w:val="single" w:color="000000" w:sz="4" w:space="0"/>
              <w:right w:val="single" w:color="000000" w:sz="4" w:space="0"/>
            </w:tcBorders>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固体废物提示</w:t>
            </w:r>
          </w:p>
        </w:tc>
        <w:tc>
          <w:tcPr>
            <w:tcW w:w="838" w:type="pct"/>
            <w:tcBorders>
              <w:top w:val="single" w:color="000000" w:sz="4" w:space="0"/>
              <w:left w:val="single" w:color="000000" w:sz="4" w:space="0"/>
              <w:bottom w:val="single" w:color="000000" w:sz="4" w:space="0"/>
              <w:right w:val="single" w:color="000000" w:sz="4" w:space="0"/>
            </w:tcBorders>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危险废物贮存、处置场</w:t>
            </w:r>
          </w:p>
        </w:tc>
      </w:tr>
      <w:tr>
        <w:tblPrEx>
          <w:tblCellMar>
            <w:top w:w="0" w:type="dxa"/>
            <w:left w:w="0" w:type="dxa"/>
            <w:bottom w:w="0" w:type="dxa"/>
            <w:right w:w="0" w:type="dxa"/>
          </w:tblCellMar>
        </w:tblPrEx>
        <w:trPr>
          <w:trHeight w:val="340" w:hRule="atLeast"/>
        </w:trPr>
        <w:tc>
          <w:tcPr>
            <w:tcW w:w="790" w:type="pct"/>
            <w:tcBorders>
              <w:top w:val="single" w:color="000000" w:sz="4" w:space="0"/>
              <w:left w:val="single" w:color="000000" w:sz="4" w:space="0"/>
              <w:bottom w:val="single" w:color="000000" w:sz="4" w:space="0"/>
              <w:right w:val="single" w:color="000000" w:sz="4" w:space="0"/>
            </w:tcBorders>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图形符号</w:t>
            </w:r>
          </w:p>
        </w:tc>
        <w:tc>
          <w:tcPr>
            <w:tcW w:w="843" w:type="pct"/>
            <w:tcBorders>
              <w:top w:val="single" w:color="000000" w:sz="4" w:space="0"/>
              <w:left w:val="single" w:color="000000" w:sz="4" w:space="0"/>
              <w:bottom w:val="single" w:color="000000" w:sz="4" w:space="0"/>
              <w:right w:val="single" w:color="000000" w:sz="4" w:space="0"/>
            </w:tcBorders>
            <w:vAlign w:val="center"/>
          </w:tcPr>
          <w:p>
            <w:pPr>
              <w:pStyle w:val="167"/>
              <w:rPr>
                <w:rFonts w:hint="default" w:ascii="Times New Roman" w:hAnsi="Times New Roman" w:cs="Times New Roman"/>
                <w:color w:val="auto"/>
              </w:rPr>
            </w:pPr>
            <w:r>
              <w:rPr>
                <w:rFonts w:hint="default" w:ascii="Times New Roman" w:hAnsi="Times New Roman" w:cs="Times New Roman"/>
                <w:color w:val="auto"/>
              </w:rPr>
              <w:drawing>
                <wp:inline distT="0" distB="0" distL="0" distR="0">
                  <wp:extent cx="786765" cy="701675"/>
                  <wp:effectExtent l="19050" t="0" r="0" b="0"/>
                  <wp:docPr id="49" name="图片 124" descr="说明: 说明: 点击看大图及详细资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24" descr="说明: 说明: 点击看大图及详细资料"/>
                          <pic:cNvPicPr>
                            <a:picLocks noChangeAspect="1" noChangeArrowheads="1"/>
                          </pic:cNvPicPr>
                        </pic:nvPicPr>
                        <pic:blipFill>
                          <a:blip r:embed="rId52" cstate="print"/>
                          <a:srcRect/>
                          <a:stretch>
                            <a:fillRect/>
                          </a:stretch>
                        </pic:blipFill>
                        <pic:spPr>
                          <a:xfrm>
                            <a:off x="0" y="0"/>
                            <a:ext cx="786765" cy="701675"/>
                          </a:xfrm>
                          <a:prstGeom prst="rect">
                            <a:avLst/>
                          </a:prstGeom>
                          <a:noFill/>
                          <a:ln w="9525">
                            <a:noFill/>
                            <a:miter lim="800000"/>
                            <a:headEnd/>
                            <a:tailEnd/>
                          </a:ln>
                        </pic:spPr>
                      </pic:pic>
                    </a:graphicData>
                  </a:graphic>
                </wp:inline>
              </w:drawing>
            </w:r>
          </w:p>
        </w:tc>
        <w:tc>
          <w:tcPr>
            <w:tcW w:w="843" w:type="pct"/>
            <w:tcBorders>
              <w:top w:val="single" w:color="000000" w:sz="4" w:space="0"/>
              <w:left w:val="single" w:color="000000" w:sz="4" w:space="0"/>
              <w:bottom w:val="single" w:color="000000" w:sz="4" w:space="0"/>
              <w:right w:val="single" w:color="000000" w:sz="4" w:space="0"/>
            </w:tcBorders>
            <w:vAlign w:val="center"/>
          </w:tcPr>
          <w:p>
            <w:pPr>
              <w:pStyle w:val="167"/>
              <w:rPr>
                <w:rFonts w:hint="default" w:ascii="Times New Roman" w:hAnsi="Times New Roman" w:cs="Times New Roman"/>
                <w:color w:val="auto"/>
              </w:rPr>
            </w:pPr>
            <w:r>
              <w:rPr>
                <w:rFonts w:hint="default" w:ascii="Times New Roman" w:hAnsi="Times New Roman" w:cs="Times New Roman"/>
                <w:color w:val="auto"/>
              </w:rPr>
              <w:drawing>
                <wp:inline distT="0" distB="0" distL="0" distR="0">
                  <wp:extent cx="786765" cy="701675"/>
                  <wp:effectExtent l="19050" t="0" r="0" b="0"/>
                  <wp:docPr id="50" name="图片 125" descr="说明: 说明: 点击看大图及详细资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25" descr="说明: 说明: 点击看大图及详细资料"/>
                          <pic:cNvPicPr>
                            <a:picLocks noChangeAspect="1" noChangeArrowheads="1"/>
                          </pic:cNvPicPr>
                        </pic:nvPicPr>
                        <pic:blipFill>
                          <a:blip r:embed="rId53" cstate="print"/>
                          <a:srcRect/>
                          <a:stretch>
                            <a:fillRect/>
                          </a:stretch>
                        </pic:blipFill>
                        <pic:spPr>
                          <a:xfrm>
                            <a:off x="0" y="0"/>
                            <a:ext cx="786765" cy="701675"/>
                          </a:xfrm>
                          <a:prstGeom prst="rect">
                            <a:avLst/>
                          </a:prstGeom>
                          <a:noFill/>
                          <a:ln w="9525">
                            <a:noFill/>
                            <a:miter lim="800000"/>
                            <a:headEnd/>
                            <a:tailEnd/>
                          </a:ln>
                        </pic:spPr>
                      </pic:pic>
                    </a:graphicData>
                  </a:graphic>
                </wp:inline>
              </w:drawing>
            </w:r>
          </w:p>
        </w:tc>
        <w:tc>
          <w:tcPr>
            <w:tcW w:w="843" w:type="pct"/>
            <w:tcBorders>
              <w:top w:val="single" w:color="000000" w:sz="4" w:space="0"/>
              <w:left w:val="single" w:color="000000" w:sz="4" w:space="0"/>
              <w:bottom w:val="single" w:color="000000" w:sz="4" w:space="0"/>
              <w:right w:val="single" w:color="000000" w:sz="4" w:space="0"/>
            </w:tcBorders>
            <w:vAlign w:val="center"/>
          </w:tcPr>
          <w:p>
            <w:pPr>
              <w:pStyle w:val="167"/>
              <w:rPr>
                <w:rFonts w:hint="default" w:ascii="Times New Roman" w:hAnsi="Times New Roman" w:cs="Times New Roman"/>
                <w:color w:val="auto"/>
              </w:rPr>
            </w:pPr>
            <w:r>
              <w:rPr>
                <w:rFonts w:hint="default" w:ascii="Times New Roman" w:hAnsi="Times New Roman" w:cs="Times New Roman"/>
                <w:color w:val="auto"/>
              </w:rPr>
              <w:drawing>
                <wp:inline distT="0" distB="0" distL="0" distR="0">
                  <wp:extent cx="786765" cy="701675"/>
                  <wp:effectExtent l="19050" t="0" r="0" b="0"/>
                  <wp:docPr id="51" name="图片 126" descr="说明: 说明: 点击看大图及详细资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26" descr="说明: 说明: 点击看大图及详细资料"/>
                          <pic:cNvPicPr>
                            <a:picLocks noChangeAspect="1" noChangeArrowheads="1"/>
                          </pic:cNvPicPr>
                        </pic:nvPicPr>
                        <pic:blipFill>
                          <a:blip r:embed="rId54" cstate="print"/>
                          <a:srcRect/>
                          <a:stretch>
                            <a:fillRect/>
                          </a:stretch>
                        </pic:blipFill>
                        <pic:spPr>
                          <a:xfrm>
                            <a:off x="0" y="0"/>
                            <a:ext cx="786765" cy="701675"/>
                          </a:xfrm>
                          <a:prstGeom prst="rect">
                            <a:avLst/>
                          </a:prstGeom>
                          <a:noFill/>
                          <a:ln w="9525">
                            <a:noFill/>
                            <a:miter lim="800000"/>
                            <a:headEnd/>
                            <a:tailEnd/>
                          </a:ln>
                        </pic:spPr>
                      </pic:pic>
                    </a:graphicData>
                  </a:graphic>
                </wp:inline>
              </w:drawing>
            </w:r>
          </w:p>
        </w:tc>
        <w:tc>
          <w:tcPr>
            <w:tcW w:w="843" w:type="pct"/>
            <w:tcBorders>
              <w:top w:val="single" w:color="000000" w:sz="4" w:space="0"/>
              <w:left w:val="single" w:color="000000" w:sz="4" w:space="0"/>
              <w:bottom w:val="single" w:color="000000" w:sz="4" w:space="0"/>
              <w:right w:val="single" w:color="000000" w:sz="4" w:space="0"/>
            </w:tcBorders>
            <w:vAlign w:val="center"/>
          </w:tcPr>
          <w:p>
            <w:pPr>
              <w:pStyle w:val="167"/>
              <w:rPr>
                <w:rFonts w:hint="default" w:ascii="Times New Roman" w:hAnsi="Times New Roman" w:cs="Times New Roman"/>
                <w:color w:val="auto"/>
              </w:rPr>
            </w:pPr>
            <w:r>
              <w:rPr>
                <w:rFonts w:hint="default" w:ascii="Times New Roman" w:hAnsi="Times New Roman" w:cs="Times New Roman"/>
                <w:color w:val="auto"/>
              </w:rPr>
              <w:drawing>
                <wp:inline distT="0" distB="0" distL="0" distR="0">
                  <wp:extent cx="797560" cy="701675"/>
                  <wp:effectExtent l="19050" t="0" r="2540" b="0"/>
                  <wp:docPr id="52" name="图片 127" descr="说明: 说明: 点击看大图及详细资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27" descr="说明: 说明: 点击看大图及详细资料"/>
                          <pic:cNvPicPr>
                            <a:picLocks noChangeAspect="1" noChangeArrowheads="1"/>
                          </pic:cNvPicPr>
                        </pic:nvPicPr>
                        <pic:blipFill>
                          <a:blip r:embed="rId55" cstate="print"/>
                          <a:srcRect/>
                          <a:stretch>
                            <a:fillRect/>
                          </a:stretch>
                        </pic:blipFill>
                        <pic:spPr>
                          <a:xfrm>
                            <a:off x="0" y="0"/>
                            <a:ext cx="797560" cy="701675"/>
                          </a:xfrm>
                          <a:prstGeom prst="rect">
                            <a:avLst/>
                          </a:prstGeom>
                          <a:noFill/>
                          <a:ln w="9525">
                            <a:noFill/>
                            <a:miter lim="800000"/>
                            <a:headEnd/>
                            <a:tailEnd/>
                          </a:ln>
                        </pic:spPr>
                      </pic:pic>
                    </a:graphicData>
                  </a:graphic>
                </wp:inline>
              </w:drawing>
            </w:r>
          </w:p>
        </w:tc>
        <w:tc>
          <w:tcPr>
            <w:tcW w:w="838" w:type="pct"/>
            <w:tcBorders>
              <w:top w:val="single" w:color="000000" w:sz="4" w:space="0"/>
              <w:left w:val="single" w:color="000000" w:sz="4" w:space="0"/>
              <w:bottom w:val="single" w:color="000000" w:sz="4" w:space="0"/>
              <w:right w:val="single" w:color="000000" w:sz="4" w:space="0"/>
            </w:tcBorders>
            <w:vAlign w:val="center"/>
          </w:tcPr>
          <w:p>
            <w:pPr>
              <w:pStyle w:val="167"/>
              <w:rPr>
                <w:rFonts w:hint="default" w:ascii="Times New Roman" w:hAnsi="Times New Roman" w:cs="Times New Roman"/>
                <w:color w:val="auto"/>
              </w:rPr>
            </w:pPr>
            <w:r>
              <w:rPr>
                <w:rFonts w:hint="default" w:ascii="Times New Roman" w:hAnsi="Times New Roman" w:cs="Times New Roman"/>
                <w:color w:val="auto"/>
              </w:rPr>
              <w:drawing>
                <wp:inline distT="0" distB="0" distL="0" distR="0">
                  <wp:extent cx="786765" cy="690880"/>
                  <wp:effectExtent l="19050" t="0" r="0" b="0"/>
                  <wp:docPr id="53" name="图片 128" descr="说明: 说明: C:\Users\ADMINI~1\AppData\Local\Temp\ksohtml\wps12FD.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28" descr="说明: 说明: C:\Users\ADMINI~1\AppData\Local\Temp\ksohtml\wps12FD.tmp.png"/>
                          <pic:cNvPicPr>
                            <a:picLocks noChangeAspect="1" noChangeArrowheads="1"/>
                          </pic:cNvPicPr>
                        </pic:nvPicPr>
                        <pic:blipFill>
                          <a:blip r:embed="rId56" cstate="print"/>
                          <a:srcRect/>
                          <a:stretch>
                            <a:fillRect/>
                          </a:stretch>
                        </pic:blipFill>
                        <pic:spPr>
                          <a:xfrm>
                            <a:off x="0" y="0"/>
                            <a:ext cx="786765" cy="690880"/>
                          </a:xfrm>
                          <a:prstGeom prst="rect">
                            <a:avLst/>
                          </a:prstGeom>
                          <a:noFill/>
                          <a:ln w="9525">
                            <a:noFill/>
                            <a:miter lim="800000"/>
                            <a:headEnd/>
                            <a:tailEnd/>
                          </a:ln>
                        </pic:spPr>
                      </pic:pic>
                    </a:graphicData>
                  </a:graphic>
                </wp:inline>
              </w:drawing>
            </w:r>
          </w:p>
        </w:tc>
      </w:tr>
      <w:tr>
        <w:tblPrEx>
          <w:tblCellMar>
            <w:top w:w="0" w:type="dxa"/>
            <w:left w:w="0" w:type="dxa"/>
            <w:bottom w:w="0" w:type="dxa"/>
            <w:right w:w="0" w:type="dxa"/>
          </w:tblCellMar>
        </w:tblPrEx>
        <w:trPr>
          <w:trHeight w:val="340" w:hRule="atLeast"/>
        </w:trPr>
        <w:tc>
          <w:tcPr>
            <w:tcW w:w="790" w:type="pct"/>
            <w:tcBorders>
              <w:top w:val="single" w:color="000000" w:sz="4" w:space="0"/>
              <w:left w:val="single" w:color="000000" w:sz="4" w:space="0"/>
              <w:bottom w:val="single" w:color="000000" w:sz="4" w:space="0"/>
              <w:right w:val="single" w:color="000000" w:sz="4" w:space="0"/>
            </w:tcBorders>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背景颜色</w:t>
            </w:r>
          </w:p>
        </w:tc>
        <w:tc>
          <w:tcPr>
            <w:tcW w:w="4210" w:type="pct"/>
            <w:gridSpan w:val="5"/>
            <w:tcBorders>
              <w:top w:val="single" w:color="000000" w:sz="4" w:space="0"/>
              <w:left w:val="single" w:color="000000" w:sz="4" w:space="0"/>
              <w:bottom w:val="single" w:color="000000" w:sz="4" w:space="0"/>
              <w:right w:val="single" w:color="000000" w:sz="4" w:space="0"/>
            </w:tcBorders>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黄色</w:t>
            </w:r>
          </w:p>
        </w:tc>
      </w:tr>
      <w:tr>
        <w:tblPrEx>
          <w:tblCellMar>
            <w:top w:w="0" w:type="dxa"/>
            <w:left w:w="0" w:type="dxa"/>
            <w:bottom w:w="0" w:type="dxa"/>
            <w:right w:w="0" w:type="dxa"/>
          </w:tblCellMar>
        </w:tblPrEx>
        <w:trPr>
          <w:trHeight w:val="340" w:hRule="atLeast"/>
        </w:trPr>
        <w:tc>
          <w:tcPr>
            <w:tcW w:w="790" w:type="pct"/>
            <w:tcBorders>
              <w:top w:val="single" w:color="000000" w:sz="4" w:space="0"/>
              <w:left w:val="single" w:color="000000" w:sz="4" w:space="0"/>
              <w:bottom w:val="single" w:color="000000" w:sz="4" w:space="0"/>
              <w:right w:val="single" w:color="000000" w:sz="4" w:space="0"/>
            </w:tcBorders>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图形颜色</w:t>
            </w:r>
          </w:p>
        </w:tc>
        <w:tc>
          <w:tcPr>
            <w:tcW w:w="4210" w:type="pct"/>
            <w:gridSpan w:val="5"/>
            <w:tcBorders>
              <w:top w:val="single" w:color="000000" w:sz="4" w:space="0"/>
              <w:left w:val="single" w:color="000000" w:sz="4" w:space="0"/>
              <w:bottom w:val="single" w:color="000000" w:sz="4" w:space="0"/>
              <w:right w:val="single" w:color="000000" w:sz="4" w:space="0"/>
            </w:tcBorders>
            <w:vAlign w:val="center"/>
          </w:tcPr>
          <w:p>
            <w:pPr>
              <w:pStyle w:val="167"/>
              <w:rPr>
                <w:rFonts w:hint="default" w:ascii="Times New Roman" w:hAnsi="Times New Roman" w:cs="Times New Roman"/>
                <w:color w:val="auto"/>
              </w:rPr>
            </w:pPr>
            <w:r>
              <w:rPr>
                <w:rFonts w:hint="default" w:ascii="Times New Roman" w:hAnsi="Times New Roman" w:cs="Times New Roman"/>
                <w:color w:val="auto"/>
              </w:rPr>
              <w:t>黑色</w:t>
            </w:r>
          </w:p>
        </w:tc>
      </w:tr>
    </w:tbl>
    <w:p>
      <w:pPr>
        <w:pStyle w:val="133"/>
        <w:spacing w:beforeLines="50" w:line="360" w:lineRule="auto"/>
        <w:ind w:firstLine="0" w:firstLineChars="0"/>
        <w:jc w:val="center"/>
        <w:rPr>
          <w:rFonts w:hint="default" w:ascii="Times New Roman" w:hAnsi="Times New Roman" w:cs="Times New Roman"/>
          <w:b/>
          <w:bCs/>
          <w:color w:val="auto"/>
        </w:rPr>
      </w:pPr>
      <w:bookmarkStart w:id="1094" w:name="_Toc15804"/>
      <w:bookmarkStart w:id="1095" w:name="_Toc341802941"/>
      <w:bookmarkStart w:id="1096" w:name="_Toc192252317"/>
      <w:bookmarkStart w:id="1097" w:name="_Toc13469"/>
      <w:bookmarkStart w:id="1098" w:name="_Toc203274847"/>
      <w:bookmarkStart w:id="1099" w:name="_Toc168806519"/>
      <w:bookmarkStart w:id="1100" w:name="_Toc279000814"/>
      <w:bookmarkStart w:id="1101" w:name="_Toc25295"/>
      <w:bookmarkStart w:id="1102" w:name="_Toc1552"/>
      <w:bookmarkStart w:id="1103" w:name="_Toc2759"/>
      <w:bookmarkStart w:id="1104" w:name="_Toc5729"/>
      <w:bookmarkStart w:id="1105" w:name="_Toc203273612"/>
      <w:bookmarkStart w:id="1106" w:name="_Toc22684"/>
      <w:bookmarkStart w:id="1107" w:name="_Toc21048"/>
      <w:bookmarkStart w:id="1108" w:name="_Toc13490"/>
      <w:r>
        <w:rPr>
          <w:rFonts w:hint="default" w:ascii="Times New Roman" w:hAnsi="Times New Roman" w:cs="Times New Roman"/>
          <w:b/>
          <w:bCs/>
          <w:color w:val="auto"/>
        </w:rPr>
        <w:t>表</w:t>
      </w:r>
      <w:r>
        <w:rPr>
          <w:rFonts w:hint="default" w:ascii="Times New Roman" w:hAnsi="Times New Roman" w:cs="Times New Roman"/>
          <w:b/>
          <w:bCs/>
          <w:color w:val="auto"/>
          <w:lang w:val="en-US" w:eastAsia="zh-CN"/>
        </w:rPr>
        <w:t>9-9</w:t>
      </w:r>
      <w:r>
        <w:rPr>
          <w:rFonts w:hint="default" w:ascii="Times New Roman" w:hAnsi="Times New Roman" w:cs="Times New Roman"/>
          <w:b/>
          <w:bCs/>
          <w:color w:val="auto"/>
        </w:rPr>
        <w:t>项目排污口信息表</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7"/>
        <w:gridCol w:w="881"/>
        <w:gridCol w:w="1816"/>
        <w:gridCol w:w="1590"/>
        <w:gridCol w:w="1877"/>
        <w:gridCol w:w="936"/>
        <w:gridCol w:w="9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7" w:type="dxa"/>
            <w:shd w:val="clear" w:color="auto" w:fill="auto"/>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881" w:type="dxa"/>
            <w:shd w:val="clear" w:color="auto" w:fill="auto"/>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排放口编号</w:t>
            </w:r>
          </w:p>
        </w:tc>
        <w:tc>
          <w:tcPr>
            <w:tcW w:w="1816" w:type="dxa"/>
            <w:shd w:val="clear" w:color="auto" w:fill="auto"/>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排放口名称</w:t>
            </w:r>
          </w:p>
        </w:tc>
        <w:tc>
          <w:tcPr>
            <w:tcW w:w="1590" w:type="dxa"/>
            <w:shd w:val="clear" w:color="auto" w:fill="auto"/>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污染物</w:t>
            </w:r>
          </w:p>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种类</w:t>
            </w:r>
          </w:p>
        </w:tc>
        <w:tc>
          <w:tcPr>
            <w:tcW w:w="1877" w:type="dxa"/>
            <w:shd w:val="clear" w:color="auto" w:fill="auto"/>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治理措施</w:t>
            </w:r>
          </w:p>
        </w:tc>
        <w:tc>
          <w:tcPr>
            <w:tcW w:w="936" w:type="dxa"/>
            <w:shd w:val="clear" w:color="auto" w:fill="auto"/>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处理效率</w:t>
            </w:r>
          </w:p>
        </w:tc>
        <w:tc>
          <w:tcPr>
            <w:tcW w:w="901" w:type="dxa"/>
            <w:shd w:val="clear" w:color="auto" w:fill="auto"/>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排污口参数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7" w:type="dxa"/>
            <w:shd w:val="clear" w:color="auto" w:fill="auto"/>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1</w:t>
            </w:r>
          </w:p>
        </w:tc>
        <w:tc>
          <w:tcPr>
            <w:tcW w:w="881" w:type="dxa"/>
            <w:shd w:val="clear" w:color="auto" w:fill="auto"/>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DA008</w:t>
            </w:r>
          </w:p>
        </w:tc>
        <w:tc>
          <w:tcPr>
            <w:tcW w:w="1816" w:type="dxa"/>
            <w:shd w:val="clear" w:color="auto" w:fill="auto"/>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有机废气排放口</w:t>
            </w:r>
          </w:p>
        </w:tc>
        <w:tc>
          <w:tcPr>
            <w:tcW w:w="1590" w:type="dxa"/>
            <w:shd w:val="clear" w:color="auto" w:fill="auto"/>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非甲烷总烃</w:t>
            </w:r>
          </w:p>
        </w:tc>
        <w:tc>
          <w:tcPr>
            <w:tcW w:w="1877" w:type="dxa"/>
            <w:shd w:val="clear" w:color="auto" w:fill="auto"/>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1套活性炭吸附塔</w:t>
            </w:r>
          </w:p>
        </w:tc>
        <w:tc>
          <w:tcPr>
            <w:tcW w:w="936" w:type="dxa"/>
            <w:shd w:val="clear" w:color="auto" w:fill="auto"/>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60%</w:t>
            </w:r>
          </w:p>
        </w:tc>
        <w:tc>
          <w:tcPr>
            <w:tcW w:w="901" w:type="dxa"/>
            <w:shd w:val="clear" w:color="auto" w:fill="auto"/>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7" w:type="dxa"/>
            <w:shd w:val="clear" w:color="auto" w:fill="auto"/>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881" w:type="dxa"/>
            <w:shd w:val="clear" w:color="auto" w:fill="auto"/>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eastAsia="zh-CN"/>
              </w:rPr>
              <w:t>DA00</w:t>
            </w:r>
            <w:r>
              <w:rPr>
                <w:rFonts w:hint="default" w:ascii="Times New Roman" w:hAnsi="Times New Roman" w:cs="Times New Roman"/>
                <w:color w:val="auto"/>
                <w:sz w:val="21"/>
                <w:szCs w:val="21"/>
                <w:lang w:val="en-US" w:eastAsia="zh-CN"/>
              </w:rPr>
              <w:t>9</w:t>
            </w:r>
          </w:p>
        </w:tc>
        <w:tc>
          <w:tcPr>
            <w:tcW w:w="1816" w:type="dxa"/>
            <w:shd w:val="clear" w:color="auto" w:fill="auto"/>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切割粉尘排放口</w:t>
            </w:r>
          </w:p>
        </w:tc>
        <w:tc>
          <w:tcPr>
            <w:tcW w:w="1590" w:type="dxa"/>
            <w:shd w:val="clear" w:color="auto" w:fill="auto"/>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TSP</w:t>
            </w:r>
          </w:p>
        </w:tc>
        <w:tc>
          <w:tcPr>
            <w:tcW w:w="1877" w:type="dxa"/>
            <w:shd w:val="clear" w:color="auto" w:fill="auto"/>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1套文丘里洗涤塔</w:t>
            </w:r>
          </w:p>
        </w:tc>
        <w:tc>
          <w:tcPr>
            <w:tcW w:w="936" w:type="dxa"/>
            <w:shd w:val="clear" w:color="auto" w:fill="auto"/>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98%</w:t>
            </w:r>
          </w:p>
        </w:tc>
        <w:tc>
          <w:tcPr>
            <w:tcW w:w="901" w:type="dxa"/>
            <w:shd w:val="clear" w:color="auto" w:fill="auto"/>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527" w:type="dxa"/>
            <w:vMerge w:val="restart"/>
            <w:shd w:val="clear" w:color="auto" w:fill="auto"/>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w:t>
            </w:r>
          </w:p>
        </w:tc>
        <w:tc>
          <w:tcPr>
            <w:tcW w:w="881" w:type="dxa"/>
            <w:vMerge w:val="restart"/>
            <w:shd w:val="clear" w:color="auto" w:fill="auto"/>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eastAsia="zh-CN"/>
              </w:rPr>
              <w:t>DA0</w:t>
            </w:r>
            <w:r>
              <w:rPr>
                <w:rFonts w:hint="default" w:ascii="Times New Roman" w:hAnsi="Times New Roman" w:cs="Times New Roman"/>
                <w:color w:val="auto"/>
                <w:sz w:val="21"/>
                <w:szCs w:val="21"/>
                <w:lang w:val="en-US" w:eastAsia="zh-CN"/>
              </w:rPr>
              <w:t>10</w:t>
            </w:r>
          </w:p>
        </w:tc>
        <w:tc>
          <w:tcPr>
            <w:tcW w:w="1816" w:type="dxa"/>
            <w:vMerge w:val="restart"/>
            <w:shd w:val="clear" w:color="auto" w:fill="auto"/>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综合污水处理站臭气排放口</w:t>
            </w:r>
          </w:p>
        </w:tc>
        <w:tc>
          <w:tcPr>
            <w:tcW w:w="1590" w:type="dxa"/>
            <w:shd w:val="clear" w:color="auto" w:fill="auto"/>
            <w:vAlign w:val="center"/>
          </w:tcPr>
          <w:p>
            <w:pPr>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氨</w:t>
            </w:r>
          </w:p>
        </w:tc>
        <w:tc>
          <w:tcPr>
            <w:tcW w:w="1877" w:type="dxa"/>
            <w:vMerge w:val="restart"/>
            <w:shd w:val="clear" w:color="auto" w:fill="auto"/>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1套除臭系统（碱吸收）</w:t>
            </w:r>
          </w:p>
        </w:tc>
        <w:tc>
          <w:tcPr>
            <w:tcW w:w="936" w:type="dxa"/>
            <w:shd w:val="clear" w:color="auto" w:fill="auto"/>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60%</w:t>
            </w:r>
          </w:p>
        </w:tc>
        <w:tc>
          <w:tcPr>
            <w:tcW w:w="901" w:type="dxa"/>
            <w:vMerge w:val="restart"/>
            <w:shd w:val="clear" w:color="auto" w:fill="auto"/>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527" w:type="dxa"/>
            <w:vMerge w:val="continue"/>
            <w:shd w:val="clear" w:color="auto" w:fill="auto"/>
            <w:vAlign w:val="center"/>
          </w:tcPr>
          <w:p>
            <w:pPr>
              <w:jc w:val="center"/>
              <w:rPr>
                <w:rFonts w:hint="default" w:ascii="Times New Roman" w:hAnsi="Times New Roman" w:cs="Times New Roman"/>
                <w:color w:val="auto"/>
              </w:rPr>
            </w:pPr>
          </w:p>
        </w:tc>
        <w:tc>
          <w:tcPr>
            <w:tcW w:w="881" w:type="dxa"/>
            <w:vMerge w:val="continue"/>
            <w:shd w:val="clear" w:color="auto" w:fill="auto"/>
            <w:vAlign w:val="center"/>
          </w:tcPr>
          <w:p>
            <w:pPr>
              <w:jc w:val="center"/>
              <w:rPr>
                <w:rFonts w:hint="default" w:ascii="Times New Roman" w:hAnsi="Times New Roman" w:cs="Times New Roman"/>
                <w:color w:val="auto"/>
              </w:rPr>
            </w:pPr>
          </w:p>
        </w:tc>
        <w:tc>
          <w:tcPr>
            <w:tcW w:w="1816" w:type="dxa"/>
            <w:vMerge w:val="continue"/>
            <w:shd w:val="clear" w:color="auto" w:fill="auto"/>
            <w:vAlign w:val="center"/>
          </w:tcPr>
          <w:p>
            <w:pPr>
              <w:jc w:val="center"/>
              <w:rPr>
                <w:rFonts w:hint="default" w:ascii="Times New Roman" w:hAnsi="Times New Roman" w:cs="Times New Roman"/>
                <w:color w:val="auto"/>
              </w:rPr>
            </w:pPr>
          </w:p>
        </w:tc>
        <w:tc>
          <w:tcPr>
            <w:tcW w:w="1590" w:type="dxa"/>
            <w:shd w:val="clear" w:color="auto" w:fill="auto"/>
            <w:vAlign w:val="center"/>
          </w:tcPr>
          <w:p>
            <w:pPr>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硫化氢</w:t>
            </w:r>
          </w:p>
        </w:tc>
        <w:tc>
          <w:tcPr>
            <w:tcW w:w="1877" w:type="dxa"/>
            <w:vMerge w:val="continue"/>
            <w:shd w:val="clear" w:color="auto" w:fill="auto"/>
            <w:vAlign w:val="center"/>
          </w:tcPr>
          <w:p>
            <w:pPr>
              <w:jc w:val="center"/>
              <w:rPr>
                <w:rFonts w:hint="default" w:ascii="Times New Roman" w:hAnsi="Times New Roman" w:cs="Times New Roman"/>
                <w:color w:val="auto"/>
                <w:sz w:val="21"/>
                <w:szCs w:val="21"/>
                <w:lang w:eastAsia="zh-CN"/>
              </w:rPr>
            </w:pPr>
          </w:p>
        </w:tc>
        <w:tc>
          <w:tcPr>
            <w:tcW w:w="936" w:type="dxa"/>
            <w:shd w:val="clear" w:color="auto" w:fill="auto"/>
            <w:vAlign w:val="center"/>
          </w:tcPr>
          <w:p>
            <w:pPr>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90%</w:t>
            </w:r>
          </w:p>
        </w:tc>
        <w:tc>
          <w:tcPr>
            <w:tcW w:w="901" w:type="dxa"/>
            <w:vMerge w:val="continue"/>
            <w:shd w:val="clear" w:color="auto" w:fill="auto"/>
            <w:vAlign w:val="center"/>
          </w:tcPr>
          <w:p>
            <w:pPr>
              <w:jc w:val="center"/>
              <w:rPr>
                <w:rFonts w:hint="default" w:ascii="Times New Roman" w:hAnsi="Times New Roman" w:cs="Times New Roman"/>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7" w:type="dxa"/>
            <w:shd w:val="clear" w:color="auto" w:fill="auto"/>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w:t>
            </w:r>
          </w:p>
        </w:tc>
        <w:tc>
          <w:tcPr>
            <w:tcW w:w="881" w:type="dxa"/>
            <w:shd w:val="clear" w:color="auto" w:fill="auto"/>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eastAsia="zh-CN"/>
              </w:rPr>
              <w:t>DA0</w:t>
            </w:r>
            <w:r>
              <w:rPr>
                <w:rFonts w:hint="default" w:ascii="Times New Roman" w:hAnsi="Times New Roman" w:cs="Times New Roman"/>
                <w:color w:val="auto"/>
                <w:sz w:val="21"/>
                <w:szCs w:val="21"/>
                <w:lang w:val="en-US" w:eastAsia="zh-CN"/>
              </w:rPr>
              <w:t>11</w:t>
            </w:r>
          </w:p>
        </w:tc>
        <w:tc>
          <w:tcPr>
            <w:tcW w:w="1816" w:type="dxa"/>
            <w:shd w:val="clear" w:color="auto" w:fill="auto"/>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酸洗废气排放口</w:t>
            </w:r>
          </w:p>
        </w:tc>
        <w:tc>
          <w:tcPr>
            <w:tcW w:w="1590" w:type="dxa"/>
            <w:shd w:val="clear" w:color="auto" w:fill="auto"/>
            <w:vAlign w:val="center"/>
          </w:tcPr>
          <w:p>
            <w:pPr>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氟化物</w:t>
            </w:r>
          </w:p>
        </w:tc>
        <w:tc>
          <w:tcPr>
            <w:tcW w:w="1877" w:type="dxa"/>
            <w:shd w:val="clear" w:color="auto" w:fill="auto"/>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1套四级氢氧化钠洗涤塔</w:t>
            </w:r>
          </w:p>
        </w:tc>
        <w:tc>
          <w:tcPr>
            <w:tcW w:w="936" w:type="dxa"/>
            <w:shd w:val="clear" w:color="auto" w:fill="auto"/>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90%</w:t>
            </w:r>
          </w:p>
        </w:tc>
        <w:tc>
          <w:tcPr>
            <w:tcW w:w="901" w:type="dxa"/>
            <w:shd w:val="clear" w:color="auto" w:fill="auto"/>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7" w:type="dxa"/>
            <w:shd w:val="clear" w:color="auto" w:fill="auto"/>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5</w:t>
            </w:r>
          </w:p>
        </w:tc>
        <w:tc>
          <w:tcPr>
            <w:tcW w:w="881" w:type="dxa"/>
            <w:shd w:val="clear" w:color="auto" w:fill="auto"/>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DW001</w:t>
            </w:r>
          </w:p>
        </w:tc>
        <w:tc>
          <w:tcPr>
            <w:tcW w:w="1816" w:type="dxa"/>
            <w:shd w:val="clear" w:color="auto" w:fill="auto"/>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废水总排放口</w:t>
            </w:r>
          </w:p>
        </w:tc>
        <w:tc>
          <w:tcPr>
            <w:tcW w:w="1590" w:type="dxa"/>
            <w:shd w:val="clear" w:color="auto" w:fill="auto"/>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kern w:val="0"/>
                <w:sz w:val="21"/>
                <w:szCs w:val="21"/>
              </w:rPr>
              <w:t>pH值、COD、</w:t>
            </w:r>
            <w:r>
              <w:rPr>
                <w:rFonts w:hint="default" w:ascii="Times New Roman" w:hAnsi="Times New Roman" w:cs="Times New Roman"/>
                <w:color w:val="auto"/>
                <w:kern w:val="0"/>
                <w:sz w:val="21"/>
                <w:szCs w:val="21"/>
                <w:lang w:val="en-US" w:eastAsia="zh-CN"/>
              </w:rPr>
              <w:t>BOD</w:t>
            </w:r>
            <w:r>
              <w:rPr>
                <w:rFonts w:hint="default" w:ascii="Times New Roman" w:hAnsi="Times New Roman" w:cs="Times New Roman"/>
                <w:color w:val="FF0000"/>
                <w:sz w:val="21"/>
                <w:szCs w:val="21"/>
                <w:vertAlign w:val="subscript"/>
              </w:rPr>
              <w:t>5</w:t>
            </w:r>
            <w:r>
              <w:rPr>
                <w:rFonts w:hint="default" w:ascii="Times New Roman" w:hAnsi="Times New Roman" w:cs="Times New Roman"/>
                <w:color w:val="auto"/>
                <w:kern w:val="0"/>
                <w:sz w:val="21"/>
                <w:szCs w:val="21"/>
                <w:lang w:val="en-US" w:eastAsia="zh-CN"/>
              </w:rPr>
              <w:t>、</w:t>
            </w:r>
            <w:r>
              <w:rPr>
                <w:rFonts w:hint="default" w:ascii="Times New Roman" w:hAnsi="Times New Roman" w:cs="Times New Roman"/>
                <w:color w:val="auto"/>
                <w:kern w:val="0"/>
                <w:sz w:val="21"/>
                <w:szCs w:val="21"/>
              </w:rPr>
              <w:t>悬浮物、</w:t>
            </w:r>
            <w:r>
              <w:rPr>
                <w:rFonts w:hint="default" w:ascii="Times New Roman" w:hAnsi="Times New Roman" w:cs="Times New Roman"/>
                <w:color w:val="auto"/>
                <w:kern w:val="0"/>
                <w:sz w:val="21"/>
                <w:szCs w:val="21"/>
                <w:lang w:eastAsia="zh-CN"/>
              </w:rPr>
              <w:t>阴离子表面活性剂、氟化物</w:t>
            </w:r>
          </w:p>
        </w:tc>
        <w:tc>
          <w:tcPr>
            <w:tcW w:w="1877" w:type="dxa"/>
            <w:shd w:val="clear" w:color="auto" w:fill="auto"/>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综合污水处理站</w:t>
            </w:r>
          </w:p>
        </w:tc>
        <w:tc>
          <w:tcPr>
            <w:tcW w:w="936" w:type="dxa"/>
            <w:shd w:val="clear" w:color="auto" w:fill="auto"/>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901" w:type="dxa"/>
            <w:shd w:val="clear" w:color="auto" w:fill="auto"/>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tbl>
    <w:p>
      <w:pPr>
        <w:spacing w:beforeLines="150" w:afterLines="150" w:line="360" w:lineRule="auto"/>
        <w:jc w:val="center"/>
        <w:outlineLvl w:val="0"/>
        <w:rPr>
          <w:rFonts w:hint="default" w:ascii="Times New Roman" w:hAnsi="Times New Roman" w:cs="Times New Roman"/>
          <w:b/>
          <w:color w:val="FF0000"/>
          <w:kern w:val="44"/>
          <w:sz w:val="44"/>
          <w:szCs w:val="44"/>
        </w:rPr>
      </w:pPr>
      <w:bookmarkStart w:id="1109" w:name="_Toc69115069"/>
      <w:bookmarkStart w:id="1110" w:name="_Toc4481"/>
      <w:bookmarkStart w:id="1111" w:name="_Toc20187"/>
      <w:bookmarkStart w:id="1112" w:name="_Toc18175"/>
      <w:bookmarkStart w:id="1113" w:name="_Toc13686"/>
      <w:bookmarkStart w:id="1114" w:name="_Toc1713"/>
      <w:bookmarkStart w:id="1115" w:name="_Toc27769"/>
    </w:p>
    <w:p>
      <w:pPr>
        <w:widowControl/>
        <w:jc w:val="left"/>
        <w:rPr>
          <w:rFonts w:hint="default" w:ascii="Times New Roman" w:hAnsi="Times New Roman" w:cs="Times New Roman"/>
          <w:b/>
          <w:color w:val="FF0000"/>
          <w:kern w:val="44"/>
          <w:sz w:val="44"/>
          <w:szCs w:val="44"/>
        </w:rPr>
      </w:pPr>
      <w:r>
        <w:rPr>
          <w:rFonts w:hint="default" w:ascii="Times New Roman" w:hAnsi="Times New Roman" w:cs="Times New Roman"/>
          <w:b/>
          <w:color w:val="FF0000"/>
          <w:kern w:val="44"/>
          <w:sz w:val="44"/>
          <w:szCs w:val="44"/>
        </w:rPr>
        <w:br w:type="page"/>
      </w:r>
    </w:p>
    <w:p>
      <w:pPr>
        <w:spacing w:beforeLines="150" w:afterLines="150" w:line="360" w:lineRule="auto"/>
        <w:jc w:val="center"/>
        <w:outlineLvl w:val="0"/>
        <w:rPr>
          <w:rFonts w:hint="default" w:ascii="Times New Roman" w:hAnsi="Times New Roman" w:cs="Times New Roman"/>
          <w:b/>
          <w:color w:val="auto"/>
          <w:kern w:val="44"/>
          <w:sz w:val="44"/>
          <w:szCs w:val="44"/>
        </w:rPr>
      </w:pPr>
      <w:bookmarkStart w:id="1116" w:name="_Toc15067"/>
      <w:r>
        <w:rPr>
          <w:rFonts w:hint="default" w:ascii="Times New Roman" w:hAnsi="Times New Roman" w:cs="Times New Roman"/>
          <w:b/>
          <w:color w:val="auto"/>
          <w:kern w:val="44"/>
          <w:sz w:val="44"/>
          <w:szCs w:val="44"/>
          <w:lang w:val="en-US" w:eastAsia="zh-CN"/>
        </w:rPr>
        <w:t>10</w:t>
      </w:r>
      <w:r>
        <w:rPr>
          <w:rFonts w:hint="default" w:ascii="Times New Roman" w:hAnsi="Times New Roman" w:cs="Times New Roman"/>
          <w:b/>
          <w:color w:val="auto"/>
          <w:kern w:val="44"/>
          <w:sz w:val="44"/>
          <w:szCs w:val="44"/>
        </w:rPr>
        <w:t>环境影响评价结论</w:t>
      </w:r>
      <w:bookmarkEnd w:id="1109"/>
      <w:bookmarkEnd w:id="1116"/>
    </w:p>
    <w:p>
      <w:pPr>
        <w:pStyle w:val="4"/>
        <w:spacing w:before="0" w:after="0" w:line="360" w:lineRule="auto"/>
        <w:rPr>
          <w:rFonts w:hint="default" w:ascii="Times New Roman" w:hAnsi="Times New Roman" w:eastAsia="宋体" w:cs="Times New Roman"/>
          <w:color w:val="auto"/>
          <w:sz w:val="28"/>
          <w:szCs w:val="28"/>
        </w:rPr>
      </w:pPr>
      <w:bookmarkStart w:id="1117" w:name="_Toc5990"/>
      <w:r>
        <w:rPr>
          <w:rFonts w:hint="default" w:ascii="Times New Roman" w:hAnsi="Times New Roman" w:eastAsia="宋体" w:cs="Times New Roman"/>
          <w:color w:val="auto"/>
          <w:sz w:val="28"/>
          <w:szCs w:val="28"/>
          <w:lang w:val="en-US" w:eastAsia="zh-CN"/>
        </w:rPr>
        <w:t>10</w:t>
      </w:r>
      <w:r>
        <w:rPr>
          <w:rFonts w:hint="default" w:ascii="Times New Roman" w:hAnsi="Times New Roman" w:eastAsia="宋体" w:cs="Times New Roman"/>
          <w:color w:val="auto"/>
          <w:sz w:val="28"/>
          <w:szCs w:val="28"/>
        </w:rPr>
        <w:t>.1项目概况</w:t>
      </w:r>
      <w:bookmarkEnd w:id="1110"/>
      <w:bookmarkEnd w:id="1111"/>
      <w:bookmarkEnd w:id="1112"/>
      <w:bookmarkEnd w:id="1113"/>
      <w:bookmarkEnd w:id="1114"/>
      <w:bookmarkEnd w:id="1115"/>
      <w:bookmarkEnd w:id="1117"/>
    </w:p>
    <w:p>
      <w:pPr>
        <w:adjustRightInd w:val="0"/>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年产</w:t>
      </w:r>
      <w:r>
        <w:rPr>
          <w:rFonts w:hint="default" w:ascii="Times New Roman" w:hAnsi="Times New Roman" w:cs="Times New Roman"/>
          <w:color w:val="auto"/>
          <w:lang w:val="en-US" w:eastAsia="zh-CN"/>
        </w:rPr>
        <w:t>3GW单晶硅片生产线</w:t>
      </w:r>
      <w:r>
        <w:rPr>
          <w:rFonts w:hint="default" w:ascii="Times New Roman" w:hAnsi="Times New Roman" w:cs="Times New Roman"/>
          <w:color w:val="auto"/>
        </w:rPr>
        <w:t>项目位于楚雄工业园区富民庄甸工业区，项目用地依托原有项目建设的厂房及基础设施，新增</w:t>
      </w:r>
      <w:r>
        <w:rPr>
          <w:rFonts w:hint="default" w:ascii="Times New Roman" w:hAnsi="Times New Roman" w:cs="Times New Roman"/>
          <w:color w:val="auto"/>
          <w:lang w:val="en-US" w:eastAsia="zh-CN"/>
        </w:rPr>
        <w:t>3GW</w:t>
      </w:r>
      <w:r>
        <w:rPr>
          <w:rFonts w:hint="default" w:ascii="Times New Roman" w:hAnsi="Times New Roman" w:cs="Times New Roman"/>
          <w:color w:val="auto"/>
        </w:rPr>
        <w:t>切片生产线，</w:t>
      </w:r>
      <w:r>
        <w:rPr>
          <w:rFonts w:hint="default" w:ascii="Times New Roman" w:hAnsi="Times New Roman" w:cs="Times New Roman"/>
          <w:color w:val="auto"/>
          <w:lang w:val="en-US" w:eastAsia="zh-CN"/>
        </w:rPr>
        <w:t>新增吸杂生产线，新增1套四级氢氧化钠洗涤塔及15m排气筒，其他基础设施全部依托现状已建成设施</w:t>
      </w:r>
      <w:r>
        <w:rPr>
          <w:rFonts w:hint="default" w:ascii="Times New Roman" w:hAnsi="Times New Roman" w:cs="Times New Roman"/>
          <w:color w:val="auto"/>
          <w:lang w:val="en-US" w:eastAsia="zh-CN"/>
        </w:rPr>
        <w:t>，</w:t>
      </w:r>
      <w:r>
        <w:rPr>
          <w:rFonts w:hint="default" w:ascii="Times New Roman" w:hAnsi="Times New Roman" w:cs="Times New Roman"/>
          <w:color w:val="auto"/>
        </w:rPr>
        <w:t>总投资1</w:t>
      </w:r>
      <w:r>
        <w:rPr>
          <w:rFonts w:hint="default" w:ascii="Times New Roman" w:hAnsi="Times New Roman" w:cs="Times New Roman"/>
          <w:color w:val="auto"/>
          <w:lang w:val="en-US" w:eastAsia="zh-CN"/>
        </w:rPr>
        <w:t>8</w:t>
      </w:r>
      <w:r>
        <w:rPr>
          <w:rFonts w:hint="default" w:ascii="Times New Roman" w:hAnsi="Times New Roman" w:cs="Times New Roman"/>
          <w:color w:val="auto"/>
        </w:rPr>
        <w:t>000万元</w:t>
      </w:r>
      <w:r>
        <w:rPr>
          <w:rFonts w:hint="default" w:ascii="Times New Roman" w:hAnsi="Times New Roman" w:cs="Times New Roman"/>
          <w:color w:val="auto"/>
          <w:lang w:eastAsia="zh-CN"/>
        </w:rPr>
        <w:t>，项目尚未开工建设</w:t>
      </w:r>
      <w:r>
        <w:rPr>
          <w:rFonts w:hint="default" w:ascii="Times New Roman" w:hAnsi="Times New Roman" w:cs="Times New Roman"/>
          <w:color w:val="auto"/>
        </w:rPr>
        <w:t>。</w:t>
      </w:r>
      <w:bookmarkStart w:id="1118" w:name="_Toc32095"/>
    </w:p>
    <w:p>
      <w:pPr>
        <w:pStyle w:val="4"/>
        <w:spacing w:before="0" w:after="0" w:line="360" w:lineRule="auto"/>
        <w:rPr>
          <w:rFonts w:hint="default" w:ascii="Times New Roman" w:hAnsi="Times New Roman" w:eastAsia="宋体" w:cs="Times New Roman"/>
          <w:color w:val="auto"/>
          <w:sz w:val="28"/>
          <w:szCs w:val="28"/>
        </w:rPr>
      </w:pPr>
      <w:bookmarkStart w:id="1119" w:name="_Toc31066"/>
      <w:bookmarkStart w:id="1120" w:name="_Toc28474"/>
      <w:bookmarkStart w:id="1121" w:name="_Toc849"/>
      <w:bookmarkStart w:id="1122" w:name="_Toc15612"/>
      <w:bookmarkStart w:id="1123" w:name="_Toc25350"/>
      <w:bookmarkStart w:id="1124" w:name="_Toc8656"/>
      <w:r>
        <w:rPr>
          <w:rFonts w:hint="default" w:ascii="Times New Roman" w:hAnsi="Times New Roman" w:eastAsia="宋体" w:cs="Times New Roman"/>
          <w:color w:val="auto"/>
          <w:sz w:val="28"/>
          <w:szCs w:val="28"/>
          <w:lang w:val="en-US" w:eastAsia="zh-CN"/>
        </w:rPr>
        <w:t>10</w:t>
      </w:r>
      <w:r>
        <w:rPr>
          <w:rFonts w:hint="default" w:ascii="Times New Roman" w:hAnsi="Times New Roman" w:eastAsia="宋体" w:cs="Times New Roman"/>
          <w:color w:val="auto"/>
          <w:sz w:val="28"/>
          <w:szCs w:val="28"/>
        </w:rPr>
        <w:t>.2环境质量现状评价结论</w:t>
      </w:r>
      <w:bookmarkEnd w:id="1119"/>
      <w:bookmarkEnd w:id="1120"/>
      <w:bookmarkEnd w:id="1121"/>
      <w:bookmarkEnd w:id="1122"/>
      <w:bookmarkEnd w:id="1123"/>
      <w:bookmarkEnd w:id="1124"/>
    </w:p>
    <w:p>
      <w:pPr>
        <w:adjustRightInd w:val="0"/>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项目位于楚雄工业园区，环境质量现状评价结果表明：</w:t>
      </w:r>
    </w:p>
    <w:p>
      <w:pPr>
        <w:adjustRightInd w:val="0"/>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项目所在区域环境空气质量满足《环境空气质量标准》（GB3095-2012）中二级标准的要求；声环境质量满足《声环境质量标准》（GB3096-2008）中的3类标准；青龙河水质</w:t>
      </w:r>
      <w:r>
        <w:rPr>
          <w:rFonts w:hint="default" w:ascii="Times New Roman" w:hAnsi="Times New Roman" w:cs="Times New Roman"/>
          <w:color w:val="auto"/>
          <w:lang w:eastAsia="zh-CN"/>
        </w:rPr>
        <w:t>不</w:t>
      </w:r>
      <w:r>
        <w:rPr>
          <w:rFonts w:hint="default" w:ascii="Times New Roman" w:hAnsi="Times New Roman" w:cs="Times New Roman"/>
          <w:color w:val="auto"/>
        </w:rPr>
        <w:t>能满足《地表水环境质量标准》（GB3838-2002）中Ш标准；项目所在场地范围内土壤环境质量能满足《土壤环境质量建设用地土壤污染风险管控标准（试行）》(GB36600—2018)中第二类用地筛选值要求；</w:t>
      </w:r>
    </w:p>
    <w:p>
      <w:pPr>
        <w:adjustRightInd w:val="0"/>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项目所在地生态环境一般</w:t>
      </w:r>
      <w:r>
        <w:rPr>
          <w:rFonts w:hint="default" w:ascii="Times New Roman" w:hAnsi="Times New Roman" w:cs="Times New Roman"/>
          <w:color w:val="auto"/>
          <w:lang w:eastAsia="zh-CN"/>
        </w:rPr>
        <w:t>，地表水环境功能区为不达标区</w:t>
      </w:r>
      <w:r>
        <w:rPr>
          <w:rFonts w:hint="default" w:ascii="Times New Roman" w:hAnsi="Times New Roman" w:cs="Times New Roman"/>
          <w:color w:val="auto"/>
        </w:rPr>
        <w:t>。</w:t>
      </w:r>
      <w:bookmarkStart w:id="1125" w:name="_Toc22430"/>
    </w:p>
    <w:p>
      <w:pPr>
        <w:adjustRightInd w:val="0"/>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项目所处区域位于楚雄工业园区，用地性质为工业用地。评价区内不涉及国家公园、自然保护区、风景名胜区、世界文化和自然遗产地、海洋特别保护区、引用水水源保护区；不在生态红线范围内，不涉及基本农田、基本草原、自然公园、重要湿地、天然林、重点保护野生动物栖息地、重点保护野生植物生长繁殖地、重要水生生物的自然产卵场、索饵场、越冬场和洄游通道、天然渔场、水土流失重点预防区和重点治理区、沙化土地封禁保护区、封闭及半封闭海域；不涉及以居住、医疗卫生、文化教育、科研、行政办公为主要功能的区域及文物保护单位。</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项目区内由于受到人类活动影响，野生动物栖息环境绝大多数遭到破坏，野生动物较匮乏，种类及数量均不丰富。项目评价范围内无国家级和省级重点保护野生动植物种。</w:t>
      </w:r>
    </w:p>
    <w:p>
      <w:pPr>
        <w:pStyle w:val="4"/>
        <w:spacing w:before="0" w:after="0" w:line="360" w:lineRule="auto"/>
        <w:rPr>
          <w:rFonts w:hint="default" w:ascii="Times New Roman" w:hAnsi="Times New Roman" w:eastAsia="宋体" w:cs="Times New Roman"/>
          <w:color w:val="auto"/>
          <w:sz w:val="28"/>
          <w:szCs w:val="28"/>
        </w:rPr>
      </w:pPr>
      <w:bookmarkStart w:id="1126" w:name="_Toc2341"/>
      <w:r>
        <w:rPr>
          <w:rFonts w:hint="default" w:ascii="Times New Roman" w:hAnsi="Times New Roman" w:eastAsia="宋体" w:cs="Times New Roman"/>
          <w:color w:val="auto"/>
          <w:sz w:val="28"/>
          <w:szCs w:val="28"/>
          <w:lang w:val="en-US" w:eastAsia="zh-CN"/>
        </w:rPr>
        <w:t>10</w:t>
      </w:r>
      <w:r>
        <w:rPr>
          <w:rFonts w:hint="default" w:ascii="Times New Roman" w:hAnsi="Times New Roman" w:eastAsia="宋体" w:cs="Times New Roman"/>
          <w:color w:val="auto"/>
          <w:sz w:val="28"/>
          <w:szCs w:val="28"/>
        </w:rPr>
        <w:t>.</w:t>
      </w:r>
      <w:bookmarkStart w:id="1127" w:name="_Toc26980"/>
      <w:bookmarkStart w:id="1128" w:name="_Toc26221"/>
      <w:bookmarkStart w:id="1129" w:name="_Toc237"/>
      <w:bookmarkStart w:id="1130" w:name="_Toc26365"/>
      <w:bookmarkStart w:id="1131" w:name="_Toc25179"/>
      <w:r>
        <w:rPr>
          <w:rFonts w:hint="default" w:ascii="Times New Roman" w:hAnsi="Times New Roman" w:eastAsia="宋体" w:cs="Times New Roman"/>
          <w:color w:val="auto"/>
          <w:sz w:val="28"/>
          <w:szCs w:val="28"/>
        </w:rPr>
        <w:t>3环境影响评价结论</w:t>
      </w:r>
      <w:bookmarkEnd w:id="1125"/>
      <w:bookmarkEnd w:id="1126"/>
      <w:bookmarkEnd w:id="1127"/>
      <w:bookmarkEnd w:id="1128"/>
      <w:bookmarkEnd w:id="1129"/>
      <w:bookmarkEnd w:id="1130"/>
      <w:bookmarkEnd w:id="1131"/>
    </w:p>
    <w:p>
      <w:pPr>
        <w:pStyle w:val="6"/>
        <w:spacing w:before="0" w:after="0" w:line="360" w:lineRule="auto"/>
        <w:rPr>
          <w:rFonts w:hint="default" w:ascii="Times New Roman" w:hAnsi="Times New Roman" w:cs="Times New Roman"/>
          <w:color w:val="auto"/>
          <w:szCs w:val="28"/>
        </w:rPr>
      </w:pPr>
      <w:bookmarkStart w:id="1132" w:name="_Toc12059"/>
      <w:bookmarkStart w:id="1133" w:name="_Toc3423"/>
      <w:bookmarkStart w:id="1134" w:name="_Toc32351"/>
      <w:bookmarkStart w:id="1135" w:name="_Toc10666"/>
      <w:bookmarkStart w:id="1136" w:name="_Toc29826"/>
      <w:bookmarkStart w:id="1137" w:name="_Toc24626"/>
      <w:bookmarkStart w:id="1138" w:name="_Toc19294"/>
      <w:r>
        <w:rPr>
          <w:rFonts w:hint="default" w:ascii="Times New Roman" w:hAnsi="Times New Roman" w:cs="Times New Roman"/>
          <w:color w:val="auto"/>
          <w:szCs w:val="28"/>
          <w:lang w:val="en-US" w:eastAsia="zh-CN"/>
        </w:rPr>
        <w:t>10</w:t>
      </w:r>
      <w:r>
        <w:rPr>
          <w:rFonts w:hint="default" w:ascii="Times New Roman" w:hAnsi="Times New Roman" w:cs="Times New Roman"/>
          <w:color w:val="auto"/>
          <w:szCs w:val="28"/>
        </w:rPr>
        <w:t>.3.1施工期环境影响评价</w:t>
      </w:r>
      <w:bookmarkEnd w:id="1132"/>
      <w:bookmarkEnd w:id="1133"/>
      <w:bookmarkEnd w:id="1134"/>
      <w:bookmarkEnd w:id="1135"/>
      <w:bookmarkEnd w:id="1136"/>
      <w:bookmarkEnd w:id="1137"/>
      <w:bookmarkEnd w:id="1138"/>
    </w:p>
    <w:p>
      <w:pPr>
        <w:adjustRightInd w:val="0"/>
        <w:snapToGrid w:val="0"/>
        <w:spacing w:line="360" w:lineRule="auto"/>
        <w:ind w:firstLine="482"/>
        <w:rPr>
          <w:rFonts w:hint="default" w:ascii="Times New Roman" w:hAnsi="Times New Roman" w:cs="Times New Roman"/>
          <w:color w:val="auto"/>
        </w:rPr>
      </w:pPr>
      <w:r>
        <w:rPr>
          <w:rFonts w:hint="default" w:ascii="Times New Roman" w:hAnsi="Times New Roman" w:cs="Times New Roman"/>
          <w:color w:val="auto"/>
        </w:rPr>
        <w:t>本项目厂区位于工业园区内，周边环境不敏感。</w:t>
      </w:r>
      <w:r>
        <w:rPr>
          <w:rFonts w:hint="default" w:ascii="Times New Roman" w:hAnsi="Times New Roman" w:cs="Times New Roman"/>
          <w:color w:val="auto"/>
          <w:lang w:eastAsia="zh-CN"/>
        </w:rPr>
        <w:t>项目施工期仅进行设备安装，无土建工程施工，项目施工期对环境的影响程度较小</w:t>
      </w:r>
      <w:r>
        <w:rPr>
          <w:rFonts w:hint="default" w:ascii="Times New Roman" w:hAnsi="Times New Roman" w:cs="Times New Roman"/>
          <w:color w:val="auto"/>
        </w:rPr>
        <w:t>。</w:t>
      </w:r>
    </w:p>
    <w:p>
      <w:pPr>
        <w:pStyle w:val="6"/>
        <w:spacing w:before="0" w:after="0" w:line="360" w:lineRule="auto"/>
        <w:rPr>
          <w:rFonts w:hint="default" w:ascii="Times New Roman" w:hAnsi="Times New Roman" w:cs="Times New Roman"/>
          <w:color w:val="auto"/>
          <w:szCs w:val="28"/>
        </w:rPr>
      </w:pPr>
      <w:bookmarkStart w:id="1139" w:name="_Toc8853"/>
      <w:bookmarkStart w:id="1140" w:name="_Toc32338"/>
      <w:bookmarkStart w:id="1141" w:name="_Toc24786"/>
      <w:bookmarkStart w:id="1142" w:name="_Toc8999"/>
      <w:bookmarkStart w:id="1143" w:name="_Toc29864"/>
      <w:bookmarkStart w:id="1144" w:name="_Toc9036"/>
      <w:bookmarkStart w:id="1145" w:name="_Toc14390"/>
      <w:r>
        <w:rPr>
          <w:rFonts w:hint="default" w:ascii="Times New Roman" w:hAnsi="Times New Roman" w:cs="Times New Roman"/>
          <w:color w:val="auto"/>
          <w:szCs w:val="28"/>
          <w:lang w:val="en-US" w:eastAsia="zh-CN"/>
        </w:rPr>
        <w:t>10</w:t>
      </w:r>
      <w:r>
        <w:rPr>
          <w:rFonts w:hint="default" w:ascii="Times New Roman" w:hAnsi="Times New Roman" w:cs="Times New Roman"/>
          <w:color w:val="auto"/>
          <w:szCs w:val="28"/>
        </w:rPr>
        <w:t>.3.2运营期环境影响评价</w:t>
      </w:r>
      <w:bookmarkEnd w:id="1139"/>
      <w:bookmarkEnd w:id="1140"/>
      <w:bookmarkEnd w:id="1141"/>
      <w:bookmarkEnd w:id="1142"/>
      <w:bookmarkEnd w:id="1143"/>
      <w:bookmarkEnd w:id="1144"/>
      <w:bookmarkEnd w:id="1145"/>
    </w:p>
    <w:p>
      <w:pPr>
        <w:spacing w:line="360" w:lineRule="auto"/>
        <w:ind w:firstLine="482" w:firstLineChars="200"/>
        <w:jc w:val="left"/>
        <w:rPr>
          <w:rFonts w:hint="default" w:ascii="Times New Roman" w:hAnsi="Times New Roman" w:cs="Times New Roman"/>
          <w:b/>
          <w:bCs/>
          <w:color w:val="auto"/>
        </w:rPr>
      </w:pPr>
      <w:r>
        <w:rPr>
          <w:rFonts w:hint="default" w:ascii="Times New Roman" w:hAnsi="Times New Roman" w:cs="Times New Roman"/>
          <w:b/>
          <w:bCs/>
          <w:color w:val="auto"/>
        </w:rPr>
        <w:t>1、大气环境影响评价结论</w:t>
      </w:r>
    </w:p>
    <w:p>
      <w:pPr>
        <w:spacing w:line="360" w:lineRule="auto"/>
        <w:ind w:firstLine="480" w:firstLineChars="200"/>
        <w:rPr>
          <w:rFonts w:hint="default" w:ascii="Times New Roman" w:hAnsi="Times New Roman" w:cs="Times New Roman" w:eastAsiaTheme="minorEastAsia"/>
          <w:color w:val="auto"/>
        </w:rPr>
      </w:pPr>
      <w:bookmarkStart w:id="1146" w:name="_Toc303409467"/>
      <w:bookmarkStart w:id="1147" w:name="_Toc249492542"/>
      <w:bookmarkStart w:id="1148" w:name="_Toc241120197"/>
      <w:bookmarkStart w:id="1149" w:name="_Toc245864017"/>
      <w:bookmarkStart w:id="1150" w:name="_Toc303698918"/>
      <w:bookmarkStart w:id="1151" w:name="_Toc246843859"/>
      <w:bookmarkStart w:id="1152" w:name="_Toc249751042"/>
      <w:r>
        <w:rPr>
          <w:rFonts w:hint="default" w:ascii="Times New Roman" w:hAnsi="Times New Roman" w:cs="Times New Roman" w:eastAsiaTheme="minorEastAsia"/>
          <w:color w:val="auto"/>
        </w:rPr>
        <w:t>（1）本项目运营期</w:t>
      </w:r>
      <w:r>
        <w:rPr>
          <w:rFonts w:hint="default" w:ascii="Times New Roman" w:hAnsi="Times New Roman" w:cs="Times New Roman" w:eastAsiaTheme="minorEastAsia"/>
          <w:color w:val="auto"/>
          <w:lang w:eastAsia="zh-CN"/>
        </w:rPr>
        <w:t>产生的</w:t>
      </w:r>
      <w:r>
        <w:rPr>
          <w:rFonts w:hint="default" w:ascii="Times New Roman" w:hAnsi="Times New Roman" w:cs="Times New Roman" w:eastAsiaTheme="minorEastAsia"/>
          <w:color w:val="auto"/>
        </w:rPr>
        <w:t>大气污染物</w:t>
      </w:r>
      <w:r>
        <w:rPr>
          <w:rFonts w:hint="default" w:ascii="Times New Roman" w:hAnsi="Times New Roman" w:cs="Times New Roman" w:eastAsiaTheme="minorEastAsia"/>
          <w:color w:val="auto"/>
          <w:lang w:eastAsia="zh-CN"/>
        </w:rPr>
        <w:t>为非甲烷总烃、颗粒物、氟化物、氨、硫化氢。非甲烷总烃经活性炭吸附塔治理后通过</w:t>
      </w:r>
      <w:r>
        <w:rPr>
          <w:rFonts w:hint="default" w:ascii="Times New Roman" w:hAnsi="Times New Roman" w:cs="Times New Roman" w:eastAsiaTheme="minorEastAsia"/>
          <w:color w:val="auto"/>
          <w:lang w:val="en-US" w:eastAsia="zh-CN"/>
        </w:rPr>
        <w:t>15m排气筒DA008排放，颗粒物经文丘里洗涤塔治理后通过15m排气筒DA009排放，氟化物经四级氢氧化钠洗涤塔治理后通过15m排气筒DA011排放，</w:t>
      </w:r>
      <w:r>
        <w:rPr>
          <w:rFonts w:hint="default" w:ascii="Times New Roman" w:hAnsi="Times New Roman" w:cs="Times New Roman" w:eastAsiaTheme="minorEastAsia"/>
          <w:color w:val="auto"/>
        </w:rPr>
        <w:t>排放浓度能满足《大气综合排放标准》（GB16297-1996）</w:t>
      </w:r>
      <w:r>
        <w:rPr>
          <w:rFonts w:hint="default" w:ascii="Times New Roman" w:hAnsi="Times New Roman" w:cs="Times New Roman" w:eastAsiaTheme="minorEastAsia"/>
          <w:color w:val="auto"/>
          <w:lang w:val="en-US" w:eastAsia="zh-CN"/>
        </w:rPr>
        <w:t>15m</w:t>
      </w:r>
      <w:r>
        <w:rPr>
          <w:rFonts w:hint="default" w:ascii="Times New Roman" w:hAnsi="Times New Roman" w:cs="Times New Roman" w:eastAsiaTheme="minorEastAsia"/>
          <w:color w:val="auto"/>
        </w:rPr>
        <w:t>高排气筒的二级标准值</w:t>
      </w:r>
      <w:r>
        <w:rPr>
          <w:rFonts w:hint="default" w:ascii="Times New Roman" w:hAnsi="Times New Roman" w:cs="Times New Roman" w:eastAsiaTheme="minorEastAsia"/>
          <w:color w:val="auto"/>
          <w:lang w:eastAsia="zh-CN"/>
        </w:rPr>
        <w:t>，排放速率能满足</w:t>
      </w:r>
      <w:r>
        <w:rPr>
          <w:rFonts w:hint="default" w:ascii="Times New Roman" w:hAnsi="Times New Roman" w:cs="Times New Roman" w:eastAsiaTheme="minorEastAsia"/>
          <w:color w:val="auto"/>
        </w:rPr>
        <w:t>《大气综合排放标准》（GB16297-1996）</w:t>
      </w:r>
      <w:r>
        <w:rPr>
          <w:rFonts w:hint="default" w:ascii="Times New Roman" w:hAnsi="Times New Roman" w:cs="Times New Roman" w:eastAsiaTheme="minorEastAsia"/>
          <w:color w:val="auto"/>
          <w:lang w:val="en-US" w:eastAsia="zh-CN"/>
        </w:rPr>
        <w:t>15m</w:t>
      </w:r>
      <w:r>
        <w:rPr>
          <w:rFonts w:hint="default" w:ascii="Times New Roman" w:hAnsi="Times New Roman" w:cs="Times New Roman" w:eastAsiaTheme="minorEastAsia"/>
          <w:color w:val="auto"/>
        </w:rPr>
        <w:t>高排气筒的二级标准</w:t>
      </w:r>
      <w:r>
        <w:rPr>
          <w:rFonts w:hint="default" w:ascii="Times New Roman" w:hAnsi="Times New Roman" w:cs="Times New Roman" w:eastAsiaTheme="minorEastAsia"/>
          <w:color w:val="auto"/>
          <w:lang w:eastAsia="zh-CN"/>
        </w:rPr>
        <w:t>再严格</w:t>
      </w:r>
      <w:r>
        <w:rPr>
          <w:rFonts w:hint="default" w:ascii="Times New Roman" w:hAnsi="Times New Roman" w:cs="Times New Roman" w:eastAsiaTheme="minorEastAsia"/>
          <w:color w:val="auto"/>
          <w:lang w:val="en-US" w:eastAsia="zh-CN"/>
        </w:rPr>
        <w:t>50%的标准值</w:t>
      </w:r>
      <w:r>
        <w:rPr>
          <w:rFonts w:hint="default" w:ascii="Times New Roman" w:hAnsi="Times New Roman" w:cs="Times New Roman" w:eastAsiaTheme="minorEastAsia"/>
          <w:color w:val="auto"/>
        </w:rPr>
        <w:t>，大气污染物可实现达标排放</w:t>
      </w:r>
      <w:r>
        <w:rPr>
          <w:rFonts w:hint="default" w:ascii="Times New Roman" w:hAnsi="Times New Roman" w:cs="Times New Roman" w:eastAsiaTheme="minorEastAsia"/>
          <w:color w:val="auto"/>
          <w:lang w:eastAsia="zh-CN"/>
        </w:rPr>
        <w:t>；氨、硫化氢经除臭系统（碱吸收）治理后通过</w:t>
      </w:r>
      <w:r>
        <w:rPr>
          <w:rFonts w:hint="default" w:ascii="Times New Roman" w:hAnsi="Times New Roman" w:cs="Times New Roman" w:eastAsiaTheme="minorEastAsia"/>
          <w:color w:val="auto"/>
          <w:lang w:val="en-US" w:eastAsia="zh-CN"/>
        </w:rPr>
        <w:t>15m排气筒DA010排放，排放速率能满足《恶臭污染物排放标准》（</w:t>
      </w:r>
      <w:r>
        <w:rPr>
          <w:rFonts w:hint="default" w:ascii="Times New Roman" w:hAnsi="Times New Roman" w:eastAsia="宋体" w:cs="Times New Roman"/>
          <w:color w:val="auto"/>
          <w:kern w:val="2"/>
          <w:lang w:val="en-US" w:eastAsia="zh-CN"/>
        </w:rPr>
        <w:t>GB14554-93</w:t>
      </w:r>
      <w:r>
        <w:rPr>
          <w:rFonts w:hint="default" w:ascii="Times New Roman" w:hAnsi="Times New Roman" w:cs="Times New Roman" w:eastAsiaTheme="minorEastAsia"/>
          <w:color w:val="auto"/>
          <w:lang w:val="en-US" w:eastAsia="zh-CN"/>
        </w:rPr>
        <w:t>）15m</w:t>
      </w:r>
      <w:r>
        <w:rPr>
          <w:rFonts w:hint="default" w:ascii="Times New Roman" w:hAnsi="Times New Roman" w:cs="Times New Roman" w:eastAsiaTheme="minorEastAsia"/>
          <w:color w:val="auto"/>
        </w:rPr>
        <w:t>高排气筒</w:t>
      </w:r>
      <w:r>
        <w:rPr>
          <w:rFonts w:hint="default" w:ascii="Times New Roman" w:hAnsi="Times New Roman" w:cs="Times New Roman" w:eastAsiaTheme="minorEastAsia"/>
          <w:color w:val="auto"/>
          <w:lang w:eastAsia="zh-CN"/>
        </w:rPr>
        <w:t>的二级标准值</w:t>
      </w:r>
      <w:r>
        <w:rPr>
          <w:rFonts w:hint="default" w:ascii="Times New Roman" w:hAnsi="Times New Roman" w:cs="Times New Roman" w:eastAsiaTheme="minorEastAsia"/>
          <w:color w:val="auto"/>
          <w:lang w:val="en-US" w:eastAsia="zh-CN"/>
        </w:rPr>
        <w:t>要求</w:t>
      </w:r>
      <w:r>
        <w:rPr>
          <w:rFonts w:hint="default" w:ascii="Times New Roman" w:hAnsi="Times New Roman" w:cs="Times New Roman" w:eastAsiaTheme="minorEastAsia"/>
          <w:color w:val="auto"/>
        </w:rPr>
        <w:t>。</w:t>
      </w:r>
    </w:p>
    <w:p>
      <w:pPr>
        <w:spacing w:line="360" w:lineRule="auto"/>
        <w:ind w:firstLine="480" w:firstLineChars="20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（2）根据估算结果，</w:t>
      </w:r>
      <w:r>
        <w:rPr>
          <w:rFonts w:hint="default" w:ascii="Times New Roman" w:hAnsi="Times New Roman" w:cs="Times New Roman"/>
          <w:color w:val="auto"/>
        </w:rPr>
        <w:t>本项目</w:t>
      </w:r>
      <w:r>
        <w:rPr>
          <w:rFonts w:hint="default" w:ascii="Times New Roman" w:hAnsi="Times New Roman" w:cs="Times New Roman"/>
          <w:color w:val="auto"/>
          <w:lang w:eastAsia="zh-CN"/>
        </w:rPr>
        <w:t>叠加原有项目后</w:t>
      </w:r>
      <w:r>
        <w:rPr>
          <w:rFonts w:hint="default" w:ascii="Times New Roman" w:hAnsi="Times New Roman" w:cs="Times New Roman"/>
          <w:color w:val="auto"/>
        </w:rPr>
        <w:t>Pmax为</w:t>
      </w:r>
      <w:r>
        <w:rPr>
          <w:rFonts w:hint="default" w:ascii="Times New Roman" w:hAnsi="Times New Roman" w:cs="Times New Roman"/>
          <w:color w:val="auto"/>
          <w:lang w:val="en-US" w:eastAsia="zh-CN"/>
        </w:rPr>
        <w:t>5.9385</w:t>
      </w:r>
      <w:r>
        <w:rPr>
          <w:rFonts w:hint="default" w:ascii="Times New Roman" w:hAnsi="Times New Roman" w:cs="Times New Roman"/>
          <w:color w:val="auto"/>
        </w:rPr>
        <w:t>%，项目大气评价等级为二级评价，根据导则要求，二级评价不进行进一步预测评价。</w:t>
      </w:r>
      <w:r>
        <w:rPr>
          <w:rFonts w:hint="default" w:ascii="Times New Roman" w:hAnsi="Times New Roman" w:cs="Times New Roman"/>
          <w:color w:val="auto"/>
          <w:lang w:eastAsia="zh-CN"/>
        </w:rPr>
        <w:t>项目大气污染物治理后排放对环境空气的影响较小</w:t>
      </w:r>
      <w:r>
        <w:rPr>
          <w:rFonts w:hint="default" w:ascii="Times New Roman" w:hAnsi="Times New Roman" w:cs="Times New Roman"/>
          <w:color w:val="auto"/>
        </w:rPr>
        <w:t>。</w:t>
      </w:r>
    </w:p>
    <w:p>
      <w:pPr>
        <w:spacing w:line="360" w:lineRule="auto"/>
        <w:ind w:firstLine="480" w:firstLineChars="20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（3）</w:t>
      </w:r>
      <w:r>
        <w:rPr>
          <w:rFonts w:hint="default" w:ascii="Times New Roman" w:hAnsi="Times New Roman" w:cs="Times New Roman"/>
          <w:color w:val="auto"/>
        </w:rPr>
        <w:t>项目大气污染物厂界内外短期贡献浓度未超过环境质量浓度限值，不需设置大气防护距离；</w:t>
      </w:r>
      <w:r>
        <w:rPr>
          <w:rFonts w:hint="default" w:ascii="Times New Roman" w:hAnsi="Times New Roman" w:cs="Times New Roman" w:eastAsiaTheme="minorEastAsia"/>
          <w:color w:val="auto"/>
        </w:rPr>
        <w:t>项目的卫生防护距离为以项目切片车间边界外延50m的范围，该距离</w:t>
      </w:r>
      <w:r>
        <w:rPr>
          <w:rFonts w:hint="default" w:ascii="Times New Roman" w:hAnsi="Times New Roman" w:cs="Times New Roman" w:eastAsiaTheme="minorEastAsia"/>
          <w:color w:val="auto"/>
          <w:lang w:eastAsia="zh-CN"/>
        </w:rPr>
        <w:t>内没有居民点</w:t>
      </w:r>
      <w:r>
        <w:rPr>
          <w:rFonts w:hint="default" w:ascii="Times New Roman" w:hAnsi="Times New Roman" w:cs="Times New Roman" w:eastAsiaTheme="minorEastAsia"/>
          <w:color w:val="auto"/>
        </w:rPr>
        <w:t>。</w:t>
      </w:r>
    </w:p>
    <w:p>
      <w:pPr>
        <w:spacing w:line="360" w:lineRule="auto"/>
        <w:ind w:firstLine="480" w:firstLineChars="200"/>
        <w:rPr>
          <w:rFonts w:hint="default" w:ascii="Times New Roman" w:hAnsi="Times New Roman" w:cs="Times New Roman" w:eastAsiaTheme="minorEastAsia"/>
          <w:color w:val="FF0000"/>
        </w:rPr>
      </w:pPr>
      <w:r>
        <w:rPr>
          <w:rFonts w:hint="default" w:ascii="Times New Roman" w:hAnsi="Times New Roman" w:cs="Times New Roman" w:eastAsiaTheme="minorEastAsia"/>
          <w:color w:val="auto"/>
        </w:rPr>
        <w:t>（4）从环境管理的角度出发，建设单位在日常生产中必须严格设备的管理、维护及检修，设专人负责，加强巡查，发生问题及时停厂维护，尽量避免非正常排放的发生，以免对周围环境造成大的影响</w:t>
      </w:r>
      <w:r>
        <w:rPr>
          <w:rFonts w:hint="default" w:ascii="Times New Roman" w:hAnsi="Times New Roman" w:cs="Times New Roman" w:eastAsiaTheme="minorEastAsia"/>
          <w:color w:val="FF0000"/>
        </w:rPr>
        <w:t>。</w:t>
      </w:r>
    </w:p>
    <w:bookmarkEnd w:id="1146"/>
    <w:bookmarkEnd w:id="1147"/>
    <w:bookmarkEnd w:id="1148"/>
    <w:bookmarkEnd w:id="1149"/>
    <w:bookmarkEnd w:id="1150"/>
    <w:bookmarkEnd w:id="1151"/>
    <w:bookmarkEnd w:id="1152"/>
    <w:p>
      <w:pPr>
        <w:spacing w:line="360" w:lineRule="auto"/>
        <w:ind w:firstLine="482" w:firstLineChars="200"/>
        <w:rPr>
          <w:rFonts w:hint="default" w:ascii="Times New Roman" w:hAnsi="Times New Roman" w:eastAsia="宋体" w:cs="Times New Roman"/>
          <w:b/>
          <w:bCs/>
          <w:color w:val="auto"/>
          <w:lang w:val="en-US" w:eastAsia="zh-CN"/>
        </w:rPr>
      </w:pPr>
      <w:bookmarkStart w:id="1153" w:name="_Toc303698920"/>
      <w:bookmarkStart w:id="1154" w:name="_Toc249751044"/>
      <w:bookmarkStart w:id="1155" w:name="_Toc245864019"/>
      <w:bookmarkStart w:id="1156" w:name="_Toc246843861"/>
      <w:bookmarkStart w:id="1157" w:name="_Toc249492544"/>
      <w:bookmarkStart w:id="1158" w:name="_Toc303409469"/>
      <w:bookmarkStart w:id="1159" w:name="_Toc241120199"/>
      <w:r>
        <w:rPr>
          <w:rFonts w:hint="default" w:ascii="Times New Roman" w:hAnsi="Times New Roman" w:cs="Times New Roman"/>
          <w:b/>
          <w:bCs/>
          <w:color w:val="auto"/>
          <w:lang w:val="en-US" w:eastAsia="zh-CN"/>
        </w:rPr>
        <w:t>2、地表水环境影响评价结论</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b w:val="0"/>
          <w:bCs w:val="0"/>
          <w:color w:val="auto"/>
          <w:lang w:eastAsia="zh-CN"/>
        </w:rPr>
        <w:t>（</w:t>
      </w:r>
      <w:r>
        <w:rPr>
          <w:rFonts w:hint="default" w:ascii="Times New Roman" w:hAnsi="Times New Roman" w:cs="Times New Roman"/>
          <w:b w:val="0"/>
          <w:bCs w:val="0"/>
          <w:color w:val="auto"/>
          <w:lang w:val="en-US" w:eastAsia="zh-CN"/>
        </w:rPr>
        <w:t>1</w:t>
      </w:r>
      <w:r>
        <w:rPr>
          <w:rFonts w:hint="default" w:ascii="Times New Roman" w:hAnsi="Times New Roman" w:cs="Times New Roman"/>
          <w:b w:val="0"/>
          <w:bCs w:val="0"/>
          <w:color w:val="auto"/>
          <w:lang w:eastAsia="zh-CN"/>
        </w:rPr>
        <w:t>）</w:t>
      </w:r>
      <w:r>
        <w:rPr>
          <w:rFonts w:hint="default" w:ascii="Times New Roman" w:hAnsi="Times New Roman" w:cs="Times New Roman" w:eastAsiaTheme="minorEastAsia"/>
          <w:color w:val="auto"/>
        </w:rPr>
        <w:t>本项目运营期产生的各类废水均采取了预处理措施，处理工艺均为</w:t>
      </w:r>
      <w:r>
        <w:rPr>
          <w:rFonts w:hint="default" w:ascii="Times New Roman" w:hAnsi="Times New Roman" w:cs="Times New Roman"/>
          <w:color w:val="auto"/>
        </w:rPr>
        <w:t>排污许可证申请与核发技术规范推荐的可行技术，处置后的废水能满足</w:t>
      </w:r>
      <w:r>
        <w:rPr>
          <w:rFonts w:hint="default" w:ascii="Times New Roman" w:hAnsi="Times New Roman" w:cs="Times New Roman" w:eastAsiaTheme="minorEastAsia"/>
          <w:color w:val="auto"/>
          <w:lang w:eastAsia="zh-CN"/>
        </w:rPr>
        <w:t>本项目提出的排放限值要求</w:t>
      </w:r>
      <w:r>
        <w:rPr>
          <w:rFonts w:hint="default" w:ascii="Times New Roman" w:hAnsi="Times New Roman" w:cs="Times New Roman"/>
          <w:color w:val="auto"/>
        </w:rPr>
        <w:t>，因此本项目水污染控制和水环境影响减缓措施是有效可行的。</w:t>
      </w:r>
    </w:p>
    <w:p>
      <w:pPr>
        <w:spacing w:line="360" w:lineRule="auto"/>
        <w:ind w:firstLine="480" w:firstLineChars="200"/>
        <w:rPr>
          <w:rFonts w:hint="default" w:ascii="Times New Roman" w:hAnsi="Times New Roman" w:eastAsia="宋体" w:cs="Times New Roman"/>
          <w:b w:val="0"/>
          <w:bCs w:val="0"/>
          <w:color w:val="auto"/>
          <w:lang w:eastAsia="zh-CN"/>
        </w:rPr>
      </w:pPr>
      <w:r>
        <w:rPr>
          <w:rFonts w:hint="default" w:ascii="Times New Roman" w:hAnsi="Times New Roman" w:cs="Times New Roman"/>
          <w:b w:val="0"/>
          <w:bCs w:val="0"/>
          <w:color w:val="auto"/>
          <w:lang w:eastAsia="zh-CN"/>
        </w:rPr>
        <w:t>（</w:t>
      </w:r>
      <w:r>
        <w:rPr>
          <w:rFonts w:hint="default" w:ascii="Times New Roman" w:hAnsi="Times New Roman" w:cs="Times New Roman"/>
          <w:b w:val="0"/>
          <w:bCs w:val="0"/>
          <w:color w:val="auto"/>
          <w:lang w:val="en-US" w:eastAsia="zh-CN"/>
        </w:rPr>
        <w:t>2</w:t>
      </w:r>
      <w:r>
        <w:rPr>
          <w:rFonts w:hint="default" w:ascii="Times New Roman" w:hAnsi="Times New Roman" w:cs="Times New Roman"/>
          <w:b w:val="0"/>
          <w:bCs w:val="0"/>
          <w:color w:val="auto"/>
          <w:lang w:eastAsia="zh-CN"/>
        </w:rPr>
        <w:t>）由于青龙河现状水质不达标，楚雄市富民工业园区污水处理厂执行特别排放限值，为了减轻污水处理厂的处理负荷，本项目建成后全厂废水也需执行特别排放限值，厂区</w:t>
      </w:r>
      <w:r>
        <w:rPr>
          <w:rFonts w:hint="default" w:ascii="Times New Roman" w:hAnsi="Times New Roman" w:cs="Times New Roman"/>
          <w:color w:val="auto"/>
          <w:lang w:val="en-US" w:eastAsia="zh-CN"/>
        </w:rPr>
        <w:t>总排口污染物排放浓度COD不得高于271.95mg/L、BOD</w:t>
      </w:r>
      <w:r>
        <w:rPr>
          <w:rFonts w:hint="default" w:ascii="Times New Roman" w:hAnsi="Times New Roman" w:cs="Times New Roman"/>
          <w:color w:val="FF0000"/>
          <w:sz w:val="21"/>
          <w:szCs w:val="21"/>
          <w:vertAlign w:val="subscript"/>
        </w:rPr>
        <w:t>5</w:t>
      </w:r>
      <w:r>
        <w:rPr>
          <w:rFonts w:hint="default" w:ascii="Times New Roman" w:hAnsi="Times New Roman" w:cs="Times New Roman"/>
          <w:color w:val="auto"/>
          <w:lang w:val="en-US" w:eastAsia="zh-CN"/>
        </w:rPr>
        <w:t>不得高于35.76mg/L、总磷不得高于0.97mg/L</w:t>
      </w:r>
      <w:r>
        <w:rPr>
          <w:rFonts w:hint="default" w:ascii="Times New Roman" w:hAnsi="Times New Roman" w:cs="Times New Roman"/>
          <w:color w:val="auto"/>
          <w:lang w:val="en-US" w:eastAsia="zh-CN"/>
        </w:rPr>
        <w:t>。</w:t>
      </w:r>
    </w:p>
    <w:p>
      <w:pPr>
        <w:spacing w:line="360" w:lineRule="auto"/>
        <w:ind w:firstLine="482" w:firstLineChars="200"/>
        <w:rPr>
          <w:rFonts w:hint="default" w:ascii="Times New Roman" w:hAnsi="Times New Roman" w:cs="Times New Roman"/>
          <w:b/>
          <w:bCs/>
          <w:color w:val="auto"/>
        </w:rPr>
      </w:pPr>
      <w:r>
        <w:rPr>
          <w:rFonts w:hint="default" w:ascii="Times New Roman" w:hAnsi="Times New Roman" w:cs="Times New Roman"/>
          <w:b/>
          <w:bCs/>
          <w:color w:val="auto"/>
        </w:rPr>
        <w:t>3、声环境影响评价结论</w:t>
      </w:r>
      <w:bookmarkEnd w:id="1153"/>
      <w:bookmarkEnd w:id="1154"/>
      <w:bookmarkEnd w:id="1155"/>
      <w:bookmarkEnd w:id="1156"/>
      <w:bookmarkEnd w:id="1157"/>
      <w:bookmarkEnd w:id="1158"/>
      <w:bookmarkEnd w:id="1159"/>
    </w:p>
    <w:p>
      <w:pPr>
        <w:adjustRightInd w:val="0"/>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kern w:val="21"/>
        </w:rPr>
        <w:t>项目</w:t>
      </w:r>
      <w:r>
        <w:rPr>
          <w:rFonts w:hint="default" w:ascii="Times New Roman" w:hAnsi="Times New Roman" w:cs="Times New Roman"/>
          <w:color w:val="auto"/>
          <w:kern w:val="21"/>
          <w:lang w:eastAsia="zh-CN"/>
        </w:rPr>
        <w:t>厂区</w:t>
      </w:r>
      <w:r>
        <w:rPr>
          <w:rFonts w:hint="default" w:ascii="Times New Roman" w:hAnsi="Times New Roman" w:cs="Times New Roman"/>
          <w:color w:val="auto"/>
          <w:kern w:val="21"/>
          <w:lang w:val="en-US" w:eastAsia="zh-CN"/>
        </w:rPr>
        <w:t>200m</w:t>
      </w:r>
      <w:r>
        <w:rPr>
          <w:rFonts w:hint="default" w:ascii="Times New Roman" w:hAnsi="Times New Roman" w:cs="Times New Roman"/>
          <w:color w:val="auto"/>
          <w:kern w:val="21"/>
          <w:lang w:eastAsia="zh-CN"/>
        </w:rPr>
        <w:t>评价范围内无声环境保护目标</w:t>
      </w:r>
      <w:r>
        <w:rPr>
          <w:rFonts w:hint="default" w:ascii="Times New Roman" w:hAnsi="Times New Roman" w:cs="Times New Roman"/>
          <w:color w:val="auto"/>
          <w:kern w:val="21"/>
        </w:rPr>
        <w:t>，</w:t>
      </w:r>
      <w:r>
        <w:rPr>
          <w:rFonts w:hint="default" w:ascii="Times New Roman" w:hAnsi="Times New Roman" w:cs="Times New Roman"/>
          <w:color w:val="auto"/>
          <w:kern w:val="21"/>
          <w:lang w:eastAsia="zh-CN"/>
        </w:rPr>
        <w:t>因此本项目无需预测和评价声环境保护目标处噪声的贡献值和预测值，仅需对项目厂界噪声贡献值进行评价</w:t>
      </w:r>
      <w:r>
        <w:rPr>
          <w:rFonts w:hint="default" w:ascii="Times New Roman" w:hAnsi="Times New Roman" w:cs="Times New Roman"/>
          <w:color w:val="auto"/>
          <w:kern w:val="21"/>
          <w:lang w:eastAsia="zh-CN"/>
        </w:rPr>
        <w:t>。</w:t>
      </w:r>
      <w:r>
        <w:rPr>
          <w:rFonts w:hint="default" w:ascii="Times New Roman" w:hAnsi="Times New Roman" w:cs="Times New Roman"/>
          <w:color w:val="auto"/>
        </w:rPr>
        <w:t>项目通过采取设备置于室内、安装减震垫、距离衰减等措施处理后，</w:t>
      </w:r>
      <w:r>
        <w:rPr>
          <w:rFonts w:hint="default" w:ascii="Times New Roman" w:hAnsi="Times New Roman" w:cs="Times New Roman"/>
          <w:color w:val="auto"/>
          <w:lang w:eastAsia="zh-CN"/>
        </w:rPr>
        <w:t>项目厂界噪声贡献值叠加现有厂区噪声源进行预测后，</w:t>
      </w:r>
      <w:r>
        <w:rPr>
          <w:rFonts w:hint="default" w:ascii="Times New Roman" w:hAnsi="Times New Roman" w:cs="Times New Roman"/>
          <w:color w:val="auto"/>
        </w:rPr>
        <w:t>厂界噪声</w:t>
      </w:r>
      <w:r>
        <w:rPr>
          <w:rFonts w:hint="default" w:ascii="Times New Roman" w:hAnsi="Times New Roman" w:cs="Times New Roman"/>
          <w:color w:val="auto"/>
          <w:lang w:eastAsia="zh-CN"/>
        </w:rPr>
        <w:t>贡献值能</w:t>
      </w:r>
      <w:r>
        <w:rPr>
          <w:rFonts w:hint="default" w:ascii="Times New Roman" w:hAnsi="Times New Roman" w:cs="Times New Roman"/>
          <w:color w:val="auto"/>
        </w:rPr>
        <w:t>满足《工业企业厂界环境噪声排放标准》（GB12348-2008）的3类标准要求，项目噪声对声环境影响不大。</w:t>
      </w:r>
    </w:p>
    <w:p>
      <w:pPr>
        <w:spacing w:line="360" w:lineRule="auto"/>
        <w:ind w:firstLine="482" w:firstLineChars="200"/>
        <w:rPr>
          <w:rFonts w:hint="default" w:ascii="Times New Roman" w:hAnsi="Times New Roman" w:cs="Times New Roman"/>
          <w:b/>
          <w:bCs/>
          <w:color w:val="auto"/>
        </w:rPr>
      </w:pPr>
      <w:bookmarkStart w:id="1160" w:name="_Toc246843862"/>
      <w:bookmarkStart w:id="1161" w:name="_Toc303409470"/>
      <w:bookmarkStart w:id="1162" w:name="_Toc249492545"/>
      <w:bookmarkStart w:id="1163" w:name="_Toc303698921"/>
      <w:bookmarkStart w:id="1164" w:name="_Toc249751045"/>
      <w:bookmarkStart w:id="1165" w:name="_Toc245864020"/>
      <w:r>
        <w:rPr>
          <w:rFonts w:hint="default" w:ascii="Times New Roman" w:hAnsi="Times New Roman" w:cs="Times New Roman"/>
          <w:b/>
          <w:bCs/>
          <w:color w:val="auto"/>
        </w:rPr>
        <w:t>4、固体废物环境影响评价结论</w:t>
      </w:r>
      <w:bookmarkEnd w:id="1160"/>
      <w:bookmarkEnd w:id="1161"/>
      <w:bookmarkEnd w:id="1162"/>
      <w:bookmarkEnd w:id="1163"/>
      <w:bookmarkEnd w:id="1164"/>
      <w:bookmarkEnd w:id="1165"/>
    </w:p>
    <w:p>
      <w:pPr>
        <w:pStyle w:val="64"/>
        <w:adjustRightInd w:val="0"/>
        <w:snapToGrid w:val="0"/>
        <w:spacing w:before="0" w:after="0"/>
        <w:rPr>
          <w:rFonts w:hint="default" w:ascii="Times New Roman" w:hAnsi="Times New Roman" w:cs="Times New Roman"/>
          <w:color w:val="auto"/>
        </w:rPr>
      </w:pPr>
      <w:bookmarkStart w:id="1166" w:name="_Toc22948"/>
      <w:bookmarkStart w:id="1167" w:name="_Toc11627"/>
      <w:bookmarkStart w:id="1168" w:name="_Toc19320"/>
      <w:bookmarkStart w:id="1169" w:name="_Toc15756"/>
      <w:bookmarkStart w:id="1170" w:name="_Toc688"/>
      <w:bookmarkStart w:id="1171" w:name="_Toc9360"/>
      <w:bookmarkStart w:id="1172" w:name="_Toc10108"/>
      <w:bookmarkStart w:id="1173" w:name="_Toc4045"/>
      <w:bookmarkStart w:id="1174" w:name="_Toc11280"/>
      <w:bookmarkStart w:id="1175" w:name="_Toc19964"/>
      <w:bookmarkStart w:id="1176" w:name="_Toc14473"/>
      <w:bookmarkStart w:id="1177" w:name="_Toc8527"/>
      <w:bookmarkStart w:id="1178" w:name="_Toc24608"/>
      <w:bookmarkStart w:id="1179" w:name="_Toc680"/>
      <w:r>
        <w:rPr>
          <w:rFonts w:hint="default" w:ascii="Times New Roman" w:hAnsi="Times New Roman" w:cs="Times New Roman"/>
          <w:color w:val="auto"/>
          <w:lang w:val="zh-CN"/>
        </w:rPr>
        <w:t>项目产生的生产固体废弃物固废均得到了可靠有效的处置措施，处置率达100%，对环境无影响</w:t>
      </w:r>
      <w:r>
        <w:rPr>
          <w:rFonts w:hint="default" w:ascii="Times New Roman" w:hAnsi="Times New Roman" w:cs="Times New Roman"/>
          <w:color w:val="auto"/>
        </w:rPr>
        <w:t>。</w:t>
      </w:r>
    </w:p>
    <w:p>
      <w:pPr>
        <w:adjustRightInd w:val="0"/>
        <w:snapToGrid w:val="0"/>
        <w:spacing w:line="360" w:lineRule="auto"/>
        <w:ind w:firstLine="482"/>
        <w:rPr>
          <w:rFonts w:hint="default" w:ascii="Times New Roman" w:hAnsi="Times New Roman" w:cs="Times New Roman"/>
          <w:color w:val="auto"/>
        </w:rPr>
      </w:pPr>
      <w:r>
        <w:rPr>
          <w:rFonts w:hint="default" w:ascii="Times New Roman" w:hAnsi="Times New Roman" w:cs="Times New Roman"/>
          <w:color w:val="auto"/>
        </w:rPr>
        <w:t>5、</w:t>
      </w:r>
      <w:r>
        <w:rPr>
          <w:rFonts w:hint="default" w:ascii="Times New Roman" w:hAnsi="Times New Roman" w:cs="Times New Roman"/>
          <w:b/>
          <w:bCs/>
          <w:color w:val="auto"/>
        </w:rPr>
        <w:t>环境风险评价结论</w:t>
      </w:r>
    </w:p>
    <w:p>
      <w:pPr>
        <w:adjustRightInd w:val="0"/>
        <w:snapToGrid w:val="0"/>
        <w:spacing w:line="360" w:lineRule="auto"/>
        <w:ind w:firstLine="482"/>
        <w:rPr>
          <w:rFonts w:hint="default" w:ascii="Times New Roman" w:hAnsi="Times New Roman" w:cs="Times New Roman"/>
        </w:rPr>
      </w:pPr>
      <w:r>
        <w:rPr>
          <w:rFonts w:hint="default" w:ascii="Times New Roman" w:hAnsi="Times New Roman" w:cs="Times New Roman"/>
        </w:rPr>
        <w:t>项目从环境风险防范、事故处置、应急预案三个层面，建立、制定了环境风险管理体系。本项目存在一定的环境风险，为防范风险事故的发生，本项目采取了先进的工艺技术，而且按照有关安全理念进行工程设计，本报告中提出了相应的风险防范措施，对化学品库进行监控和管理，并进行了相应的风险预测评价，项目的建设不可避免会存在一定的环境风险，但项目的环境风险处于环境可接受的水平，项目的环境风险防范措施可行。但建设单位必须高度重视，做到风险防范警钟常鸣，环境安全管理常抓不懈，严格落实各项风险防范措施，不断完善风险管理体系。只有这样才能有效降低风险事故发生概率、杜绝特大事故的发生隐患，同时项目建设方应针对本报告提出的环境风险，进行补充、完善应急预案的制定，可在较短时间内控制风险对环境的影响范围和程度。</w:t>
      </w:r>
    </w:p>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p>
      <w:pPr>
        <w:pStyle w:val="4"/>
        <w:spacing w:before="0" w:after="0" w:line="360" w:lineRule="auto"/>
        <w:rPr>
          <w:rFonts w:hint="default" w:ascii="Times New Roman" w:hAnsi="Times New Roman" w:eastAsia="宋体" w:cs="Times New Roman"/>
          <w:color w:val="auto"/>
          <w:sz w:val="28"/>
          <w:szCs w:val="28"/>
        </w:rPr>
      </w:pPr>
      <w:bookmarkStart w:id="1180" w:name="_Toc31122"/>
      <w:bookmarkStart w:id="1181" w:name="_Toc13194"/>
      <w:bookmarkStart w:id="1182" w:name="_Toc23994"/>
      <w:bookmarkStart w:id="1183" w:name="_Toc17043"/>
      <w:r>
        <w:rPr>
          <w:rFonts w:hint="default" w:ascii="Times New Roman" w:hAnsi="Times New Roman" w:eastAsia="宋体" w:cs="Times New Roman"/>
          <w:color w:val="auto"/>
          <w:sz w:val="28"/>
          <w:szCs w:val="28"/>
          <w:lang w:val="en-US" w:eastAsia="zh-CN"/>
        </w:rPr>
        <w:t>10</w:t>
      </w:r>
      <w:r>
        <w:rPr>
          <w:rFonts w:hint="default" w:ascii="Times New Roman" w:hAnsi="Times New Roman" w:eastAsia="宋体" w:cs="Times New Roman"/>
          <w:color w:val="auto"/>
          <w:sz w:val="28"/>
          <w:szCs w:val="28"/>
        </w:rPr>
        <w:t>.</w:t>
      </w:r>
      <w:r>
        <w:rPr>
          <w:rFonts w:hint="default" w:ascii="Times New Roman" w:hAnsi="Times New Roman" w:eastAsia="宋体" w:cs="Times New Roman"/>
          <w:color w:val="auto"/>
          <w:sz w:val="28"/>
          <w:szCs w:val="28"/>
          <w:lang w:val="en-US" w:eastAsia="zh-CN"/>
        </w:rPr>
        <w:t>4</w:t>
      </w:r>
      <w:r>
        <w:rPr>
          <w:rFonts w:hint="default" w:ascii="Times New Roman" w:hAnsi="Times New Roman" w:eastAsia="宋体" w:cs="Times New Roman"/>
          <w:color w:val="auto"/>
          <w:sz w:val="28"/>
          <w:szCs w:val="28"/>
        </w:rPr>
        <w:t>项目经济损益分析结论</w:t>
      </w:r>
      <w:bookmarkEnd w:id="1180"/>
      <w:bookmarkEnd w:id="1181"/>
      <w:bookmarkEnd w:id="1182"/>
      <w:bookmarkEnd w:id="1183"/>
    </w:p>
    <w:p>
      <w:pPr>
        <w:adjustRightInd w:val="0"/>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通过项目对社会经济效益、环境效益及所产生的正、负面影响进行对比和分析，本项目建成后的污染主要为废气、废水和固废的污染。只要严格执行国家规定的“三同时”原则，项目在生产工程中，严格进行管理，尽力保证相应的环保设施的正常运行，同时安排培训专职的环保管理人员，使整个项目的环境效益、经济效益和社会效益做到协调发展，对社会经济的发展和环境保护将起到促进作用。</w:t>
      </w:r>
    </w:p>
    <w:p>
      <w:pPr>
        <w:pStyle w:val="4"/>
        <w:spacing w:before="0" w:after="0" w:line="360" w:lineRule="auto"/>
        <w:rPr>
          <w:rFonts w:hint="default" w:ascii="Times New Roman" w:hAnsi="Times New Roman" w:eastAsia="宋体" w:cs="Times New Roman"/>
          <w:color w:val="auto"/>
          <w:sz w:val="28"/>
          <w:szCs w:val="28"/>
          <w:lang w:eastAsia="zh-CN"/>
        </w:rPr>
      </w:pPr>
      <w:bookmarkStart w:id="1184" w:name="_Toc11906"/>
      <w:bookmarkStart w:id="1185" w:name="_Toc28648"/>
      <w:bookmarkStart w:id="1186" w:name="_Toc4082"/>
      <w:bookmarkStart w:id="1187" w:name="_Toc14347"/>
      <w:r>
        <w:rPr>
          <w:rFonts w:hint="default" w:ascii="Times New Roman" w:hAnsi="Times New Roman" w:eastAsia="宋体" w:cs="Times New Roman"/>
          <w:color w:val="auto"/>
          <w:sz w:val="28"/>
          <w:szCs w:val="28"/>
          <w:lang w:val="en-US" w:eastAsia="zh-CN"/>
        </w:rPr>
        <w:t>10</w:t>
      </w:r>
      <w:r>
        <w:rPr>
          <w:rFonts w:hint="default" w:ascii="Times New Roman" w:hAnsi="Times New Roman" w:eastAsia="宋体" w:cs="Times New Roman"/>
          <w:color w:val="auto"/>
          <w:sz w:val="28"/>
          <w:szCs w:val="28"/>
        </w:rPr>
        <w:t>.</w:t>
      </w:r>
      <w:r>
        <w:rPr>
          <w:rFonts w:hint="default" w:ascii="Times New Roman" w:hAnsi="Times New Roman" w:eastAsia="宋体" w:cs="Times New Roman"/>
          <w:color w:val="auto"/>
          <w:sz w:val="28"/>
          <w:szCs w:val="28"/>
          <w:lang w:val="en-US" w:eastAsia="zh-CN"/>
        </w:rPr>
        <w:t>5</w:t>
      </w:r>
      <w:r>
        <w:rPr>
          <w:rFonts w:hint="default" w:ascii="Times New Roman" w:hAnsi="Times New Roman" w:eastAsia="宋体" w:cs="Times New Roman"/>
          <w:color w:val="auto"/>
          <w:sz w:val="28"/>
          <w:szCs w:val="28"/>
          <w:lang w:eastAsia="zh-CN"/>
        </w:rPr>
        <w:t>公众意见采纳情况</w:t>
      </w:r>
      <w:bookmarkEnd w:id="1184"/>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根据《环境影响评价公众参与办法》第三十一条规定，本项目位于楚雄工业园区</w:t>
      </w:r>
      <w:r>
        <w:rPr>
          <w:rFonts w:hint="default" w:ascii="Times New Roman" w:hAnsi="Times New Roman" w:cs="Times New Roman"/>
          <w:color w:val="auto"/>
          <w:lang w:eastAsia="zh-CN"/>
        </w:rPr>
        <w:t>富民庄甸工业区</w:t>
      </w:r>
      <w:r>
        <w:rPr>
          <w:rFonts w:hint="default" w:ascii="Times New Roman" w:hAnsi="Times New Roman" w:cs="Times New Roman"/>
          <w:color w:val="auto"/>
        </w:rPr>
        <w:t>内，园区已开展了规划环评公众参与，本项目亦符合园区准入条件，可免予进行第一次公众参与公示。因此，本项目未进行第一次公众参与公示。</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在收集和核实有关资料，认真研究项目相关情况的基础上，202</w:t>
      </w:r>
      <w:r>
        <w:rPr>
          <w:rFonts w:hint="default" w:ascii="Times New Roman" w:hAnsi="Times New Roman" w:cs="Times New Roman"/>
          <w:color w:val="auto"/>
          <w:lang w:val="en-US" w:eastAsia="zh-CN"/>
        </w:rPr>
        <w:t>3</w:t>
      </w:r>
      <w:r>
        <w:rPr>
          <w:rFonts w:hint="default" w:ascii="Times New Roman" w:hAnsi="Times New Roman" w:cs="Times New Roman"/>
          <w:color w:val="auto"/>
        </w:rPr>
        <w:t>年</w:t>
      </w:r>
      <w:r>
        <w:rPr>
          <w:rFonts w:hint="default" w:ascii="Times New Roman" w:hAnsi="Times New Roman" w:cs="Times New Roman"/>
          <w:color w:val="auto"/>
          <w:lang w:val="en-US" w:eastAsia="zh-CN"/>
        </w:rPr>
        <w:t>5</w:t>
      </w:r>
      <w:r>
        <w:rPr>
          <w:rFonts w:hint="default" w:ascii="Times New Roman" w:hAnsi="Times New Roman" w:cs="Times New Roman"/>
          <w:color w:val="auto"/>
        </w:rPr>
        <w:t>月编制完成环境影响报告书初稿；202</w:t>
      </w:r>
      <w:r>
        <w:rPr>
          <w:rFonts w:hint="default" w:ascii="Times New Roman" w:hAnsi="Times New Roman" w:cs="Times New Roman"/>
          <w:color w:val="auto"/>
          <w:lang w:val="en-US" w:eastAsia="zh-CN"/>
        </w:rPr>
        <w:t>3</w:t>
      </w:r>
      <w:r>
        <w:rPr>
          <w:rFonts w:hint="default" w:ascii="Times New Roman" w:hAnsi="Times New Roman" w:cs="Times New Roman"/>
          <w:color w:val="auto"/>
        </w:rPr>
        <w:t>年</w:t>
      </w:r>
      <w:r>
        <w:rPr>
          <w:rFonts w:hint="default" w:ascii="Times New Roman" w:hAnsi="Times New Roman" w:cs="Times New Roman"/>
          <w:color w:val="auto"/>
          <w:lang w:val="en-US" w:eastAsia="zh-CN"/>
        </w:rPr>
        <w:t>5</w:t>
      </w:r>
      <w:r>
        <w:rPr>
          <w:rFonts w:hint="default" w:ascii="Times New Roman" w:hAnsi="Times New Roman" w:cs="Times New Roman"/>
          <w:color w:val="auto"/>
        </w:rPr>
        <w:t>月</w:t>
      </w:r>
      <w:r>
        <w:rPr>
          <w:rFonts w:hint="default" w:ascii="Times New Roman" w:hAnsi="Times New Roman" w:cs="Times New Roman"/>
          <w:color w:val="auto"/>
          <w:lang w:val="en-US" w:eastAsia="zh-CN"/>
        </w:rPr>
        <w:t>1</w:t>
      </w:r>
      <w:r>
        <w:rPr>
          <w:rFonts w:hint="default" w:ascii="Times New Roman" w:hAnsi="Times New Roman" w:cs="Times New Roman"/>
          <w:color w:val="auto"/>
          <w:lang w:val="en-US" w:eastAsia="zh-CN"/>
        </w:rPr>
        <w:t>9</w:t>
      </w:r>
      <w:r>
        <w:rPr>
          <w:rFonts w:hint="default" w:ascii="Times New Roman" w:hAnsi="Times New Roman" w:cs="Times New Roman"/>
          <w:color w:val="auto"/>
        </w:rPr>
        <w:t>日至</w:t>
      </w:r>
      <w:r>
        <w:rPr>
          <w:rFonts w:hint="default" w:ascii="Times New Roman" w:hAnsi="Times New Roman" w:cs="Times New Roman"/>
          <w:color w:val="auto"/>
          <w:lang w:val="en-US" w:eastAsia="zh-CN"/>
        </w:rPr>
        <w:t>5</w:t>
      </w:r>
      <w:r>
        <w:rPr>
          <w:rFonts w:hint="default" w:ascii="Times New Roman" w:hAnsi="Times New Roman" w:cs="Times New Roman"/>
          <w:color w:val="auto"/>
        </w:rPr>
        <w:t>月</w:t>
      </w:r>
      <w:r>
        <w:rPr>
          <w:rFonts w:hint="default" w:ascii="Times New Roman" w:hAnsi="Times New Roman" w:cs="Times New Roman"/>
          <w:color w:val="auto"/>
          <w:lang w:val="en-US" w:eastAsia="zh-CN"/>
        </w:rPr>
        <w:t>2</w:t>
      </w:r>
      <w:r>
        <w:rPr>
          <w:rFonts w:hint="default" w:ascii="Times New Roman" w:hAnsi="Times New Roman" w:cs="Times New Roman"/>
          <w:color w:val="auto"/>
          <w:lang w:val="en-US" w:eastAsia="zh-CN"/>
        </w:rPr>
        <w:t>6</w:t>
      </w:r>
      <w:r>
        <w:rPr>
          <w:rFonts w:hint="default" w:ascii="Times New Roman" w:hAnsi="Times New Roman" w:cs="Times New Roman"/>
          <w:color w:val="auto"/>
        </w:rPr>
        <w:t>日进行了第二次环境信息公示，在楚雄</w:t>
      </w:r>
      <w:r>
        <w:rPr>
          <w:rFonts w:hint="default" w:ascii="Times New Roman" w:hAnsi="Times New Roman" w:cs="Times New Roman"/>
          <w:color w:val="auto"/>
          <w:lang w:eastAsia="zh-CN"/>
        </w:rPr>
        <w:t>网</w:t>
      </w:r>
      <w:r>
        <w:rPr>
          <w:rFonts w:hint="default" w:ascii="Times New Roman" w:hAnsi="Times New Roman" w:cs="Times New Roman"/>
          <w:color w:val="auto"/>
        </w:rPr>
        <w:t>（https://www.chuxiong.com/forum.php?mod=viewthread&amp;tid=</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77038&amp;highlight）进行了征求意见稿公示，在楚雄日报进行了两次登报公示，广泛征求了公众意见。至截止日时，没有收到任何的回复意见及建议。为减少污染物对环境的影响，环评提出了相应的污染防治措施，要求建设单位在建设和运行过程中严格执行。</w:t>
      </w:r>
    </w:p>
    <w:p>
      <w:pPr>
        <w:pStyle w:val="4"/>
        <w:spacing w:before="0" w:after="0" w:line="360" w:lineRule="auto"/>
        <w:rPr>
          <w:rFonts w:hint="default" w:ascii="Times New Roman" w:hAnsi="Times New Roman" w:eastAsia="宋体" w:cs="Times New Roman"/>
          <w:color w:val="auto"/>
          <w:sz w:val="28"/>
          <w:szCs w:val="28"/>
        </w:rPr>
      </w:pPr>
      <w:bookmarkStart w:id="1188" w:name="_Toc4246"/>
      <w:r>
        <w:rPr>
          <w:rFonts w:hint="default" w:ascii="Times New Roman" w:hAnsi="Times New Roman" w:eastAsia="宋体" w:cs="Times New Roman"/>
          <w:color w:val="auto"/>
          <w:sz w:val="28"/>
          <w:szCs w:val="28"/>
          <w:lang w:val="en-US" w:eastAsia="zh-CN"/>
        </w:rPr>
        <w:t>10</w:t>
      </w:r>
      <w:r>
        <w:rPr>
          <w:rFonts w:hint="default" w:ascii="Times New Roman" w:hAnsi="Times New Roman" w:eastAsia="宋体" w:cs="Times New Roman"/>
          <w:color w:val="auto"/>
          <w:sz w:val="28"/>
          <w:szCs w:val="28"/>
        </w:rPr>
        <w:t>.6环境影响评价总结论</w:t>
      </w:r>
      <w:bookmarkEnd w:id="1185"/>
      <w:bookmarkEnd w:id="1186"/>
      <w:bookmarkEnd w:id="1187"/>
      <w:bookmarkEnd w:id="1188"/>
    </w:p>
    <w:bookmarkEnd w:id="1118"/>
    <w:p>
      <w:pPr>
        <w:adjustRightInd w:val="0"/>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年产</w:t>
      </w:r>
      <w:r>
        <w:rPr>
          <w:rFonts w:hint="default" w:ascii="Times New Roman" w:hAnsi="Times New Roman" w:cs="Times New Roman"/>
          <w:color w:val="auto"/>
          <w:lang w:val="en-US" w:eastAsia="zh-CN"/>
        </w:rPr>
        <w:t>3GW单晶硅片生产线</w:t>
      </w:r>
      <w:r>
        <w:rPr>
          <w:rFonts w:hint="default" w:ascii="Times New Roman" w:hAnsi="Times New Roman" w:cs="Times New Roman"/>
          <w:color w:val="auto"/>
        </w:rPr>
        <w:t>项目位于楚雄工业园区富民庄甸工业区，项目用地依托原有项目建设的厂房及基础设施，新增</w:t>
      </w:r>
      <w:r>
        <w:rPr>
          <w:rFonts w:hint="default" w:ascii="Times New Roman" w:hAnsi="Times New Roman" w:cs="Times New Roman"/>
          <w:color w:val="auto"/>
          <w:lang w:val="en-US" w:eastAsia="zh-CN"/>
        </w:rPr>
        <w:t>3GW</w:t>
      </w:r>
      <w:r>
        <w:rPr>
          <w:rFonts w:hint="default" w:ascii="Times New Roman" w:hAnsi="Times New Roman" w:cs="Times New Roman"/>
          <w:color w:val="auto"/>
        </w:rPr>
        <w:t>切片生产线，</w:t>
      </w:r>
      <w:r>
        <w:rPr>
          <w:rFonts w:hint="default" w:ascii="Times New Roman" w:hAnsi="Times New Roman" w:cs="Times New Roman"/>
          <w:color w:val="auto"/>
          <w:lang w:val="en-US" w:eastAsia="zh-CN"/>
        </w:rPr>
        <w:t>新增吸杂生产线，新增1套四级氢氧化钠洗涤塔及15m排气筒，其他基础设施全部依托现状已建成设施</w:t>
      </w:r>
      <w:r>
        <w:rPr>
          <w:rFonts w:hint="default" w:ascii="Times New Roman" w:hAnsi="Times New Roman" w:cs="Times New Roman"/>
          <w:color w:val="auto"/>
          <w:lang w:val="en-US" w:eastAsia="zh-CN"/>
        </w:rPr>
        <w:t>，</w:t>
      </w:r>
      <w:r>
        <w:rPr>
          <w:rFonts w:hint="default" w:ascii="Times New Roman" w:hAnsi="Times New Roman" w:cs="Times New Roman"/>
          <w:color w:val="auto"/>
        </w:rPr>
        <w:t>总投资1</w:t>
      </w:r>
      <w:r>
        <w:rPr>
          <w:rFonts w:hint="default" w:ascii="Times New Roman" w:hAnsi="Times New Roman" w:cs="Times New Roman"/>
          <w:color w:val="auto"/>
          <w:lang w:val="en-US" w:eastAsia="zh-CN"/>
        </w:rPr>
        <w:t>8</w:t>
      </w:r>
      <w:r>
        <w:rPr>
          <w:rFonts w:hint="default" w:ascii="Times New Roman" w:hAnsi="Times New Roman" w:cs="Times New Roman"/>
          <w:color w:val="auto"/>
        </w:rPr>
        <w:t>000万元。</w:t>
      </w:r>
    </w:p>
    <w:p>
      <w:pPr>
        <w:pStyle w:val="17"/>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项目产生的废气、废水、固废、噪声经各项污染防治措施治理后，污染物均能够实现达标排放，经环境影响预测，对当地环境影响较小，不会改变当地环境质量功能。</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项目的建设符合现行相关产业政策要求；项目所在地环境质量现状满足功能区划要求，有一定的环境容量；项目所采用的污染防治措施技术经济可行，废气、废水、噪声做到了达标排放，固废得到了综合利用或妥善处置，项目的建设对外环境影响不大，可以满足区域环境功能区划的要求；项目环境风险在落实各项措施和加强管理的条件下可控且在可接受范围内；根据建设单位提供的公众参与材料，项目的建设得到了公众的支持，无人持反对意见。</w:t>
      </w:r>
    </w:p>
    <w:p>
      <w:pPr>
        <w:pStyle w:val="17"/>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综上所述，从环保角度论证，本项目的建设具有环境可行性。</w:t>
      </w:r>
    </w:p>
    <w:p>
      <w:pPr>
        <w:spacing w:line="360" w:lineRule="auto"/>
        <w:ind w:firstLine="480" w:firstLineChars="200"/>
        <w:rPr>
          <w:rFonts w:hint="default" w:ascii="Times New Roman" w:hAnsi="Times New Roman" w:cs="Times New Roman"/>
          <w:color w:val="FF0000"/>
        </w:rPr>
      </w:pPr>
    </w:p>
    <w:sectPr>
      <w:headerReference r:id="rId8" w:type="default"/>
      <w:footerReference r:id="rId9" w:type="default"/>
      <w:pgSz w:w="11906" w:h="16838"/>
      <w:pgMar w:top="1440" w:right="1797" w:bottom="1440" w:left="1797" w:header="851" w:footer="992"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AFF" w:usb1="C0007841" w:usb2="00000009" w:usb3="00000000" w:csb0="400001FF" w:csb1="FFFF0000"/>
  </w:font>
  <w:font w:name="宋体">
    <w:panose1 w:val="02010600030101010101"/>
    <w:charset w:val="12"/>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Verdana">
    <w:panose1 w:val="020B0604030504040204"/>
    <w:charset w:val="00"/>
    <w:family w:val="swiss"/>
    <w:pitch w:val="default"/>
    <w:sig w:usb0="A10006FF" w:usb1="4000205B" w:usb2="00000010" w:usb3="00000000" w:csb0="2000019F" w:csb1="00000000"/>
  </w:font>
  <w:font w:name="仿宋_GB2312">
    <w:panose1 w:val="02010609030101010101"/>
    <w:charset w:val="86"/>
    <w:family w:val="modern"/>
    <w:pitch w:val="default"/>
    <w:sig w:usb0="00000001" w:usb1="080E0000" w:usb2="00000000" w:usb3="00000000" w:csb0="00040000" w:csb1="00000000"/>
  </w:font>
  <w:font w:name="Arial Black">
    <w:panose1 w:val="020B0A04020102020204"/>
    <w:charset w:val="00"/>
    <w:family w:val="swiss"/>
    <w:pitch w:val="default"/>
    <w:sig w:usb0="00000287" w:usb1="00000000" w:usb2="00000000" w:usb3="00000000" w:csb0="2000009F" w:csb1="DFD70000"/>
  </w:font>
  <w:font w:name="Arial Unicode MS">
    <w:panose1 w:val="020B0604020202020204"/>
    <w:charset w:val="86"/>
    <w:family w:val="auto"/>
    <w:pitch w:val="default"/>
    <w:sig w:usb0="FFFFFFFF" w:usb1="E9FFFFFF" w:usb2="0000003F" w:usb3="00000000" w:csb0="603F01FF" w:csb1="FFFF0000"/>
  </w:font>
  <w:font w:name="ST Song Std">
    <w:altName w:val="宋体"/>
    <w:panose1 w:val="00000000000000000000"/>
    <w:charset w:val="86"/>
    <w:family w:val="roman"/>
    <w:pitch w:val="default"/>
    <w:sig w:usb0="00000000" w:usb1="00000000" w:usb2="00000010" w:usb3="00000000" w:csb0="00040000" w:csb1="00000000"/>
  </w:font>
  <w:font w:name="方正仿宋简体">
    <w:panose1 w:val="02010601030101010101"/>
    <w:charset w:val="86"/>
    <w:family w:val="auto"/>
    <w:pitch w:val="default"/>
    <w:sig w:usb0="00000001" w:usb1="080E0000" w:usb2="00000000" w:usb3="00000000" w:csb0="00040000" w:csb1="00000000"/>
  </w:font>
  <w:font w:name="等线">
    <w:altName w:val="微软雅黑"/>
    <w:panose1 w:val="00000000000000000000"/>
    <w:charset w:val="86"/>
    <w:family w:val="auto"/>
    <w:pitch w:val="default"/>
    <w:sig w:usb0="00000000" w:usb1="00000000" w:usb2="00000016" w:usb3="00000000" w:csb0="0004000F" w:csb1="00000000"/>
  </w:font>
  <w:font w:name="MingLiU">
    <w:panose1 w:val="02020509000000000000"/>
    <w:charset w:val="88"/>
    <w:family w:val="modern"/>
    <w:pitch w:val="default"/>
    <w:sig w:usb0="A00002FF" w:usb1="28CFFCFA" w:usb2="00000016" w:usb3="00000000" w:csb0="00100001" w:csb1="00000000"/>
  </w:font>
  <w:font w:name="Wingdings 2">
    <w:panose1 w:val="05020102010507070707"/>
    <w:charset w:val="02"/>
    <w:family w:val="roman"/>
    <w:pitch w:val="default"/>
    <w:sig w:usb0="00000000" w:usb1="00000000" w:usb2="00000000" w:usb3="00000000" w:csb0="80000000" w:csb1="00000000"/>
  </w:font>
  <w:font w:name="新宋体">
    <w:panose1 w:val="02010609030101010101"/>
    <w:charset w:val="86"/>
    <w:family w:val="modern"/>
    <w:pitch w:val="default"/>
    <w:sig w:usb0="00000003" w:usb1="288F0000" w:usb2="0000000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top w:val="thickThinSmallGap" w:color="auto" w:sz="24" w:space="1"/>
      </w:pBdr>
      <w:ind w:right="26"/>
      <w:jc w:val="center"/>
      <w:rPr>
        <w:rFonts w:ascii="仿宋_GB2312" w:eastAsia="仿宋_GB2312"/>
        <w:sz w:val="21"/>
        <w:szCs w:val="21"/>
      </w:rP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4935" cy="262890"/>
              <wp:effectExtent l="0" t="0" r="0" b="0"/>
              <wp:wrapNone/>
              <wp:docPr id="21" name="文本框 5"/>
              <wp:cNvGraphicFramePr/>
              <a:graphic xmlns:a="http://schemas.openxmlformats.org/drawingml/2006/main">
                <a:graphicData uri="http://schemas.microsoft.com/office/word/2010/wordprocessingShape">
                  <wps:wsp>
                    <wps:cNvSpPr txBox="1"/>
                    <wps:spPr>
                      <a:xfrm>
                        <a:off x="0" y="0"/>
                        <a:ext cx="114935" cy="262890"/>
                      </a:xfrm>
                      <a:prstGeom prst="rect">
                        <a:avLst/>
                      </a:prstGeom>
                      <a:noFill/>
                      <a:ln w="9525">
                        <a:noFill/>
                      </a:ln>
                      <a:effectLst/>
                    </wps:spPr>
                    <wps:txbx>
                      <w:txbxContent>
                        <w:p>
                          <w:pPr>
                            <w:snapToGrid w:val="0"/>
                            <w:rPr>
                              <w:sz w:val="18"/>
                            </w:rPr>
                          </w:pPr>
                        </w:p>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I</w:t>
                          </w:r>
                          <w:r>
                            <w:rPr>
                              <w:rFonts w:hint="eastAsia"/>
                              <w:sz w:val="18"/>
                            </w:rPr>
                            <w:fldChar w:fldCharType="end"/>
                          </w:r>
                        </w:p>
                      </w:txbxContent>
                    </wps:txbx>
                    <wps:bodyPr wrap="none" lIns="0" tIns="0" rIns="0" bIns="0">
                      <a:spAutoFit/>
                    </wps:bodyPr>
                  </wps:wsp>
                </a:graphicData>
              </a:graphic>
            </wp:anchor>
          </w:drawing>
        </mc:Choice>
        <mc:Fallback>
          <w:pict>
            <v:shape id="文本框 5" o:spid="_x0000_s1026" o:spt="202" type="#_x0000_t202" style="position:absolute;left:0pt;margin-top:0pt;height:20.7pt;width:9.05pt;mso-position-horizontal:center;mso-position-horizontal-relative:margin;mso-wrap-style:none;z-index:251660288;mso-width-relative:page;mso-height-relative:page;" filled="f" stroked="f" coordsize="21600,21600" o:gfxdata="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GpdcnnQAAAAAwEAAA8AAAAAAAAAAQAgAAAAIgAA&#10;AGRycy9kb3ducmV2LnhtbFBLAQIUABQAAAAIAIdO4kCiv+7p1wEAAKMDAAAOAAAAAAAAAAEAIAAA&#10;AB8BAABkcnMvZTJvRG9jLnhtbFBLBQYAAAAABgAGAFkBAABoBQAAAAA=&#10;">
              <v:fill on="f" focussize="0,0"/>
              <v:stroke on="f"/>
              <v:imagedata o:title=""/>
              <o:lock v:ext="edit" aspectratio="f"/>
              <v:textbox inset="0mm,0mm,0mm,0mm" style="mso-fit-shape-to-text:t;">
                <w:txbxContent>
                  <w:p>
                    <w:pPr>
                      <w:snapToGrid w:val="0"/>
                      <w:rPr>
                        <w:sz w:val="18"/>
                      </w:rPr>
                    </w:pPr>
                  </w:p>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I</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top w:val="thickThinSmallGap" w:color="auto" w:sz="24" w:space="1"/>
      </w:pBdr>
      <w:ind w:right="26"/>
      <w:jc w:val="center"/>
      <w:rPr>
        <w:rFonts w:ascii="仿宋_GB2312" w:eastAsia="仿宋_GB2312"/>
        <w:sz w:val="21"/>
        <w:szCs w:val="21"/>
      </w:rPr>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14935" cy="262890"/>
              <wp:effectExtent l="0" t="0" r="0" b="0"/>
              <wp:wrapNone/>
              <wp:docPr id="22" name="文本框 5"/>
              <wp:cNvGraphicFramePr/>
              <a:graphic xmlns:a="http://schemas.openxmlformats.org/drawingml/2006/main">
                <a:graphicData uri="http://schemas.microsoft.com/office/word/2010/wordprocessingShape">
                  <wps:wsp>
                    <wps:cNvSpPr txBox="1"/>
                    <wps:spPr>
                      <a:xfrm>
                        <a:off x="0" y="0"/>
                        <a:ext cx="114935" cy="262890"/>
                      </a:xfrm>
                      <a:prstGeom prst="rect">
                        <a:avLst/>
                      </a:prstGeom>
                      <a:noFill/>
                      <a:ln w="9525">
                        <a:noFill/>
                      </a:ln>
                      <a:effectLst/>
                    </wps:spPr>
                    <wps:txbx>
                      <w:txbxContent>
                        <w:p>
                          <w:pPr>
                            <w:snapToGrid w:val="0"/>
                            <w:rPr>
                              <w:sz w:val="18"/>
                            </w:rPr>
                          </w:pPr>
                        </w:p>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263</w:t>
                          </w:r>
                          <w:r>
                            <w:rPr>
                              <w:rFonts w:hint="eastAsia"/>
                              <w:sz w:val="18"/>
                            </w:rPr>
                            <w:fldChar w:fldCharType="end"/>
                          </w:r>
                        </w:p>
                      </w:txbxContent>
                    </wps:txbx>
                    <wps:bodyPr wrap="none" lIns="0" tIns="0" rIns="0" bIns="0">
                      <a:spAutoFit/>
                    </wps:bodyPr>
                  </wps:wsp>
                </a:graphicData>
              </a:graphic>
            </wp:anchor>
          </w:drawing>
        </mc:Choice>
        <mc:Fallback>
          <w:pict>
            <v:shape id="文本框 5" o:spid="_x0000_s1026" o:spt="202" type="#_x0000_t202" style="position:absolute;left:0pt;margin-top:0pt;height:20.7pt;width:9.05pt;mso-position-horizontal:center;mso-position-horizontal-relative:margin;mso-wrap-style:none;z-index:251661312;mso-width-relative:page;mso-height-relative:page;" filled="f" stroked="f" coordsize="21600,21600" o:gfxdata="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al1yedAAAAADAQAADwAAAAAAAAABACAAAAAiAAAA&#10;ZHJzL2Rvd25yZXYueG1sUEsBAhQAFAAAAAgAh07iQM2g8HvWAQAAowMAAA4AAAAAAAAAAQAgAAAA&#10;HwEAAGRycy9lMm9Eb2MueG1sUEsFBgAAAAAGAAYAWQEAAGcFAAAAAA==&#10;">
              <v:fill on="f" focussize="0,0"/>
              <v:stroke on="f"/>
              <v:imagedata o:title=""/>
              <o:lock v:ext="edit" aspectratio="f"/>
              <v:textbox inset="0mm,0mm,0mm,0mm" style="mso-fit-shape-to-text:t;">
                <w:txbxContent>
                  <w:p>
                    <w:pPr>
                      <w:snapToGrid w:val="0"/>
                      <w:rPr>
                        <w:sz w:val="18"/>
                      </w:rPr>
                    </w:pPr>
                  </w:p>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263</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top w:val="thickThinSmallGap" w:color="auto" w:sz="24" w:space="1"/>
      </w:pBdr>
      <w:ind w:right="26"/>
      <w:jc w:val="center"/>
      <w:rPr>
        <w:rFonts w:ascii="仿宋_GB2312" w:eastAsia="仿宋_GB2312"/>
        <w:sz w:val="21"/>
        <w:szCs w:val="21"/>
      </w:rPr>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60325</wp:posOffset>
              </wp:positionV>
              <wp:extent cx="172085" cy="178435"/>
              <wp:effectExtent l="0" t="0" r="0" b="0"/>
              <wp:wrapNone/>
              <wp:docPr id="23" name="Text Box 1"/>
              <wp:cNvGraphicFramePr/>
              <a:graphic xmlns:a="http://schemas.openxmlformats.org/drawingml/2006/main">
                <a:graphicData uri="http://schemas.microsoft.com/office/word/2010/wordprocessingShape">
                  <wps:wsp>
                    <wps:cNvSpPr txBox="1">
                      <a:spLocks noChangeArrowheads="1"/>
                    </wps:cNvSpPr>
                    <wps:spPr bwMode="auto">
                      <a:xfrm>
                        <a:off x="0" y="0"/>
                        <a:ext cx="172085" cy="178435"/>
                      </a:xfrm>
                      <a:prstGeom prst="rect">
                        <a:avLst/>
                      </a:prstGeom>
                      <a:noFill/>
                      <a:ln>
                        <a:noFill/>
                      </a:ln>
                      <a:effectLst/>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271</w:t>
                          </w:r>
                          <w:r>
                            <w:rPr>
                              <w:rFonts w:hint="eastAsia"/>
                              <w:sz w:val="18"/>
                            </w:rPr>
                            <w:fldChar w:fldCharType="end"/>
                          </w:r>
                        </w:p>
                      </w:txbxContent>
                    </wps:txbx>
                    <wps:bodyPr rot="0" vert="horz" wrap="none" lIns="0" tIns="0" rIns="0" bIns="0" anchor="t" anchorCtr="0" upright="1">
                      <a:noAutofit/>
                    </wps:bodyPr>
                  </wps:wsp>
                </a:graphicData>
              </a:graphic>
            </wp:anchor>
          </w:drawing>
        </mc:Choice>
        <mc:Fallback>
          <w:pict>
            <v:shape id="Text Box 1" o:spid="_x0000_s1026" o:spt="202" type="#_x0000_t202" style="position:absolute;left:0pt;margin-top:4.75pt;height:14.05pt;width:13.55pt;mso-position-horizontal:center;mso-position-horizontal-relative:margin;mso-wrap-style:none;z-index:251661312;mso-width-relative:page;mso-height-relative:page;" filled="f" stroked="f" coordsize="21600,21600" o:gfxdata="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AlY19dMAAAAEAQAADwAAAAAAAAABACAAAAAiAAAAZHJzL2Rvd25yZXYu&#10;eG1sUEsBAhQAFAAAAAgAh07iQOP/nr8AAgAAEAQAAA4AAAAAAAAAAQAgAAAAIgEAAGRycy9lMm9E&#10;b2MueG1sUEsFBgAAAAAGAAYAWQEAAJQFAAAAAA==&#10;">
              <v:fill on="f" focussize="0,0"/>
              <v:stroke on="f"/>
              <v:imagedata o:title=""/>
              <o:lock v:ext="edit" aspectratio="f"/>
              <v:textbox inset="0mm,0mm,0mm,0mm">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271</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1"/>
      </w:pBdr>
      <w:tabs>
        <w:tab w:val="center" w:pos="4153"/>
        <w:tab w:val="right" w:pos="8306"/>
      </w:tabs>
      <w:jc w:val="distribute"/>
      <w:rPr>
        <w:rFonts w:ascii="仿宋_GB2312" w:eastAsia="仿宋_GB2312"/>
        <w:sz w:val="21"/>
        <w:szCs w:val="21"/>
      </w:rPr>
    </w:pPr>
    <w:r>
      <w:rPr>
        <w:rFonts w:hint="eastAsia" w:ascii="仿宋_GB2312" w:eastAsia="仿宋_GB2312"/>
        <w:sz w:val="21"/>
        <w:szCs w:val="21"/>
        <w:lang w:eastAsia="zh-CN"/>
      </w:rPr>
      <w:t>年产</w:t>
    </w:r>
    <w:r>
      <w:rPr>
        <w:rFonts w:hint="eastAsia" w:ascii="仿宋_GB2312" w:eastAsia="仿宋_GB2312"/>
        <w:sz w:val="21"/>
        <w:szCs w:val="21"/>
        <w:lang w:val="en-US" w:eastAsia="zh-CN"/>
      </w:rPr>
      <w:t>3GW单晶硅片生产线</w:t>
    </w:r>
    <w:r>
      <w:rPr>
        <w:rFonts w:hint="eastAsia" w:ascii="仿宋_GB2312" w:eastAsia="仿宋_GB2312"/>
        <w:sz w:val="21"/>
        <w:szCs w:val="21"/>
      </w:rPr>
      <w:t>项目环境影响报告书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1"/>
      </w:pBdr>
      <w:tabs>
        <w:tab w:val="center" w:pos="4153"/>
        <w:tab w:val="right" w:pos="8306"/>
      </w:tabs>
      <w:jc w:val="distribute"/>
      <w:rPr>
        <w:rFonts w:ascii="仿宋_GB2312" w:eastAsia="仿宋_GB2312"/>
        <w:sz w:val="21"/>
        <w:szCs w:val="21"/>
      </w:rPr>
    </w:pPr>
    <w:r>
      <w:rPr>
        <w:rFonts w:hint="eastAsia" w:ascii="仿宋_GB2312" w:eastAsia="仿宋_GB2312"/>
        <w:sz w:val="21"/>
        <w:szCs w:val="21"/>
        <w:lang w:eastAsia="zh-CN"/>
      </w:rPr>
      <w:t>年产</w:t>
    </w:r>
    <w:r>
      <w:rPr>
        <w:rFonts w:hint="eastAsia" w:ascii="仿宋_GB2312" w:eastAsia="仿宋_GB2312"/>
        <w:sz w:val="21"/>
        <w:szCs w:val="21"/>
        <w:lang w:val="en-US" w:eastAsia="zh-CN"/>
      </w:rPr>
      <w:t>3GW单晶硅片生产线</w:t>
    </w:r>
    <w:r>
      <w:rPr>
        <w:rFonts w:hint="eastAsia" w:ascii="仿宋_GB2312" w:eastAsia="仿宋_GB2312"/>
        <w:sz w:val="21"/>
        <w:szCs w:val="21"/>
      </w:rPr>
      <w:t>项目环境影响报告书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1"/>
      </w:pBdr>
      <w:tabs>
        <w:tab w:val="center" w:pos="4153"/>
        <w:tab w:val="right" w:pos="8306"/>
      </w:tabs>
      <w:jc w:val="distribute"/>
      <w:rPr>
        <w:rFonts w:ascii="仿宋_GB2312" w:eastAsia="仿宋_GB2312"/>
        <w:sz w:val="21"/>
        <w:szCs w:val="21"/>
      </w:rPr>
    </w:pPr>
    <w:r>
      <w:rPr>
        <w:rFonts w:hint="eastAsia" w:ascii="仿宋_GB2312" w:eastAsia="仿宋_GB2312"/>
        <w:sz w:val="21"/>
        <w:szCs w:val="21"/>
        <w:lang w:eastAsia="zh-CN"/>
      </w:rPr>
      <w:t>年产</w:t>
    </w:r>
    <w:r>
      <w:rPr>
        <w:rFonts w:hint="eastAsia" w:ascii="仿宋_GB2312" w:eastAsia="仿宋_GB2312"/>
        <w:sz w:val="21"/>
        <w:szCs w:val="21"/>
        <w:lang w:val="en-US" w:eastAsia="zh-CN"/>
      </w:rPr>
      <w:t>3GW单晶硅片生产线</w:t>
    </w:r>
    <w:r>
      <w:rPr>
        <w:rFonts w:hint="eastAsia" w:ascii="仿宋_GB2312" w:eastAsia="仿宋_GB2312"/>
        <w:sz w:val="21"/>
        <w:szCs w:val="21"/>
      </w:rPr>
      <w:t>项目环境影响报告书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1"/>
      </w:pBdr>
      <w:tabs>
        <w:tab w:val="center" w:pos="4153"/>
        <w:tab w:val="right" w:pos="8306"/>
      </w:tabs>
      <w:jc w:val="distribute"/>
      <w:rPr>
        <w:rFonts w:ascii="仿宋_GB2312" w:eastAsia="仿宋_GB2312"/>
        <w:sz w:val="21"/>
        <w:szCs w:val="21"/>
      </w:rPr>
    </w:pPr>
    <w:r>
      <w:rPr>
        <w:rFonts w:hint="eastAsia" w:ascii="仿宋_GB2312" w:eastAsia="仿宋_GB2312"/>
        <w:sz w:val="21"/>
        <w:szCs w:val="21"/>
        <w:lang w:eastAsia="zh-CN"/>
      </w:rPr>
      <w:t>年产</w:t>
    </w:r>
    <w:r>
      <w:rPr>
        <w:rFonts w:hint="eastAsia" w:ascii="仿宋_GB2312" w:eastAsia="仿宋_GB2312"/>
        <w:sz w:val="21"/>
        <w:szCs w:val="21"/>
        <w:lang w:val="en-US" w:eastAsia="zh-CN"/>
      </w:rPr>
      <w:t>3GW单晶硅片生产线</w:t>
    </w:r>
    <w:r>
      <w:rPr>
        <w:rFonts w:hint="eastAsia" w:ascii="仿宋_GB2312" w:eastAsia="仿宋_GB2312"/>
        <w:sz w:val="21"/>
        <w:szCs w:val="21"/>
      </w:rPr>
      <w:t>项目环境影响报告书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DB4912"/>
    <w:multiLevelType w:val="multilevel"/>
    <w:tmpl w:val="ADDB4912"/>
    <w:lvl w:ilvl="0" w:tentative="0">
      <w:start w:val="1"/>
      <w:numFmt w:val="decimal"/>
      <w:lvlText w:val="表3-%1"/>
      <w:lvlJc w:val="left"/>
      <w:pPr>
        <w:tabs>
          <w:tab w:val="left" w:pos="0"/>
        </w:tabs>
        <w:ind w:left="0" w:leftChars="0" w:firstLine="0" w:firstLineChars="0"/>
      </w:pPr>
      <w:rPr>
        <w:rFonts w:hint="default" w:ascii="Times New Roman" w:hAnsi="Times New Roman" w:eastAsia="宋体" w:cs="Times New Roman"/>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C36038DE"/>
    <w:multiLevelType w:val="multilevel"/>
    <w:tmpl w:val="C36038DE"/>
    <w:lvl w:ilvl="0" w:tentative="0">
      <w:start w:val="1"/>
      <w:numFmt w:val="decimal"/>
      <w:lvlText w:val="表4-%1"/>
      <w:lvlJc w:val="left"/>
      <w:pPr>
        <w:ind w:left="840" w:hanging="420"/>
      </w:pPr>
      <w:rPr>
        <w:rFonts w:hint="default" w:ascii="宋体" w:hAnsi="宋体" w:eastAsia="宋体" w:cs="宋体"/>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DD81C6F0"/>
    <w:multiLevelType w:val="multilevel"/>
    <w:tmpl w:val="DD81C6F0"/>
    <w:lvl w:ilvl="0" w:tentative="0">
      <w:start w:val="1"/>
      <w:numFmt w:val="decimal"/>
      <w:lvlText w:val="图3-%1"/>
      <w:lvlJc w:val="left"/>
      <w:pPr>
        <w:ind w:left="420" w:hanging="420"/>
      </w:pPr>
      <w:rPr>
        <w:rFonts w:hint="default" w:ascii="宋体" w:hAnsi="宋体" w:eastAsia="宋体" w:cs="宋体"/>
        <w:sz w:val="24"/>
        <w:szCs w:val="24"/>
      </w:rPr>
    </w:lvl>
    <w:lvl w:ilvl="1" w:tentative="0">
      <w:start w:val="1"/>
      <w:numFmt w:val="lowerLetter"/>
      <w:lvlText w:val="%2)"/>
      <w:lvlJc w:val="left"/>
      <w:pPr>
        <w:ind w:left="840" w:hanging="420"/>
      </w:pPr>
      <w:rPr>
        <w:rFonts w:hint="default" w:ascii="宋体" w:hAnsi="宋体" w:eastAsia="宋体" w:cs="宋体"/>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EC58F004"/>
    <w:multiLevelType w:val="multilevel"/>
    <w:tmpl w:val="EC58F004"/>
    <w:lvl w:ilvl="0" w:tentative="0">
      <w:start w:val="1"/>
      <w:numFmt w:val="decimal"/>
      <w:lvlText w:val="表7-%1"/>
      <w:lvlJc w:val="left"/>
      <w:pPr>
        <w:tabs>
          <w:tab w:val="left" w:pos="0"/>
        </w:tabs>
        <w:ind w:left="0" w:leftChars="0" w:firstLine="0" w:firstLineChars="0"/>
      </w:pPr>
      <w:rPr>
        <w:rFonts w:hint="default" w:ascii="宋体" w:hAnsi="宋体" w:eastAsia="宋体" w:cs="宋体"/>
        <w:sz w:val="24"/>
      </w:rPr>
    </w:lvl>
    <w:lvl w:ilvl="1" w:tentative="0">
      <w:start w:val="1"/>
      <w:numFmt w:val="lowerLetter"/>
      <w:lvlText w:val="%2)"/>
      <w:lvlJc w:val="left"/>
      <w:pPr>
        <w:ind w:left="2825" w:hanging="420"/>
      </w:pPr>
    </w:lvl>
    <w:lvl w:ilvl="2" w:tentative="0">
      <w:start w:val="1"/>
      <w:numFmt w:val="lowerRoman"/>
      <w:lvlText w:val="%3."/>
      <w:lvlJc w:val="right"/>
      <w:pPr>
        <w:ind w:left="3245" w:hanging="420"/>
      </w:pPr>
    </w:lvl>
    <w:lvl w:ilvl="3" w:tentative="0">
      <w:start w:val="1"/>
      <w:numFmt w:val="decimal"/>
      <w:lvlText w:val="%4."/>
      <w:lvlJc w:val="left"/>
      <w:pPr>
        <w:ind w:left="3665" w:hanging="420"/>
      </w:pPr>
    </w:lvl>
    <w:lvl w:ilvl="4" w:tentative="0">
      <w:start w:val="1"/>
      <w:numFmt w:val="lowerLetter"/>
      <w:lvlText w:val="%5)"/>
      <w:lvlJc w:val="left"/>
      <w:pPr>
        <w:ind w:left="4085" w:hanging="420"/>
      </w:pPr>
    </w:lvl>
    <w:lvl w:ilvl="5" w:tentative="0">
      <w:start w:val="1"/>
      <w:numFmt w:val="lowerRoman"/>
      <w:lvlText w:val="%6."/>
      <w:lvlJc w:val="right"/>
      <w:pPr>
        <w:ind w:left="4505" w:hanging="420"/>
      </w:pPr>
    </w:lvl>
    <w:lvl w:ilvl="6" w:tentative="0">
      <w:start w:val="1"/>
      <w:numFmt w:val="decimal"/>
      <w:lvlText w:val="%7."/>
      <w:lvlJc w:val="left"/>
      <w:pPr>
        <w:ind w:left="4925" w:hanging="420"/>
      </w:pPr>
    </w:lvl>
    <w:lvl w:ilvl="7" w:tentative="0">
      <w:start w:val="1"/>
      <w:numFmt w:val="lowerLetter"/>
      <w:lvlText w:val="%8)"/>
      <w:lvlJc w:val="left"/>
      <w:pPr>
        <w:ind w:left="5345" w:hanging="420"/>
      </w:pPr>
    </w:lvl>
    <w:lvl w:ilvl="8" w:tentative="0">
      <w:start w:val="1"/>
      <w:numFmt w:val="lowerRoman"/>
      <w:lvlText w:val="%9."/>
      <w:lvlJc w:val="right"/>
      <w:pPr>
        <w:ind w:left="5765" w:hanging="420"/>
      </w:pPr>
    </w:lvl>
  </w:abstractNum>
  <w:abstractNum w:abstractNumId="4">
    <w:nsid w:val="F9030E80"/>
    <w:multiLevelType w:val="multilevel"/>
    <w:tmpl w:val="F9030E80"/>
    <w:lvl w:ilvl="0" w:tentative="0">
      <w:start w:val="1"/>
      <w:numFmt w:val="decimal"/>
      <w:lvlText w:val="表3-%1"/>
      <w:lvlJc w:val="left"/>
      <w:pPr>
        <w:ind w:left="840" w:hanging="420"/>
      </w:pPr>
      <w:rPr>
        <w:rFonts w:hint="default" w:ascii="Times New Roman" w:hAnsi="Times New Roman" w:eastAsia="宋体" w:cs="Times New Roman"/>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FFFFFF7F"/>
    <w:multiLevelType w:val="singleLevel"/>
    <w:tmpl w:val="FFFFFF7F"/>
    <w:lvl w:ilvl="0" w:tentative="0">
      <w:start w:val="1"/>
      <w:numFmt w:val="decimal"/>
      <w:pStyle w:val="12"/>
      <w:lvlText w:val="%1."/>
      <w:lvlJc w:val="left"/>
      <w:pPr>
        <w:tabs>
          <w:tab w:val="left" w:pos="780"/>
        </w:tabs>
        <w:ind w:left="780" w:leftChars="200" w:hanging="360" w:hangingChars="200"/>
      </w:pPr>
    </w:lvl>
  </w:abstractNum>
  <w:abstractNum w:abstractNumId="6">
    <w:nsid w:val="FFFFFF83"/>
    <w:multiLevelType w:val="singleLevel"/>
    <w:tmpl w:val="FFFFFF83"/>
    <w:lvl w:ilvl="0" w:tentative="0">
      <w:start w:val="1"/>
      <w:numFmt w:val="bullet"/>
      <w:pStyle w:val="21"/>
      <w:lvlText w:val=""/>
      <w:lvlJc w:val="left"/>
      <w:pPr>
        <w:tabs>
          <w:tab w:val="left" w:pos="780"/>
        </w:tabs>
        <w:ind w:left="780" w:leftChars="200" w:hanging="360" w:hangingChars="200"/>
      </w:pPr>
      <w:rPr>
        <w:rFonts w:hint="default" w:ascii="Wingdings" w:hAnsi="Wingdings"/>
      </w:rPr>
    </w:lvl>
  </w:abstractNum>
  <w:abstractNum w:abstractNumId="7">
    <w:nsid w:val="FFFFFF88"/>
    <w:multiLevelType w:val="singleLevel"/>
    <w:tmpl w:val="FFFFFF88"/>
    <w:lvl w:ilvl="0" w:tentative="0">
      <w:start w:val="1"/>
      <w:numFmt w:val="decimal"/>
      <w:pStyle w:val="13"/>
      <w:lvlText w:val="%1."/>
      <w:lvlJc w:val="left"/>
      <w:pPr>
        <w:tabs>
          <w:tab w:val="left" w:pos="360"/>
        </w:tabs>
        <w:ind w:left="360" w:hanging="360" w:hangingChars="200"/>
      </w:pPr>
    </w:lvl>
  </w:abstractNum>
  <w:abstractNum w:abstractNumId="8">
    <w:nsid w:val="FFFFFF89"/>
    <w:multiLevelType w:val="singleLevel"/>
    <w:tmpl w:val="FFFFFF89"/>
    <w:lvl w:ilvl="0" w:tentative="0">
      <w:start w:val="1"/>
      <w:numFmt w:val="bullet"/>
      <w:pStyle w:val="15"/>
      <w:lvlText w:val=""/>
      <w:lvlJc w:val="left"/>
      <w:pPr>
        <w:tabs>
          <w:tab w:val="left" w:pos="360"/>
        </w:tabs>
        <w:ind w:left="360" w:hanging="360" w:hangingChars="200"/>
      </w:pPr>
      <w:rPr>
        <w:rFonts w:hint="default" w:ascii="Wingdings" w:hAnsi="Wingdings"/>
      </w:rPr>
    </w:lvl>
  </w:abstractNum>
  <w:abstractNum w:abstractNumId="9">
    <w:nsid w:val="03AE4757"/>
    <w:multiLevelType w:val="multilevel"/>
    <w:tmpl w:val="03AE4757"/>
    <w:lvl w:ilvl="0" w:tentative="0">
      <w:start w:val="1"/>
      <w:numFmt w:val="decimal"/>
      <w:lvlText w:val="表6-%1"/>
      <w:lvlJc w:val="left"/>
      <w:pPr>
        <w:ind w:left="3255" w:hanging="420"/>
      </w:pPr>
      <w:rPr>
        <w:rFonts w:hint="eastAsia"/>
        <w:color w:val="auto"/>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1080695D"/>
    <w:multiLevelType w:val="singleLevel"/>
    <w:tmpl w:val="1080695D"/>
    <w:lvl w:ilvl="0" w:tentative="0">
      <w:start w:val="1"/>
      <w:numFmt w:val="decimal"/>
      <w:suff w:val="nothing"/>
      <w:lvlText w:val="%1、"/>
      <w:lvlJc w:val="left"/>
    </w:lvl>
  </w:abstractNum>
  <w:abstractNum w:abstractNumId="11">
    <w:nsid w:val="1B095AB9"/>
    <w:multiLevelType w:val="multilevel"/>
    <w:tmpl w:val="1B095AB9"/>
    <w:lvl w:ilvl="0" w:tentative="0">
      <w:start w:val="1"/>
      <w:numFmt w:val="decimal"/>
      <w:lvlText w:val="表5-%1"/>
      <w:lvlJc w:val="left"/>
      <w:pPr>
        <w:ind w:left="840" w:hanging="420"/>
      </w:pPr>
      <w:rPr>
        <w:rFonts w:hint="eastAsia"/>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2DAF76A1"/>
    <w:multiLevelType w:val="multilevel"/>
    <w:tmpl w:val="2DAF76A1"/>
    <w:lvl w:ilvl="0" w:tentative="0">
      <w:start w:val="1"/>
      <w:numFmt w:val="decimal"/>
      <w:lvlText w:val="图2-%1"/>
      <w:lvlJc w:val="left"/>
      <w:pPr>
        <w:ind w:left="420" w:hanging="420"/>
      </w:pPr>
      <w:rPr>
        <w:rFonts w:hint="default" w:ascii="宋体" w:hAnsi="宋体" w:eastAsia="宋体" w:cs="宋体"/>
        <w:sz w:val="24"/>
        <w:szCs w:val="24"/>
      </w:rPr>
    </w:lvl>
    <w:lvl w:ilvl="1" w:tentative="0">
      <w:start w:val="1"/>
      <w:numFmt w:val="lowerLetter"/>
      <w:lvlText w:val="%2)"/>
      <w:lvlJc w:val="left"/>
      <w:pPr>
        <w:ind w:left="840" w:hanging="420"/>
      </w:pPr>
      <w:rPr>
        <w:rFonts w:hint="default" w:ascii="宋体" w:hAnsi="宋体" w:eastAsia="宋体" w:cs="宋体"/>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3288DD19"/>
    <w:multiLevelType w:val="singleLevel"/>
    <w:tmpl w:val="3288DD19"/>
    <w:lvl w:ilvl="0" w:tentative="0">
      <w:start w:val="2"/>
      <w:numFmt w:val="decimal"/>
      <w:suff w:val="nothing"/>
      <w:lvlText w:val="（%1）"/>
      <w:lvlJc w:val="left"/>
    </w:lvl>
  </w:abstractNum>
  <w:abstractNum w:abstractNumId="14">
    <w:nsid w:val="401347DD"/>
    <w:multiLevelType w:val="multilevel"/>
    <w:tmpl w:val="401347DD"/>
    <w:lvl w:ilvl="0" w:tentative="0">
      <w:start w:val="1"/>
      <w:numFmt w:val="chineseCountingThousand"/>
      <w:suff w:val="nothing"/>
      <w:lvlText w:val="第%1章  "/>
      <w:lvlJc w:val="left"/>
      <w:pPr>
        <w:ind w:left="1320" w:firstLine="0"/>
      </w:pPr>
      <w:rPr>
        <w:rFonts w:hint="eastAsia"/>
      </w:rPr>
    </w:lvl>
    <w:lvl w:ilvl="1" w:tentative="0">
      <w:start w:val="1"/>
      <w:numFmt w:val="decimal"/>
      <w:isLgl/>
      <w:suff w:val="nothing"/>
      <w:lvlText w:val="%1.%2  "/>
      <w:lvlJc w:val="left"/>
      <w:pPr>
        <w:ind w:left="1260" w:firstLine="0"/>
      </w:pPr>
      <w:rPr>
        <w:rFonts w:hint="eastAsia"/>
        <w:sz w:val="30"/>
        <w:szCs w:val="30"/>
      </w:rPr>
    </w:lvl>
    <w:lvl w:ilvl="2" w:tentative="0">
      <w:start w:val="1"/>
      <w:numFmt w:val="decimal"/>
      <w:isLgl/>
      <w:suff w:val="nothing"/>
      <w:lvlText w:val="%1.%2.%3  "/>
      <w:lvlJc w:val="left"/>
      <w:pPr>
        <w:ind w:left="0" w:firstLine="0"/>
      </w:pPr>
      <w:rPr>
        <w:rFonts w:hint="eastAsia"/>
      </w:rPr>
    </w:lvl>
    <w:lvl w:ilvl="3" w:tentative="0">
      <w:start w:val="1"/>
      <w:numFmt w:val="decimal"/>
      <w:isLgl/>
      <w:suff w:val="nothing"/>
      <w:lvlText w:val="%4．"/>
      <w:lvlJc w:val="left"/>
      <w:pPr>
        <w:ind w:left="710" w:firstLine="0"/>
      </w:pPr>
      <w:rPr>
        <w:rFonts w:hint="eastAsia"/>
      </w:rPr>
    </w:lvl>
    <w:lvl w:ilvl="4" w:tentative="0">
      <w:start w:val="1"/>
      <w:numFmt w:val="decimal"/>
      <w:lvlRestart w:val="1"/>
      <w:pStyle w:val="8"/>
      <w:isLgl/>
      <w:suff w:val="nothing"/>
      <w:lvlText w:val="表%1-%5  "/>
      <w:lvlJc w:val="left"/>
      <w:pPr>
        <w:ind w:left="2750" w:firstLine="0"/>
      </w:pPr>
      <w:rPr>
        <w:rFonts w:hint="eastAsia"/>
        <w:sz w:val="21"/>
        <w:szCs w:val="21"/>
      </w:rPr>
    </w:lvl>
    <w:lvl w:ilvl="5" w:tentative="0">
      <w:start w:val="1"/>
      <w:numFmt w:val="decimal"/>
      <w:lvlRestart w:val="1"/>
      <w:isLgl/>
      <w:suff w:val="nothing"/>
      <w:lvlText w:val="图%1-%6  "/>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15">
    <w:nsid w:val="44AD62D1"/>
    <w:multiLevelType w:val="multilevel"/>
    <w:tmpl w:val="44AD62D1"/>
    <w:lvl w:ilvl="0" w:tentative="0">
      <w:start w:val="1"/>
      <w:numFmt w:val="decimal"/>
      <w:lvlText w:val="表2-%1"/>
      <w:lvlJc w:val="left"/>
      <w:pPr>
        <w:ind w:left="902" w:hanging="420"/>
      </w:pPr>
      <w:rPr>
        <w:rFonts w:hint="eastAsia"/>
      </w:rPr>
    </w:lvl>
    <w:lvl w:ilvl="1" w:tentative="0">
      <w:start w:val="1"/>
      <w:numFmt w:val="decimal"/>
      <w:lvlText w:val="表1-%2"/>
      <w:lvlJc w:val="left"/>
      <w:pPr>
        <w:ind w:left="840" w:hanging="420"/>
      </w:pPr>
      <w:rPr>
        <w:rFonts w:hint="default"/>
        <w:color w:val="auto"/>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52FE2804"/>
    <w:multiLevelType w:val="multilevel"/>
    <w:tmpl w:val="52FE2804"/>
    <w:lvl w:ilvl="0" w:tentative="0">
      <w:start w:val="1"/>
      <w:numFmt w:val="decimal"/>
      <w:lvlText w:val="表2-%1"/>
      <w:lvlJc w:val="left"/>
      <w:pPr>
        <w:ind w:left="5807" w:hanging="420"/>
      </w:pPr>
      <w:rPr>
        <w:rFonts w:hint="eastAsia"/>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552972D2"/>
    <w:multiLevelType w:val="multilevel"/>
    <w:tmpl w:val="552972D2"/>
    <w:lvl w:ilvl="0" w:tentative="0">
      <w:start w:val="1"/>
      <w:numFmt w:val="decimal"/>
      <w:lvlText w:val="表5-%1"/>
      <w:lvlJc w:val="left"/>
      <w:pPr>
        <w:tabs>
          <w:tab w:val="left" w:pos="0"/>
        </w:tabs>
        <w:ind w:left="0" w:leftChars="0" w:firstLine="0" w:firstLineChars="0"/>
      </w:pPr>
      <w:rPr>
        <w:rFonts w:hint="default" w:ascii="Times New Roman" w:hAnsi="Times New Roman" w:eastAsia="宋体" w:cs="Times New Roman"/>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597044D0"/>
    <w:multiLevelType w:val="multilevel"/>
    <w:tmpl w:val="597044D0"/>
    <w:lvl w:ilvl="0" w:tentative="0">
      <w:start w:val="2"/>
      <w:numFmt w:val="decimal"/>
      <w:suff w:val="nothing"/>
      <w:lvlText w:val="%1、"/>
      <w:lvlJc w:val="left"/>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9">
    <w:nsid w:val="60015C5C"/>
    <w:multiLevelType w:val="multilevel"/>
    <w:tmpl w:val="60015C5C"/>
    <w:lvl w:ilvl="0" w:tentative="0">
      <w:start w:val="1"/>
      <w:numFmt w:val="decimal"/>
      <w:lvlText w:val="表3-%1"/>
      <w:lvlJc w:val="left"/>
      <w:pPr>
        <w:ind w:left="6232"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4"/>
  </w:num>
  <w:num w:numId="2">
    <w:abstractNumId w:val="5"/>
  </w:num>
  <w:num w:numId="3">
    <w:abstractNumId w:val="7"/>
  </w:num>
  <w:num w:numId="4">
    <w:abstractNumId w:val="8"/>
  </w:num>
  <w:num w:numId="5">
    <w:abstractNumId w:val="6"/>
  </w:num>
  <w:num w:numId="6">
    <w:abstractNumId w:val="15"/>
  </w:num>
  <w:num w:numId="7">
    <w:abstractNumId w:val="17"/>
  </w:num>
  <w:num w:numId="8">
    <w:abstractNumId w:val="10"/>
  </w:num>
  <w:num w:numId="9">
    <w:abstractNumId w:val="16"/>
  </w:num>
  <w:num w:numId="10">
    <w:abstractNumId w:val="12"/>
  </w:num>
  <w:num w:numId="11">
    <w:abstractNumId w:val="0"/>
  </w:num>
  <w:num w:numId="12">
    <w:abstractNumId w:val="2"/>
  </w:num>
  <w:num w:numId="13">
    <w:abstractNumId w:val="19"/>
  </w:num>
  <w:num w:numId="14">
    <w:abstractNumId w:val="13"/>
  </w:num>
  <w:num w:numId="15">
    <w:abstractNumId w:val="1"/>
  </w:num>
  <w:num w:numId="16">
    <w:abstractNumId w:val="4"/>
  </w:num>
  <w:num w:numId="17">
    <w:abstractNumId w:val="18"/>
  </w:num>
  <w:num w:numId="18">
    <w:abstractNumId w:val="11"/>
  </w:num>
  <w:num w:numId="19">
    <w:abstractNumId w:val="9"/>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documentProtection w:enforcement="0"/>
  <w:defaultTabStop w:val="420"/>
  <w:drawingGridHorizontalSpacing w:val="1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UyOGJlZjMzNzc3MTczN2E1MjAxNWFlYzI0YTg4ODEifQ=="/>
    <w:docVar w:name="KSO_WPS_MARK_KEY" w:val="9438486b-0dcf-4d94-b488-686c1cb5acad"/>
  </w:docVars>
  <w:rsids>
    <w:rsidRoot w:val="004C5966"/>
    <w:rsid w:val="0000030C"/>
    <w:rsid w:val="0000040F"/>
    <w:rsid w:val="00000532"/>
    <w:rsid w:val="00000AAA"/>
    <w:rsid w:val="00000C6A"/>
    <w:rsid w:val="00000DE9"/>
    <w:rsid w:val="000017A1"/>
    <w:rsid w:val="00001B75"/>
    <w:rsid w:val="00001C0D"/>
    <w:rsid w:val="00001DBB"/>
    <w:rsid w:val="0000275C"/>
    <w:rsid w:val="00002823"/>
    <w:rsid w:val="000028F1"/>
    <w:rsid w:val="00002AC6"/>
    <w:rsid w:val="00003702"/>
    <w:rsid w:val="0000370B"/>
    <w:rsid w:val="00003726"/>
    <w:rsid w:val="00003D38"/>
    <w:rsid w:val="00004015"/>
    <w:rsid w:val="00004139"/>
    <w:rsid w:val="000041F2"/>
    <w:rsid w:val="000046CB"/>
    <w:rsid w:val="000048F9"/>
    <w:rsid w:val="00004BB2"/>
    <w:rsid w:val="00004D18"/>
    <w:rsid w:val="00004EDB"/>
    <w:rsid w:val="00005298"/>
    <w:rsid w:val="000052B5"/>
    <w:rsid w:val="0000548F"/>
    <w:rsid w:val="00005BB0"/>
    <w:rsid w:val="00005E12"/>
    <w:rsid w:val="00006490"/>
    <w:rsid w:val="000068ED"/>
    <w:rsid w:val="00006D99"/>
    <w:rsid w:val="00007085"/>
    <w:rsid w:val="00007344"/>
    <w:rsid w:val="00007507"/>
    <w:rsid w:val="00007BEE"/>
    <w:rsid w:val="00010086"/>
    <w:rsid w:val="000102E1"/>
    <w:rsid w:val="00010309"/>
    <w:rsid w:val="00010CFA"/>
    <w:rsid w:val="00010E2D"/>
    <w:rsid w:val="00010E94"/>
    <w:rsid w:val="00010EA2"/>
    <w:rsid w:val="00010F38"/>
    <w:rsid w:val="00011529"/>
    <w:rsid w:val="000117B5"/>
    <w:rsid w:val="00011C67"/>
    <w:rsid w:val="00011D88"/>
    <w:rsid w:val="00012608"/>
    <w:rsid w:val="000127D1"/>
    <w:rsid w:val="000129E0"/>
    <w:rsid w:val="00012ADB"/>
    <w:rsid w:val="00012DB0"/>
    <w:rsid w:val="000130F4"/>
    <w:rsid w:val="0001349E"/>
    <w:rsid w:val="000139AF"/>
    <w:rsid w:val="00013D0D"/>
    <w:rsid w:val="00013DB4"/>
    <w:rsid w:val="00013DC9"/>
    <w:rsid w:val="0001407F"/>
    <w:rsid w:val="000144A2"/>
    <w:rsid w:val="0001460D"/>
    <w:rsid w:val="000148E1"/>
    <w:rsid w:val="00014B1C"/>
    <w:rsid w:val="00014E73"/>
    <w:rsid w:val="000150C6"/>
    <w:rsid w:val="000151C6"/>
    <w:rsid w:val="00015201"/>
    <w:rsid w:val="00015487"/>
    <w:rsid w:val="000155BF"/>
    <w:rsid w:val="00015E6E"/>
    <w:rsid w:val="00015ED2"/>
    <w:rsid w:val="000160D3"/>
    <w:rsid w:val="0001622B"/>
    <w:rsid w:val="00016329"/>
    <w:rsid w:val="000163A1"/>
    <w:rsid w:val="0001647E"/>
    <w:rsid w:val="0001653E"/>
    <w:rsid w:val="000165F7"/>
    <w:rsid w:val="00016EF4"/>
    <w:rsid w:val="00016FC1"/>
    <w:rsid w:val="00017069"/>
    <w:rsid w:val="000171E4"/>
    <w:rsid w:val="00017374"/>
    <w:rsid w:val="00017670"/>
    <w:rsid w:val="00017B0D"/>
    <w:rsid w:val="00017E0D"/>
    <w:rsid w:val="00020016"/>
    <w:rsid w:val="00020038"/>
    <w:rsid w:val="000201DD"/>
    <w:rsid w:val="0002059F"/>
    <w:rsid w:val="000209AF"/>
    <w:rsid w:val="00020C8E"/>
    <w:rsid w:val="00020D1C"/>
    <w:rsid w:val="00020E28"/>
    <w:rsid w:val="00020E43"/>
    <w:rsid w:val="00020EB6"/>
    <w:rsid w:val="00020EC3"/>
    <w:rsid w:val="00021666"/>
    <w:rsid w:val="00021E62"/>
    <w:rsid w:val="00021ED7"/>
    <w:rsid w:val="00022115"/>
    <w:rsid w:val="00022209"/>
    <w:rsid w:val="000225DE"/>
    <w:rsid w:val="000227C1"/>
    <w:rsid w:val="0002302D"/>
    <w:rsid w:val="000231E5"/>
    <w:rsid w:val="000232F2"/>
    <w:rsid w:val="0002388B"/>
    <w:rsid w:val="00023B04"/>
    <w:rsid w:val="00024787"/>
    <w:rsid w:val="00024BD8"/>
    <w:rsid w:val="00024EAB"/>
    <w:rsid w:val="000255AF"/>
    <w:rsid w:val="00025AC3"/>
    <w:rsid w:val="00025CA1"/>
    <w:rsid w:val="0002604A"/>
    <w:rsid w:val="000262D5"/>
    <w:rsid w:val="000262FE"/>
    <w:rsid w:val="0002681B"/>
    <w:rsid w:val="00026E59"/>
    <w:rsid w:val="000270D0"/>
    <w:rsid w:val="0002731D"/>
    <w:rsid w:val="000276F8"/>
    <w:rsid w:val="000278C1"/>
    <w:rsid w:val="00027A74"/>
    <w:rsid w:val="000304F5"/>
    <w:rsid w:val="00030796"/>
    <w:rsid w:val="000309D5"/>
    <w:rsid w:val="00030C78"/>
    <w:rsid w:val="00030D7E"/>
    <w:rsid w:val="0003142D"/>
    <w:rsid w:val="000318E2"/>
    <w:rsid w:val="0003190B"/>
    <w:rsid w:val="00031961"/>
    <w:rsid w:val="00031A01"/>
    <w:rsid w:val="00031A06"/>
    <w:rsid w:val="00031A74"/>
    <w:rsid w:val="0003255C"/>
    <w:rsid w:val="000326B9"/>
    <w:rsid w:val="000329D2"/>
    <w:rsid w:val="00033315"/>
    <w:rsid w:val="00033419"/>
    <w:rsid w:val="000334DC"/>
    <w:rsid w:val="000336A3"/>
    <w:rsid w:val="00033B12"/>
    <w:rsid w:val="000341CA"/>
    <w:rsid w:val="000343FF"/>
    <w:rsid w:val="00034433"/>
    <w:rsid w:val="0003449F"/>
    <w:rsid w:val="00034CDD"/>
    <w:rsid w:val="00034E94"/>
    <w:rsid w:val="00034F71"/>
    <w:rsid w:val="0003548F"/>
    <w:rsid w:val="00035635"/>
    <w:rsid w:val="0003581B"/>
    <w:rsid w:val="000358DB"/>
    <w:rsid w:val="00035C04"/>
    <w:rsid w:val="00035E51"/>
    <w:rsid w:val="0003612C"/>
    <w:rsid w:val="00036E3B"/>
    <w:rsid w:val="00037382"/>
    <w:rsid w:val="00037541"/>
    <w:rsid w:val="00037A8A"/>
    <w:rsid w:val="00037AD1"/>
    <w:rsid w:val="00037B14"/>
    <w:rsid w:val="00037C26"/>
    <w:rsid w:val="000402CD"/>
    <w:rsid w:val="000402E4"/>
    <w:rsid w:val="0004044F"/>
    <w:rsid w:val="00040700"/>
    <w:rsid w:val="0004089C"/>
    <w:rsid w:val="00040C42"/>
    <w:rsid w:val="00040DAC"/>
    <w:rsid w:val="0004164C"/>
    <w:rsid w:val="000416E6"/>
    <w:rsid w:val="00041BE3"/>
    <w:rsid w:val="00041DA4"/>
    <w:rsid w:val="00041F75"/>
    <w:rsid w:val="00042333"/>
    <w:rsid w:val="0004253B"/>
    <w:rsid w:val="00042C07"/>
    <w:rsid w:val="00042F24"/>
    <w:rsid w:val="00042F4B"/>
    <w:rsid w:val="00042FAA"/>
    <w:rsid w:val="0004327C"/>
    <w:rsid w:val="0004358E"/>
    <w:rsid w:val="00043630"/>
    <w:rsid w:val="0004379D"/>
    <w:rsid w:val="00043918"/>
    <w:rsid w:val="00043A9A"/>
    <w:rsid w:val="00043E2D"/>
    <w:rsid w:val="00043FF7"/>
    <w:rsid w:val="000441F1"/>
    <w:rsid w:val="00044538"/>
    <w:rsid w:val="0004479A"/>
    <w:rsid w:val="00044C6D"/>
    <w:rsid w:val="00045043"/>
    <w:rsid w:val="00045278"/>
    <w:rsid w:val="00045455"/>
    <w:rsid w:val="00045D41"/>
    <w:rsid w:val="000463D9"/>
    <w:rsid w:val="0004654E"/>
    <w:rsid w:val="00046658"/>
    <w:rsid w:val="00046684"/>
    <w:rsid w:val="000469E8"/>
    <w:rsid w:val="00046CD2"/>
    <w:rsid w:val="00046D33"/>
    <w:rsid w:val="00046F17"/>
    <w:rsid w:val="00046F67"/>
    <w:rsid w:val="00047043"/>
    <w:rsid w:val="0004758B"/>
    <w:rsid w:val="0004783F"/>
    <w:rsid w:val="00047AE2"/>
    <w:rsid w:val="00047AE5"/>
    <w:rsid w:val="0005022D"/>
    <w:rsid w:val="00050262"/>
    <w:rsid w:val="00050DE8"/>
    <w:rsid w:val="00050F7C"/>
    <w:rsid w:val="00051030"/>
    <w:rsid w:val="0005109D"/>
    <w:rsid w:val="00051536"/>
    <w:rsid w:val="00051D7B"/>
    <w:rsid w:val="00052353"/>
    <w:rsid w:val="0005267D"/>
    <w:rsid w:val="00052959"/>
    <w:rsid w:val="00052986"/>
    <w:rsid w:val="00053078"/>
    <w:rsid w:val="000530AA"/>
    <w:rsid w:val="000533A6"/>
    <w:rsid w:val="000538B3"/>
    <w:rsid w:val="00053BED"/>
    <w:rsid w:val="00053DB4"/>
    <w:rsid w:val="0005423B"/>
    <w:rsid w:val="000543CF"/>
    <w:rsid w:val="000544BC"/>
    <w:rsid w:val="0005459E"/>
    <w:rsid w:val="0005469D"/>
    <w:rsid w:val="00054768"/>
    <w:rsid w:val="00055023"/>
    <w:rsid w:val="0005525F"/>
    <w:rsid w:val="0005551D"/>
    <w:rsid w:val="00055716"/>
    <w:rsid w:val="000559DC"/>
    <w:rsid w:val="00055A18"/>
    <w:rsid w:val="00055DBE"/>
    <w:rsid w:val="000560DA"/>
    <w:rsid w:val="00056291"/>
    <w:rsid w:val="00056326"/>
    <w:rsid w:val="0005638E"/>
    <w:rsid w:val="000565C1"/>
    <w:rsid w:val="000567B3"/>
    <w:rsid w:val="000567FA"/>
    <w:rsid w:val="00056849"/>
    <w:rsid w:val="00056A4C"/>
    <w:rsid w:val="00056AB0"/>
    <w:rsid w:val="00056BDF"/>
    <w:rsid w:val="00056FD7"/>
    <w:rsid w:val="00057454"/>
    <w:rsid w:val="000576B9"/>
    <w:rsid w:val="0005772D"/>
    <w:rsid w:val="000578D2"/>
    <w:rsid w:val="00057939"/>
    <w:rsid w:val="00057BC1"/>
    <w:rsid w:val="00057BF9"/>
    <w:rsid w:val="0006020A"/>
    <w:rsid w:val="0006050A"/>
    <w:rsid w:val="0006057C"/>
    <w:rsid w:val="00060A5A"/>
    <w:rsid w:val="00060BCA"/>
    <w:rsid w:val="00060CBF"/>
    <w:rsid w:val="00061CA1"/>
    <w:rsid w:val="00061F07"/>
    <w:rsid w:val="00061F26"/>
    <w:rsid w:val="00062036"/>
    <w:rsid w:val="00062898"/>
    <w:rsid w:val="000629FB"/>
    <w:rsid w:val="00063626"/>
    <w:rsid w:val="00063A33"/>
    <w:rsid w:val="00063EAE"/>
    <w:rsid w:val="00064020"/>
    <w:rsid w:val="0006405E"/>
    <w:rsid w:val="00064447"/>
    <w:rsid w:val="0006454F"/>
    <w:rsid w:val="0006456E"/>
    <w:rsid w:val="00064C34"/>
    <w:rsid w:val="00064C7B"/>
    <w:rsid w:val="00064CCB"/>
    <w:rsid w:val="000651BF"/>
    <w:rsid w:val="000655CB"/>
    <w:rsid w:val="00065BC2"/>
    <w:rsid w:val="00065BFD"/>
    <w:rsid w:val="00065C89"/>
    <w:rsid w:val="00066104"/>
    <w:rsid w:val="0006630B"/>
    <w:rsid w:val="0006674B"/>
    <w:rsid w:val="00066931"/>
    <w:rsid w:val="00066D51"/>
    <w:rsid w:val="00066FA7"/>
    <w:rsid w:val="0006708A"/>
    <w:rsid w:val="00067182"/>
    <w:rsid w:val="000672DF"/>
    <w:rsid w:val="000673A8"/>
    <w:rsid w:val="000673BE"/>
    <w:rsid w:val="000676B0"/>
    <w:rsid w:val="00067772"/>
    <w:rsid w:val="000679EE"/>
    <w:rsid w:val="00067A6D"/>
    <w:rsid w:val="00067B1A"/>
    <w:rsid w:val="00067CBA"/>
    <w:rsid w:val="00067D69"/>
    <w:rsid w:val="00067E06"/>
    <w:rsid w:val="00070701"/>
    <w:rsid w:val="0007094D"/>
    <w:rsid w:val="00070BC2"/>
    <w:rsid w:val="0007111C"/>
    <w:rsid w:val="000713E0"/>
    <w:rsid w:val="00071952"/>
    <w:rsid w:val="00071C4D"/>
    <w:rsid w:val="00072F91"/>
    <w:rsid w:val="000732D1"/>
    <w:rsid w:val="000734C2"/>
    <w:rsid w:val="000735C3"/>
    <w:rsid w:val="000738C1"/>
    <w:rsid w:val="00073B9A"/>
    <w:rsid w:val="00073BFA"/>
    <w:rsid w:val="000740FD"/>
    <w:rsid w:val="000741AF"/>
    <w:rsid w:val="0007456C"/>
    <w:rsid w:val="000745AE"/>
    <w:rsid w:val="0007468F"/>
    <w:rsid w:val="00074B3A"/>
    <w:rsid w:val="00074B4A"/>
    <w:rsid w:val="00074B5A"/>
    <w:rsid w:val="00075381"/>
    <w:rsid w:val="00075582"/>
    <w:rsid w:val="00075998"/>
    <w:rsid w:val="00075EE5"/>
    <w:rsid w:val="00076100"/>
    <w:rsid w:val="00076161"/>
    <w:rsid w:val="000761C7"/>
    <w:rsid w:val="0007636F"/>
    <w:rsid w:val="000763DB"/>
    <w:rsid w:val="0007654E"/>
    <w:rsid w:val="000768AC"/>
    <w:rsid w:val="00076985"/>
    <w:rsid w:val="00076ACC"/>
    <w:rsid w:val="00076B5B"/>
    <w:rsid w:val="00077266"/>
    <w:rsid w:val="0007728D"/>
    <w:rsid w:val="000774C8"/>
    <w:rsid w:val="0007792F"/>
    <w:rsid w:val="000779B8"/>
    <w:rsid w:val="00077D65"/>
    <w:rsid w:val="0008016F"/>
    <w:rsid w:val="000802A7"/>
    <w:rsid w:val="00080B76"/>
    <w:rsid w:val="000813B7"/>
    <w:rsid w:val="00081558"/>
    <w:rsid w:val="00081643"/>
    <w:rsid w:val="00081700"/>
    <w:rsid w:val="0008196D"/>
    <w:rsid w:val="00081A52"/>
    <w:rsid w:val="00081B25"/>
    <w:rsid w:val="00081B49"/>
    <w:rsid w:val="00081C6B"/>
    <w:rsid w:val="00081C7E"/>
    <w:rsid w:val="00081E52"/>
    <w:rsid w:val="000821E2"/>
    <w:rsid w:val="000822AD"/>
    <w:rsid w:val="00082312"/>
    <w:rsid w:val="000824D0"/>
    <w:rsid w:val="0008251E"/>
    <w:rsid w:val="00082C6D"/>
    <w:rsid w:val="00082CAA"/>
    <w:rsid w:val="00082D3C"/>
    <w:rsid w:val="00083393"/>
    <w:rsid w:val="000838B4"/>
    <w:rsid w:val="00083EC2"/>
    <w:rsid w:val="000846B6"/>
    <w:rsid w:val="0008493C"/>
    <w:rsid w:val="000849CC"/>
    <w:rsid w:val="00084B84"/>
    <w:rsid w:val="00084C4B"/>
    <w:rsid w:val="00084E7D"/>
    <w:rsid w:val="000850C7"/>
    <w:rsid w:val="000852DF"/>
    <w:rsid w:val="00085406"/>
    <w:rsid w:val="00085473"/>
    <w:rsid w:val="0008559E"/>
    <w:rsid w:val="00085C46"/>
    <w:rsid w:val="00085CF6"/>
    <w:rsid w:val="00085F7B"/>
    <w:rsid w:val="00086068"/>
    <w:rsid w:val="000864A8"/>
    <w:rsid w:val="00086B79"/>
    <w:rsid w:val="00086B9D"/>
    <w:rsid w:val="00086E7B"/>
    <w:rsid w:val="00086E7F"/>
    <w:rsid w:val="000872B7"/>
    <w:rsid w:val="00087474"/>
    <w:rsid w:val="000875F2"/>
    <w:rsid w:val="000877A1"/>
    <w:rsid w:val="00087807"/>
    <w:rsid w:val="00087830"/>
    <w:rsid w:val="0008787A"/>
    <w:rsid w:val="00087C48"/>
    <w:rsid w:val="00087CB7"/>
    <w:rsid w:val="00090088"/>
    <w:rsid w:val="00090267"/>
    <w:rsid w:val="00090299"/>
    <w:rsid w:val="000902A9"/>
    <w:rsid w:val="00090439"/>
    <w:rsid w:val="0009049F"/>
    <w:rsid w:val="000905D0"/>
    <w:rsid w:val="000905EC"/>
    <w:rsid w:val="000906CD"/>
    <w:rsid w:val="00090D9E"/>
    <w:rsid w:val="00090F00"/>
    <w:rsid w:val="00091585"/>
    <w:rsid w:val="00091679"/>
    <w:rsid w:val="00091E6B"/>
    <w:rsid w:val="00091F03"/>
    <w:rsid w:val="0009216F"/>
    <w:rsid w:val="00092443"/>
    <w:rsid w:val="00092806"/>
    <w:rsid w:val="00092AA9"/>
    <w:rsid w:val="00092BFE"/>
    <w:rsid w:val="00092FB7"/>
    <w:rsid w:val="000933C8"/>
    <w:rsid w:val="00093446"/>
    <w:rsid w:val="00093536"/>
    <w:rsid w:val="000935D1"/>
    <w:rsid w:val="00093780"/>
    <w:rsid w:val="000938B4"/>
    <w:rsid w:val="0009390B"/>
    <w:rsid w:val="00093DEF"/>
    <w:rsid w:val="0009455B"/>
    <w:rsid w:val="0009458F"/>
    <w:rsid w:val="00094928"/>
    <w:rsid w:val="00094CF9"/>
    <w:rsid w:val="00094E1C"/>
    <w:rsid w:val="00095409"/>
    <w:rsid w:val="000954CE"/>
    <w:rsid w:val="000957C4"/>
    <w:rsid w:val="00095C7C"/>
    <w:rsid w:val="00096542"/>
    <w:rsid w:val="00096697"/>
    <w:rsid w:val="00096CC5"/>
    <w:rsid w:val="0009735D"/>
    <w:rsid w:val="000973D6"/>
    <w:rsid w:val="0009750E"/>
    <w:rsid w:val="0009772F"/>
    <w:rsid w:val="00097AA4"/>
    <w:rsid w:val="00097B19"/>
    <w:rsid w:val="00097CB1"/>
    <w:rsid w:val="000A043F"/>
    <w:rsid w:val="000A046C"/>
    <w:rsid w:val="000A0729"/>
    <w:rsid w:val="000A0A15"/>
    <w:rsid w:val="000A0B6A"/>
    <w:rsid w:val="000A0C74"/>
    <w:rsid w:val="000A0E0B"/>
    <w:rsid w:val="000A10F5"/>
    <w:rsid w:val="000A141D"/>
    <w:rsid w:val="000A15BD"/>
    <w:rsid w:val="000A1763"/>
    <w:rsid w:val="000A1BAE"/>
    <w:rsid w:val="000A1E5D"/>
    <w:rsid w:val="000A281C"/>
    <w:rsid w:val="000A28EE"/>
    <w:rsid w:val="000A2D1C"/>
    <w:rsid w:val="000A3540"/>
    <w:rsid w:val="000A3BAE"/>
    <w:rsid w:val="000A42A6"/>
    <w:rsid w:val="000A42D0"/>
    <w:rsid w:val="000A46D9"/>
    <w:rsid w:val="000A4B08"/>
    <w:rsid w:val="000A4B32"/>
    <w:rsid w:val="000A5123"/>
    <w:rsid w:val="000A53EF"/>
    <w:rsid w:val="000A54B7"/>
    <w:rsid w:val="000A551B"/>
    <w:rsid w:val="000A57E0"/>
    <w:rsid w:val="000A59D2"/>
    <w:rsid w:val="000A5B69"/>
    <w:rsid w:val="000A5C6F"/>
    <w:rsid w:val="000A5C76"/>
    <w:rsid w:val="000A5D5D"/>
    <w:rsid w:val="000A5FCB"/>
    <w:rsid w:val="000A613B"/>
    <w:rsid w:val="000A61A4"/>
    <w:rsid w:val="000A642C"/>
    <w:rsid w:val="000A6C43"/>
    <w:rsid w:val="000A707D"/>
    <w:rsid w:val="000A7390"/>
    <w:rsid w:val="000A74DC"/>
    <w:rsid w:val="000A75C8"/>
    <w:rsid w:val="000A766B"/>
    <w:rsid w:val="000A79F9"/>
    <w:rsid w:val="000B0016"/>
    <w:rsid w:val="000B0156"/>
    <w:rsid w:val="000B074A"/>
    <w:rsid w:val="000B0DBE"/>
    <w:rsid w:val="000B0F49"/>
    <w:rsid w:val="000B0FC1"/>
    <w:rsid w:val="000B1150"/>
    <w:rsid w:val="000B14AC"/>
    <w:rsid w:val="000B1596"/>
    <w:rsid w:val="000B171B"/>
    <w:rsid w:val="000B20FB"/>
    <w:rsid w:val="000B2422"/>
    <w:rsid w:val="000B244D"/>
    <w:rsid w:val="000B2555"/>
    <w:rsid w:val="000B2B0A"/>
    <w:rsid w:val="000B2C88"/>
    <w:rsid w:val="000B2D10"/>
    <w:rsid w:val="000B2D44"/>
    <w:rsid w:val="000B321D"/>
    <w:rsid w:val="000B3764"/>
    <w:rsid w:val="000B3C08"/>
    <w:rsid w:val="000B44F5"/>
    <w:rsid w:val="000B4747"/>
    <w:rsid w:val="000B480E"/>
    <w:rsid w:val="000B4998"/>
    <w:rsid w:val="000B4BCD"/>
    <w:rsid w:val="000B530C"/>
    <w:rsid w:val="000B5514"/>
    <w:rsid w:val="000B5695"/>
    <w:rsid w:val="000B595B"/>
    <w:rsid w:val="000B5A67"/>
    <w:rsid w:val="000B6257"/>
    <w:rsid w:val="000B654C"/>
    <w:rsid w:val="000B66DF"/>
    <w:rsid w:val="000B6751"/>
    <w:rsid w:val="000B6F66"/>
    <w:rsid w:val="000B71AE"/>
    <w:rsid w:val="000B71D8"/>
    <w:rsid w:val="000B787D"/>
    <w:rsid w:val="000C008A"/>
    <w:rsid w:val="000C0159"/>
    <w:rsid w:val="000C047E"/>
    <w:rsid w:val="000C0705"/>
    <w:rsid w:val="000C0BA7"/>
    <w:rsid w:val="000C1481"/>
    <w:rsid w:val="000C14E8"/>
    <w:rsid w:val="000C191B"/>
    <w:rsid w:val="000C19CE"/>
    <w:rsid w:val="000C1A23"/>
    <w:rsid w:val="000C1A49"/>
    <w:rsid w:val="000C1A77"/>
    <w:rsid w:val="000C1CB2"/>
    <w:rsid w:val="000C1D9D"/>
    <w:rsid w:val="000C22BF"/>
    <w:rsid w:val="000C2612"/>
    <w:rsid w:val="000C2880"/>
    <w:rsid w:val="000C29C3"/>
    <w:rsid w:val="000C32AE"/>
    <w:rsid w:val="000C32D6"/>
    <w:rsid w:val="000C32FE"/>
    <w:rsid w:val="000C343D"/>
    <w:rsid w:val="000C36E2"/>
    <w:rsid w:val="000C3843"/>
    <w:rsid w:val="000C41BA"/>
    <w:rsid w:val="000C474F"/>
    <w:rsid w:val="000C4E48"/>
    <w:rsid w:val="000C52D2"/>
    <w:rsid w:val="000C5381"/>
    <w:rsid w:val="000C5643"/>
    <w:rsid w:val="000C5947"/>
    <w:rsid w:val="000C5BE8"/>
    <w:rsid w:val="000C6EEF"/>
    <w:rsid w:val="000D07D0"/>
    <w:rsid w:val="000D0C06"/>
    <w:rsid w:val="000D0E9A"/>
    <w:rsid w:val="000D0FFC"/>
    <w:rsid w:val="000D12CC"/>
    <w:rsid w:val="000D131D"/>
    <w:rsid w:val="000D1331"/>
    <w:rsid w:val="000D1400"/>
    <w:rsid w:val="000D150B"/>
    <w:rsid w:val="000D16A0"/>
    <w:rsid w:val="000D18C6"/>
    <w:rsid w:val="000D204C"/>
    <w:rsid w:val="000D2299"/>
    <w:rsid w:val="000D2547"/>
    <w:rsid w:val="000D2C16"/>
    <w:rsid w:val="000D2CDB"/>
    <w:rsid w:val="000D2E38"/>
    <w:rsid w:val="000D2E88"/>
    <w:rsid w:val="000D347E"/>
    <w:rsid w:val="000D3D51"/>
    <w:rsid w:val="000D3E80"/>
    <w:rsid w:val="000D42BC"/>
    <w:rsid w:val="000D481E"/>
    <w:rsid w:val="000D4845"/>
    <w:rsid w:val="000D48F4"/>
    <w:rsid w:val="000D4AE6"/>
    <w:rsid w:val="000D4B1D"/>
    <w:rsid w:val="000D4C42"/>
    <w:rsid w:val="000D4E89"/>
    <w:rsid w:val="000D4EA8"/>
    <w:rsid w:val="000D535E"/>
    <w:rsid w:val="000D5414"/>
    <w:rsid w:val="000D54A3"/>
    <w:rsid w:val="000D5597"/>
    <w:rsid w:val="000D5699"/>
    <w:rsid w:val="000D5823"/>
    <w:rsid w:val="000D5C91"/>
    <w:rsid w:val="000D5FD8"/>
    <w:rsid w:val="000D5FEE"/>
    <w:rsid w:val="000D60CA"/>
    <w:rsid w:val="000D60E9"/>
    <w:rsid w:val="000D62B6"/>
    <w:rsid w:val="000D67DE"/>
    <w:rsid w:val="000D682F"/>
    <w:rsid w:val="000D692F"/>
    <w:rsid w:val="000D71D7"/>
    <w:rsid w:val="000D71D8"/>
    <w:rsid w:val="000D77E5"/>
    <w:rsid w:val="000D7A78"/>
    <w:rsid w:val="000D7C83"/>
    <w:rsid w:val="000D7D3D"/>
    <w:rsid w:val="000D7F7F"/>
    <w:rsid w:val="000E0119"/>
    <w:rsid w:val="000E019C"/>
    <w:rsid w:val="000E036D"/>
    <w:rsid w:val="000E0382"/>
    <w:rsid w:val="000E03D8"/>
    <w:rsid w:val="000E043E"/>
    <w:rsid w:val="000E044E"/>
    <w:rsid w:val="000E0633"/>
    <w:rsid w:val="000E06B7"/>
    <w:rsid w:val="000E0827"/>
    <w:rsid w:val="000E0BB2"/>
    <w:rsid w:val="000E0DBF"/>
    <w:rsid w:val="000E16CB"/>
    <w:rsid w:val="000E17CB"/>
    <w:rsid w:val="000E18E0"/>
    <w:rsid w:val="000E19E9"/>
    <w:rsid w:val="000E1BBE"/>
    <w:rsid w:val="000E1C85"/>
    <w:rsid w:val="000E1FF6"/>
    <w:rsid w:val="000E2C8A"/>
    <w:rsid w:val="000E2CBA"/>
    <w:rsid w:val="000E2CEF"/>
    <w:rsid w:val="000E2F61"/>
    <w:rsid w:val="000E2FC3"/>
    <w:rsid w:val="000E340A"/>
    <w:rsid w:val="000E35D9"/>
    <w:rsid w:val="000E3864"/>
    <w:rsid w:val="000E3ED7"/>
    <w:rsid w:val="000E47B4"/>
    <w:rsid w:val="000E4CC7"/>
    <w:rsid w:val="000E4F63"/>
    <w:rsid w:val="000E5429"/>
    <w:rsid w:val="000E66B0"/>
    <w:rsid w:val="000E6977"/>
    <w:rsid w:val="000E6AED"/>
    <w:rsid w:val="000E6CE4"/>
    <w:rsid w:val="000E6FD2"/>
    <w:rsid w:val="000E7011"/>
    <w:rsid w:val="000E7766"/>
    <w:rsid w:val="000E79A0"/>
    <w:rsid w:val="000E7A13"/>
    <w:rsid w:val="000E7AC8"/>
    <w:rsid w:val="000E7ADE"/>
    <w:rsid w:val="000E7D93"/>
    <w:rsid w:val="000E7F82"/>
    <w:rsid w:val="000E7F8F"/>
    <w:rsid w:val="000E7FB8"/>
    <w:rsid w:val="000F04FC"/>
    <w:rsid w:val="000F098A"/>
    <w:rsid w:val="000F0A2D"/>
    <w:rsid w:val="000F0A76"/>
    <w:rsid w:val="000F0A7F"/>
    <w:rsid w:val="000F0B80"/>
    <w:rsid w:val="000F1408"/>
    <w:rsid w:val="000F14F9"/>
    <w:rsid w:val="000F1554"/>
    <w:rsid w:val="000F173C"/>
    <w:rsid w:val="000F1881"/>
    <w:rsid w:val="000F1D0E"/>
    <w:rsid w:val="000F1F09"/>
    <w:rsid w:val="000F208A"/>
    <w:rsid w:val="000F21BA"/>
    <w:rsid w:val="000F21F8"/>
    <w:rsid w:val="000F22E7"/>
    <w:rsid w:val="000F248A"/>
    <w:rsid w:val="000F29D3"/>
    <w:rsid w:val="000F2D44"/>
    <w:rsid w:val="000F2D62"/>
    <w:rsid w:val="000F2ECE"/>
    <w:rsid w:val="000F2FC5"/>
    <w:rsid w:val="000F2FE1"/>
    <w:rsid w:val="000F31E6"/>
    <w:rsid w:val="000F3C6B"/>
    <w:rsid w:val="000F4015"/>
    <w:rsid w:val="000F4510"/>
    <w:rsid w:val="000F464F"/>
    <w:rsid w:val="000F4755"/>
    <w:rsid w:val="000F482A"/>
    <w:rsid w:val="000F4A4E"/>
    <w:rsid w:val="000F4B47"/>
    <w:rsid w:val="000F5244"/>
    <w:rsid w:val="000F5368"/>
    <w:rsid w:val="000F5401"/>
    <w:rsid w:val="000F57D9"/>
    <w:rsid w:val="000F591B"/>
    <w:rsid w:val="000F5B2E"/>
    <w:rsid w:val="000F5E43"/>
    <w:rsid w:val="000F6427"/>
    <w:rsid w:val="000F68C4"/>
    <w:rsid w:val="000F6C59"/>
    <w:rsid w:val="000F7481"/>
    <w:rsid w:val="000F75BB"/>
    <w:rsid w:val="000F774F"/>
    <w:rsid w:val="000F7D9B"/>
    <w:rsid w:val="000F7F19"/>
    <w:rsid w:val="00100003"/>
    <w:rsid w:val="00100012"/>
    <w:rsid w:val="001001CB"/>
    <w:rsid w:val="0010022D"/>
    <w:rsid w:val="0010023F"/>
    <w:rsid w:val="00100260"/>
    <w:rsid w:val="00100FD4"/>
    <w:rsid w:val="00101012"/>
    <w:rsid w:val="00101319"/>
    <w:rsid w:val="001019A0"/>
    <w:rsid w:val="00101C3C"/>
    <w:rsid w:val="00101EB7"/>
    <w:rsid w:val="0010227F"/>
    <w:rsid w:val="00102331"/>
    <w:rsid w:val="00102A9F"/>
    <w:rsid w:val="00102D3C"/>
    <w:rsid w:val="00102F13"/>
    <w:rsid w:val="0010328A"/>
    <w:rsid w:val="001034AC"/>
    <w:rsid w:val="00103536"/>
    <w:rsid w:val="00103AEC"/>
    <w:rsid w:val="00103ED4"/>
    <w:rsid w:val="00104443"/>
    <w:rsid w:val="0010456C"/>
    <w:rsid w:val="00104832"/>
    <w:rsid w:val="001050ED"/>
    <w:rsid w:val="001054FE"/>
    <w:rsid w:val="001055A7"/>
    <w:rsid w:val="0010588D"/>
    <w:rsid w:val="00105BB0"/>
    <w:rsid w:val="001061E1"/>
    <w:rsid w:val="00106201"/>
    <w:rsid w:val="001065F8"/>
    <w:rsid w:val="00106754"/>
    <w:rsid w:val="00106834"/>
    <w:rsid w:val="00106A60"/>
    <w:rsid w:val="00106BCB"/>
    <w:rsid w:val="00106CFB"/>
    <w:rsid w:val="00106D1E"/>
    <w:rsid w:val="00106DF4"/>
    <w:rsid w:val="00106F03"/>
    <w:rsid w:val="00107022"/>
    <w:rsid w:val="0010782F"/>
    <w:rsid w:val="0010783A"/>
    <w:rsid w:val="001079D2"/>
    <w:rsid w:val="00107E0F"/>
    <w:rsid w:val="00107E9B"/>
    <w:rsid w:val="00107FAC"/>
    <w:rsid w:val="00110228"/>
    <w:rsid w:val="0011040B"/>
    <w:rsid w:val="0011093B"/>
    <w:rsid w:val="00110C75"/>
    <w:rsid w:val="00111077"/>
    <w:rsid w:val="00111161"/>
    <w:rsid w:val="0011132D"/>
    <w:rsid w:val="0011141B"/>
    <w:rsid w:val="0011161E"/>
    <w:rsid w:val="00111C67"/>
    <w:rsid w:val="00112047"/>
    <w:rsid w:val="001120D1"/>
    <w:rsid w:val="00112121"/>
    <w:rsid w:val="00112173"/>
    <w:rsid w:val="00112406"/>
    <w:rsid w:val="00112544"/>
    <w:rsid w:val="00112627"/>
    <w:rsid w:val="0011263E"/>
    <w:rsid w:val="001128F4"/>
    <w:rsid w:val="00112B8B"/>
    <w:rsid w:val="001131FA"/>
    <w:rsid w:val="001135DF"/>
    <w:rsid w:val="00113656"/>
    <w:rsid w:val="00113A80"/>
    <w:rsid w:val="00113AB9"/>
    <w:rsid w:val="0011442E"/>
    <w:rsid w:val="00114B6D"/>
    <w:rsid w:val="00114BB2"/>
    <w:rsid w:val="00114D5B"/>
    <w:rsid w:val="0011519D"/>
    <w:rsid w:val="00115352"/>
    <w:rsid w:val="00115415"/>
    <w:rsid w:val="00115467"/>
    <w:rsid w:val="001157AE"/>
    <w:rsid w:val="00115E58"/>
    <w:rsid w:val="00116640"/>
    <w:rsid w:val="00116695"/>
    <w:rsid w:val="001167A8"/>
    <w:rsid w:val="00116DAF"/>
    <w:rsid w:val="00116E28"/>
    <w:rsid w:val="00116E3E"/>
    <w:rsid w:val="00117000"/>
    <w:rsid w:val="001171C4"/>
    <w:rsid w:val="00117374"/>
    <w:rsid w:val="00117AB3"/>
    <w:rsid w:val="00117BB9"/>
    <w:rsid w:val="00117C2B"/>
    <w:rsid w:val="00117FCC"/>
    <w:rsid w:val="00120348"/>
    <w:rsid w:val="001203D5"/>
    <w:rsid w:val="00120C48"/>
    <w:rsid w:val="00121086"/>
    <w:rsid w:val="001213CE"/>
    <w:rsid w:val="001217A1"/>
    <w:rsid w:val="001218AD"/>
    <w:rsid w:val="00121B16"/>
    <w:rsid w:val="0012203A"/>
    <w:rsid w:val="00122855"/>
    <w:rsid w:val="00122BB0"/>
    <w:rsid w:val="00122CD8"/>
    <w:rsid w:val="0012344B"/>
    <w:rsid w:val="001235E4"/>
    <w:rsid w:val="00123812"/>
    <w:rsid w:val="00124924"/>
    <w:rsid w:val="001249D0"/>
    <w:rsid w:val="00124AA4"/>
    <w:rsid w:val="00124B78"/>
    <w:rsid w:val="00124C8F"/>
    <w:rsid w:val="00124CC5"/>
    <w:rsid w:val="00124CD8"/>
    <w:rsid w:val="00124D9C"/>
    <w:rsid w:val="00124F74"/>
    <w:rsid w:val="00125194"/>
    <w:rsid w:val="001251D6"/>
    <w:rsid w:val="00125752"/>
    <w:rsid w:val="00125772"/>
    <w:rsid w:val="001257A6"/>
    <w:rsid w:val="001257D7"/>
    <w:rsid w:val="00125924"/>
    <w:rsid w:val="00125C3E"/>
    <w:rsid w:val="00125DEF"/>
    <w:rsid w:val="00126007"/>
    <w:rsid w:val="00126594"/>
    <w:rsid w:val="001265BC"/>
    <w:rsid w:val="00126B3F"/>
    <w:rsid w:val="00126ECD"/>
    <w:rsid w:val="00126F43"/>
    <w:rsid w:val="00127007"/>
    <w:rsid w:val="001275A9"/>
    <w:rsid w:val="0013004C"/>
    <w:rsid w:val="00130067"/>
    <w:rsid w:val="001300B7"/>
    <w:rsid w:val="001302BE"/>
    <w:rsid w:val="00130589"/>
    <w:rsid w:val="001305D6"/>
    <w:rsid w:val="0013080B"/>
    <w:rsid w:val="00130A5D"/>
    <w:rsid w:val="00130A96"/>
    <w:rsid w:val="00130C60"/>
    <w:rsid w:val="001318FE"/>
    <w:rsid w:val="00131C77"/>
    <w:rsid w:val="0013222A"/>
    <w:rsid w:val="0013234B"/>
    <w:rsid w:val="001325FB"/>
    <w:rsid w:val="001326CA"/>
    <w:rsid w:val="001327E3"/>
    <w:rsid w:val="001328C5"/>
    <w:rsid w:val="00133292"/>
    <w:rsid w:val="001332AE"/>
    <w:rsid w:val="001333D1"/>
    <w:rsid w:val="0013469F"/>
    <w:rsid w:val="00134783"/>
    <w:rsid w:val="00134EEA"/>
    <w:rsid w:val="00135184"/>
    <w:rsid w:val="001359C7"/>
    <w:rsid w:val="00135A41"/>
    <w:rsid w:val="00135B23"/>
    <w:rsid w:val="00135EE4"/>
    <w:rsid w:val="00136062"/>
    <w:rsid w:val="00136144"/>
    <w:rsid w:val="001362AD"/>
    <w:rsid w:val="001362EB"/>
    <w:rsid w:val="0013690A"/>
    <w:rsid w:val="001371A8"/>
    <w:rsid w:val="001372F4"/>
    <w:rsid w:val="00137F39"/>
    <w:rsid w:val="00137FCD"/>
    <w:rsid w:val="00140007"/>
    <w:rsid w:val="00140076"/>
    <w:rsid w:val="00140080"/>
    <w:rsid w:val="0014019A"/>
    <w:rsid w:val="0014022F"/>
    <w:rsid w:val="00140260"/>
    <w:rsid w:val="0014060A"/>
    <w:rsid w:val="00140919"/>
    <w:rsid w:val="001409F4"/>
    <w:rsid w:val="00140A60"/>
    <w:rsid w:val="00140A61"/>
    <w:rsid w:val="00140C17"/>
    <w:rsid w:val="00140F02"/>
    <w:rsid w:val="00141053"/>
    <w:rsid w:val="00141404"/>
    <w:rsid w:val="00141AC8"/>
    <w:rsid w:val="001426F2"/>
    <w:rsid w:val="00142790"/>
    <w:rsid w:val="0014291E"/>
    <w:rsid w:val="00142A29"/>
    <w:rsid w:val="001430C0"/>
    <w:rsid w:val="0014375F"/>
    <w:rsid w:val="00143BF3"/>
    <w:rsid w:val="0014425E"/>
    <w:rsid w:val="001447A4"/>
    <w:rsid w:val="001448B6"/>
    <w:rsid w:val="00144A35"/>
    <w:rsid w:val="00144A9C"/>
    <w:rsid w:val="00144CFE"/>
    <w:rsid w:val="00144E07"/>
    <w:rsid w:val="0014519A"/>
    <w:rsid w:val="0014534C"/>
    <w:rsid w:val="00145528"/>
    <w:rsid w:val="00145564"/>
    <w:rsid w:val="001457E0"/>
    <w:rsid w:val="00145A0D"/>
    <w:rsid w:val="00145ACC"/>
    <w:rsid w:val="00145AE6"/>
    <w:rsid w:val="00145C99"/>
    <w:rsid w:val="00145DA8"/>
    <w:rsid w:val="00146497"/>
    <w:rsid w:val="001464C6"/>
    <w:rsid w:val="001465DF"/>
    <w:rsid w:val="001468AD"/>
    <w:rsid w:val="00146AA2"/>
    <w:rsid w:val="00146D00"/>
    <w:rsid w:val="0014728F"/>
    <w:rsid w:val="001473ED"/>
    <w:rsid w:val="00147670"/>
    <w:rsid w:val="00147B23"/>
    <w:rsid w:val="00147CAF"/>
    <w:rsid w:val="00147D52"/>
    <w:rsid w:val="00147DDE"/>
    <w:rsid w:val="00147E98"/>
    <w:rsid w:val="00147EA9"/>
    <w:rsid w:val="001500BE"/>
    <w:rsid w:val="0015021F"/>
    <w:rsid w:val="00150410"/>
    <w:rsid w:val="00150422"/>
    <w:rsid w:val="0015054E"/>
    <w:rsid w:val="00150781"/>
    <w:rsid w:val="0015082A"/>
    <w:rsid w:val="001509C9"/>
    <w:rsid w:val="00150A93"/>
    <w:rsid w:val="00150C97"/>
    <w:rsid w:val="00150E1D"/>
    <w:rsid w:val="00150F30"/>
    <w:rsid w:val="00150FCF"/>
    <w:rsid w:val="00151026"/>
    <w:rsid w:val="00151111"/>
    <w:rsid w:val="00151180"/>
    <w:rsid w:val="001511AB"/>
    <w:rsid w:val="0015131B"/>
    <w:rsid w:val="0015134B"/>
    <w:rsid w:val="0015151F"/>
    <w:rsid w:val="00151BD8"/>
    <w:rsid w:val="00151C94"/>
    <w:rsid w:val="00151E79"/>
    <w:rsid w:val="00152167"/>
    <w:rsid w:val="00153433"/>
    <w:rsid w:val="00153456"/>
    <w:rsid w:val="001536BF"/>
    <w:rsid w:val="001536FE"/>
    <w:rsid w:val="00153701"/>
    <w:rsid w:val="00153D0F"/>
    <w:rsid w:val="00153FBE"/>
    <w:rsid w:val="0015406E"/>
    <w:rsid w:val="00154211"/>
    <w:rsid w:val="001544DE"/>
    <w:rsid w:val="001545E0"/>
    <w:rsid w:val="00154FE9"/>
    <w:rsid w:val="00155130"/>
    <w:rsid w:val="00155316"/>
    <w:rsid w:val="001554D7"/>
    <w:rsid w:val="001554EE"/>
    <w:rsid w:val="00155D2E"/>
    <w:rsid w:val="001564C5"/>
    <w:rsid w:val="00156980"/>
    <w:rsid w:val="00156A5E"/>
    <w:rsid w:val="00156B70"/>
    <w:rsid w:val="00156C94"/>
    <w:rsid w:val="00156E1D"/>
    <w:rsid w:val="001570B0"/>
    <w:rsid w:val="001575E3"/>
    <w:rsid w:val="001579DC"/>
    <w:rsid w:val="00157AC7"/>
    <w:rsid w:val="00157C14"/>
    <w:rsid w:val="00157F9C"/>
    <w:rsid w:val="0016027F"/>
    <w:rsid w:val="00160772"/>
    <w:rsid w:val="0016095B"/>
    <w:rsid w:val="00160B0F"/>
    <w:rsid w:val="00160EE7"/>
    <w:rsid w:val="0016107C"/>
    <w:rsid w:val="001611DC"/>
    <w:rsid w:val="00161248"/>
    <w:rsid w:val="001614A9"/>
    <w:rsid w:val="0016175B"/>
    <w:rsid w:val="0016195F"/>
    <w:rsid w:val="001619C1"/>
    <w:rsid w:val="00161A21"/>
    <w:rsid w:val="00161BAC"/>
    <w:rsid w:val="001622CC"/>
    <w:rsid w:val="00162737"/>
    <w:rsid w:val="001628E5"/>
    <w:rsid w:val="00163694"/>
    <w:rsid w:val="00164534"/>
    <w:rsid w:val="00164744"/>
    <w:rsid w:val="001647BF"/>
    <w:rsid w:val="0016486E"/>
    <w:rsid w:val="00164C17"/>
    <w:rsid w:val="001662C0"/>
    <w:rsid w:val="001665F0"/>
    <w:rsid w:val="00166781"/>
    <w:rsid w:val="00166859"/>
    <w:rsid w:val="001668A4"/>
    <w:rsid w:val="001668CE"/>
    <w:rsid w:val="00166B25"/>
    <w:rsid w:val="00166D04"/>
    <w:rsid w:val="00166E35"/>
    <w:rsid w:val="00167360"/>
    <w:rsid w:val="001673D0"/>
    <w:rsid w:val="0016767C"/>
    <w:rsid w:val="001677BD"/>
    <w:rsid w:val="001678B0"/>
    <w:rsid w:val="00167B5D"/>
    <w:rsid w:val="00167E3E"/>
    <w:rsid w:val="00167F78"/>
    <w:rsid w:val="001700A2"/>
    <w:rsid w:val="0017066C"/>
    <w:rsid w:val="00170673"/>
    <w:rsid w:val="001707A1"/>
    <w:rsid w:val="00170D2B"/>
    <w:rsid w:val="00171154"/>
    <w:rsid w:val="00171714"/>
    <w:rsid w:val="00171730"/>
    <w:rsid w:val="0017186B"/>
    <w:rsid w:val="00171EF2"/>
    <w:rsid w:val="00171F36"/>
    <w:rsid w:val="001720E8"/>
    <w:rsid w:val="00172176"/>
    <w:rsid w:val="001722F9"/>
    <w:rsid w:val="00172730"/>
    <w:rsid w:val="00172A1F"/>
    <w:rsid w:val="00172B29"/>
    <w:rsid w:val="00172E4E"/>
    <w:rsid w:val="001743F1"/>
    <w:rsid w:val="0017450A"/>
    <w:rsid w:val="00174853"/>
    <w:rsid w:val="0017488A"/>
    <w:rsid w:val="001748A8"/>
    <w:rsid w:val="00174ACF"/>
    <w:rsid w:val="00174B7F"/>
    <w:rsid w:val="001759A6"/>
    <w:rsid w:val="00175E84"/>
    <w:rsid w:val="0017625C"/>
    <w:rsid w:val="00176691"/>
    <w:rsid w:val="00176F2C"/>
    <w:rsid w:val="00177252"/>
    <w:rsid w:val="001774FC"/>
    <w:rsid w:val="0017752F"/>
    <w:rsid w:val="00177555"/>
    <w:rsid w:val="001775F1"/>
    <w:rsid w:val="0017766A"/>
    <w:rsid w:val="00177C7F"/>
    <w:rsid w:val="00177EAC"/>
    <w:rsid w:val="00177EF6"/>
    <w:rsid w:val="00177F9F"/>
    <w:rsid w:val="00180398"/>
    <w:rsid w:val="0018057E"/>
    <w:rsid w:val="0018066A"/>
    <w:rsid w:val="001808AA"/>
    <w:rsid w:val="00180916"/>
    <w:rsid w:val="00180EC4"/>
    <w:rsid w:val="0018106B"/>
    <w:rsid w:val="00181667"/>
    <w:rsid w:val="00181A2B"/>
    <w:rsid w:val="00181FDE"/>
    <w:rsid w:val="00182634"/>
    <w:rsid w:val="00182929"/>
    <w:rsid w:val="00182ADE"/>
    <w:rsid w:val="00182E10"/>
    <w:rsid w:val="00182E20"/>
    <w:rsid w:val="00182F4F"/>
    <w:rsid w:val="00182F55"/>
    <w:rsid w:val="00183027"/>
    <w:rsid w:val="0018311F"/>
    <w:rsid w:val="00183927"/>
    <w:rsid w:val="00183B8B"/>
    <w:rsid w:val="00183ED0"/>
    <w:rsid w:val="001849A3"/>
    <w:rsid w:val="001849C3"/>
    <w:rsid w:val="00184D0F"/>
    <w:rsid w:val="001851C4"/>
    <w:rsid w:val="00185620"/>
    <w:rsid w:val="0018567D"/>
    <w:rsid w:val="001856BB"/>
    <w:rsid w:val="0018577C"/>
    <w:rsid w:val="001857CA"/>
    <w:rsid w:val="00185816"/>
    <w:rsid w:val="00185E0E"/>
    <w:rsid w:val="00186F30"/>
    <w:rsid w:val="00186F6E"/>
    <w:rsid w:val="00187248"/>
    <w:rsid w:val="00187E60"/>
    <w:rsid w:val="00190099"/>
    <w:rsid w:val="0019014C"/>
    <w:rsid w:val="0019038B"/>
    <w:rsid w:val="001903C8"/>
    <w:rsid w:val="00190561"/>
    <w:rsid w:val="00190EAB"/>
    <w:rsid w:val="0019143B"/>
    <w:rsid w:val="00191530"/>
    <w:rsid w:val="001916AF"/>
    <w:rsid w:val="00191879"/>
    <w:rsid w:val="00191E92"/>
    <w:rsid w:val="00191F07"/>
    <w:rsid w:val="0019225F"/>
    <w:rsid w:val="001923C2"/>
    <w:rsid w:val="00192433"/>
    <w:rsid w:val="00192456"/>
    <w:rsid w:val="0019251B"/>
    <w:rsid w:val="001929E0"/>
    <w:rsid w:val="00192D38"/>
    <w:rsid w:val="0019321F"/>
    <w:rsid w:val="00193359"/>
    <w:rsid w:val="00193683"/>
    <w:rsid w:val="00193EA5"/>
    <w:rsid w:val="00194755"/>
    <w:rsid w:val="00194770"/>
    <w:rsid w:val="0019477B"/>
    <w:rsid w:val="001948AE"/>
    <w:rsid w:val="00194CC0"/>
    <w:rsid w:val="00195002"/>
    <w:rsid w:val="001950B6"/>
    <w:rsid w:val="0019529E"/>
    <w:rsid w:val="0019540E"/>
    <w:rsid w:val="001956E1"/>
    <w:rsid w:val="00195F02"/>
    <w:rsid w:val="00195F7E"/>
    <w:rsid w:val="00196483"/>
    <w:rsid w:val="001964AE"/>
    <w:rsid w:val="001965FB"/>
    <w:rsid w:val="0019671E"/>
    <w:rsid w:val="00196CAC"/>
    <w:rsid w:val="00196CB1"/>
    <w:rsid w:val="00196E09"/>
    <w:rsid w:val="00197165"/>
    <w:rsid w:val="001974C8"/>
    <w:rsid w:val="001976AF"/>
    <w:rsid w:val="001977B8"/>
    <w:rsid w:val="00197932"/>
    <w:rsid w:val="00197A1A"/>
    <w:rsid w:val="00197C50"/>
    <w:rsid w:val="00197DD1"/>
    <w:rsid w:val="00197EB2"/>
    <w:rsid w:val="001A0227"/>
    <w:rsid w:val="001A05BA"/>
    <w:rsid w:val="001A06F9"/>
    <w:rsid w:val="001A0AFC"/>
    <w:rsid w:val="001A0D9D"/>
    <w:rsid w:val="001A0E99"/>
    <w:rsid w:val="001A1006"/>
    <w:rsid w:val="001A109C"/>
    <w:rsid w:val="001A117E"/>
    <w:rsid w:val="001A1219"/>
    <w:rsid w:val="001A1420"/>
    <w:rsid w:val="001A1746"/>
    <w:rsid w:val="001A18C8"/>
    <w:rsid w:val="001A1901"/>
    <w:rsid w:val="001A1AF0"/>
    <w:rsid w:val="001A21B2"/>
    <w:rsid w:val="001A2364"/>
    <w:rsid w:val="001A2A8C"/>
    <w:rsid w:val="001A2B01"/>
    <w:rsid w:val="001A2C2C"/>
    <w:rsid w:val="001A2DDF"/>
    <w:rsid w:val="001A2ED3"/>
    <w:rsid w:val="001A3189"/>
    <w:rsid w:val="001A32EA"/>
    <w:rsid w:val="001A33F2"/>
    <w:rsid w:val="001A3493"/>
    <w:rsid w:val="001A35C1"/>
    <w:rsid w:val="001A37A5"/>
    <w:rsid w:val="001A3915"/>
    <w:rsid w:val="001A3AB1"/>
    <w:rsid w:val="001A3DCF"/>
    <w:rsid w:val="001A3E91"/>
    <w:rsid w:val="001A4140"/>
    <w:rsid w:val="001A41F9"/>
    <w:rsid w:val="001A4300"/>
    <w:rsid w:val="001A440B"/>
    <w:rsid w:val="001A444E"/>
    <w:rsid w:val="001A46C4"/>
    <w:rsid w:val="001A4A30"/>
    <w:rsid w:val="001A4A6F"/>
    <w:rsid w:val="001A4AA7"/>
    <w:rsid w:val="001A4AD6"/>
    <w:rsid w:val="001A54C6"/>
    <w:rsid w:val="001A551D"/>
    <w:rsid w:val="001A55EA"/>
    <w:rsid w:val="001A5FEC"/>
    <w:rsid w:val="001A6354"/>
    <w:rsid w:val="001A67FB"/>
    <w:rsid w:val="001A6A56"/>
    <w:rsid w:val="001A6D3E"/>
    <w:rsid w:val="001A707B"/>
    <w:rsid w:val="001A717C"/>
    <w:rsid w:val="001A75B7"/>
    <w:rsid w:val="001A77AA"/>
    <w:rsid w:val="001A789B"/>
    <w:rsid w:val="001A7A61"/>
    <w:rsid w:val="001A7D96"/>
    <w:rsid w:val="001B090D"/>
    <w:rsid w:val="001B0A79"/>
    <w:rsid w:val="001B0DD5"/>
    <w:rsid w:val="001B0F30"/>
    <w:rsid w:val="001B14C1"/>
    <w:rsid w:val="001B16C6"/>
    <w:rsid w:val="001B1B65"/>
    <w:rsid w:val="001B1BDD"/>
    <w:rsid w:val="001B1C41"/>
    <w:rsid w:val="001B1C48"/>
    <w:rsid w:val="001B1CF3"/>
    <w:rsid w:val="001B1EDB"/>
    <w:rsid w:val="001B23E4"/>
    <w:rsid w:val="001B2B12"/>
    <w:rsid w:val="001B2C0F"/>
    <w:rsid w:val="001B2EB2"/>
    <w:rsid w:val="001B33E7"/>
    <w:rsid w:val="001B34A4"/>
    <w:rsid w:val="001B3772"/>
    <w:rsid w:val="001B39E2"/>
    <w:rsid w:val="001B3D2B"/>
    <w:rsid w:val="001B4210"/>
    <w:rsid w:val="001B4314"/>
    <w:rsid w:val="001B45C2"/>
    <w:rsid w:val="001B46AE"/>
    <w:rsid w:val="001B47F4"/>
    <w:rsid w:val="001B4817"/>
    <w:rsid w:val="001B49C0"/>
    <w:rsid w:val="001B49DD"/>
    <w:rsid w:val="001B4AB2"/>
    <w:rsid w:val="001B4C5F"/>
    <w:rsid w:val="001B51B3"/>
    <w:rsid w:val="001B52FA"/>
    <w:rsid w:val="001B55AB"/>
    <w:rsid w:val="001B5912"/>
    <w:rsid w:val="001B5BEB"/>
    <w:rsid w:val="001B608E"/>
    <w:rsid w:val="001B66DD"/>
    <w:rsid w:val="001B680D"/>
    <w:rsid w:val="001B691A"/>
    <w:rsid w:val="001B6ADD"/>
    <w:rsid w:val="001B6B69"/>
    <w:rsid w:val="001B6BAC"/>
    <w:rsid w:val="001B72C1"/>
    <w:rsid w:val="001B76DA"/>
    <w:rsid w:val="001B76FD"/>
    <w:rsid w:val="001B772B"/>
    <w:rsid w:val="001C0632"/>
    <w:rsid w:val="001C09D1"/>
    <w:rsid w:val="001C0BF4"/>
    <w:rsid w:val="001C0D9B"/>
    <w:rsid w:val="001C12D9"/>
    <w:rsid w:val="001C1490"/>
    <w:rsid w:val="001C15EA"/>
    <w:rsid w:val="001C19BA"/>
    <w:rsid w:val="001C1B09"/>
    <w:rsid w:val="001C1BE2"/>
    <w:rsid w:val="001C1C0D"/>
    <w:rsid w:val="001C1C2F"/>
    <w:rsid w:val="001C1C66"/>
    <w:rsid w:val="001C1FEC"/>
    <w:rsid w:val="001C20EF"/>
    <w:rsid w:val="001C21A4"/>
    <w:rsid w:val="001C24CD"/>
    <w:rsid w:val="001C2824"/>
    <w:rsid w:val="001C290B"/>
    <w:rsid w:val="001C2A1A"/>
    <w:rsid w:val="001C3455"/>
    <w:rsid w:val="001C3598"/>
    <w:rsid w:val="001C3738"/>
    <w:rsid w:val="001C374E"/>
    <w:rsid w:val="001C3867"/>
    <w:rsid w:val="001C3AD8"/>
    <w:rsid w:val="001C3B6F"/>
    <w:rsid w:val="001C3B84"/>
    <w:rsid w:val="001C3C4E"/>
    <w:rsid w:val="001C42D4"/>
    <w:rsid w:val="001C4465"/>
    <w:rsid w:val="001C4467"/>
    <w:rsid w:val="001C4905"/>
    <w:rsid w:val="001C4C42"/>
    <w:rsid w:val="001C4C7F"/>
    <w:rsid w:val="001C5308"/>
    <w:rsid w:val="001C53B9"/>
    <w:rsid w:val="001C5408"/>
    <w:rsid w:val="001C55F8"/>
    <w:rsid w:val="001C579A"/>
    <w:rsid w:val="001C58E9"/>
    <w:rsid w:val="001C5CB2"/>
    <w:rsid w:val="001C5D27"/>
    <w:rsid w:val="001C6056"/>
    <w:rsid w:val="001C650A"/>
    <w:rsid w:val="001C67AD"/>
    <w:rsid w:val="001C6A88"/>
    <w:rsid w:val="001C6CD2"/>
    <w:rsid w:val="001C7909"/>
    <w:rsid w:val="001C798C"/>
    <w:rsid w:val="001C7F4B"/>
    <w:rsid w:val="001D007C"/>
    <w:rsid w:val="001D0098"/>
    <w:rsid w:val="001D01FF"/>
    <w:rsid w:val="001D02ED"/>
    <w:rsid w:val="001D08BA"/>
    <w:rsid w:val="001D0CC9"/>
    <w:rsid w:val="001D0FD3"/>
    <w:rsid w:val="001D13D2"/>
    <w:rsid w:val="001D1A30"/>
    <w:rsid w:val="001D1BCF"/>
    <w:rsid w:val="001D1FD3"/>
    <w:rsid w:val="001D222E"/>
    <w:rsid w:val="001D22EE"/>
    <w:rsid w:val="001D235D"/>
    <w:rsid w:val="001D2569"/>
    <w:rsid w:val="001D2AFD"/>
    <w:rsid w:val="001D2B0D"/>
    <w:rsid w:val="001D2B8A"/>
    <w:rsid w:val="001D2C66"/>
    <w:rsid w:val="001D32CB"/>
    <w:rsid w:val="001D336C"/>
    <w:rsid w:val="001D3511"/>
    <w:rsid w:val="001D3B4E"/>
    <w:rsid w:val="001D3CD5"/>
    <w:rsid w:val="001D3E8F"/>
    <w:rsid w:val="001D4392"/>
    <w:rsid w:val="001D4556"/>
    <w:rsid w:val="001D45BF"/>
    <w:rsid w:val="001D46C3"/>
    <w:rsid w:val="001D47A4"/>
    <w:rsid w:val="001D4AE2"/>
    <w:rsid w:val="001D4E3D"/>
    <w:rsid w:val="001D4EE0"/>
    <w:rsid w:val="001D4EEE"/>
    <w:rsid w:val="001D53C2"/>
    <w:rsid w:val="001D548B"/>
    <w:rsid w:val="001D5596"/>
    <w:rsid w:val="001D5AE5"/>
    <w:rsid w:val="001D5C30"/>
    <w:rsid w:val="001D6318"/>
    <w:rsid w:val="001D638D"/>
    <w:rsid w:val="001D65F5"/>
    <w:rsid w:val="001D6825"/>
    <w:rsid w:val="001D6CBF"/>
    <w:rsid w:val="001D6CDE"/>
    <w:rsid w:val="001D6D81"/>
    <w:rsid w:val="001D6F48"/>
    <w:rsid w:val="001D7252"/>
    <w:rsid w:val="001D72E8"/>
    <w:rsid w:val="001D7479"/>
    <w:rsid w:val="001D763A"/>
    <w:rsid w:val="001D7680"/>
    <w:rsid w:val="001D7952"/>
    <w:rsid w:val="001D7AAE"/>
    <w:rsid w:val="001D7F61"/>
    <w:rsid w:val="001E01AD"/>
    <w:rsid w:val="001E0288"/>
    <w:rsid w:val="001E0766"/>
    <w:rsid w:val="001E08A6"/>
    <w:rsid w:val="001E0996"/>
    <w:rsid w:val="001E0F19"/>
    <w:rsid w:val="001E10D0"/>
    <w:rsid w:val="001E10FE"/>
    <w:rsid w:val="001E1207"/>
    <w:rsid w:val="001E15CB"/>
    <w:rsid w:val="001E1AF6"/>
    <w:rsid w:val="001E2066"/>
    <w:rsid w:val="001E21B4"/>
    <w:rsid w:val="001E230B"/>
    <w:rsid w:val="001E2B53"/>
    <w:rsid w:val="001E2C1D"/>
    <w:rsid w:val="001E3095"/>
    <w:rsid w:val="001E3430"/>
    <w:rsid w:val="001E376A"/>
    <w:rsid w:val="001E3856"/>
    <w:rsid w:val="001E3949"/>
    <w:rsid w:val="001E3B85"/>
    <w:rsid w:val="001E3BBC"/>
    <w:rsid w:val="001E44CC"/>
    <w:rsid w:val="001E4B58"/>
    <w:rsid w:val="001E4BF4"/>
    <w:rsid w:val="001E4DBA"/>
    <w:rsid w:val="001E522B"/>
    <w:rsid w:val="001E57A5"/>
    <w:rsid w:val="001E5E2B"/>
    <w:rsid w:val="001E60D5"/>
    <w:rsid w:val="001E62A7"/>
    <w:rsid w:val="001E6372"/>
    <w:rsid w:val="001E649B"/>
    <w:rsid w:val="001E661F"/>
    <w:rsid w:val="001E66CE"/>
    <w:rsid w:val="001E6710"/>
    <w:rsid w:val="001E6A3D"/>
    <w:rsid w:val="001E6E42"/>
    <w:rsid w:val="001E7099"/>
    <w:rsid w:val="001E727D"/>
    <w:rsid w:val="001E72D9"/>
    <w:rsid w:val="001E73F0"/>
    <w:rsid w:val="001E7704"/>
    <w:rsid w:val="001E79B2"/>
    <w:rsid w:val="001F0453"/>
    <w:rsid w:val="001F086A"/>
    <w:rsid w:val="001F0E55"/>
    <w:rsid w:val="001F10D7"/>
    <w:rsid w:val="001F1571"/>
    <w:rsid w:val="001F176C"/>
    <w:rsid w:val="001F1AD4"/>
    <w:rsid w:val="001F1CBE"/>
    <w:rsid w:val="001F1EC0"/>
    <w:rsid w:val="001F2353"/>
    <w:rsid w:val="001F23FF"/>
    <w:rsid w:val="001F27BA"/>
    <w:rsid w:val="001F2EE7"/>
    <w:rsid w:val="001F2F43"/>
    <w:rsid w:val="001F3038"/>
    <w:rsid w:val="001F31E6"/>
    <w:rsid w:val="001F326A"/>
    <w:rsid w:val="001F3344"/>
    <w:rsid w:val="001F355C"/>
    <w:rsid w:val="001F366E"/>
    <w:rsid w:val="001F39D6"/>
    <w:rsid w:val="001F4C9A"/>
    <w:rsid w:val="001F50F6"/>
    <w:rsid w:val="001F51A7"/>
    <w:rsid w:val="001F521B"/>
    <w:rsid w:val="001F544B"/>
    <w:rsid w:val="001F56E5"/>
    <w:rsid w:val="001F582D"/>
    <w:rsid w:val="001F59D5"/>
    <w:rsid w:val="001F5CD5"/>
    <w:rsid w:val="001F5F96"/>
    <w:rsid w:val="001F5F9E"/>
    <w:rsid w:val="001F600D"/>
    <w:rsid w:val="001F60ED"/>
    <w:rsid w:val="001F6230"/>
    <w:rsid w:val="001F63FB"/>
    <w:rsid w:val="001F65D0"/>
    <w:rsid w:val="001F6763"/>
    <w:rsid w:val="001F6A70"/>
    <w:rsid w:val="001F6BE7"/>
    <w:rsid w:val="001F6C3D"/>
    <w:rsid w:val="001F6D48"/>
    <w:rsid w:val="001F73F0"/>
    <w:rsid w:val="001F75A9"/>
    <w:rsid w:val="001F7880"/>
    <w:rsid w:val="001F7C1B"/>
    <w:rsid w:val="001F7DAC"/>
    <w:rsid w:val="001F7E2A"/>
    <w:rsid w:val="001F7E44"/>
    <w:rsid w:val="001F7EA7"/>
    <w:rsid w:val="00200040"/>
    <w:rsid w:val="002000EA"/>
    <w:rsid w:val="002001A1"/>
    <w:rsid w:val="002001CB"/>
    <w:rsid w:val="002001CF"/>
    <w:rsid w:val="0020020C"/>
    <w:rsid w:val="002002AC"/>
    <w:rsid w:val="002003E3"/>
    <w:rsid w:val="0020145A"/>
    <w:rsid w:val="0020150D"/>
    <w:rsid w:val="002016E6"/>
    <w:rsid w:val="0020178D"/>
    <w:rsid w:val="002019CC"/>
    <w:rsid w:val="00201C9F"/>
    <w:rsid w:val="00201E22"/>
    <w:rsid w:val="00201E45"/>
    <w:rsid w:val="00201EA9"/>
    <w:rsid w:val="00202108"/>
    <w:rsid w:val="002021C2"/>
    <w:rsid w:val="00202221"/>
    <w:rsid w:val="0020235B"/>
    <w:rsid w:val="00202525"/>
    <w:rsid w:val="00202584"/>
    <w:rsid w:val="00202A74"/>
    <w:rsid w:val="00202AFA"/>
    <w:rsid w:val="00202D10"/>
    <w:rsid w:val="00202E65"/>
    <w:rsid w:val="0020301F"/>
    <w:rsid w:val="00203436"/>
    <w:rsid w:val="002038BC"/>
    <w:rsid w:val="00204204"/>
    <w:rsid w:val="0020477A"/>
    <w:rsid w:val="002049A6"/>
    <w:rsid w:val="00204C04"/>
    <w:rsid w:val="00204CC0"/>
    <w:rsid w:val="002051AB"/>
    <w:rsid w:val="002052E7"/>
    <w:rsid w:val="002054D4"/>
    <w:rsid w:val="00205B5E"/>
    <w:rsid w:val="00205C0F"/>
    <w:rsid w:val="00205DAB"/>
    <w:rsid w:val="0020649E"/>
    <w:rsid w:val="0020655F"/>
    <w:rsid w:val="00206583"/>
    <w:rsid w:val="00206819"/>
    <w:rsid w:val="00206A85"/>
    <w:rsid w:val="00206F7C"/>
    <w:rsid w:val="002078EB"/>
    <w:rsid w:val="00207A07"/>
    <w:rsid w:val="00207D8E"/>
    <w:rsid w:val="00210141"/>
    <w:rsid w:val="00210209"/>
    <w:rsid w:val="002107A9"/>
    <w:rsid w:val="00210922"/>
    <w:rsid w:val="00210F9A"/>
    <w:rsid w:val="002110C9"/>
    <w:rsid w:val="00211408"/>
    <w:rsid w:val="00211494"/>
    <w:rsid w:val="002117EC"/>
    <w:rsid w:val="00211995"/>
    <w:rsid w:val="00211A05"/>
    <w:rsid w:val="00211A93"/>
    <w:rsid w:val="00212191"/>
    <w:rsid w:val="0021229C"/>
    <w:rsid w:val="002125DB"/>
    <w:rsid w:val="00212901"/>
    <w:rsid w:val="00212CB1"/>
    <w:rsid w:val="00212D2A"/>
    <w:rsid w:val="00212F16"/>
    <w:rsid w:val="00213152"/>
    <w:rsid w:val="002134C3"/>
    <w:rsid w:val="002134FB"/>
    <w:rsid w:val="00213C15"/>
    <w:rsid w:val="00213C4B"/>
    <w:rsid w:val="002144C7"/>
    <w:rsid w:val="002149D1"/>
    <w:rsid w:val="00214D13"/>
    <w:rsid w:val="0021504C"/>
    <w:rsid w:val="002151E5"/>
    <w:rsid w:val="00215409"/>
    <w:rsid w:val="002155F2"/>
    <w:rsid w:val="0021567F"/>
    <w:rsid w:val="00215A7F"/>
    <w:rsid w:val="00215B1E"/>
    <w:rsid w:val="00215E1E"/>
    <w:rsid w:val="002161D7"/>
    <w:rsid w:val="002164BE"/>
    <w:rsid w:val="00216523"/>
    <w:rsid w:val="00216744"/>
    <w:rsid w:val="00216F45"/>
    <w:rsid w:val="0021735B"/>
    <w:rsid w:val="002178C1"/>
    <w:rsid w:val="00217D70"/>
    <w:rsid w:val="00217DBF"/>
    <w:rsid w:val="00217F0E"/>
    <w:rsid w:val="00220018"/>
    <w:rsid w:val="002200FB"/>
    <w:rsid w:val="00220168"/>
    <w:rsid w:val="002201CB"/>
    <w:rsid w:val="0022065F"/>
    <w:rsid w:val="00220681"/>
    <w:rsid w:val="002206B5"/>
    <w:rsid w:val="00220BDC"/>
    <w:rsid w:val="00220D83"/>
    <w:rsid w:val="002211C2"/>
    <w:rsid w:val="002211CE"/>
    <w:rsid w:val="002212DA"/>
    <w:rsid w:val="00221476"/>
    <w:rsid w:val="0022168B"/>
    <w:rsid w:val="0022179D"/>
    <w:rsid w:val="00221B73"/>
    <w:rsid w:val="00221F61"/>
    <w:rsid w:val="0022232F"/>
    <w:rsid w:val="002226FC"/>
    <w:rsid w:val="00222718"/>
    <w:rsid w:val="002228E8"/>
    <w:rsid w:val="0022303D"/>
    <w:rsid w:val="002233AE"/>
    <w:rsid w:val="00223420"/>
    <w:rsid w:val="002236E6"/>
    <w:rsid w:val="002237B4"/>
    <w:rsid w:val="00223B57"/>
    <w:rsid w:val="00223D5F"/>
    <w:rsid w:val="00223E9D"/>
    <w:rsid w:val="00223FD8"/>
    <w:rsid w:val="00224061"/>
    <w:rsid w:val="0022420A"/>
    <w:rsid w:val="002243FF"/>
    <w:rsid w:val="00224870"/>
    <w:rsid w:val="00224AFC"/>
    <w:rsid w:val="00225121"/>
    <w:rsid w:val="00225194"/>
    <w:rsid w:val="00225742"/>
    <w:rsid w:val="00225A7F"/>
    <w:rsid w:val="00225AE5"/>
    <w:rsid w:val="00225B35"/>
    <w:rsid w:val="00226181"/>
    <w:rsid w:val="002267F9"/>
    <w:rsid w:val="00226904"/>
    <w:rsid w:val="00226986"/>
    <w:rsid w:val="00226D8C"/>
    <w:rsid w:val="00226F73"/>
    <w:rsid w:val="00227477"/>
    <w:rsid w:val="00227EF0"/>
    <w:rsid w:val="002300D1"/>
    <w:rsid w:val="00230389"/>
    <w:rsid w:val="00230436"/>
    <w:rsid w:val="002307F3"/>
    <w:rsid w:val="002309BA"/>
    <w:rsid w:val="00230A38"/>
    <w:rsid w:val="00230D0E"/>
    <w:rsid w:val="0023122D"/>
    <w:rsid w:val="00231899"/>
    <w:rsid w:val="0023195E"/>
    <w:rsid w:val="00231976"/>
    <w:rsid w:val="00231B40"/>
    <w:rsid w:val="00231BBD"/>
    <w:rsid w:val="002320B1"/>
    <w:rsid w:val="0023226A"/>
    <w:rsid w:val="0023229A"/>
    <w:rsid w:val="002322C7"/>
    <w:rsid w:val="0023239B"/>
    <w:rsid w:val="002324BC"/>
    <w:rsid w:val="00232D4F"/>
    <w:rsid w:val="00232E93"/>
    <w:rsid w:val="00233138"/>
    <w:rsid w:val="002332C2"/>
    <w:rsid w:val="002336CB"/>
    <w:rsid w:val="00233751"/>
    <w:rsid w:val="002338AD"/>
    <w:rsid w:val="00233BE8"/>
    <w:rsid w:val="0023413E"/>
    <w:rsid w:val="002342C4"/>
    <w:rsid w:val="00234833"/>
    <w:rsid w:val="002348C3"/>
    <w:rsid w:val="00234C20"/>
    <w:rsid w:val="00234E10"/>
    <w:rsid w:val="0023591C"/>
    <w:rsid w:val="00235EA3"/>
    <w:rsid w:val="002360F9"/>
    <w:rsid w:val="00236260"/>
    <w:rsid w:val="00236447"/>
    <w:rsid w:val="002365BE"/>
    <w:rsid w:val="00236604"/>
    <w:rsid w:val="00236970"/>
    <w:rsid w:val="00236C26"/>
    <w:rsid w:val="00236D96"/>
    <w:rsid w:val="00237535"/>
    <w:rsid w:val="002376FA"/>
    <w:rsid w:val="00237920"/>
    <w:rsid w:val="00237F30"/>
    <w:rsid w:val="00237F65"/>
    <w:rsid w:val="002400C9"/>
    <w:rsid w:val="002402C9"/>
    <w:rsid w:val="0024093B"/>
    <w:rsid w:val="002409C5"/>
    <w:rsid w:val="0024104A"/>
    <w:rsid w:val="002415B8"/>
    <w:rsid w:val="00241E2A"/>
    <w:rsid w:val="0024214B"/>
    <w:rsid w:val="00242677"/>
    <w:rsid w:val="00242756"/>
    <w:rsid w:val="002428DE"/>
    <w:rsid w:val="00242905"/>
    <w:rsid w:val="0024293B"/>
    <w:rsid w:val="00242950"/>
    <w:rsid w:val="00242DD7"/>
    <w:rsid w:val="002434CE"/>
    <w:rsid w:val="00243559"/>
    <w:rsid w:val="002435A4"/>
    <w:rsid w:val="00243711"/>
    <w:rsid w:val="00243CEE"/>
    <w:rsid w:val="00244650"/>
    <w:rsid w:val="002446B2"/>
    <w:rsid w:val="002448E3"/>
    <w:rsid w:val="0024519A"/>
    <w:rsid w:val="00245272"/>
    <w:rsid w:val="00245509"/>
    <w:rsid w:val="002457B6"/>
    <w:rsid w:val="00245A7B"/>
    <w:rsid w:val="00245E77"/>
    <w:rsid w:val="00245F9B"/>
    <w:rsid w:val="002461BF"/>
    <w:rsid w:val="002469F7"/>
    <w:rsid w:val="002470B8"/>
    <w:rsid w:val="002474B6"/>
    <w:rsid w:val="0024770A"/>
    <w:rsid w:val="00247918"/>
    <w:rsid w:val="0024792E"/>
    <w:rsid w:val="00247976"/>
    <w:rsid w:val="00247D37"/>
    <w:rsid w:val="0025139E"/>
    <w:rsid w:val="002517EE"/>
    <w:rsid w:val="002518CD"/>
    <w:rsid w:val="00251C4F"/>
    <w:rsid w:val="00251E31"/>
    <w:rsid w:val="00252285"/>
    <w:rsid w:val="00252466"/>
    <w:rsid w:val="002527EB"/>
    <w:rsid w:val="00252B7E"/>
    <w:rsid w:val="00252BD7"/>
    <w:rsid w:val="00252E0C"/>
    <w:rsid w:val="00252E6D"/>
    <w:rsid w:val="00252EA9"/>
    <w:rsid w:val="002532D9"/>
    <w:rsid w:val="00253979"/>
    <w:rsid w:val="00253BF6"/>
    <w:rsid w:val="002544EA"/>
    <w:rsid w:val="00254BB7"/>
    <w:rsid w:val="00254F1E"/>
    <w:rsid w:val="0025529C"/>
    <w:rsid w:val="0025617B"/>
    <w:rsid w:val="00256197"/>
    <w:rsid w:val="00256229"/>
    <w:rsid w:val="0025651B"/>
    <w:rsid w:val="00256C09"/>
    <w:rsid w:val="002575BD"/>
    <w:rsid w:val="002578EB"/>
    <w:rsid w:val="00257978"/>
    <w:rsid w:val="00257A09"/>
    <w:rsid w:val="00257EB6"/>
    <w:rsid w:val="00257EED"/>
    <w:rsid w:val="002602D8"/>
    <w:rsid w:val="00260748"/>
    <w:rsid w:val="002609C4"/>
    <w:rsid w:val="00260B94"/>
    <w:rsid w:val="00260E9C"/>
    <w:rsid w:val="0026126B"/>
    <w:rsid w:val="0026149D"/>
    <w:rsid w:val="002614AC"/>
    <w:rsid w:val="002619FB"/>
    <w:rsid w:val="00261FE3"/>
    <w:rsid w:val="002624C9"/>
    <w:rsid w:val="0026252A"/>
    <w:rsid w:val="002626ED"/>
    <w:rsid w:val="0026271D"/>
    <w:rsid w:val="002629A1"/>
    <w:rsid w:val="00262CFE"/>
    <w:rsid w:val="00263038"/>
    <w:rsid w:val="002631C3"/>
    <w:rsid w:val="002633F5"/>
    <w:rsid w:val="002639A1"/>
    <w:rsid w:val="002639A7"/>
    <w:rsid w:val="00263B39"/>
    <w:rsid w:val="00263BE8"/>
    <w:rsid w:val="0026511F"/>
    <w:rsid w:val="002657BB"/>
    <w:rsid w:val="00265A99"/>
    <w:rsid w:val="00265B33"/>
    <w:rsid w:val="00265CFD"/>
    <w:rsid w:val="00265E47"/>
    <w:rsid w:val="0026635E"/>
    <w:rsid w:val="00266624"/>
    <w:rsid w:val="00266FB5"/>
    <w:rsid w:val="00267169"/>
    <w:rsid w:val="0026743D"/>
    <w:rsid w:val="00267704"/>
    <w:rsid w:val="002678CA"/>
    <w:rsid w:val="00267BC6"/>
    <w:rsid w:val="00267CA4"/>
    <w:rsid w:val="00270055"/>
    <w:rsid w:val="002702B4"/>
    <w:rsid w:val="00270681"/>
    <w:rsid w:val="00270696"/>
    <w:rsid w:val="002706B1"/>
    <w:rsid w:val="0027074F"/>
    <w:rsid w:val="0027088E"/>
    <w:rsid w:val="00270FC8"/>
    <w:rsid w:val="002712FF"/>
    <w:rsid w:val="00271821"/>
    <w:rsid w:val="00271954"/>
    <w:rsid w:val="00271A0A"/>
    <w:rsid w:val="00271B5A"/>
    <w:rsid w:val="00271F58"/>
    <w:rsid w:val="002722FD"/>
    <w:rsid w:val="00272707"/>
    <w:rsid w:val="00272830"/>
    <w:rsid w:val="00272B0F"/>
    <w:rsid w:val="00272C6C"/>
    <w:rsid w:val="00272F27"/>
    <w:rsid w:val="00272F48"/>
    <w:rsid w:val="00273490"/>
    <w:rsid w:val="00273AA4"/>
    <w:rsid w:val="00273C1E"/>
    <w:rsid w:val="00273D61"/>
    <w:rsid w:val="002740B5"/>
    <w:rsid w:val="00274243"/>
    <w:rsid w:val="0027433D"/>
    <w:rsid w:val="002744B3"/>
    <w:rsid w:val="002744F0"/>
    <w:rsid w:val="00274B52"/>
    <w:rsid w:val="00274C2D"/>
    <w:rsid w:val="00274DE4"/>
    <w:rsid w:val="00275A6D"/>
    <w:rsid w:val="00275B8B"/>
    <w:rsid w:val="00275E0E"/>
    <w:rsid w:val="00275F6D"/>
    <w:rsid w:val="00276086"/>
    <w:rsid w:val="0027626D"/>
    <w:rsid w:val="0027635D"/>
    <w:rsid w:val="00276423"/>
    <w:rsid w:val="00276BB5"/>
    <w:rsid w:val="00276E1B"/>
    <w:rsid w:val="00276F7F"/>
    <w:rsid w:val="00277154"/>
    <w:rsid w:val="00277325"/>
    <w:rsid w:val="0027737D"/>
    <w:rsid w:val="00277391"/>
    <w:rsid w:val="002773CF"/>
    <w:rsid w:val="002773D2"/>
    <w:rsid w:val="002776C0"/>
    <w:rsid w:val="00277808"/>
    <w:rsid w:val="0027790F"/>
    <w:rsid w:val="0027794E"/>
    <w:rsid w:val="00277975"/>
    <w:rsid w:val="00277A47"/>
    <w:rsid w:val="002801BC"/>
    <w:rsid w:val="00280241"/>
    <w:rsid w:val="00280496"/>
    <w:rsid w:val="00280582"/>
    <w:rsid w:val="00280711"/>
    <w:rsid w:val="00280AAA"/>
    <w:rsid w:val="00280DB8"/>
    <w:rsid w:val="00281070"/>
    <w:rsid w:val="002813AE"/>
    <w:rsid w:val="00281558"/>
    <w:rsid w:val="002815AD"/>
    <w:rsid w:val="00281688"/>
    <w:rsid w:val="00281736"/>
    <w:rsid w:val="0028184D"/>
    <w:rsid w:val="002818ED"/>
    <w:rsid w:val="00281B0C"/>
    <w:rsid w:val="00281EF5"/>
    <w:rsid w:val="00282071"/>
    <w:rsid w:val="0028213E"/>
    <w:rsid w:val="00282411"/>
    <w:rsid w:val="002825B0"/>
    <w:rsid w:val="00282C66"/>
    <w:rsid w:val="00283211"/>
    <w:rsid w:val="00283544"/>
    <w:rsid w:val="00283A20"/>
    <w:rsid w:val="00283BE6"/>
    <w:rsid w:val="00283D04"/>
    <w:rsid w:val="00283F55"/>
    <w:rsid w:val="002842A6"/>
    <w:rsid w:val="002842D3"/>
    <w:rsid w:val="00284425"/>
    <w:rsid w:val="00284870"/>
    <w:rsid w:val="00284917"/>
    <w:rsid w:val="0028492B"/>
    <w:rsid w:val="00284A03"/>
    <w:rsid w:val="00284B7E"/>
    <w:rsid w:val="00284F2B"/>
    <w:rsid w:val="002855CA"/>
    <w:rsid w:val="00285717"/>
    <w:rsid w:val="00285735"/>
    <w:rsid w:val="00285AFC"/>
    <w:rsid w:val="00285C79"/>
    <w:rsid w:val="00286117"/>
    <w:rsid w:val="002863F9"/>
    <w:rsid w:val="002864CC"/>
    <w:rsid w:val="00286ED6"/>
    <w:rsid w:val="00286FC5"/>
    <w:rsid w:val="0028725C"/>
    <w:rsid w:val="00287275"/>
    <w:rsid w:val="002879FC"/>
    <w:rsid w:val="00287A59"/>
    <w:rsid w:val="00287A71"/>
    <w:rsid w:val="00287CA8"/>
    <w:rsid w:val="00287F83"/>
    <w:rsid w:val="00290132"/>
    <w:rsid w:val="00290449"/>
    <w:rsid w:val="002907FD"/>
    <w:rsid w:val="00290965"/>
    <w:rsid w:val="00290DF5"/>
    <w:rsid w:val="00291383"/>
    <w:rsid w:val="00291788"/>
    <w:rsid w:val="00291A52"/>
    <w:rsid w:val="00291C8C"/>
    <w:rsid w:val="00291CB0"/>
    <w:rsid w:val="00291E28"/>
    <w:rsid w:val="00292016"/>
    <w:rsid w:val="002920B3"/>
    <w:rsid w:val="0029256C"/>
    <w:rsid w:val="00292970"/>
    <w:rsid w:val="00292C52"/>
    <w:rsid w:val="00292D6F"/>
    <w:rsid w:val="00293222"/>
    <w:rsid w:val="00293DD9"/>
    <w:rsid w:val="00293DF3"/>
    <w:rsid w:val="00293ED1"/>
    <w:rsid w:val="00294100"/>
    <w:rsid w:val="002942BE"/>
    <w:rsid w:val="002947A1"/>
    <w:rsid w:val="00294CB2"/>
    <w:rsid w:val="00294F04"/>
    <w:rsid w:val="00294FE1"/>
    <w:rsid w:val="002955CA"/>
    <w:rsid w:val="002961E8"/>
    <w:rsid w:val="0029633B"/>
    <w:rsid w:val="00296552"/>
    <w:rsid w:val="002966B5"/>
    <w:rsid w:val="0029675F"/>
    <w:rsid w:val="002967D4"/>
    <w:rsid w:val="00297104"/>
    <w:rsid w:val="00297949"/>
    <w:rsid w:val="00297E23"/>
    <w:rsid w:val="002A0253"/>
    <w:rsid w:val="002A0642"/>
    <w:rsid w:val="002A09F4"/>
    <w:rsid w:val="002A0ADE"/>
    <w:rsid w:val="002A0C74"/>
    <w:rsid w:val="002A0CE2"/>
    <w:rsid w:val="002A0E28"/>
    <w:rsid w:val="002A0EE0"/>
    <w:rsid w:val="002A0FA1"/>
    <w:rsid w:val="002A0FBA"/>
    <w:rsid w:val="002A1773"/>
    <w:rsid w:val="002A178C"/>
    <w:rsid w:val="002A189B"/>
    <w:rsid w:val="002A19B0"/>
    <w:rsid w:val="002A1CC6"/>
    <w:rsid w:val="002A221A"/>
    <w:rsid w:val="002A23A4"/>
    <w:rsid w:val="002A2AFE"/>
    <w:rsid w:val="002A2CC0"/>
    <w:rsid w:val="002A35E6"/>
    <w:rsid w:val="002A3853"/>
    <w:rsid w:val="002A3AE6"/>
    <w:rsid w:val="002A3BD6"/>
    <w:rsid w:val="002A4139"/>
    <w:rsid w:val="002A4441"/>
    <w:rsid w:val="002A4786"/>
    <w:rsid w:val="002A4999"/>
    <w:rsid w:val="002A4C1D"/>
    <w:rsid w:val="002A512D"/>
    <w:rsid w:val="002A530F"/>
    <w:rsid w:val="002A54D1"/>
    <w:rsid w:val="002A5793"/>
    <w:rsid w:val="002A5AF9"/>
    <w:rsid w:val="002A5EEA"/>
    <w:rsid w:val="002A60D8"/>
    <w:rsid w:val="002A61CC"/>
    <w:rsid w:val="002A6759"/>
    <w:rsid w:val="002A6D01"/>
    <w:rsid w:val="002A7013"/>
    <w:rsid w:val="002A70E9"/>
    <w:rsid w:val="002A741A"/>
    <w:rsid w:val="002A7715"/>
    <w:rsid w:val="002A7898"/>
    <w:rsid w:val="002A7DF6"/>
    <w:rsid w:val="002A7E61"/>
    <w:rsid w:val="002A7F5D"/>
    <w:rsid w:val="002B00D3"/>
    <w:rsid w:val="002B0540"/>
    <w:rsid w:val="002B057D"/>
    <w:rsid w:val="002B059B"/>
    <w:rsid w:val="002B06B7"/>
    <w:rsid w:val="002B094C"/>
    <w:rsid w:val="002B0BA2"/>
    <w:rsid w:val="002B0C72"/>
    <w:rsid w:val="002B0CD9"/>
    <w:rsid w:val="002B1469"/>
    <w:rsid w:val="002B15D5"/>
    <w:rsid w:val="002B1622"/>
    <w:rsid w:val="002B1835"/>
    <w:rsid w:val="002B189F"/>
    <w:rsid w:val="002B1979"/>
    <w:rsid w:val="002B1B56"/>
    <w:rsid w:val="002B1B78"/>
    <w:rsid w:val="002B202E"/>
    <w:rsid w:val="002B20F2"/>
    <w:rsid w:val="002B27F8"/>
    <w:rsid w:val="002B28B7"/>
    <w:rsid w:val="002B2A94"/>
    <w:rsid w:val="002B2B29"/>
    <w:rsid w:val="002B2B90"/>
    <w:rsid w:val="002B2D5B"/>
    <w:rsid w:val="002B33A7"/>
    <w:rsid w:val="002B3866"/>
    <w:rsid w:val="002B3D03"/>
    <w:rsid w:val="002B3D19"/>
    <w:rsid w:val="002B4039"/>
    <w:rsid w:val="002B451F"/>
    <w:rsid w:val="002B4BB1"/>
    <w:rsid w:val="002B4C66"/>
    <w:rsid w:val="002B4D1B"/>
    <w:rsid w:val="002B517D"/>
    <w:rsid w:val="002B5954"/>
    <w:rsid w:val="002B5F05"/>
    <w:rsid w:val="002B5F63"/>
    <w:rsid w:val="002B6037"/>
    <w:rsid w:val="002B6122"/>
    <w:rsid w:val="002B6473"/>
    <w:rsid w:val="002B6568"/>
    <w:rsid w:val="002B65B1"/>
    <w:rsid w:val="002B68A1"/>
    <w:rsid w:val="002B6B44"/>
    <w:rsid w:val="002B6C70"/>
    <w:rsid w:val="002B6D06"/>
    <w:rsid w:val="002B6D4E"/>
    <w:rsid w:val="002B6E80"/>
    <w:rsid w:val="002B7112"/>
    <w:rsid w:val="002B71CE"/>
    <w:rsid w:val="002B7334"/>
    <w:rsid w:val="002B73E0"/>
    <w:rsid w:val="002B7A2F"/>
    <w:rsid w:val="002B7AC1"/>
    <w:rsid w:val="002B7CE9"/>
    <w:rsid w:val="002C0046"/>
    <w:rsid w:val="002C058B"/>
    <w:rsid w:val="002C088D"/>
    <w:rsid w:val="002C0AD1"/>
    <w:rsid w:val="002C0E81"/>
    <w:rsid w:val="002C1249"/>
    <w:rsid w:val="002C1A74"/>
    <w:rsid w:val="002C1F09"/>
    <w:rsid w:val="002C1F7D"/>
    <w:rsid w:val="002C22D3"/>
    <w:rsid w:val="002C281F"/>
    <w:rsid w:val="002C2C50"/>
    <w:rsid w:val="002C2E2B"/>
    <w:rsid w:val="002C31D3"/>
    <w:rsid w:val="002C320A"/>
    <w:rsid w:val="002C323F"/>
    <w:rsid w:val="002C3AC4"/>
    <w:rsid w:val="002C3B35"/>
    <w:rsid w:val="002C3C25"/>
    <w:rsid w:val="002C3E9E"/>
    <w:rsid w:val="002C4412"/>
    <w:rsid w:val="002C4B67"/>
    <w:rsid w:val="002C4C28"/>
    <w:rsid w:val="002C4C37"/>
    <w:rsid w:val="002C4D6B"/>
    <w:rsid w:val="002C4F68"/>
    <w:rsid w:val="002C5288"/>
    <w:rsid w:val="002C5373"/>
    <w:rsid w:val="002C5429"/>
    <w:rsid w:val="002C5813"/>
    <w:rsid w:val="002C5950"/>
    <w:rsid w:val="002C5CA2"/>
    <w:rsid w:val="002C62D8"/>
    <w:rsid w:val="002C6D3C"/>
    <w:rsid w:val="002C6F49"/>
    <w:rsid w:val="002C71C6"/>
    <w:rsid w:val="002C7862"/>
    <w:rsid w:val="002C7DAE"/>
    <w:rsid w:val="002D080B"/>
    <w:rsid w:val="002D119F"/>
    <w:rsid w:val="002D14B6"/>
    <w:rsid w:val="002D1A78"/>
    <w:rsid w:val="002D1B41"/>
    <w:rsid w:val="002D1E01"/>
    <w:rsid w:val="002D1FBC"/>
    <w:rsid w:val="002D21AC"/>
    <w:rsid w:val="002D2593"/>
    <w:rsid w:val="002D270A"/>
    <w:rsid w:val="002D2D5C"/>
    <w:rsid w:val="002D3020"/>
    <w:rsid w:val="002D316B"/>
    <w:rsid w:val="002D3511"/>
    <w:rsid w:val="002D3650"/>
    <w:rsid w:val="002D38C2"/>
    <w:rsid w:val="002D39A7"/>
    <w:rsid w:val="002D39B1"/>
    <w:rsid w:val="002D3ABB"/>
    <w:rsid w:val="002D3DAF"/>
    <w:rsid w:val="002D43AD"/>
    <w:rsid w:val="002D44FA"/>
    <w:rsid w:val="002D4603"/>
    <w:rsid w:val="002D4751"/>
    <w:rsid w:val="002D4DD6"/>
    <w:rsid w:val="002D4F75"/>
    <w:rsid w:val="002D503C"/>
    <w:rsid w:val="002D546D"/>
    <w:rsid w:val="002D5A99"/>
    <w:rsid w:val="002D5B36"/>
    <w:rsid w:val="002D5CAA"/>
    <w:rsid w:val="002D60D1"/>
    <w:rsid w:val="002D6B31"/>
    <w:rsid w:val="002D6CD3"/>
    <w:rsid w:val="002D6EBE"/>
    <w:rsid w:val="002D7108"/>
    <w:rsid w:val="002D7634"/>
    <w:rsid w:val="002D770A"/>
    <w:rsid w:val="002D7FF5"/>
    <w:rsid w:val="002E0129"/>
    <w:rsid w:val="002E01A3"/>
    <w:rsid w:val="002E053D"/>
    <w:rsid w:val="002E08A3"/>
    <w:rsid w:val="002E08BD"/>
    <w:rsid w:val="002E08BE"/>
    <w:rsid w:val="002E0A7D"/>
    <w:rsid w:val="002E11D9"/>
    <w:rsid w:val="002E211F"/>
    <w:rsid w:val="002E2343"/>
    <w:rsid w:val="002E2474"/>
    <w:rsid w:val="002E2D1C"/>
    <w:rsid w:val="002E334F"/>
    <w:rsid w:val="002E33DC"/>
    <w:rsid w:val="002E37B0"/>
    <w:rsid w:val="002E37E0"/>
    <w:rsid w:val="002E39F8"/>
    <w:rsid w:val="002E3AAD"/>
    <w:rsid w:val="002E3AF5"/>
    <w:rsid w:val="002E3C6D"/>
    <w:rsid w:val="002E3DC4"/>
    <w:rsid w:val="002E4097"/>
    <w:rsid w:val="002E43D1"/>
    <w:rsid w:val="002E4432"/>
    <w:rsid w:val="002E4473"/>
    <w:rsid w:val="002E456C"/>
    <w:rsid w:val="002E469C"/>
    <w:rsid w:val="002E4D55"/>
    <w:rsid w:val="002E5117"/>
    <w:rsid w:val="002E5133"/>
    <w:rsid w:val="002E5346"/>
    <w:rsid w:val="002E55CE"/>
    <w:rsid w:val="002E5784"/>
    <w:rsid w:val="002E589F"/>
    <w:rsid w:val="002E590E"/>
    <w:rsid w:val="002E5B0C"/>
    <w:rsid w:val="002E6008"/>
    <w:rsid w:val="002E60EF"/>
    <w:rsid w:val="002E61D6"/>
    <w:rsid w:val="002E64BC"/>
    <w:rsid w:val="002E68F1"/>
    <w:rsid w:val="002E6C0B"/>
    <w:rsid w:val="002E6DDD"/>
    <w:rsid w:val="002E781C"/>
    <w:rsid w:val="002E7825"/>
    <w:rsid w:val="002E7DAC"/>
    <w:rsid w:val="002F031B"/>
    <w:rsid w:val="002F0359"/>
    <w:rsid w:val="002F0743"/>
    <w:rsid w:val="002F0A1D"/>
    <w:rsid w:val="002F0AAB"/>
    <w:rsid w:val="002F0F3C"/>
    <w:rsid w:val="002F1250"/>
    <w:rsid w:val="002F1BDC"/>
    <w:rsid w:val="002F21F2"/>
    <w:rsid w:val="002F2376"/>
    <w:rsid w:val="002F24E5"/>
    <w:rsid w:val="002F2943"/>
    <w:rsid w:val="002F2C8F"/>
    <w:rsid w:val="002F2CFC"/>
    <w:rsid w:val="002F2EFB"/>
    <w:rsid w:val="002F2FEE"/>
    <w:rsid w:val="002F3040"/>
    <w:rsid w:val="002F33A5"/>
    <w:rsid w:val="002F3627"/>
    <w:rsid w:val="002F3745"/>
    <w:rsid w:val="002F38E2"/>
    <w:rsid w:val="002F39B8"/>
    <w:rsid w:val="002F3A5D"/>
    <w:rsid w:val="002F3AE0"/>
    <w:rsid w:val="002F4384"/>
    <w:rsid w:val="002F4692"/>
    <w:rsid w:val="002F4805"/>
    <w:rsid w:val="002F4952"/>
    <w:rsid w:val="002F4C91"/>
    <w:rsid w:val="002F5186"/>
    <w:rsid w:val="002F5464"/>
    <w:rsid w:val="002F551C"/>
    <w:rsid w:val="002F559E"/>
    <w:rsid w:val="002F5AE2"/>
    <w:rsid w:val="002F5F8C"/>
    <w:rsid w:val="002F6133"/>
    <w:rsid w:val="002F633C"/>
    <w:rsid w:val="002F6430"/>
    <w:rsid w:val="002F6958"/>
    <w:rsid w:val="002F6B5D"/>
    <w:rsid w:val="002F704A"/>
    <w:rsid w:val="002F7260"/>
    <w:rsid w:val="002F740D"/>
    <w:rsid w:val="002F797D"/>
    <w:rsid w:val="002F7AE5"/>
    <w:rsid w:val="002F7E7D"/>
    <w:rsid w:val="002F7F78"/>
    <w:rsid w:val="00300072"/>
    <w:rsid w:val="003002A1"/>
    <w:rsid w:val="003002C0"/>
    <w:rsid w:val="00300D26"/>
    <w:rsid w:val="00300E78"/>
    <w:rsid w:val="0030150F"/>
    <w:rsid w:val="003015FD"/>
    <w:rsid w:val="003016AC"/>
    <w:rsid w:val="00301852"/>
    <w:rsid w:val="00301981"/>
    <w:rsid w:val="0030199D"/>
    <w:rsid w:val="00301E80"/>
    <w:rsid w:val="00302016"/>
    <w:rsid w:val="003022CE"/>
    <w:rsid w:val="0030274F"/>
    <w:rsid w:val="00302BD7"/>
    <w:rsid w:val="00302D4F"/>
    <w:rsid w:val="00302EF6"/>
    <w:rsid w:val="00302FA4"/>
    <w:rsid w:val="00302FAB"/>
    <w:rsid w:val="003032CD"/>
    <w:rsid w:val="0030335B"/>
    <w:rsid w:val="00303BB8"/>
    <w:rsid w:val="00303BDE"/>
    <w:rsid w:val="00303F88"/>
    <w:rsid w:val="003040D7"/>
    <w:rsid w:val="0030412D"/>
    <w:rsid w:val="00304160"/>
    <w:rsid w:val="0030459F"/>
    <w:rsid w:val="003049A6"/>
    <w:rsid w:val="003052C0"/>
    <w:rsid w:val="003053F6"/>
    <w:rsid w:val="0030585E"/>
    <w:rsid w:val="0030593C"/>
    <w:rsid w:val="00305C2A"/>
    <w:rsid w:val="00305C43"/>
    <w:rsid w:val="00305CC2"/>
    <w:rsid w:val="00305D9C"/>
    <w:rsid w:val="00306539"/>
    <w:rsid w:val="003065BE"/>
    <w:rsid w:val="00306618"/>
    <w:rsid w:val="00306793"/>
    <w:rsid w:val="00306A93"/>
    <w:rsid w:val="00307353"/>
    <w:rsid w:val="00307648"/>
    <w:rsid w:val="0030775E"/>
    <w:rsid w:val="00307868"/>
    <w:rsid w:val="00307B69"/>
    <w:rsid w:val="00307BAF"/>
    <w:rsid w:val="00307D56"/>
    <w:rsid w:val="0031003F"/>
    <w:rsid w:val="00310177"/>
    <w:rsid w:val="00310E10"/>
    <w:rsid w:val="00311306"/>
    <w:rsid w:val="003115BF"/>
    <w:rsid w:val="003116C0"/>
    <w:rsid w:val="00311A04"/>
    <w:rsid w:val="00312378"/>
    <w:rsid w:val="00312432"/>
    <w:rsid w:val="00312879"/>
    <w:rsid w:val="00312F67"/>
    <w:rsid w:val="003132A2"/>
    <w:rsid w:val="003134D5"/>
    <w:rsid w:val="00313835"/>
    <w:rsid w:val="0031386D"/>
    <w:rsid w:val="00313A35"/>
    <w:rsid w:val="00313BF0"/>
    <w:rsid w:val="00313D64"/>
    <w:rsid w:val="00313E98"/>
    <w:rsid w:val="00313F3C"/>
    <w:rsid w:val="0031419A"/>
    <w:rsid w:val="003143D1"/>
    <w:rsid w:val="00314676"/>
    <w:rsid w:val="00314751"/>
    <w:rsid w:val="0031480F"/>
    <w:rsid w:val="00314D5A"/>
    <w:rsid w:val="00314FA3"/>
    <w:rsid w:val="003153DB"/>
    <w:rsid w:val="00315580"/>
    <w:rsid w:val="003158A1"/>
    <w:rsid w:val="00315EE8"/>
    <w:rsid w:val="003160BD"/>
    <w:rsid w:val="003165D3"/>
    <w:rsid w:val="0031691C"/>
    <w:rsid w:val="003169DB"/>
    <w:rsid w:val="00317213"/>
    <w:rsid w:val="00317924"/>
    <w:rsid w:val="00317C0F"/>
    <w:rsid w:val="00317E52"/>
    <w:rsid w:val="00317EEC"/>
    <w:rsid w:val="0032015F"/>
    <w:rsid w:val="003202CE"/>
    <w:rsid w:val="00320318"/>
    <w:rsid w:val="0032057F"/>
    <w:rsid w:val="00320E10"/>
    <w:rsid w:val="00320E8C"/>
    <w:rsid w:val="00321685"/>
    <w:rsid w:val="00321785"/>
    <w:rsid w:val="003217AA"/>
    <w:rsid w:val="00322070"/>
    <w:rsid w:val="003222D5"/>
    <w:rsid w:val="003222FA"/>
    <w:rsid w:val="00322977"/>
    <w:rsid w:val="003229D6"/>
    <w:rsid w:val="00322ABD"/>
    <w:rsid w:val="003234C4"/>
    <w:rsid w:val="003234D6"/>
    <w:rsid w:val="003236E9"/>
    <w:rsid w:val="003244B5"/>
    <w:rsid w:val="00324619"/>
    <w:rsid w:val="003246AD"/>
    <w:rsid w:val="0032479F"/>
    <w:rsid w:val="003247EC"/>
    <w:rsid w:val="00324890"/>
    <w:rsid w:val="00324CDC"/>
    <w:rsid w:val="00324ECD"/>
    <w:rsid w:val="00324EDD"/>
    <w:rsid w:val="003250DD"/>
    <w:rsid w:val="00325129"/>
    <w:rsid w:val="00325136"/>
    <w:rsid w:val="003251A0"/>
    <w:rsid w:val="00325393"/>
    <w:rsid w:val="0032569B"/>
    <w:rsid w:val="00325FF9"/>
    <w:rsid w:val="003260CA"/>
    <w:rsid w:val="00326597"/>
    <w:rsid w:val="003266ED"/>
    <w:rsid w:val="00326BB6"/>
    <w:rsid w:val="00326CFC"/>
    <w:rsid w:val="00327242"/>
    <w:rsid w:val="003273AE"/>
    <w:rsid w:val="003273E5"/>
    <w:rsid w:val="00327405"/>
    <w:rsid w:val="00327430"/>
    <w:rsid w:val="0032745B"/>
    <w:rsid w:val="003274C8"/>
    <w:rsid w:val="003274FE"/>
    <w:rsid w:val="0032752A"/>
    <w:rsid w:val="00327CB0"/>
    <w:rsid w:val="0033066E"/>
    <w:rsid w:val="00330DDD"/>
    <w:rsid w:val="00330F98"/>
    <w:rsid w:val="003310F7"/>
    <w:rsid w:val="003313C4"/>
    <w:rsid w:val="00331A20"/>
    <w:rsid w:val="00331A5C"/>
    <w:rsid w:val="00331A8E"/>
    <w:rsid w:val="00331C71"/>
    <w:rsid w:val="00331CB5"/>
    <w:rsid w:val="00331D82"/>
    <w:rsid w:val="003325D6"/>
    <w:rsid w:val="00332E03"/>
    <w:rsid w:val="003331F5"/>
    <w:rsid w:val="00333248"/>
    <w:rsid w:val="0033339A"/>
    <w:rsid w:val="00333484"/>
    <w:rsid w:val="0033397B"/>
    <w:rsid w:val="003339CD"/>
    <w:rsid w:val="00333DE2"/>
    <w:rsid w:val="00333E5C"/>
    <w:rsid w:val="003341B1"/>
    <w:rsid w:val="003341E2"/>
    <w:rsid w:val="003342B9"/>
    <w:rsid w:val="00334475"/>
    <w:rsid w:val="00334518"/>
    <w:rsid w:val="0033494E"/>
    <w:rsid w:val="00334A32"/>
    <w:rsid w:val="00335379"/>
    <w:rsid w:val="00335789"/>
    <w:rsid w:val="00335838"/>
    <w:rsid w:val="003359A6"/>
    <w:rsid w:val="00335A2C"/>
    <w:rsid w:val="00335BF2"/>
    <w:rsid w:val="0033616C"/>
    <w:rsid w:val="003361B4"/>
    <w:rsid w:val="003361F4"/>
    <w:rsid w:val="0033633B"/>
    <w:rsid w:val="003363C0"/>
    <w:rsid w:val="00336529"/>
    <w:rsid w:val="00336627"/>
    <w:rsid w:val="0033679E"/>
    <w:rsid w:val="003367B7"/>
    <w:rsid w:val="00336B51"/>
    <w:rsid w:val="00337448"/>
    <w:rsid w:val="003378A8"/>
    <w:rsid w:val="00337F3B"/>
    <w:rsid w:val="00340018"/>
    <w:rsid w:val="00340914"/>
    <w:rsid w:val="0034136F"/>
    <w:rsid w:val="003413C9"/>
    <w:rsid w:val="003416D2"/>
    <w:rsid w:val="00341A6B"/>
    <w:rsid w:val="00341AA6"/>
    <w:rsid w:val="00341D0D"/>
    <w:rsid w:val="00341D15"/>
    <w:rsid w:val="00341ECA"/>
    <w:rsid w:val="00341EEC"/>
    <w:rsid w:val="003431CF"/>
    <w:rsid w:val="003438E2"/>
    <w:rsid w:val="00343C4B"/>
    <w:rsid w:val="00343DB9"/>
    <w:rsid w:val="003441CD"/>
    <w:rsid w:val="00344299"/>
    <w:rsid w:val="00344356"/>
    <w:rsid w:val="0034442C"/>
    <w:rsid w:val="00344789"/>
    <w:rsid w:val="00344B56"/>
    <w:rsid w:val="0034532A"/>
    <w:rsid w:val="00345510"/>
    <w:rsid w:val="00345523"/>
    <w:rsid w:val="0034580E"/>
    <w:rsid w:val="00345961"/>
    <w:rsid w:val="0034599E"/>
    <w:rsid w:val="003459F4"/>
    <w:rsid w:val="00345B59"/>
    <w:rsid w:val="00345D94"/>
    <w:rsid w:val="003460DA"/>
    <w:rsid w:val="00346181"/>
    <w:rsid w:val="003463F7"/>
    <w:rsid w:val="0034685C"/>
    <w:rsid w:val="003468D0"/>
    <w:rsid w:val="00346E99"/>
    <w:rsid w:val="00347793"/>
    <w:rsid w:val="00347C86"/>
    <w:rsid w:val="003501A4"/>
    <w:rsid w:val="00350645"/>
    <w:rsid w:val="003506AD"/>
    <w:rsid w:val="00350840"/>
    <w:rsid w:val="00350865"/>
    <w:rsid w:val="00350873"/>
    <w:rsid w:val="00350B5A"/>
    <w:rsid w:val="00350FA5"/>
    <w:rsid w:val="00351D10"/>
    <w:rsid w:val="00351DB6"/>
    <w:rsid w:val="00351DFE"/>
    <w:rsid w:val="00351E8D"/>
    <w:rsid w:val="00352063"/>
    <w:rsid w:val="00352AD5"/>
    <w:rsid w:val="00352CEE"/>
    <w:rsid w:val="00352D72"/>
    <w:rsid w:val="00352E49"/>
    <w:rsid w:val="00352F36"/>
    <w:rsid w:val="00353D3D"/>
    <w:rsid w:val="0035410A"/>
    <w:rsid w:val="00354346"/>
    <w:rsid w:val="00354494"/>
    <w:rsid w:val="00354503"/>
    <w:rsid w:val="00354D43"/>
    <w:rsid w:val="003551FB"/>
    <w:rsid w:val="003554D8"/>
    <w:rsid w:val="00355656"/>
    <w:rsid w:val="00355B06"/>
    <w:rsid w:val="003564FC"/>
    <w:rsid w:val="00356672"/>
    <w:rsid w:val="00356C80"/>
    <w:rsid w:val="00356D1F"/>
    <w:rsid w:val="00357939"/>
    <w:rsid w:val="00357D35"/>
    <w:rsid w:val="00360029"/>
    <w:rsid w:val="0036025A"/>
    <w:rsid w:val="003605FB"/>
    <w:rsid w:val="0036074F"/>
    <w:rsid w:val="00360A08"/>
    <w:rsid w:val="0036119C"/>
    <w:rsid w:val="0036149B"/>
    <w:rsid w:val="003617E2"/>
    <w:rsid w:val="00361EC1"/>
    <w:rsid w:val="00361EF2"/>
    <w:rsid w:val="003626B8"/>
    <w:rsid w:val="00362943"/>
    <w:rsid w:val="00362D5A"/>
    <w:rsid w:val="00363384"/>
    <w:rsid w:val="003643E0"/>
    <w:rsid w:val="00364CFC"/>
    <w:rsid w:val="00364E08"/>
    <w:rsid w:val="00364F00"/>
    <w:rsid w:val="00365273"/>
    <w:rsid w:val="00365695"/>
    <w:rsid w:val="0036577B"/>
    <w:rsid w:val="00365813"/>
    <w:rsid w:val="00365854"/>
    <w:rsid w:val="00365C45"/>
    <w:rsid w:val="00365CAF"/>
    <w:rsid w:val="00365E59"/>
    <w:rsid w:val="0036604F"/>
    <w:rsid w:val="003662DD"/>
    <w:rsid w:val="003662F9"/>
    <w:rsid w:val="00366302"/>
    <w:rsid w:val="00366333"/>
    <w:rsid w:val="0036635E"/>
    <w:rsid w:val="003663D6"/>
    <w:rsid w:val="00366C72"/>
    <w:rsid w:val="00366DBE"/>
    <w:rsid w:val="003673F9"/>
    <w:rsid w:val="003676CF"/>
    <w:rsid w:val="00367A6F"/>
    <w:rsid w:val="00367B88"/>
    <w:rsid w:val="00367CF1"/>
    <w:rsid w:val="003701F1"/>
    <w:rsid w:val="0037097B"/>
    <w:rsid w:val="00370CB1"/>
    <w:rsid w:val="00370F32"/>
    <w:rsid w:val="00371053"/>
    <w:rsid w:val="003714AB"/>
    <w:rsid w:val="00371762"/>
    <w:rsid w:val="0037184B"/>
    <w:rsid w:val="00371C50"/>
    <w:rsid w:val="00371E26"/>
    <w:rsid w:val="00372415"/>
    <w:rsid w:val="00372418"/>
    <w:rsid w:val="003725DB"/>
    <w:rsid w:val="00372843"/>
    <w:rsid w:val="00372C1F"/>
    <w:rsid w:val="00372D22"/>
    <w:rsid w:val="00372F2D"/>
    <w:rsid w:val="00372FE2"/>
    <w:rsid w:val="00373061"/>
    <w:rsid w:val="003736A6"/>
    <w:rsid w:val="00373736"/>
    <w:rsid w:val="00373768"/>
    <w:rsid w:val="00373818"/>
    <w:rsid w:val="00373D92"/>
    <w:rsid w:val="0037446D"/>
    <w:rsid w:val="0037450D"/>
    <w:rsid w:val="003746F2"/>
    <w:rsid w:val="00374788"/>
    <w:rsid w:val="00374B26"/>
    <w:rsid w:val="00374CF7"/>
    <w:rsid w:val="003750FC"/>
    <w:rsid w:val="0037523A"/>
    <w:rsid w:val="003752F9"/>
    <w:rsid w:val="00375390"/>
    <w:rsid w:val="00375391"/>
    <w:rsid w:val="0037545E"/>
    <w:rsid w:val="003755F9"/>
    <w:rsid w:val="00375A27"/>
    <w:rsid w:val="00375B7B"/>
    <w:rsid w:val="00375B90"/>
    <w:rsid w:val="00375E14"/>
    <w:rsid w:val="00375F40"/>
    <w:rsid w:val="00376223"/>
    <w:rsid w:val="003768BA"/>
    <w:rsid w:val="00376B81"/>
    <w:rsid w:val="00376BE0"/>
    <w:rsid w:val="00376C7D"/>
    <w:rsid w:val="00376C8E"/>
    <w:rsid w:val="00376D4D"/>
    <w:rsid w:val="003770DA"/>
    <w:rsid w:val="003772D3"/>
    <w:rsid w:val="0037730A"/>
    <w:rsid w:val="00377AAB"/>
    <w:rsid w:val="00377BB0"/>
    <w:rsid w:val="00377D1A"/>
    <w:rsid w:val="00377DF5"/>
    <w:rsid w:val="003802F1"/>
    <w:rsid w:val="00380302"/>
    <w:rsid w:val="00380398"/>
    <w:rsid w:val="003809DF"/>
    <w:rsid w:val="00380C46"/>
    <w:rsid w:val="00380CFD"/>
    <w:rsid w:val="00380E30"/>
    <w:rsid w:val="00381051"/>
    <w:rsid w:val="003813C3"/>
    <w:rsid w:val="00381AB1"/>
    <w:rsid w:val="00381B7D"/>
    <w:rsid w:val="00381DC9"/>
    <w:rsid w:val="0038208C"/>
    <w:rsid w:val="0038215E"/>
    <w:rsid w:val="00382210"/>
    <w:rsid w:val="00382295"/>
    <w:rsid w:val="003823D3"/>
    <w:rsid w:val="003829D0"/>
    <w:rsid w:val="00382B66"/>
    <w:rsid w:val="00382BD8"/>
    <w:rsid w:val="00383189"/>
    <w:rsid w:val="003832C8"/>
    <w:rsid w:val="0038361E"/>
    <w:rsid w:val="0038376D"/>
    <w:rsid w:val="003837C5"/>
    <w:rsid w:val="0038382C"/>
    <w:rsid w:val="0038478F"/>
    <w:rsid w:val="0038493A"/>
    <w:rsid w:val="00384976"/>
    <w:rsid w:val="003850DD"/>
    <w:rsid w:val="003851CA"/>
    <w:rsid w:val="00385621"/>
    <w:rsid w:val="0038577F"/>
    <w:rsid w:val="003859B9"/>
    <w:rsid w:val="00386056"/>
    <w:rsid w:val="003863E0"/>
    <w:rsid w:val="0038788B"/>
    <w:rsid w:val="00387898"/>
    <w:rsid w:val="0038796E"/>
    <w:rsid w:val="00387A94"/>
    <w:rsid w:val="00387AC7"/>
    <w:rsid w:val="00390B50"/>
    <w:rsid w:val="00390DAF"/>
    <w:rsid w:val="00390E89"/>
    <w:rsid w:val="0039156D"/>
    <w:rsid w:val="00391A7B"/>
    <w:rsid w:val="00391E42"/>
    <w:rsid w:val="003922BE"/>
    <w:rsid w:val="003923BB"/>
    <w:rsid w:val="00392659"/>
    <w:rsid w:val="00392898"/>
    <w:rsid w:val="0039293D"/>
    <w:rsid w:val="00392AD3"/>
    <w:rsid w:val="00392CE7"/>
    <w:rsid w:val="00392EC8"/>
    <w:rsid w:val="0039308A"/>
    <w:rsid w:val="00393E75"/>
    <w:rsid w:val="003942C5"/>
    <w:rsid w:val="00394832"/>
    <w:rsid w:val="0039485E"/>
    <w:rsid w:val="00394921"/>
    <w:rsid w:val="0039508E"/>
    <w:rsid w:val="00395642"/>
    <w:rsid w:val="0039565C"/>
    <w:rsid w:val="0039575F"/>
    <w:rsid w:val="003960F1"/>
    <w:rsid w:val="00396168"/>
    <w:rsid w:val="00396A02"/>
    <w:rsid w:val="00396D53"/>
    <w:rsid w:val="00397005"/>
    <w:rsid w:val="0039703F"/>
    <w:rsid w:val="00397515"/>
    <w:rsid w:val="00397A3F"/>
    <w:rsid w:val="00397B16"/>
    <w:rsid w:val="00397F0E"/>
    <w:rsid w:val="003A0343"/>
    <w:rsid w:val="003A06EC"/>
    <w:rsid w:val="003A097C"/>
    <w:rsid w:val="003A0C7C"/>
    <w:rsid w:val="003A0CA1"/>
    <w:rsid w:val="003A0F0F"/>
    <w:rsid w:val="003A0F6F"/>
    <w:rsid w:val="003A1245"/>
    <w:rsid w:val="003A1555"/>
    <w:rsid w:val="003A1C6F"/>
    <w:rsid w:val="003A1C8C"/>
    <w:rsid w:val="003A204F"/>
    <w:rsid w:val="003A26C7"/>
    <w:rsid w:val="003A294C"/>
    <w:rsid w:val="003A2A93"/>
    <w:rsid w:val="003A2F02"/>
    <w:rsid w:val="003A340C"/>
    <w:rsid w:val="003A3541"/>
    <w:rsid w:val="003A38C1"/>
    <w:rsid w:val="003A4A24"/>
    <w:rsid w:val="003A510F"/>
    <w:rsid w:val="003A54F7"/>
    <w:rsid w:val="003A5A02"/>
    <w:rsid w:val="003A5B48"/>
    <w:rsid w:val="003A5B67"/>
    <w:rsid w:val="003A5D59"/>
    <w:rsid w:val="003A5DB8"/>
    <w:rsid w:val="003A5ED3"/>
    <w:rsid w:val="003A62AA"/>
    <w:rsid w:val="003A6575"/>
    <w:rsid w:val="003A66D9"/>
    <w:rsid w:val="003A6728"/>
    <w:rsid w:val="003A6A87"/>
    <w:rsid w:val="003A6D97"/>
    <w:rsid w:val="003A71B0"/>
    <w:rsid w:val="003A7B9A"/>
    <w:rsid w:val="003A7EB2"/>
    <w:rsid w:val="003B00A7"/>
    <w:rsid w:val="003B014B"/>
    <w:rsid w:val="003B0907"/>
    <w:rsid w:val="003B0C45"/>
    <w:rsid w:val="003B0D5F"/>
    <w:rsid w:val="003B13E5"/>
    <w:rsid w:val="003B14C9"/>
    <w:rsid w:val="003B1588"/>
    <w:rsid w:val="003B1999"/>
    <w:rsid w:val="003B1EC7"/>
    <w:rsid w:val="003B1F9B"/>
    <w:rsid w:val="003B20D3"/>
    <w:rsid w:val="003B2B0D"/>
    <w:rsid w:val="003B2FE8"/>
    <w:rsid w:val="003B346F"/>
    <w:rsid w:val="003B3490"/>
    <w:rsid w:val="003B3CEC"/>
    <w:rsid w:val="003B3DB2"/>
    <w:rsid w:val="003B42F1"/>
    <w:rsid w:val="003B45F5"/>
    <w:rsid w:val="003B472B"/>
    <w:rsid w:val="003B489F"/>
    <w:rsid w:val="003B4936"/>
    <w:rsid w:val="003B493C"/>
    <w:rsid w:val="003B4C7E"/>
    <w:rsid w:val="003B4FA9"/>
    <w:rsid w:val="003B512E"/>
    <w:rsid w:val="003B5149"/>
    <w:rsid w:val="003B537E"/>
    <w:rsid w:val="003B55A3"/>
    <w:rsid w:val="003B5741"/>
    <w:rsid w:val="003B5783"/>
    <w:rsid w:val="003B5A81"/>
    <w:rsid w:val="003B5EB2"/>
    <w:rsid w:val="003B6019"/>
    <w:rsid w:val="003B6064"/>
    <w:rsid w:val="003B613A"/>
    <w:rsid w:val="003B61F7"/>
    <w:rsid w:val="003B62EC"/>
    <w:rsid w:val="003B69D9"/>
    <w:rsid w:val="003B6BD3"/>
    <w:rsid w:val="003B6BD9"/>
    <w:rsid w:val="003B6FAB"/>
    <w:rsid w:val="003B7239"/>
    <w:rsid w:val="003B74AB"/>
    <w:rsid w:val="003B7B3F"/>
    <w:rsid w:val="003B7CA3"/>
    <w:rsid w:val="003B7E37"/>
    <w:rsid w:val="003C0115"/>
    <w:rsid w:val="003C0507"/>
    <w:rsid w:val="003C09DA"/>
    <w:rsid w:val="003C0C96"/>
    <w:rsid w:val="003C0D21"/>
    <w:rsid w:val="003C0FB4"/>
    <w:rsid w:val="003C0FF7"/>
    <w:rsid w:val="003C112C"/>
    <w:rsid w:val="003C1372"/>
    <w:rsid w:val="003C140B"/>
    <w:rsid w:val="003C1ED9"/>
    <w:rsid w:val="003C21A1"/>
    <w:rsid w:val="003C23BE"/>
    <w:rsid w:val="003C24A6"/>
    <w:rsid w:val="003C25A1"/>
    <w:rsid w:val="003C25C8"/>
    <w:rsid w:val="003C2FE7"/>
    <w:rsid w:val="003C3BA5"/>
    <w:rsid w:val="003C3D62"/>
    <w:rsid w:val="003C4139"/>
    <w:rsid w:val="003C4410"/>
    <w:rsid w:val="003C47FE"/>
    <w:rsid w:val="003C4932"/>
    <w:rsid w:val="003C53B6"/>
    <w:rsid w:val="003C5469"/>
    <w:rsid w:val="003C5554"/>
    <w:rsid w:val="003C598C"/>
    <w:rsid w:val="003C5A8C"/>
    <w:rsid w:val="003C5C1F"/>
    <w:rsid w:val="003C5CB2"/>
    <w:rsid w:val="003C62C3"/>
    <w:rsid w:val="003C6579"/>
    <w:rsid w:val="003C677F"/>
    <w:rsid w:val="003C689F"/>
    <w:rsid w:val="003C69FE"/>
    <w:rsid w:val="003C6A88"/>
    <w:rsid w:val="003C6CD1"/>
    <w:rsid w:val="003C6E9F"/>
    <w:rsid w:val="003C6F7E"/>
    <w:rsid w:val="003C72BC"/>
    <w:rsid w:val="003C7891"/>
    <w:rsid w:val="003C7A17"/>
    <w:rsid w:val="003C7E24"/>
    <w:rsid w:val="003D019B"/>
    <w:rsid w:val="003D02F7"/>
    <w:rsid w:val="003D0534"/>
    <w:rsid w:val="003D0B88"/>
    <w:rsid w:val="003D0C06"/>
    <w:rsid w:val="003D0C69"/>
    <w:rsid w:val="003D10FE"/>
    <w:rsid w:val="003D12FB"/>
    <w:rsid w:val="003D1510"/>
    <w:rsid w:val="003D18E2"/>
    <w:rsid w:val="003D1A6A"/>
    <w:rsid w:val="003D1DF4"/>
    <w:rsid w:val="003D2009"/>
    <w:rsid w:val="003D2069"/>
    <w:rsid w:val="003D2AE6"/>
    <w:rsid w:val="003D2F51"/>
    <w:rsid w:val="003D2FE8"/>
    <w:rsid w:val="003D3292"/>
    <w:rsid w:val="003D32A2"/>
    <w:rsid w:val="003D342E"/>
    <w:rsid w:val="003D370B"/>
    <w:rsid w:val="003D37F0"/>
    <w:rsid w:val="003D3800"/>
    <w:rsid w:val="003D38E6"/>
    <w:rsid w:val="003D3AC7"/>
    <w:rsid w:val="003D4090"/>
    <w:rsid w:val="003D4887"/>
    <w:rsid w:val="003D49D5"/>
    <w:rsid w:val="003D4C2D"/>
    <w:rsid w:val="003D4EB4"/>
    <w:rsid w:val="003D52A1"/>
    <w:rsid w:val="003D52CC"/>
    <w:rsid w:val="003D5352"/>
    <w:rsid w:val="003D5361"/>
    <w:rsid w:val="003D5489"/>
    <w:rsid w:val="003D597D"/>
    <w:rsid w:val="003D5A57"/>
    <w:rsid w:val="003D630A"/>
    <w:rsid w:val="003D66AE"/>
    <w:rsid w:val="003D66CB"/>
    <w:rsid w:val="003D672C"/>
    <w:rsid w:val="003D6AF1"/>
    <w:rsid w:val="003D6DD2"/>
    <w:rsid w:val="003D7040"/>
    <w:rsid w:val="003D78D9"/>
    <w:rsid w:val="003D7DE7"/>
    <w:rsid w:val="003E03BA"/>
    <w:rsid w:val="003E05F7"/>
    <w:rsid w:val="003E0AF2"/>
    <w:rsid w:val="003E0E53"/>
    <w:rsid w:val="003E0F8B"/>
    <w:rsid w:val="003E0FC2"/>
    <w:rsid w:val="003E1198"/>
    <w:rsid w:val="003E1255"/>
    <w:rsid w:val="003E139C"/>
    <w:rsid w:val="003E17C2"/>
    <w:rsid w:val="003E1C96"/>
    <w:rsid w:val="003E1DC1"/>
    <w:rsid w:val="003E1E83"/>
    <w:rsid w:val="003E25CC"/>
    <w:rsid w:val="003E26EF"/>
    <w:rsid w:val="003E27F6"/>
    <w:rsid w:val="003E2F7A"/>
    <w:rsid w:val="003E2F9E"/>
    <w:rsid w:val="003E308E"/>
    <w:rsid w:val="003E3115"/>
    <w:rsid w:val="003E3750"/>
    <w:rsid w:val="003E386E"/>
    <w:rsid w:val="003E38C1"/>
    <w:rsid w:val="003E39EE"/>
    <w:rsid w:val="003E3AF3"/>
    <w:rsid w:val="003E3B67"/>
    <w:rsid w:val="003E3BB2"/>
    <w:rsid w:val="003E3D3E"/>
    <w:rsid w:val="003E42F1"/>
    <w:rsid w:val="003E4721"/>
    <w:rsid w:val="003E4A87"/>
    <w:rsid w:val="003E4E3C"/>
    <w:rsid w:val="003E4E50"/>
    <w:rsid w:val="003E4FFC"/>
    <w:rsid w:val="003E5140"/>
    <w:rsid w:val="003E532E"/>
    <w:rsid w:val="003E55BB"/>
    <w:rsid w:val="003E55CE"/>
    <w:rsid w:val="003E56BB"/>
    <w:rsid w:val="003E5A40"/>
    <w:rsid w:val="003E5BE6"/>
    <w:rsid w:val="003E5C27"/>
    <w:rsid w:val="003E5E44"/>
    <w:rsid w:val="003E60CB"/>
    <w:rsid w:val="003E6120"/>
    <w:rsid w:val="003E6196"/>
    <w:rsid w:val="003E6663"/>
    <w:rsid w:val="003E6726"/>
    <w:rsid w:val="003E6D1A"/>
    <w:rsid w:val="003E7227"/>
    <w:rsid w:val="003E7532"/>
    <w:rsid w:val="003E7A8B"/>
    <w:rsid w:val="003E7E51"/>
    <w:rsid w:val="003F005B"/>
    <w:rsid w:val="003F010D"/>
    <w:rsid w:val="003F0143"/>
    <w:rsid w:val="003F0536"/>
    <w:rsid w:val="003F0A76"/>
    <w:rsid w:val="003F1679"/>
    <w:rsid w:val="003F1728"/>
    <w:rsid w:val="003F1B45"/>
    <w:rsid w:val="003F1CD7"/>
    <w:rsid w:val="003F1F2A"/>
    <w:rsid w:val="003F2378"/>
    <w:rsid w:val="003F2388"/>
    <w:rsid w:val="003F2599"/>
    <w:rsid w:val="003F2CB5"/>
    <w:rsid w:val="003F2DA0"/>
    <w:rsid w:val="003F3296"/>
    <w:rsid w:val="003F333C"/>
    <w:rsid w:val="003F33C1"/>
    <w:rsid w:val="003F365D"/>
    <w:rsid w:val="003F3771"/>
    <w:rsid w:val="003F3B94"/>
    <w:rsid w:val="003F3C00"/>
    <w:rsid w:val="003F431A"/>
    <w:rsid w:val="003F4323"/>
    <w:rsid w:val="003F45EC"/>
    <w:rsid w:val="003F475C"/>
    <w:rsid w:val="003F4785"/>
    <w:rsid w:val="003F53F5"/>
    <w:rsid w:val="003F55AD"/>
    <w:rsid w:val="003F5673"/>
    <w:rsid w:val="003F5818"/>
    <w:rsid w:val="003F5BAD"/>
    <w:rsid w:val="003F5C21"/>
    <w:rsid w:val="003F5CC5"/>
    <w:rsid w:val="003F6171"/>
    <w:rsid w:val="003F61CC"/>
    <w:rsid w:val="003F6950"/>
    <w:rsid w:val="003F701D"/>
    <w:rsid w:val="003F7071"/>
    <w:rsid w:val="003F707E"/>
    <w:rsid w:val="003F71C5"/>
    <w:rsid w:val="003F7287"/>
    <w:rsid w:val="003F736A"/>
    <w:rsid w:val="003F76CB"/>
    <w:rsid w:val="003F7E7F"/>
    <w:rsid w:val="003F7F55"/>
    <w:rsid w:val="003F7FD6"/>
    <w:rsid w:val="0040040F"/>
    <w:rsid w:val="00400797"/>
    <w:rsid w:val="004009B2"/>
    <w:rsid w:val="00401162"/>
    <w:rsid w:val="004015EF"/>
    <w:rsid w:val="00401D22"/>
    <w:rsid w:val="004024AF"/>
    <w:rsid w:val="00402804"/>
    <w:rsid w:val="00402CB6"/>
    <w:rsid w:val="004030F7"/>
    <w:rsid w:val="00403627"/>
    <w:rsid w:val="00403AC3"/>
    <w:rsid w:val="00403EAE"/>
    <w:rsid w:val="00404006"/>
    <w:rsid w:val="0040458B"/>
    <w:rsid w:val="0040474F"/>
    <w:rsid w:val="00404A09"/>
    <w:rsid w:val="00404FDF"/>
    <w:rsid w:val="004050F2"/>
    <w:rsid w:val="00405437"/>
    <w:rsid w:val="0040638E"/>
    <w:rsid w:val="00406441"/>
    <w:rsid w:val="00406466"/>
    <w:rsid w:val="00406C74"/>
    <w:rsid w:val="00406FBE"/>
    <w:rsid w:val="0040714F"/>
    <w:rsid w:val="00407342"/>
    <w:rsid w:val="00407A27"/>
    <w:rsid w:val="00407B08"/>
    <w:rsid w:val="00407DE4"/>
    <w:rsid w:val="0041030B"/>
    <w:rsid w:val="0041043C"/>
    <w:rsid w:val="004107D4"/>
    <w:rsid w:val="00410A34"/>
    <w:rsid w:val="00410B6C"/>
    <w:rsid w:val="00410D88"/>
    <w:rsid w:val="0041106F"/>
    <w:rsid w:val="0041171A"/>
    <w:rsid w:val="00411733"/>
    <w:rsid w:val="00411751"/>
    <w:rsid w:val="0041197A"/>
    <w:rsid w:val="00411A1B"/>
    <w:rsid w:val="00411ACB"/>
    <w:rsid w:val="004123C1"/>
    <w:rsid w:val="00412528"/>
    <w:rsid w:val="00412544"/>
    <w:rsid w:val="0041292A"/>
    <w:rsid w:val="004134F7"/>
    <w:rsid w:val="004137F8"/>
    <w:rsid w:val="00413ED4"/>
    <w:rsid w:val="004140D0"/>
    <w:rsid w:val="004150C0"/>
    <w:rsid w:val="00415315"/>
    <w:rsid w:val="004153F9"/>
    <w:rsid w:val="004154AE"/>
    <w:rsid w:val="004156D3"/>
    <w:rsid w:val="004158D0"/>
    <w:rsid w:val="00415FD0"/>
    <w:rsid w:val="00416289"/>
    <w:rsid w:val="004163FA"/>
    <w:rsid w:val="00416551"/>
    <w:rsid w:val="004168B1"/>
    <w:rsid w:val="00416C3F"/>
    <w:rsid w:val="00416D64"/>
    <w:rsid w:val="00416E03"/>
    <w:rsid w:val="00416E86"/>
    <w:rsid w:val="00416F16"/>
    <w:rsid w:val="00416FF8"/>
    <w:rsid w:val="0041741E"/>
    <w:rsid w:val="004179EE"/>
    <w:rsid w:val="00417A88"/>
    <w:rsid w:val="00417B3D"/>
    <w:rsid w:val="00417B88"/>
    <w:rsid w:val="00420A91"/>
    <w:rsid w:val="00420ACF"/>
    <w:rsid w:val="00420B89"/>
    <w:rsid w:val="00420CE8"/>
    <w:rsid w:val="00420EB1"/>
    <w:rsid w:val="00420ECD"/>
    <w:rsid w:val="004211EB"/>
    <w:rsid w:val="00421345"/>
    <w:rsid w:val="00421639"/>
    <w:rsid w:val="00421866"/>
    <w:rsid w:val="004218DB"/>
    <w:rsid w:val="004218FC"/>
    <w:rsid w:val="00421A36"/>
    <w:rsid w:val="00421C54"/>
    <w:rsid w:val="00421F1A"/>
    <w:rsid w:val="00422122"/>
    <w:rsid w:val="004223DD"/>
    <w:rsid w:val="0042281C"/>
    <w:rsid w:val="004228A6"/>
    <w:rsid w:val="00422D82"/>
    <w:rsid w:val="00423414"/>
    <w:rsid w:val="004234A7"/>
    <w:rsid w:val="00423772"/>
    <w:rsid w:val="00423FB8"/>
    <w:rsid w:val="0042413C"/>
    <w:rsid w:val="004242DA"/>
    <w:rsid w:val="004243A3"/>
    <w:rsid w:val="004243E8"/>
    <w:rsid w:val="004244D0"/>
    <w:rsid w:val="00424634"/>
    <w:rsid w:val="0042469D"/>
    <w:rsid w:val="00424838"/>
    <w:rsid w:val="004248EF"/>
    <w:rsid w:val="00424D10"/>
    <w:rsid w:val="00424DCC"/>
    <w:rsid w:val="004250D0"/>
    <w:rsid w:val="0042544E"/>
    <w:rsid w:val="00425990"/>
    <w:rsid w:val="00425C2E"/>
    <w:rsid w:val="00425F42"/>
    <w:rsid w:val="00425F8C"/>
    <w:rsid w:val="00425FC1"/>
    <w:rsid w:val="004263F8"/>
    <w:rsid w:val="004267D9"/>
    <w:rsid w:val="00426877"/>
    <w:rsid w:val="00426C4C"/>
    <w:rsid w:val="00426D79"/>
    <w:rsid w:val="00427371"/>
    <w:rsid w:val="0042747B"/>
    <w:rsid w:val="0042750E"/>
    <w:rsid w:val="004277B1"/>
    <w:rsid w:val="00427C32"/>
    <w:rsid w:val="00430613"/>
    <w:rsid w:val="00430654"/>
    <w:rsid w:val="00430CB5"/>
    <w:rsid w:val="00430CCC"/>
    <w:rsid w:val="004312C1"/>
    <w:rsid w:val="0043140A"/>
    <w:rsid w:val="004316C7"/>
    <w:rsid w:val="00431861"/>
    <w:rsid w:val="0043200B"/>
    <w:rsid w:val="00432133"/>
    <w:rsid w:val="00432286"/>
    <w:rsid w:val="004328CC"/>
    <w:rsid w:val="00432DD3"/>
    <w:rsid w:val="00432F86"/>
    <w:rsid w:val="00433038"/>
    <w:rsid w:val="004334D7"/>
    <w:rsid w:val="00433945"/>
    <w:rsid w:val="00433ABD"/>
    <w:rsid w:val="00433E7D"/>
    <w:rsid w:val="00433F97"/>
    <w:rsid w:val="004341E1"/>
    <w:rsid w:val="00434468"/>
    <w:rsid w:val="0043490F"/>
    <w:rsid w:val="004349B4"/>
    <w:rsid w:val="00435347"/>
    <w:rsid w:val="00435359"/>
    <w:rsid w:val="004356BE"/>
    <w:rsid w:val="00435A56"/>
    <w:rsid w:val="00435D5F"/>
    <w:rsid w:val="00435FD8"/>
    <w:rsid w:val="00436290"/>
    <w:rsid w:val="0043649E"/>
    <w:rsid w:val="004365C3"/>
    <w:rsid w:val="004369FF"/>
    <w:rsid w:val="00436A17"/>
    <w:rsid w:val="0043706C"/>
    <w:rsid w:val="004375A3"/>
    <w:rsid w:val="004375BF"/>
    <w:rsid w:val="00437874"/>
    <w:rsid w:val="00437A04"/>
    <w:rsid w:val="00437BD8"/>
    <w:rsid w:val="00437CCB"/>
    <w:rsid w:val="00437D5E"/>
    <w:rsid w:val="0044004B"/>
    <w:rsid w:val="004401DD"/>
    <w:rsid w:val="00440425"/>
    <w:rsid w:val="00440868"/>
    <w:rsid w:val="00440A79"/>
    <w:rsid w:val="00440DD1"/>
    <w:rsid w:val="00441BE7"/>
    <w:rsid w:val="00441DFC"/>
    <w:rsid w:val="00441F5C"/>
    <w:rsid w:val="004423FD"/>
    <w:rsid w:val="004426B6"/>
    <w:rsid w:val="00442959"/>
    <w:rsid w:val="004429C7"/>
    <w:rsid w:val="00442CB5"/>
    <w:rsid w:val="00442D9A"/>
    <w:rsid w:val="00442E42"/>
    <w:rsid w:val="00442E83"/>
    <w:rsid w:val="004432C9"/>
    <w:rsid w:val="00443333"/>
    <w:rsid w:val="00443901"/>
    <w:rsid w:val="00443B81"/>
    <w:rsid w:val="00444518"/>
    <w:rsid w:val="004445C2"/>
    <w:rsid w:val="004448FE"/>
    <w:rsid w:val="00444D61"/>
    <w:rsid w:val="0044537D"/>
    <w:rsid w:val="004453D9"/>
    <w:rsid w:val="004454D8"/>
    <w:rsid w:val="004455AB"/>
    <w:rsid w:val="004456F7"/>
    <w:rsid w:val="0044585E"/>
    <w:rsid w:val="0044598F"/>
    <w:rsid w:val="00445A09"/>
    <w:rsid w:val="00445A44"/>
    <w:rsid w:val="00446611"/>
    <w:rsid w:val="004467E2"/>
    <w:rsid w:val="0044691E"/>
    <w:rsid w:val="00446A79"/>
    <w:rsid w:val="00446EAE"/>
    <w:rsid w:val="00447169"/>
    <w:rsid w:val="00447334"/>
    <w:rsid w:val="00447379"/>
    <w:rsid w:val="0045003F"/>
    <w:rsid w:val="004500D9"/>
    <w:rsid w:val="0045013E"/>
    <w:rsid w:val="00450BCB"/>
    <w:rsid w:val="00450D30"/>
    <w:rsid w:val="0045119E"/>
    <w:rsid w:val="00451251"/>
    <w:rsid w:val="004512E2"/>
    <w:rsid w:val="004512F8"/>
    <w:rsid w:val="004515D7"/>
    <w:rsid w:val="004516BB"/>
    <w:rsid w:val="00451A7B"/>
    <w:rsid w:val="00451D0D"/>
    <w:rsid w:val="00451ECA"/>
    <w:rsid w:val="00451F7B"/>
    <w:rsid w:val="0045201A"/>
    <w:rsid w:val="0045212D"/>
    <w:rsid w:val="00452169"/>
    <w:rsid w:val="00452308"/>
    <w:rsid w:val="00452532"/>
    <w:rsid w:val="004526A3"/>
    <w:rsid w:val="004527E8"/>
    <w:rsid w:val="00452B8A"/>
    <w:rsid w:val="00452C8C"/>
    <w:rsid w:val="00452D21"/>
    <w:rsid w:val="0045305F"/>
    <w:rsid w:val="0045317D"/>
    <w:rsid w:val="004534EA"/>
    <w:rsid w:val="00453817"/>
    <w:rsid w:val="004546CF"/>
    <w:rsid w:val="0045495D"/>
    <w:rsid w:val="004549AF"/>
    <w:rsid w:val="00454A0F"/>
    <w:rsid w:val="004552A9"/>
    <w:rsid w:val="004554A9"/>
    <w:rsid w:val="00455740"/>
    <w:rsid w:val="0045597F"/>
    <w:rsid w:val="00455DDF"/>
    <w:rsid w:val="004565B5"/>
    <w:rsid w:val="004568AF"/>
    <w:rsid w:val="00456A61"/>
    <w:rsid w:val="00456B47"/>
    <w:rsid w:val="00456F5A"/>
    <w:rsid w:val="00457243"/>
    <w:rsid w:val="00457445"/>
    <w:rsid w:val="004575BE"/>
    <w:rsid w:val="004577AD"/>
    <w:rsid w:val="00457B4B"/>
    <w:rsid w:val="00457BEA"/>
    <w:rsid w:val="00457CBF"/>
    <w:rsid w:val="00460110"/>
    <w:rsid w:val="00460294"/>
    <w:rsid w:val="004604DE"/>
    <w:rsid w:val="00460506"/>
    <w:rsid w:val="00460791"/>
    <w:rsid w:val="00460903"/>
    <w:rsid w:val="00460A3F"/>
    <w:rsid w:val="00460B03"/>
    <w:rsid w:val="0046154A"/>
    <w:rsid w:val="00461964"/>
    <w:rsid w:val="0046206C"/>
    <w:rsid w:val="0046230D"/>
    <w:rsid w:val="00462471"/>
    <w:rsid w:val="0046262C"/>
    <w:rsid w:val="0046290D"/>
    <w:rsid w:val="00462A88"/>
    <w:rsid w:val="00462B3A"/>
    <w:rsid w:val="00462EE4"/>
    <w:rsid w:val="00463267"/>
    <w:rsid w:val="00463683"/>
    <w:rsid w:val="00463CB8"/>
    <w:rsid w:val="00463CD5"/>
    <w:rsid w:val="00463DCD"/>
    <w:rsid w:val="00463EA9"/>
    <w:rsid w:val="004642A7"/>
    <w:rsid w:val="004647C5"/>
    <w:rsid w:val="0046491B"/>
    <w:rsid w:val="00464AE7"/>
    <w:rsid w:val="00464C66"/>
    <w:rsid w:val="004650B0"/>
    <w:rsid w:val="00465123"/>
    <w:rsid w:val="0046549B"/>
    <w:rsid w:val="004654F6"/>
    <w:rsid w:val="00465544"/>
    <w:rsid w:val="00465630"/>
    <w:rsid w:val="0046595F"/>
    <w:rsid w:val="00465AB1"/>
    <w:rsid w:val="00465D65"/>
    <w:rsid w:val="00465DCD"/>
    <w:rsid w:val="00465F8C"/>
    <w:rsid w:val="00466A87"/>
    <w:rsid w:val="00466AE7"/>
    <w:rsid w:val="00467820"/>
    <w:rsid w:val="00467A2E"/>
    <w:rsid w:val="00467AE3"/>
    <w:rsid w:val="00470379"/>
    <w:rsid w:val="00470AFA"/>
    <w:rsid w:val="00470CF1"/>
    <w:rsid w:val="00470EDA"/>
    <w:rsid w:val="00470FF1"/>
    <w:rsid w:val="0047141F"/>
    <w:rsid w:val="0047152A"/>
    <w:rsid w:val="004716DE"/>
    <w:rsid w:val="004717B7"/>
    <w:rsid w:val="00471904"/>
    <w:rsid w:val="00471EE6"/>
    <w:rsid w:val="00471EEE"/>
    <w:rsid w:val="0047232A"/>
    <w:rsid w:val="00472ED1"/>
    <w:rsid w:val="00472F9D"/>
    <w:rsid w:val="0047311A"/>
    <w:rsid w:val="0047330E"/>
    <w:rsid w:val="00473644"/>
    <w:rsid w:val="0047394F"/>
    <w:rsid w:val="00473C7A"/>
    <w:rsid w:val="00473DA3"/>
    <w:rsid w:val="00474001"/>
    <w:rsid w:val="0047409E"/>
    <w:rsid w:val="004742D3"/>
    <w:rsid w:val="0047431F"/>
    <w:rsid w:val="00474503"/>
    <w:rsid w:val="00474B49"/>
    <w:rsid w:val="00474FB3"/>
    <w:rsid w:val="00475684"/>
    <w:rsid w:val="00475B25"/>
    <w:rsid w:val="004767B3"/>
    <w:rsid w:val="00476903"/>
    <w:rsid w:val="0047696B"/>
    <w:rsid w:val="00476A43"/>
    <w:rsid w:val="00476C5C"/>
    <w:rsid w:val="00476CD6"/>
    <w:rsid w:val="004772CC"/>
    <w:rsid w:val="00477899"/>
    <w:rsid w:val="004778D5"/>
    <w:rsid w:val="00477B5C"/>
    <w:rsid w:val="00477D73"/>
    <w:rsid w:val="0048038B"/>
    <w:rsid w:val="004803F7"/>
    <w:rsid w:val="00480C98"/>
    <w:rsid w:val="00480CCF"/>
    <w:rsid w:val="00480D8C"/>
    <w:rsid w:val="00480E32"/>
    <w:rsid w:val="00480E78"/>
    <w:rsid w:val="00481093"/>
    <w:rsid w:val="004815F1"/>
    <w:rsid w:val="004818CD"/>
    <w:rsid w:val="004819C3"/>
    <w:rsid w:val="004819F9"/>
    <w:rsid w:val="00481EB3"/>
    <w:rsid w:val="00481EDB"/>
    <w:rsid w:val="00482897"/>
    <w:rsid w:val="00482DDF"/>
    <w:rsid w:val="00482EF9"/>
    <w:rsid w:val="0048337E"/>
    <w:rsid w:val="0048351C"/>
    <w:rsid w:val="004842FB"/>
    <w:rsid w:val="00484586"/>
    <w:rsid w:val="00484609"/>
    <w:rsid w:val="00484A2D"/>
    <w:rsid w:val="00484B71"/>
    <w:rsid w:val="004853F6"/>
    <w:rsid w:val="0048550E"/>
    <w:rsid w:val="00485670"/>
    <w:rsid w:val="00485A9E"/>
    <w:rsid w:val="00485C7D"/>
    <w:rsid w:val="00485E8B"/>
    <w:rsid w:val="00485F79"/>
    <w:rsid w:val="004863B1"/>
    <w:rsid w:val="004865A0"/>
    <w:rsid w:val="004867F2"/>
    <w:rsid w:val="0048682E"/>
    <w:rsid w:val="00486AF5"/>
    <w:rsid w:val="00486B91"/>
    <w:rsid w:val="00486ECB"/>
    <w:rsid w:val="00486F9B"/>
    <w:rsid w:val="00487141"/>
    <w:rsid w:val="004873BE"/>
    <w:rsid w:val="004878D0"/>
    <w:rsid w:val="00487914"/>
    <w:rsid w:val="0048793A"/>
    <w:rsid w:val="00487B92"/>
    <w:rsid w:val="004902F2"/>
    <w:rsid w:val="0049037B"/>
    <w:rsid w:val="004903CC"/>
    <w:rsid w:val="00490F9E"/>
    <w:rsid w:val="00491107"/>
    <w:rsid w:val="004914F3"/>
    <w:rsid w:val="004915E1"/>
    <w:rsid w:val="00491F5B"/>
    <w:rsid w:val="0049200E"/>
    <w:rsid w:val="004923BA"/>
    <w:rsid w:val="0049270E"/>
    <w:rsid w:val="0049272D"/>
    <w:rsid w:val="0049290F"/>
    <w:rsid w:val="00493156"/>
    <w:rsid w:val="004939DF"/>
    <w:rsid w:val="0049409C"/>
    <w:rsid w:val="00494305"/>
    <w:rsid w:val="0049442D"/>
    <w:rsid w:val="0049470F"/>
    <w:rsid w:val="00494838"/>
    <w:rsid w:val="00494F2D"/>
    <w:rsid w:val="004950EF"/>
    <w:rsid w:val="0049551D"/>
    <w:rsid w:val="00495860"/>
    <w:rsid w:val="00495E8A"/>
    <w:rsid w:val="00495EDB"/>
    <w:rsid w:val="00495F7E"/>
    <w:rsid w:val="004960FF"/>
    <w:rsid w:val="0049643F"/>
    <w:rsid w:val="00496462"/>
    <w:rsid w:val="00496480"/>
    <w:rsid w:val="0049651E"/>
    <w:rsid w:val="0049667C"/>
    <w:rsid w:val="00496683"/>
    <w:rsid w:val="00496821"/>
    <w:rsid w:val="00496883"/>
    <w:rsid w:val="0049691C"/>
    <w:rsid w:val="00496B55"/>
    <w:rsid w:val="00496FC1"/>
    <w:rsid w:val="004970BC"/>
    <w:rsid w:val="004975B5"/>
    <w:rsid w:val="00497B12"/>
    <w:rsid w:val="00497BA7"/>
    <w:rsid w:val="004A03DB"/>
    <w:rsid w:val="004A0529"/>
    <w:rsid w:val="004A0597"/>
    <w:rsid w:val="004A0714"/>
    <w:rsid w:val="004A0D85"/>
    <w:rsid w:val="004A12BB"/>
    <w:rsid w:val="004A1388"/>
    <w:rsid w:val="004A1425"/>
    <w:rsid w:val="004A1494"/>
    <w:rsid w:val="004A14D4"/>
    <w:rsid w:val="004A154B"/>
    <w:rsid w:val="004A154C"/>
    <w:rsid w:val="004A191B"/>
    <w:rsid w:val="004A19B6"/>
    <w:rsid w:val="004A1C34"/>
    <w:rsid w:val="004A1E91"/>
    <w:rsid w:val="004A2827"/>
    <w:rsid w:val="004A2C0D"/>
    <w:rsid w:val="004A2D8B"/>
    <w:rsid w:val="004A2EB9"/>
    <w:rsid w:val="004A2F34"/>
    <w:rsid w:val="004A32B5"/>
    <w:rsid w:val="004A3527"/>
    <w:rsid w:val="004A3657"/>
    <w:rsid w:val="004A3CA7"/>
    <w:rsid w:val="004A3D58"/>
    <w:rsid w:val="004A40C3"/>
    <w:rsid w:val="004A4750"/>
    <w:rsid w:val="004A4CA0"/>
    <w:rsid w:val="004A4CA5"/>
    <w:rsid w:val="004A4D04"/>
    <w:rsid w:val="004A52BA"/>
    <w:rsid w:val="004A5786"/>
    <w:rsid w:val="004A5923"/>
    <w:rsid w:val="004A5B94"/>
    <w:rsid w:val="004A6478"/>
    <w:rsid w:val="004A64CC"/>
    <w:rsid w:val="004A6829"/>
    <w:rsid w:val="004A6846"/>
    <w:rsid w:val="004A6AB9"/>
    <w:rsid w:val="004A6CAB"/>
    <w:rsid w:val="004A6D25"/>
    <w:rsid w:val="004A6E3C"/>
    <w:rsid w:val="004A72E5"/>
    <w:rsid w:val="004A738C"/>
    <w:rsid w:val="004A759E"/>
    <w:rsid w:val="004A7AD0"/>
    <w:rsid w:val="004A7D83"/>
    <w:rsid w:val="004A7FC2"/>
    <w:rsid w:val="004B00C7"/>
    <w:rsid w:val="004B0795"/>
    <w:rsid w:val="004B0FE7"/>
    <w:rsid w:val="004B15CE"/>
    <w:rsid w:val="004B1656"/>
    <w:rsid w:val="004B1777"/>
    <w:rsid w:val="004B184E"/>
    <w:rsid w:val="004B1B8D"/>
    <w:rsid w:val="004B1E11"/>
    <w:rsid w:val="004B24D5"/>
    <w:rsid w:val="004B2F78"/>
    <w:rsid w:val="004B3731"/>
    <w:rsid w:val="004B3EFF"/>
    <w:rsid w:val="004B4613"/>
    <w:rsid w:val="004B4616"/>
    <w:rsid w:val="004B4728"/>
    <w:rsid w:val="004B4E96"/>
    <w:rsid w:val="004B54BE"/>
    <w:rsid w:val="004B5609"/>
    <w:rsid w:val="004B5857"/>
    <w:rsid w:val="004B5870"/>
    <w:rsid w:val="004B5D38"/>
    <w:rsid w:val="004B5FB3"/>
    <w:rsid w:val="004B6121"/>
    <w:rsid w:val="004B6129"/>
    <w:rsid w:val="004B6253"/>
    <w:rsid w:val="004B651A"/>
    <w:rsid w:val="004B68B3"/>
    <w:rsid w:val="004B6DCF"/>
    <w:rsid w:val="004B6E63"/>
    <w:rsid w:val="004B7049"/>
    <w:rsid w:val="004B784E"/>
    <w:rsid w:val="004B7CEE"/>
    <w:rsid w:val="004B7E60"/>
    <w:rsid w:val="004C035C"/>
    <w:rsid w:val="004C0939"/>
    <w:rsid w:val="004C0A64"/>
    <w:rsid w:val="004C0B04"/>
    <w:rsid w:val="004C0DEB"/>
    <w:rsid w:val="004C1011"/>
    <w:rsid w:val="004C15CA"/>
    <w:rsid w:val="004C17D9"/>
    <w:rsid w:val="004C1A7D"/>
    <w:rsid w:val="004C1BDF"/>
    <w:rsid w:val="004C1D9C"/>
    <w:rsid w:val="004C1DE3"/>
    <w:rsid w:val="004C1E36"/>
    <w:rsid w:val="004C2303"/>
    <w:rsid w:val="004C24F9"/>
    <w:rsid w:val="004C253B"/>
    <w:rsid w:val="004C2614"/>
    <w:rsid w:val="004C2ED3"/>
    <w:rsid w:val="004C38B9"/>
    <w:rsid w:val="004C390A"/>
    <w:rsid w:val="004C39B3"/>
    <w:rsid w:val="004C3DE0"/>
    <w:rsid w:val="004C4308"/>
    <w:rsid w:val="004C4F88"/>
    <w:rsid w:val="004C52A0"/>
    <w:rsid w:val="004C54E8"/>
    <w:rsid w:val="004C5796"/>
    <w:rsid w:val="004C5835"/>
    <w:rsid w:val="004C58BD"/>
    <w:rsid w:val="004C5966"/>
    <w:rsid w:val="004C5F35"/>
    <w:rsid w:val="004C64C7"/>
    <w:rsid w:val="004C66B7"/>
    <w:rsid w:val="004C6DE8"/>
    <w:rsid w:val="004C6F80"/>
    <w:rsid w:val="004C73C1"/>
    <w:rsid w:val="004C7568"/>
    <w:rsid w:val="004C7831"/>
    <w:rsid w:val="004C7BA3"/>
    <w:rsid w:val="004C7C35"/>
    <w:rsid w:val="004C7F1E"/>
    <w:rsid w:val="004D0904"/>
    <w:rsid w:val="004D097E"/>
    <w:rsid w:val="004D09F4"/>
    <w:rsid w:val="004D0AC0"/>
    <w:rsid w:val="004D0D65"/>
    <w:rsid w:val="004D0E14"/>
    <w:rsid w:val="004D15D6"/>
    <w:rsid w:val="004D16C1"/>
    <w:rsid w:val="004D188C"/>
    <w:rsid w:val="004D19D9"/>
    <w:rsid w:val="004D2087"/>
    <w:rsid w:val="004D2255"/>
    <w:rsid w:val="004D229B"/>
    <w:rsid w:val="004D24B1"/>
    <w:rsid w:val="004D27C8"/>
    <w:rsid w:val="004D289F"/>
    <w:rsid w:val="004D29E3"/>
    <w:rsid w:val="004D2E82"/>
    <w:rsid w:val="004D3082"/>
    <w:rsid w:val="004D3212"/>
    <w:rsid w:val="004D39BD"/>
    <w:rsid w:val="004D40CC"/>
    <w:rsid w:val="004D4104"/>
    <w:rsid w:val="004D42C6"/>
    <w:rsid w:val="004D4686"/>
    <w:rsid w:val="004D46EB"/>
    <w:rsid w:val="004D477B"/>
    <w:rsid w:val="004D4793"/>
    <w:rsid w:val="004D48AB"/>
    <w:rsid w:val="004D5725"/>
    <w:rsid w:val="004D58EA"/>
    <w:rsid w:val="004D5A62"/>
    <w:rsid w:val="004D5BA6"/>
    <w:rsid w:val="004D5C05"/>
    <w:rsid w:val="004D5E1F"/>
    <w:rsid w:val="004D67C8"/>
    <w:rsid w:val="004D68A1"/>
    <w:rsid w:val="004D6ADE"/>
    <w:rsid w:val="004D6D8C"/>
    <w:rsid w:val="004D6E03"/>
    <w:rsid w:val="004D6FD8"/>
    <w:rsid w:val="004D72E0"/>
    <w:rsid w:val="004D7A94"/>
    <w:rsid w:val="004D7DD4"/>
    <w:rsid w:val="004E077B"/>
    <w:rsid w:val="004E0AE0"/>
    <w:rsid w:val="004E0C53"/>
    <w:rsid w:val="004E0D5C"/>
    <w:rsid w:val="004E0E3B"/>
    <w:rsid w:val="004E11EA"/>
    <w:rsid w:val="004E1636"/>
    <w:rsid w:val="004E16D9"/>
    <w:rsid w:val="004E1A10"/>
    <w:rsid w:val="004E1AD0"/>
    <w:rsid w:val="004E1AD3"/>
    <w:rsid w:val="004E1BD7"/>
    <w:rsid w:val="004E1F0D"/>
    <w:rsid w:val="004E248D"/>
    <w:rsid w:val="004E24F5"/>
    <w:rsid w:val="004E26D9"/>
    <w:rsid w:val="004E27F3"/>
    <w:rsid w:val="004E2C29"/>
    <w:rsid w:val="004E2E1E"/>
    <w:rsid w:val="004E355F"/>
    <w:rsid w:val="004E35B8"/>
    <w:rsid w:val="004E3893"/>
    <w:rsid w:val="004E3C88"/>
    <w:rsid w:val="004E3DA6"/>
    <w:rsid w:val="004E3FC5"/>
    <w:rsid w:val="004E40DF"/>
    <w:rsid w:val="004E4386"/>
    <w:rsid w:val="004E4522"/>
    <w:rsid w:val="004E463D"/>
    <w:rsid w:val="004E47BF"/>
    <w:rsid w:val="004E4A3C"/>
    <w:rsid w:val="004E4DD4"/>
    <w:rsid w:val="004E4E64"/>
    <w:rsid w:val="004E4FCD"/>
    <w:rsid w:val="004E5017"/>
    <w:rsid w:val="004E5061"/>
    <w:rsid w:val="004E57D6"/>
    <w:rsid w:val="004E5C03"/>
    <w:rsid w:val="004E5CB0"/>
    <w:rsid w:val="004E6344"/>
    <w:rsid w:val="004E64B5"/>
    <w:rsid w:val="004E66CB"/>
    <w:rsid w:val="004E6B1C"/>
    <w:rsid w:val="004E6E49"/>
    <w:rsid w:val="004E6FC1"/>
    <w:rsid w:val="004E73DB"/>
    <w:rsid w:val="004E7493"/>
    <w:rsid w:val="004E7AE7"/>
    <w:rsid w:val="004E7F91"/>
    <w:rsid w:val="004F09FF"/>
    <w:rsid w:val="004F0A1E"/>
    <w:rsid w:val="004F0C44"/>
    <w:rsid w:val="004F0C6C"/>
    <w:rsid w:val="004F0E35"/>
    <w:rsid w:val="004F16E5"/>
    <w:rsid w:val="004F1767"/>
    <w:rsid w:val="004F1974"/>
    <w:rsid w:val="004F1A63"/>
    <w:rsid w:val="004F1B99"/>
    <w:rsid w:val="004F1D35"/>
    <w:rsid w:val="004F1EC1"/>
    <w:rsid w:val="004F209F"/>
    <w:rsid w:val="004F21B7"/>
    <w:rsid w:val="004F2254"/>
    <w:rsid w:val="004F270B"/>
    <w:rsid w:val="004F2CBB"/>
    <w:rsid w:val="004F2E2A"/>
    <w:rsid w:val="004F2F8D"/>
    <w:rsid w:val="004F3494"/>
    <w:rsid w:val="004F37F4"/>
    <w:rsid w:val="004F393D"/>
    <w:rsid w:val="004F3D30"/>
    <w:rsid w:val="004F3F16"/>
    <w:rsid w:val="004F43DD"/>
    <w:rsid w:val="004F4463"/>
    <w:rsid w:val="004F53E8"/>
    <w:rsid w:val="004F5577"/>
    <w:rsid w:val="004F5E07"/>
    <w:rsid w:val="004F5F2E"/>
    <w:rsid w:val="004F5FE6"/>
    <w:rsid w:val="004F62FA"/>
    <w:rsid w:val="004F6572"/>
    <w:rsid w:val="004F6A81"/>
    <w:rsid w:val="004F6F4D"/>
    <w:rsid w:val="004F71B2"/>
    <w:rsid w:val="004F72BE"/>
    <w:rsid w:val="004F74C9"/>
    <w:rsid w:val="004F79B6"/>
    <w:rsid w:val="004F7B90"/>
    <w:rsid w:val="004F7BCF"/>
    <w:rsid w:val="004F7EB0"/>
    <w:rsid w:val="00500066"/>
    <w:rsid w:val="005001DF"/>
    <w:rsid w:val="00500302"/>
    <w:rsid w:val="0050073D"/>
    <w:rsid w:val="00500854"/>
    <w:rsid w:val="00500B63"/>
    <w:rsid w:val="00500D76"/>
    <w:rsid w:val="00500DB9"/>
    <w:rsid w:val="00500DC8"/>
    <w:rsid w:val="00500FC5"/>
    <w:rsid w:val="00501181"/>
    <w:rsid w:val="005016DA"/>
    <w:rsid w:val="005018C8"/>
    <w:rsid w:val="00501ADA"/>
    <w:rsid w:val="00501EE6"/>
    <w:rsid w:val="00502523"/>
    <w:rsid w:val="00502549"/>
    <w:rsid w:val="00502DA5"/>
    <w:rsid w:val="00502E2A"/>
    <w:rsid w:val="0050316C"/>
    <w:rsid w:val="00503229"/>
    <w:rsid w:val="0050323F"/>
    <w:rsid w:val="005035E7"/>
    <w:rsid w:val="0050379B"/>
    <w:rsid w:val="00503B59"/>
    <w:rsid w:val="00503B86"/>
    <w:rsid w:val="00504083"/>
    <w:rsid w:val="005040A5"/>
    <w:rsid w:val="005040B8"/>
    <w:rsid w:val="00504208"/>
    <w:rsid w:val="00504268"/>
    <w:rsid w:val="0050436D"/>
    <w:rsid w:val="0050452C"/>
    <w:rsid w:val="00504EFC"/>
    <w:rsid w:val="005051ED"/>
    <w:rsid w:val="005053B1"/>
    <w:rsid w:val="00505750"/>
    <w:rsid w:val="00505C29"/>
    <w:rsid w:val="00505DB7"/>
    <w:rsid w:val="00505F3F"/>
    <w:rsid w:val="0050624C"/>
    <w:rsid w:val="005063E7"/>
    <w:rsid w:val="00506C87"/>
    <w:rsid w:val="00506DEB"/>
    <w:rsid w:val="005071D0"/>
    <w:rsid w:val="00507345"/>
    <w:rsid w:val="00507CD8"/>
    <w:rsid w:val="0051029A"/>
    <w:rsid w:val="0051053C"/>
    <w:rsid w:val="00510556"/>
    <w:rsid w:val="005106E3"/>
    <w:rsid w:val="00510A41"/>
    <w:rsid w:val="00510A90"/>
    <w:rsid w:val="00510AE9"/>
    <w:rsid w:val="00510BD6"/>
    <w:rsid w:val="00510BDE"/>
    <w:rsid w:val="00510EB7"/>
    <w:rsid w:val="005119CA"/>
    <w:rsid w:val="00511BA1"/>
    <w:rsid w:val="00511E91"/>
    <w:rsid w:val="005121DC"/>
    <w:rsid w:val="00512620"/>
    <w:rsid w:val="00512B56"/>
    <w:rsid w:val="00513AA9"/>
    <w:rsid w:val="00513BAA"/>
    <w:rsid w:val="00513BE0"/>
    <w:rsid w:val="00513E31"/>
    <w:rsid w:val="00513E84"/>
    <w:rsid w:val="00513EEE"/>
    <w:rsid w:val="005143BB"/>
    <w:rsid w:val="005145E0"/>
    <w:rsid w:val="00514626"/>
    <w:rsid w:val="0051462C"/>
    <w:rsid w:val="00514833"/>
    <w:rsid w:val="00514D4D"/>
    <w:rsid w:val="00514ECC"/>
    <w:rsid w:val="00515022"/>
    <w:rsid w:val="005152CC"/>
    <w:rsid w:val="005156FA"/>
    <w:rsid w:val="00516096"/>
    <w:rsid w:val="005166C1"/>
    <w:rsid w:val="00516BD4"/>
    <w:rsid w:val="00516DFC"/>
    <w:rsid w:val="00516F6A"/>
    <w:rsid w:val="00517055"/>
    <w:rsid w:val="005170A6"/>
    <w:rsid w:val="00517C21"/>
    <w:rsid w:val="00517D8B"/>
    <w:rsid w:val="005200BF"/>
    <w:rsid w:val="00520301"/>
    <w:rsid w:val="005203E7"/>
    <w:rsid w:val="0052042A"/>
    <w:rsid w:val="00520436"/>
    <w:rsid w:val="00520659"/>
    <w:rsid w:val="00520813"/>
    <w:rsid w:val="00520888"/>
    <w:rsid w:val="00520DC2"/>
    <w:rsid w:val="00521120"/>
    <w:rsid w:val="00521163"/>
    <w:rsid w:val="005212DE"/>
    <w:rsid w:val="00521371"/>
    <w:rsid w:val="00521529"/>
    <w:rsid w:val="005218DA"/>
    <w:rsid w:val="00521F2E"/>
    <w:rsid w:val="00522211"/>
    <w:rsid w:val="00522385"/>
    <w:rsid w:val="00522984"/>
    <w:rsid w:val="005229D3"/>
    <w:rsid w:val="00522CFF"/>
    <w:rsid w:val="00522E4E"/>
    <w:rsid w:val="00522F3D"/>
    <w:rsid w:val="0052305A"/>
    <w:rsid w:val="0052343A"/>
    <w:rsid w:val="00523488"/>
    <w:rsid w:val="00523845"/>
    <w:rsid w:val="005238F0"/>
    <w:rsid w:val="00523933"/>
    <w:rsid w:val="00523C69"/>
    <w:rsid w:val="00523E15"/>
    <w:rsid w:val="00523E9B"/>
    <w:rsid w:val="00524056"/>
    <w:rsid w:val="005243E8"/>
    <w:rsid w:val="00524444"/>
    <w:rsid w:val="005248A4"/>
    <w:rsid w:val="00524913"/>
    <w:rsid w:val="00524CD0"/>
    <w:rsid w:val="00524CF3"/>
    <w:rsid w:val="00524DA4"/>
    <w:rsid w:val="0052534A"/>
    <w:rsid w:val="0052539C"/>
    <w:rsid w:val="00525794"/>
    <w:rsid w:val="005261E0"/>
    <w:rsid w:val="005261FC"/>
    <w:rsid w:val="005263A6"/>
    <w:rsid w:val="005266A8"/>
    <w:rsid w:val="00526876"/>
    <w:rsid w:val="00526971"/>
    <w:rsid w:val="00526A1E"/>
    <w:rsid w:val="00526B45"/>
    <w:rsid w:val="00526B47"/>
    <w:rsid w:val="00526CB9"/>
    <w:rsid w:val="0052750F"/>
    <w:rsid w:val="00527520"/>
    <w:rsid w:val="005275DE"/>
    <w:rsid w:val="005278F5"/>
    <w:rsid w:val="00527915"/>
    <w:rsid w:val="00527D7F"/>
    <w:rsid w:val="00530233"/>
    <w:rsid w:val="005303F8"/>
    <w:rsid w:val="0053052B"/>
    <w:rsid w:val="00530703"/>
    <w:rsid w:val="00530A08"/>
    <w:rsid w:val="00530A70"/>
    <w:rsid w:val="00530B43"/>
    <w:rsid w:val="00530DBE"/>
    <w:rsid w:val="00530E25"/>
    <w:rsid w:val="00530EEC"/>
    <w:rsid w:val="00530F20"/>
    <w:rsid w:val="00531149"/>
    <w:rsid w:val="005311E4"/>
    <w:rsid w:val="005313CD"/>
    <w:rsid w:val="005316B6"/>
    <w:rsid w:val="00531B25"/>
    <w:rsid w:val="00531BD5"/>
    <w:rsid w:val="00531C6C"/>
    <w:rsid w:val="00531F59"/>
    <w:rsid w:val="0053256B"/>
    <w:rsid w:val="005326FC"/>
    <w:rsid w:val="00532B36"/>
    <w:rsid w:val="00532BB9"/>
    <w:rsid w:val="00532CC2"/>
    <w:rsid w:val="00532F57"/>
    <w:rsid w:val="00533086"/>
    <w:rsid w:val="0053318A"/>
    <w:rsid w:val="005332CD"/>
    <w:rsid w:val="0053347D"/>
    <w:rsid w:val="0053350D"/>
    <w:rsid w:val="0053372D"/>
    <w:rsid w:val="00533792"/>
    <w:rsid w:val="00533793"/>
    <w:rsid w:val="0053391C"/>
    <w:rsid w:val="00533E0A"/>
    <w:rsid w:val="005340DD"/>
    <w:rsid w:val="005344EB"/>
    <w:rsid w:val="00534715"/>
    <w:rsid w:val="005347C5"/>
    <w:rsid w:val="005349BF"/>
    <w:rsid w:val="005349FC"/>
    <w:rsid w:val="00534B80"/>
    <w:rsid w:val="0053527F"/>
    <w:rsid w:val="0053548E"/>
    <w:rsid w:val="00535518"/>
    <w:rsid w:val="005357C1"/>
    <w:rsid w:val="00535BE3"/>
    <w:rsid w:val="00535C0C"/>
    <w:rsid w:val="00535C96"/>
    <w:rsid w:val="00535D77"/>
    <w:rsid w:val="00535D97"/>
    <w:rsid w:val="005365C9"/>
    <w:rsid w:val="0053662C"/>
    <w:rsid w:val="005366F6"/>
    <w:rsid w:val="00536DD8"/>
    <w:rsid w:val="00536F05"/>
    <w:rsid w:val="00537007"/>
    <w:rsid w:val="005370B9"/>
    <w:rsid w:val="00537D46"/>
    <w:rsid w:val="00537ED7"/>
    <w:rsid w:val="0054054A"/>
    <w:rsid w:val="00541009"/>
    <w:rsid w:val="005412CE"/>
    <w:rsid w:val="005413EF"/>
    <w:rsid w:val="005418A7"/>
    <w:rsid w:val="00541B0D"/>
    <w:rsid w:val="00541B7F"/>
    <w:rsid w:val="00541F68"/>
    <w:rsid w:val="0054233F"/>
    <w:rsid w:val="00543147"/>
    <w:rsid w:val="00543AA2"/>
    <w:rsid w:val="00544005"/>
    <w:rsid w:val="00544217"/>
    <w:rsid w:val="0054481D"/>
    <w:rsid w:val="0054487B"/>
    <w:rsid w:val="005449F6"/>
    <w:rsid w:val="00544D1B"/>
    <w:rsid w:val="00544D63"/>
    <w:rsid w:val="00544E42"/>
    <w:rsid w:val="00545191"/>
    <w:rsid w:val="00545307"/>
    <w:rsid w:val="00546057"/>
    <w:rsid w:val="00546319"/>
    <w:rsid w:val="005463A7"/>
    <w:rsid w:val="00547105"/>
    <w:rsid w:val="00547B1E"/>
    <w:rsid w:val="00547C1C"/>
    <w:rsid w:val="00547E62"/>
    <w:rsid w:val="00547FED"/>
    <w:rsid w:val="00550601"/>
    <w:rsid w:val="00550712"/>
    <w:rsid w:val="00551186"/>
    <w:rsid w:val="0055139A"/>
    <w:rsid w:val="00551BA6"/>
    <w:rsid w:val="00551C36"/>
    <w:rsid w:val="00552814"/>
    <w:rsid w:val="00552906"/>
    <w:rsid w:val="00552BC7"/>
    <w:rsid w:val="00552BEF"/>
    <w:rsid w:val="00553142"/>
    <w:rsid w:val="00553C67"/>
    <w:rsid w:val="00553EDF"/>
    <w:rsid w:val="00553EFD"/>
    <w:rsid w:val="00553F0A"/>
    <w:rsid w:val="00553FE0"/>
    <w:rsid w:val="00554169"/>
    <w:rsid w:val="00554332"/>
    <w:rsid w:val="00554339"/>
    <w:rsid w:val="00554B1F"/>
    <w:rsid w:val="00554D96"/>
    <w:rsid w:val="00554DD6"/>
    <w:rsid w:val="00554FCD"/>
    <w:rsid w:val="00555140"/>
    <w:rsid w:val="00555179"/>
    <w:rsid w:val="005554CF"/>
    <w:rsid w:val="00555812"/>
    <w:rsid w:val="005558D6"/>
    <w:rsid w:val="00555946"/>
    <w:rsid w:val="00555D31"/>
    <w:rsid w:val="005560CC"/>
    <w:rsid w:val="00556399"/>
    <w:rsid w:val="00556446"/>
    <w:rsid w:val="0055659A"/>
    <w:rsid w:val="00556829"/>
    <w:rsid w:val="005568EF"/>
    <w:rsid w:val="00556BAA"/>
    <w:rsid w:val="0055711C"/>
    <w:rsid w:val="005571FC"/>
    <w:rsid w:val="00557300"/>
    <w:rsid w:val="00557332"/>
    <w:rsid w:val="00557447"/>
    <w:rsid w:val="005574FF"/>
    <w:rsid w:val="005575E6"/>
    <w:rsid w:val="00557A31"/>
    <w:rsid w:val="00557AA1"/>
    <w:rsid w:val="00557C52"/>
    <w:rsid w:val="0056013C"/>
    <w:rsid w:val="00560E31"/>
    <w:rsid w:val="00560FE7"/>
    <w:rsid w:val="00561435"/>
    <w:rsid w:val="005614B4"/>
    <w:rsid w:val="005615FD"/>
    <w:rsid w:val="005619EA"/>
    <w:rsid w:val="00561D46"/>
    <w:rsid w:val="00561DFC"/>
    <w:rsid w:val="00561E88"/>
    <w:rsid w:val="005621F1"/>
    <w:rsid w:val="005622E2"/>
    <w:rsid w:val="00562756"/>
    <w:rsid w:val="005629BE"/>
    <w:rsid w:val="005634D7"/>
    <w:rsid w:val="005635DC"/>
    <w:rsid w:val="0056394C"/>
    <w:rsid w:val="00563ECA"/>
    <w:rsid w:val="00563ED2"/>
    <w:rsid w:val="00564272"/>
    <w:rsid w:val="005646DB"/>
    <w:rsid w:val="0056488C"/>
    <w:rsid w:val="005649E6"/>
    <w:rsid w:val="00565180"/>
    <w:rsid w:val="0056567C"/>
    <w:rsid w:val="00565907"/>
    <w:rsid w:val="00565924"/>
    <w:rsid w:val="005659F2"/>
    <w:rsid w:val="00565A34"/>
    <w:rsid w:val="00565A68"/>
    <w:rsid w:val="00566082"/>
    <w:rsid w:val="005660E1"/>
    <w:rsid w:val="00566A68"/>
    <w:rsid w:val="00566AA2"/>
    <w:rsid w:val="00566B8E"/>
    <w:rsid w:val="00566D9A"/>
    <w:rsid w:val="00567410"/>
    <w:rsid w:val="00567616"/>
    <w:rsid w:val="0056774D"/>
    <w:rsid w:val="00567A86"/>
    <w:rsid w:val="00567C21"/>
    <w:rsid w:val="00570097"/>
    <w:rsid w:val="00570184"/>
    <w:rsid w:val="00570321"/>
    <w:rsid w:val="00570773"/>
    <w:rsid w:val="0057095E"/>
    <w:rsid w:val="0057095F"/>
    <w:rsid w:val="005709EF"/>
    <w:rsid w:val="00570C3F"/>
    <w:rsid w:val="00570CDC"/>
    <w:rsid w:val="00570F78"/>
    <w:rsid w:val="0057138E"/>
    <w:rsid w:val="00571564"/>
    <w:rsid w:val="005718B1"/>
    <w:rsid w:val="00571A8D"/>
    <w:rsid w:val="00571ABC"/>
    <w:rsid w:val="00572021"/>
    <w:rsid w:val="00572075"/>
    <w:rsid w:val="0057207C"/>
    <w:rsid w:val="00572312"/>
    <w:rsid w:val="00572937"/>
    <w:rsid w:val="00572F46"/>
    <w:rsid w:val="00572FEC"/>
    <w:rsid w:val="00573159"/>
    <w:rsid w:val="005731B2"/>
    <w:rsid w:val="0057352E"/>
    <w:rsid w:val="00573743"/>
    <w:rsid w:val="005743A0"/>
    <w:rsid w:val="00574675"/>
    <w:rsid w:val="0057482B"/>
    <w:rsid w:val="00574AC9"/>
    <w:rsid w:val="00574EC4"/>
    <w:rsid w:val="00574F09"/>
    <w:rsid w:val="0057503B"/>
    <w:rsid w:val="005751DF"/>
    <w:rsid w:val="005755B0"/>
    <w:rsid w:val="005758BF"/>
    <w:rsid w:val="0057595B"/>
    <w:rsid w:val="00575D8F"/>
    <w:rsid w:val="00575EF7"/>
    <w:rsid w:val="0057602C"/>
    <w:rsid w:val="00576054"/>
    <w:rsid w:val="005760E1"/>
    <w:rsid w:val="0057631B"/>
    <w:rsid w:val="00576412"/>
    <w:rsid w:val="00576C5D"/>
    <w:rsid w:val="00576FA4"/>
    <w:rsid w:val="00577123"/>
    <w:rsid w:val="005771B9"/>
    <w:rsid w:val="00577819"/>
    <w:rsid w:val="00577891"/>
    <w:rsid w:val="00577A14"/>
    <w:rsid w:val="00577A9C"/>
    <w:rsid w:val="00577B2D"/>
    <w:rsid w:val="00577CEC"/>
    <w:rsid w:val="00577F08"/>
    <w:rsid w:val="00577F6B"/>
    <w:rsid w:val="0058021D"/>
    <w:rsid w:val="0058025B"/>
    <w:rsid w:val="00580984"/>
    <w:rsid w:val="005809D7"/>
    <w:rsid w:val="00580AFD"/>
    <w:rsid w:val="00580B80"/>
    <w:rsid w:val="00580D51"/>
    <w:rsid w:val="00580D82"/>
    <w:rsid w:val="00580EE8"/>
    <w:rsid w:val="00581193"/>
    <w:rsid w:val="0058125F"/>
    <w:rsid w:val="00581547"/>
    <w:rsid w:val="00581632"/>
    <w:rsid w:val="00582A4C"/>
    <w:rsid w:val="00582B38"/>
    <w:rsid w:val="00582D64"/>
    <w:rsid w:val="00583249"/>
    <w:rsid w:val="0058328C"/>
    <w:rsid w:val="005834B7"/>
    <w:rsid w:val="0058352E"/>
    <w:rsid w:val="00583581"/>
    <w:rsid w:val="0058369A"/>
    <w:rsid w:val="00583B5B"/>
    <w:rsid w:val="00583E30"/>
    <w:rsid w:val="00584E51"/>
    <w:rsid w:val="00585175"/>
    <w:rsid w:val="005854E7"/>
    <w:rsid w:val="0058570D"/>
    <w:rsid w:val="00585933"/>
    <w:rsid w:val="00585AFC"/>
    <w:rsid w:val="00586B22"/>
    <w:rsid w:val="00586EC6"/>
    <w:rsid w:val="00587004"/>
    <w:rsid w:val="005871DF"/>
    <w:rsid w:val="0058783A"/>
    <w:rsid w:val="00587A62"/>
    <w:rsid w:val="00587B7E"/>
    <w:rsid w:val="00587BB0"/>
    <w:rsid w:val="00587D59"/>
    <w:rsid w:val="0059049B"/>
    <w:rsid w:val="00590BB4"/>
    <w:rsid w:val="00590C99"/>
    <w:rsid w:val="00590CD4"/>
    <w:rsid w:val="00590D4F"/>
    <w:rsid w:val="005910B4"/>
    <w:rsid w:val="005911D1"/>
    <w:rsid w:val="00591E22"/>
    <w:rsid w:val="0059212B"/>
    <w:rsid w:val="00592461"/>
    <w:rsid w:val="005925B9"/>
    <w:rsid w:val="005925C7"/>
    <w:rsid w:val="00592D0A"/>
    <w:rsid w:val="00592E23"/>
    <w:rsid w:val="00593137"/>
    <w:rsid w:val="0059315A"/>
    <w:rsid w:val="00593594"/>
    <w:rsid w:val="005936A6"/>
    <w:rsid w:val="005937CF"/>
    <w:rsid w:val="00593849"/>
    <w:rsid w:val="005938C5"/>
    <w:rsid w:val="00593911"/>
    <w:rsid w:val="00593A2B"/>
    <w:rsid w:val="00593B0E"/>
    <w:rsid w:val="00593FB8"/>
    <w:rsid w:val="005943BB"/>
    <w:rsid w:val="005943BF"/>
    <w:rsid w:val="0059453B"/>
    <w:rsid w:val="0059459D"/>
    <w:rsid w:val="00594942"/>
    <w:rsid w:val="00594DB6"/>
    <w:rsid w:val="005951C2"/>
    <w:rsid w:val="005955FD"/>
    <w:rsid w:val="0059576B"/>
    <w:rsid w:val="00595863"/>
    <w:rsid w:val="005958D0"/>
    <w:rsid w:val="00595DD8"/>
    <w:rsid w:val="00595E2D"/>
    <w:rsid w:val="0059608A"/>
    <w:rsid w:val="00596311"/>
    <w:rsid w:val="005967F1"/>
    <w:rsid w:val="00596993"/>
    <w:rsid w:val="00596A36"/>
    <w:rsid w:val="00596A8E"/>
    <w:rsid w:val="00597243"/>
    <w:rsid w:val="005974C1"/>
    <w:rsid w:val="005975D3"/>
    <w:rsid w:val="00597604"/>
    <w:rsid w:val="00597BDA"/>
    <w:rsid w:val="00597D31"/>
    <w:rsid w:val="00597DDE"/>
    <w:rsid w:val="005A020E"/>
    <w:rsid w:val="005A02EA"/>
    <w:rsid w:val="005A08CA"/>
    <w:rsid w:val="005A0AD6"/>
    <w:rsid w:val="005A0B0A"/>
    <w:rsid w:val="005A0BC2"/>
    <w:rsid w:val="005A0E8D"/>
    <w:rsid w:val="005A0EC0"/>
    <w:rsid w:val="005A137C"/>
    <w:rsid w:val="005A1854"/>
    <w:rsid w:val="005A21DE"/>
    <w:rsid w:val="005A2658"/>
    <w:rsid w:val="005A282D"/>
    <w:rsid w:val="005A2C27"/>
    <w:rsid w:val="005A2E13"/>
    <w:rsid w:val="005A366A"/>
    <w:rsid w:val="005A3B97"/>
    <w:rsid w:val="005A3C30"/>
    <w:rsid w:val="005A3D95"/>
    <w:rsid w:val="005A3E3C"/>
    <w:rsid w:val="005A4326"/>
    <w:rsid w:val="005A476C"/>
    <w:rsid w:val="005A4CEF"/>
    <w:rsid w:val="005A4EE5"/>
    <w:rsid w:val="005A52A4"/>
    <w:rsid w:val="005A53F0"/>
    <w:rsid w:val="005A5738"/>
    <w:rsid w:val="005A5935"/>
    <w:rsid w:val="005A5C26"/>
    <w:rsid w:val="005A5EAB"/>
    <w:rsid w:val="005A6168"/>
    <w:rsid w:val="005A667B"/>
    <w:rsid w:val="005A6A9A"/>
    <w:rsid w:val="005A6AA4"/>
    <w:rsid w:val="005A6C0A"/>
    <w:rsid w:val="005A6D88"/>
    <w:rsid w:val="005A6FA6"/>
    <w:rsid w:val="005A6FCC"/>
    <w:rsid w:val="005A724F"/>
    <w:rsid w:val="005A79CD"/>
    <w:rsid w:val="005A7B3A"/>
    <w:rsid w:val="005A7ECB"/>
    <w:rsid w:val="005B008F"/>
    <w:rsid w:val="005B028B"/>
    <w:rsid w:val="005B044B"/>
    <w:rsid w:val="005B062A"/>
    <w:rsid w:val="005B07E0"/>
    <w:rsid w:val="005B0822"/>
    <w:rsid w:val="005B0D26"/>
    <w:rsid w:val="005B0F37"/>
    <w:rsid w:val="005B0F69"/>
    <w:rsid w:val="005B11CA"/>
    <w:rsid w:val="005B1247"/>
    <w:rsid w:val="005B16C3"/>
    <w:rsid w:val="005B179A"/>
    <w:rsid w:val="005B181B"/>
    <w:rsid w:val="005B18B1"/>
    <w:rsid w:val="005B1CA2"/>
    <w:rsid w:val="005B1CBD"/>
    <w:rsid w:val="005B234B"/>
    <w:rsid w:val="005B23EF"/>
    <w:rsid w:val="005B2762"/>
    <w:rsid w:val="005B2C52"/>
    <w:rsid w:val="005B2CC2"/>
    <w:rsid w:val="005B2D7B"/>
    <w:rsid w:val="005B3420"/>
    <w:rsid w:val="005B3522"/>
    <w:rsid w:val="005B3664"/>
    <w:rsid w:val="005B3729"/>
    <w:rsid w:val="005B390B"/>
    <w:rsid w:val="005B3FC7"/>
    <w:rsid w:val="005B4969"/>
    <w:rsid w:val="005B4B97"/>
    <w:rsid w:val="005B4BAD"/>
    <w:rsid w:val="005B50CA"/>
    <w:rsid w:val="005B527C"/>
    <w:rsid w:val="005B53B8"/>
    <w:rsid w:val="005B5414"/>
    <w:rsid w:val="005B5525"/>
    <w:rsid w:val="005B55A2"/>
    <w:rsid w:val="005B5826"/>
    <w:rsid w:val="005B5C9D"/>
    <w:rsid w:val="005B5D56"/>
    <w:rsid w:val="005B6068"/>
    <w:rsid w:val="005B609A"/>
    <w:rsid w:val="005B60DA"/>
    <w:rsid w:val="005B6229"/>
    <w:rsid w:val="005B623D"/>
    <w:rsid w:val="005B66FD"/>
    <w:rsid w:val="005B67FC"/>
    <w:rsid w:val="005B6891"/>
    <w:rsid w:val="005B68C3"/>
    <w:rsid w:val="005B6FDA"/>
    <w:rsid w:val="005B6FE2"/>
    <w:rsid w:val="005B7737"/>
    <w:rsid w:val="005B7C10"/>
    <w:rsid w:val="005C0201"/>
    <w:rsid w:val="005C0726"/>
    <w:rsid w:val="005C0BCE"/>
    <w:rsid w:val="005C0CF0"/>
    <w:rsid w:val="005C0E95"/>
    <w:rsid w:val="005C1618"/>
    <w:rsid w:val="005C1A8D"/>
    <w:rsid w:val="005C234D"/>
    <w:rsid w:val="005C2797"/>
    <w:rsid w:val="005C2A91"/>
    <w:rsid w:val="005C2FEE"/>
    <w:rsid w:val="005C3A91"/>
    <w:rsid w:val="005C3B0E"/>
    <w:rsid w:val="005C3CCF"/>
    <w:rsid w:val="005C4249"/>
    <w:rsid w:val="005C43BC"/>
    <w:rsid w:val="005C44A5"/>
    <w:rsid w:val="005C4692"/>
    <w:rsid w:val="005C46BB"/>
    <w:rsid w:val="005C4A93"/>
    <w:rsid w:val="005C4B0B"/>
    <w:rsid w:val="005C4D86"/>
    <w:rsid w:val="005C4EF1"/>
    <w:rsid w:val="005C4FCD"/>
    <w:rsid w:val="005C50C5"/>
    <w:rsid w:val="005C51AB"/>
    <w:rsid w:val="005C52A9"/>
    <w:rsid w:val="005C5582"/>
    <w:rsid w:val="005C59E2"/>
    <w:rsid w:val="005C6147"/>
    <w:rsid w:val="005C622B"/>
    <w:rsid w:val="005C677C"/>
    <w:rsid w:val="005C67EB"/>
    <w:rsid w:val="005C69A2"/>
    <w:rsid w:val="005C6D0E"/>
    <w:rsid w:val="005C6D28"/>
    <w:rsid w:val="005C6D3D"/>
    <w:rsid w:val="005C7049"/>
    <w:rsid w:val="005C72A4"/>
    <w:rsid w:val="005C72B7"/>
    <w:rsid w:val="005C73D4"/>
    <w:rsid w:val="005C748C"/>
    <w:rsid w:val="005C7C49"/>
    <w:rsid w:val="005D0403"/>
    <w:rsid w:val="005D0F72"/>
    <w:rsid w:val="005D0FD0"/>
    <w:rsid w:val="005D1001"/>
    <w:rsid w:val="005D160F"/>
    <w:rsid w:val="005D1B15"/>
    <w:rsid w:val="005D223B"/>
    <w:rsid w:val="005D267C"/>
    <w:rsid w:val="005D2702"/>
    <w:rsid w:val="005D293D"/>
    <w:rsid w:val="005D297A"/>
    <w:rsid w:val="005D2A86"/>
    <w:rsid w:val="005D2B1F"/>
    <w:rsid w:val="005D2CDE"/>
    <w:rsid w:val="005D2CEA"/>
    <w:rsid w:val="005D2EEF"/>
    <w:rsid w:val="005D3055"/>
    <w:rsid w:val="005D3295"/>
    <w:rsid w:val="005D351D"/>
    <w:rsid w:val="005D3750"/>
    <w:rsid w:val="005D37B2"/>
    <w:rsid w:val="005D38CF"/>
    <w:rsid w:val="005D3A25"/>
    <w:rsid w:val="005D4299"/>
    <w:rsid w:val="005D4466"/>
    <w:rsid w:val="005D451A"/>
    <w:rsid w:val="005D4C15"/>
    <w:rsid w:val="005D4F94"/>
    <w:rsid w:val="005D502B"/>
    <w:rsid w:val="005D5459"/>
    <w:rsid w:val="005D5678"/>
    <w:rsid w:val="005D5C83"/>
    <w:rsid w:val="005D601F"/>
    <w:rsid w:val="005D622F"/>
    <w:rsid w:val="005D62AE"/>
    <w:rsid w:val="005D6324"/>
    <w:rsid w:val="005D65F0"/>
    <w:rsid w:val="005D6671"/>
    <w:rsid w:val="005D6755"/>
    <w:rsid w:val="005D6A63"/>
    <w:rsid w:val="005D6C3C"/>
    <w:rsid w:val="005D6CAF"/>
    <w:rsid w:val="005D6D60"/>
    <w:rsid w:val="005D7299"/>
    <w:rsid w:val="005D75DA"/>
    <w:rsid w:val="005D786F"/>
    <w:rsid w:val="005D7970"/>
    <w:rsid w:val="005D7A97"/>
    <w:rsid w:val="005D7E73"/>
    <w:rsid w:val="005E0172"/>
    <w:rsid w:val="005E04C5"/>
    <w:rsid w:val="005E0540"/>
    <w:rsid w:val="005E058A"/>
    <w:rsid w:val="005E05CF"/>
    <w:rsid w:val="005E0A6B"/>
    <w:rsid w:val="005E10FA"/>
    <w:rsid w:val="005E1105"/>
    <w:rsid w:val="005E1144"/>
    <w:rsid w:val="005E12CF"/>
    <w:rsid w:val="005E1DC8"/>
    <w:rsid w:val="005E200B"/>
    <w:rsid w:val="005E202F"/>
    <w:rsid w:val="005E237D"/>
    <w:rsid w:val="005E24B7"/>
    <w:rsid w:val="005E2FB8"/>
    <w:rsid w:val="005E323E"/>
    <w:rsid w:val="005E352C"/>
    <w:rsid w:val="005E353D"/>
    <w:rsid w:val="005E3746"/>
    <w:rsid w:val="005E37CD"/>
    <w:rsid w:val="005E3806"/>
    <w:rsid w:val="005E3EA3"/>
    <w:rsid w:val="005E4198"/>
    <w:rsid w:val="005E44C5"/>
    <w:rsid w:val="005E46AD"/>
    <w:rsid w:val="005E4737"/>
    <w:rsid w:val="005E4B57"/>
    <w:rsid w:val="005E4ED2"/>
    <w:rsid w:val="005E4F08"/>
    <w:rsid w:val="005E549E"/>
    <w:rsid w:val="005E59F7"/>
    <w:rsid w:val="005E5CFE"/>
    <w:rsid w:val="005E5E86"/>
    <w:rsid w:val="005E649F"/>
    <w:rsid w:val="005E65FE"/>
    <w:rsid w:val="005E68AD"/>
    <w:rsid w:val="005E6946"/>
    <w:rsid w:val="005E6C2B"/>
    <w:rsid w:val="005E6DC8"/>
    <w:rsid w:val="005E713F"/>
    <w:rsid w:val="005E7327"/>
    <w:rsid w:val="005E76E9"/>
    <w:rsid w:val="005E787E"/>
    <w:rsid w:val="005E7A81"/>
    <w:rsid w:val="005E7E2E"/>
    <w:rsid w:val="005F02FC"/>
    <w:rsid w:val="005F0457"/>
    <w:rsid w:val="005F0860"/>
    <w:rsid w:val="005F0CE2"/>
    <w:rsid w:val="005F0FA0"/>
    <w:rsid w:val="005F10CF"/>
    <w:rsid w:val="005F1138"/>
    <w:rsid w:val="005F1218"/>
    <w:rsid w:val="005F1407"/>
    <w:rsid w:val="005F1428"/>
    <w:rsid w:val="005F14F6"/>
    <w:rsid w:val="005F1806"/>
    <w:rsid w:val="005F257F"/>
    <w:rsid w:val="005F25AB"/>
    <w:rsid w:val="005F26D2"/>
    <w:rsid w:val="005F289C"/>
    <w:rsid w:val="005F2D9A"/>
    <w:rsid w:val="005F33D7"/>
    <w:rsid w:val="005F35D1"/>
    <w:rsid w:val="005F3A96"/>
    <w:rsid w:val="005F4447"/>
    <w:rsid w:val="005F44E0"/>
    <w:rsid w:val="005F4583"/>
    <w:rsid w:val="005F4D0C"/>
    <w:rsid w:val="005F4E65"/>
    <w:rsid w:val="005F4FE9"/>
    <w:rsid w:val="005F5056"/>
    <w:rsid w:val="005F5092"/>
    <w:rsid w:val="005F50F5"/>
    <w:rsid w:val="005F515E"/>
    <w:rsid w:val="005F55A8"/>
    <w:rsid w:val="005F58B4"/>
    <w:rsid w:val="005F5987"/>
    <w:rsid w:val="005F5B93"/>
    <w:rsid w:val="005F5C37"/>
    <w:rsid w:val="005F63C9"/>
    <w:rsid w:val="005F667D"/>
    <w:rsid w:val="005F6945"/>
    <w:rsid w:val="005F6E20"/>
    <w:rsid w:val="005F6E9D"/>
    <w:rsid w:val="005F6EBC"/>
    <w:rsid w:val="005F6EE2"/>
    <w:rsid w:val="005F7182"/>
    <w:rsid w:val="005F790A"/>
    <w:rsid w:val="005F7B88"/>
    <w:rsid w:val="005F7CD8"/>
    <w:rsid w:val="005F7E06"/>
    <w:rsid w:val="005F7EF2"/>
    <w:rsid w:val="0060031D"/>
    <w:rsid w:val="006004A6"/>
    <w:rsid w:val="006008B3"/>
    <w:rsid w:val="00600C68"/>
    <w:rsid w:val="00600DF4"/>
    <w:rsid w:val="00600FC0"/>
    <w:rsid w:val="00601119"/>
    <w:rsid w:val="00601C47"/>
    <w:rsid w:val="00601E1A"/>
    <w:rsid w:val="006029E7"/>
    <w:rsid w:val="0060340E"/>
    <w:rsid w:val="00603A2F"/>
    <w:rsid w:val="00603A4C"/>
    <w:rsid w:val="00603C6E"/>
    <w:rsid w:val="00603D2A"/>
    <w:rsid w:val="00603E37"/>
    <w:rsid w:val="006040E9"/>
    <w:rsid w:val="006048E8"/>
    <w:rsid w:val="0060490C"/>
    <w:rsid w:val="00604ED6"/>
    <w:rsid w:val="00605C41"/>
    <w:rsid w:val="00605DC9"/>
    <w:rsid w:val="00605E0B"/>
    <w:rsid w:val="006062F8"/>
    <w:rsid w:val="0060634D"/>
    <w:rsid w:val="006063FB"/>
    <w:rsid w:val="006065A3"/>
    <w:rsid w:val="00606826"/>
    <w:rsid w:val="00606DFA"/>
    <w:rsid w:val="0060731A"/>
    <w:rsid w:val="00607393"/>
    <w:rsid w:val="0060787C"/>
    <w:rsid w:val="00607BE5"/>
    <w:rsid w:val="00607D32"/>
    <w:rsid w:val="0061037E"/>
    <w:rsid w:val="00610649"/>
    <w:rsid w:val="00611062"/>
    <w:rsid w:val="006111C7"/>
    <w:rsid w:val="006113C7"/>
    <w:rsid w:val="006119A4"/>
    <w:rsid w:val="00611AFA"/>
    <w:rsid w:val="00612080"/>
    <w:rsid w:val="0061236B"/>
    <w:rsid w:val="00612667"/>
    <w:rsid w:val="00612B39"/>
    <w:rsid w:val="00613291"/>
    <w:rsid w:val="00613451"/>
    <w:rsid w:val="00613465"/>
    <w:rsid w:val="0061357E"/>
    <w:rsid w:val="0061363B"/>
    <w:rsid w:val="00613F62"/>
    <w:rsid w:val="00614011"/>
    <w:rsid w:val="0061409C"/>
    <w:rsid w:val="006140B1"/>
    <w:rsid w:val="006140D0"/>
    <w:rsid w:val="00614301"/>
    <w:rsid w:val="0061437B"/>
    <w:rsid w:val="00614BC1"/>
    <w:rsid w:val="00614D8E"/>
    <w:rsid w:val="00614FD7"/>
    <w:rsid w:val="00614FE5"/>
    <w:rsid w:val="0061528C"/>
    <w:rsid w:val="006154EB"/>
    <w:rsid w:val="006158FE"/>
    <w:rsid w:val="00615B53"/>
    <w:rsid w:val="00615B5D"/>
    <w:rsid w:val="00616757"/>
    <w:rsid w:val="00616831"/>
    <w:rsid w:val="00616A98"/>
    <w:rsid w:val="00616FA9"/>
    <w:rsid w:val="006170CE"/>
    <w:rsid w:val="00617187"/>
    <w:rsid w:val="00617790"/>
    <w:rsid w:val="00617835"/>
    <w:rsid w:val="006179E0"/>
    <w:rsid w:val="00617A48"/>
    <w:rsid w:val="00617C35"/>
    <w:rsid w:val="00617DA9"/>
    <w:rsid w:val="00617DF6"/>
    <w:rsid w:val="006207B4"/>
    <w:rsid w:val="006211D0"/>
    <w:rsid w:val="006212A8"/>
    <w:rsid w:val="00621AE4"/>
    <w:rsid w:val="00621AED"/>
    <w:rsid w:val="0062297C"/>
    <w:rsid w:val="00622A24"/>
    <w:rsid w:val="00622A29"/>
    <w:rsid w:val="00622DD0"/>
    <w:rsid w:val="00622F48"/>
    <w:rsid w:val="00622F5F"/>
    <w:rsid w:val="0062312C"/>
    <w:rsid w:val="0062315D"/>
    <w:rsid w:val="006231C6"/>
    <w:rsid w:val="006233E4"/>
    <w:rsid w:val="0062357B"/>
    <w:rsid w:val="00623CDB"/>
    <w:rsid w:val="00623EF9"/>
    <w:rsid w:val="0062414D"/>
    <w:rsid w:val="006245D4"/>
    <w:rsid w:val="00624694"/>
    <w:rsid w:val="00624A0F"/>
    <w:rsid w:val="00624DB0"/>
    <w:rsid w:val="006251F0"/>
    <w:rsid w:val="0062541E"/>
    <w:rsid w:val="00625541"/>
    <w:rsid w:val="00625827"/>
    <w:rsid w:val="006258C0"/>
    <w:rsid w:val="00625B28"/>
    <w:rsid w:val="00625CC7"/>
    <w:rsid w:val="00625F6B"/>
    <w:rsid w:val="0062629F"/>
    <w:rsid w:val="00626474"/>
    <w:rsid w:val="006266E2"/>
    <w:rsid w:val="0062682C"/>
    <w:rsid w:val="00626AFA"/>
    <w:rsid w:val="00626BF8"/>
    <w:rsid w:val="00626CDE"/>
    <w:rsid w:val="00626DE8"/>
    <w:rsid w:val="00627044"/>
    <w:rsid w:val="00627187"/>
    <w:rsid w:val="00627210"/>
    <w:rsid w:val="006273B5"/>
    <w:rsid w:val="006274D9"/>
    <w:rsid w:val="0062761A"/>
    <w:rsid w:val="0062777E"/>
    <w:rsid w:val="00627D21"/>
    <w:rsid w:val="00627EF2"/>
    <w:rsid w:val="0063019D"/>
    <w:rsid w:val="006307D4"/>
    <w:rsid w:val="0063082D"/>
    <w:rsid w:val="006308C0"/>
    <w:rsid w:val="0063119E"/>
    <w:rsid w:val="006317BD"/>
    <w:rsid w:val="006318AA"/>
    <w:rsid w:val="00631C4B"/>
    <w:rsid w:val="006320A8"/>
    <w:rsid w:val="0063221B"/>
    <w:rsid w:val="00632513"/>
    <w:rsid w:val="006326C7"/>
    <w:rsid w:val="006326CE"/>
    <w:rsid w:val="00632833"/>
    <w:rsid w:val="00632B41"/>
    <w:rsid w:val="0063346A"/>
    <w:rsid w:val="006334D8"/>
    <w:rsid w:val="00633562"/>
    <w:rsid w:val="00633598"/>
    <w:rsid w:val="00633D9E"/>
    <w:rsid w:val="00633F25"/>
    <w:rsid w:val="00634285"/>
    <w:rsid w:val="006342CD"/>
    <w:rsid w:val="00634344"/>
    <w:rsid w:val="00634361"/>
    <w:rsid w:val="0063485A"/>
    <w:rsid w:val="00634BD6"/>
    <w:rsid w:val="00635001"/>
    <w:rsid w:val="006352FD"/>
    <w:rsid w:val="0063542E"/>
    <w:rsid w:val="00635587"/>
    <w:rsid w:val="00635919"/>
    <w:rsid w:val="00635B90"/>
    <w:rsid w:val="00635D40"/>
    <w:rsid w:val="00635E7C"/>
    <w:rsid w:val="00635FC1"/>
    <w:rsid w:val="006362B4"/>
    <w:rsid w:val="006365DA"/>
    <w:rsid w:val="006369B7"/>
    <w:rsid w:val="00636EF7"/>
    <w:rsid w:val="0063734E"/>
    <w:rsid w:val="00637394"/>
    <w:rsid w:val="006373BC"/>
    <w:rsid w:val="006374B2"/>
    <w:rsid w:val="006374D9"/>
    <w:rsid w:val="0063774F"/>
    <w:rsid w:val="00637FDE"/>
    <w:rsid w:val="006400E8"/>
    <w:rsid w:val="006402F3"/>
    <w:rsid w:val="00640658"/>
    <w:rsid w:val="0064088F"/>
    <w:rsid w:val="00640C2F"/>
    <w:rsid w:val="00640E46"/>
    <w:rsid w:val="00641267"/>
    <w:rsid w:val="0064144F"/>
    <w:rsid w:val="00641632"/>
    <w:rsid w:val="0064181E"/>
    <w:rsid w:val="006423E3"/>
    <w:rsid w:val="006424B6"/>
    <w:rsid w:val="00642AE5"/>
    <w:rsid w:val="00642B2E"/>
    <w:rsid w:val="00642E9F"/>
    <w:rsid w:val="006437F8"/>
    <w:rsid w:val="00643FB8"/>
    <w:rsid w:val="00644160"/>
    <w:rsid w:val="00644656"/>
    <w:rsid w:val="00644E5A"/>
    <w:rsid w:val="00644FDA"/>
    <w:rsid w:val="0064507A"/>
    <w:rsid w:val="00645119"/>
    <w:rsid w:val="00645297"/>
    <w:rsid w:val="006455B9"/>
    <w:rsid w:val="00645817"/>
    <w:rsid w:val="006458E0"/>
    <w:rsid w:val="00645E90"/>
    <w:rsid w:val="00645FED"/>
    <w:rsid w:val="006460CC"/>
    <w:rsid w:val="00646170"/>
    <w:rsid w:val="0064641B"/>
    <w:rsid w:val="00646460"/>
    <w:rsid w:val="0064671A"/>
    <w:rsid w:val="0064678D"/>
    <w:rsid w:val="00646AA3"/>
    <w:rsid w:val="00646B26"/>
    <w:rsid w:val="00646BB5"/>
    <w:rsid w:val="00646BD7"/>
    <w:rsid w:val="00646C8F"/>
    <w:rsid w:val="0064750B"/>
    <w:rsid w:val="006501B3"/>
    <w:rsid w:val="00650300"/>
    <w:rsid w:val="00650C4C"/>
    <w:rsid w:val="00650C68"/>
    <w:rsid w:val="00650C81"/>
    <w:rsid w:val="00650CEE"/>
    <w:rsid w:val="00650FF1"/>
    <w:rsid w:val="00651050"/>
    <w:rsid w:val="006511C7"/>
    <w:rsid w:val="006515F0"/>
    <w:rsid w:val="0065166A"/>
    <w:rsid w:val="006517C6"/>
    <w:rsid w:val="006518B9"/>
    <w:rsid w:val="00651BE8"/>
    <w:rsid w:val="00651D15"/>
    <w:rsid w:val="006520DD"/>
    <w:rsid w:val="006525DF"/>
    <w:rsid w:val="00652640"/>
    <w:rsid w:val="00652964"/>
    <w:rsid w:val="00652C85"/>
    <w:rsid w:val="00652E0F"/>
    <w:rsid w:val="00653308"/>
    <w:rsid w:val="0065348C"/>
    <w:rsid w:val="00653766"/>
    <w:rsid w:val="00653997"/>
    <w:rsid w:val="00653C1E"/>
    <w:rsid w:val="00653D96"/>
    <w:rsid w:val="00653E4B"/>
    <w:rsid w:val="00654590"/>
    <w:rsid w:val="0065558B"/>
    <w:rsid w:val="0065572B"/>
    <w:rsid w:val="006558B8"/>
    <w:rsid w:val="00655B71"/>
    <w:rsid w:val="00655C6B"/>
    <w:rsid w:val="00655E34"/>
    <w:rsid w:val="00655FFC"/>
    <w:rsid w:val="00656301"/>
    <w:rsid w:val="00656605"/>
    <w:rsid w:val="0065678B"/>
    <w:rsid w:val="00656C14"/>
    <w:rsid w:val="00656CD6"/>
    <w:rsid w:val="00656DCD"/>
    <w:rsid w:val="00656DF9"/>
    <w:rsid w:val="00656E39"/>
    <w:rsid w:val="006570E0"/>
    <w:rsid w:val="00657100"/>
    <w:rsid w:val="00657AEF"/>
    <w:rsid w:val="00657B84"/>
    <w:rsid w:val="00657F26"/>
    <w:rsid w:val="00657F42"/>
    <w:rsid w:val="006600BD"/>
    <w:rsid w:val="0066041A"/>
    <w:rsid w:val="00660ACA"/>
    <w:rsid w:val="00660BC5"/>
    <w:rsid w:val="00660CA2"/>
    <w:rsid w:val="006610C9"/>
    <w:rsid w:val="00661289"/>
    <w:rsid w:val="006612C7"/>
    <w:rsid w:val="00661516"/>
    <w:rsid w:val="00661563"/>
    <w:rsid w:val="00661931"/>
    <w:rsid w:val="00661AB1"/>
    <w:rsid w:val="00661AC0"/>
    <w:rsid w:val="00661B6A"/>
    <w:rsid w:val="00661CCC"/>
    <w:rsid w:val="00661F4D"/>
    <w:rsid w:val="00662188"/>
    <w:rsid w:val="00662746"/>
    <w:rsid w:val="00662800"/>
    <w:rsid w:val="00662820"/>
    <w:rsid w:val="00662B1B"/>
    <w:rsid w:val="0066318E"/>
    <w:rsid w:val="006636D6"/>
    <w:rsid w:val="0066445D"/>
    <w:rsid w:val="0066461B"/>
    <w:rsid w:val="006646F2"/>
    <w:rsid w:val="0066472A"/>
    <w:rsid w:val="00664738"/>
    <w:rsid w:val="00664942"/>
    <w:rsid w:val="00664AE6"/>
    <w:rsid w:val="00665084"/>
    <w:rsid w:val="006652BB"/>
    <w:rsid w:val="00665345"/>
    <w:rsid w:val="0066578D"/>
    <w:rsid w:val="00665AC0"/>
    <w:rsid w:val="00665AEB"/>
    <w:rsid w:val="00665C87"/>
    <w:rsid w:val="00665D94"/>
    <w:rsid w:val="00665F56"/>
    <w:rsid w:val="006662D7"/>
    <w:rsid w:val="006664F3"/>
    <w:rsid w:val="0066652A"/>
    <w:rsid w:val="0066661D"/>
    <w:rsid w:val="00666703"/>
    <w:rsid w:val="00666B34"/>
    <w:rsid w:val="006674AE"/>
    <w:rsid w:val="006679FE"/>
    <w:rsid w:val="00667A99"/>
    <w:rsid w:val="00667D78"/>
    <w:rsid w:val="00667D8C"/>
    <w:rsid w:val="00670867"/>
    <w:rsid w:val="00670B35"/>
    <w:rsid w:val="00670C52"/>
    <w:rsid w:val="00670E17"/>
    <w:rsid w:val="00670E81"/>
    <w:rsid w:val="0067117C"/>
    <w:rsid w:val="006711A1"/>
    <w:rsid w:val="0067173F"/>
    <w:rsid w:val="00671768"/>
    <w:rsid w:val="00671843"/>
    <w:rsid w:val="00671DD4"/>
    <w:rsid w:val="00671DF8"/>
    <w:rsid w:val="0067208F"/>
    <w:rsid w:val="006723E2"/>
    <w:rsid w:val="006729DD"/>
    <w:rsid w:val="00672A99"/>
    <w:rsid w:val="00672F5C"/>
    <w:rsid w:val="00672FC5"/>
    <w:rsid w:val="00673068"/>
    <w:rsid w:val="006730B9"/>
    <w:rsid w:val="006733EB"/>
    <w:rsid w:val="00673615"/>
    <w:rsid w:val="00673B6E"/>
    <w:rsid w:val="00674271"/>
    <w:rsid w:val="00674543"/>
    <w:rsid w:val="00674565"/>
    <w:rsid w:val="00674B34"/>
    <w:rsid w:val="00674C3C"/>
    <w:rsid w:val="00674C4A"/>
    <w:rsid w:val="00674EF0"/>
    <w:rsid w:val="00675048"/>
    <w:rsid w:val="0067571F"/>
    <w:rsid w:val="006758AF"/>
    <w:rsid w:val="00675BC3"/>
    <w:rsid w:val="00675F6A"/>
    <w:rsid w:val="00676272"/>
    <w:rsid w:val="00676585"/>
    <w:rsid w:val="006766DB"/>
    <w:rsid w:val="00676919"/>
    <w:rsid w:val="00676A2B"/>
    <w:rsid w:val="00676B57"/>
    <w:rsid w:val="00677062"/>
    <w:rsid w:val="006776AA"/>
    <w:rsid w:val="00677973"/>
    <w:rsid w:val="006779EE"/>
    <w:rsid w:val="00677AC5"/>
    <w:rsid w:val="0068012A"/>
    <w:rsid w:val="0068072E"/>
    <w:rsid w:val="006808A9"/>
    <w:rsid w:val="006811A4"/>
    <w:rsid w:val="006814E5"/>
    <w:rsid w:val="0068152B"/>
    <w:rsid w:val="00681639"/>
    <w:rsid w:val="00681676"/>
    <w:rsid w:val="00681868"/>
    <w:rsid w:val="006821A1"/>
    <w:rsid w:val="0068227C"/>
    <w:rsid w:val="006822AE"/>
    <w:rsid w:val="0068238A"/>
    <w:rsid w:val="00682A38"/>
    <w:rsid w:val="00682E0F"/>
    <w:rsid w:val="00682F69"/>
    <w:rsid w:val="00683035"/>
    <w:rsid w:val="006831EA"/>
    <w:rsid w:val="0068323F"/>
    <w:rsid w:val="006832F5"/>
    <w:rsid w:val="006833E5"/>
    <w:rsid w:val="00683BBC"/>
    <w:rsid w:val="00683C4A"/>
    <w:rsid w:val="00683F11"/>
    <w:rsid w:val="006840CE"/>
    <w:rsid w:val="006843DD"/>
    <w:rsid w:val="006846B7"/>
    <w:rsid w:val="0068475A"/>
    <w:rsid w:val="00684C10"/>
    <w:rsid w:val="006850AB"/>
    <w:rsid w:val="006855E5"/>
    <w:rsid w:val="00685702"/>
    <w:rsid w:val="00685804"/>
    <w:rsid w:val="0068590E"/>
    <w:rsid w:val="00685AA5"/>
    <w:rsid w:val="0068626D"/>
    <w:rsid w:val="006863BE"/>
    <w:rsid w:val="0068690F"/>
    <w:rsid w:val="00686E10"/>
    <w:rsid w:val="006878BC"/>
    <w:rsid w:val="006878F0"/>
    <w:rsid w:val="00687F54"/>
    <w:rsid w:val="00690297"/>
    <w:rsid w:val="006903A4"/>
    <w:rsid w:val="00690467"/>
    <w:rsid w:val="006904CC"/>
    <w:rsid w:val="00690769"/>
    <w:rsid w:val="006907AE"/>
    <w:rsid w:val="00691609"/>
    <w:rsid w:val="00691A39"/>
    <w:rsid w:val="00691A68"/>
    <w:rsid w:val="00691E88"/>
    <w:rsid w:val="00692033"/>
    <w:rsid w:val="0069254F"/>
    <w:rsid w:val="00692646"/>
    <w:rsid w:val="006926B3"/>
    <w:rsid w:val="00692841"/>
    <w:rsid w:val="006929B5"/>
    <w:rsid w:val="0069310F"/>
    <w:rsid w:val="00693189"/>
    <w:rsid w:val="00693347"/>
    <w:rsid w:val="0069353D"/>
    <w:rsid w:val="006936D6"/>
    <w:rsid w:val="0069372A"/>
    <w:rsid w:val="00693D1B"/>
    <w:rsid w:val="00693D94"/>
    <w:rsid w:val="00694093"/>
    <w:rsid w:val="0069429C"/>
    <w:rsid w:val="00695F1E"/>
    <w:rsid w:val="00695F39"/>
    <w:rsid w:val="00696481"/>
    <w:rsid w:val="006968AD"/>
    <w:rsid w:val="006969FB"/>
    <w:rsid w:val="00696B2C"/>
    <w:rsid w:val="00696C93"/>
    <w:rsid w:val="00696CA0"/>
    <w:rsid w:val="00696CA2"/>
    <w:rsid w:val="00696D8A"/>
    <w:rsid w:val="006973CF"/>
    <w:rsid w:val="00697B36"/>
    <w:rsid w:val="00697B61"/>
    <w:rsid w:val="00697F23"/>
    <w:rsid w:val="006A00CF"/>
    <w:rsid w:val="006A0349"/>
    <w:rsid w:val="006A04AD"/>
    <w:rsid w:val="006A07D5"/>
    <w:rsid w:val="006A09C2"/>
    <w:rsid w:val="006A0A2A"/>
    <w:rsid w:val="006A138A"/>
    <w:rsid w:val="006A1581"/>
    <w:rsid w:val="006A18BE"/>
    <w:rsid w:val="006A18C5"/>
    <w:rsid w:val="006A19E6"/>
    <w:rsid w:val="006A1BC7"/>
    <w:rsid w:val="006A1DA9"/>
    <w:rsid w:val="006A1E54"/>
    <w:rsid w:val="006A1FB9"/>
    <w:rsid w:val="006A2140"/>
    <w:rsid w:val="006A2273"/>
    <w:rsid w:val="006A25C6"/>
    <w:rsid w:val="006A2875"/>
    <w:rsid w:val="006A29C7"/>
    <w:rsid w:val="006A2D3A"/>
    <w:rsid w:val="006A2DD9"/>
    <w:rsid w:val="006A3AE9"/>
    <w:rsid w:val="006A3CE2"/>
    <w:rsid w:val="006A3EA5"/>
    <w:rsid w:val="006A3FBB"/>
    <w:rsid w:val="006A452B"/>
    <w:rsid w:val="006A4A7B"/>
    <w:rsid w:val="006A5043"/>
    <w:rsid w:val="006A5E4A"/>
    <w:rsid w:val="006A6105"/>
    <w:rsid w:val="006A6578"/>
    <w:rsid w:val="006A65FA"/>
    <w:rsid w:val="006A6771"/>
    <w:rsid w:val="006A67F2"/>
    <w:rsid w:val="006A6E57"/>
    <w:rsid w:val="006A6E9F"/>
    <w:rsid w:val="006A6F47"/>
    <w:rsid w:val="006A6FC3"/>
    <w:rsid w:val="006A751C"/>
    <w:rsid w:val="006A781A"/>
    <w:rsid w:val="006A7AB7"/>
    <w:rsid w:val="006A7B04"/>
    <w:rsid w:val="006B05BB"/>
    <w:rsid w:val="006B0CB3"/>
    <w:rsid w:val="006B0FCF"/>
    <w:rsid w:val="006B1D02"/>
    <w:rsid w:val="006B1DD3"/>
    <w:rsid w:val="006B201B"/>
    <w:rsid w:val="006B20DE"/>
    <w:rsid w:val="006B24F3"/>
    <w:rsid w:val="006B27D7"/>
    <w:rsid w:val="006B2A76"/>
    <w:rsid w:val="006B2B8F"/>
    <w:rsid w:val="006B2C16"/>
    <w:rsid w:val="006B2D79"/>
    <w:rsid w:val="006B31EB"/>
    <w:rsid w:val="006B33F9"/>
    <w:rsid w:val="006B33FF"/>
    <w:rsid w:val="006B34F6"/>
    <w:rsid w:val="006B367E"/>
    <w:rsid w:val="006B3882"/>
    <w:rsid w:val="006B3E0F"/>
    <w:rsid w:val="006B42C7"/>
    <w:rsid w:val="006B43EA"/>
    <w:rsid w:val="006B44D1"/>
    <w:rsid w:val="006B456D"/>
    <w:rsid w:val="006B4D84"/>
    <w:rsid w:val="006B4F4C"/>
    <w:rsid w:val="006B53A3"/>
    <w:rsid w:val="006B5791"/>
    <w:rsid w:val="006B57CD"/>
    <w:rsid w:val="006B58F6"/>
    <w:rsid w:val="006B5C48"/>
    <w:rsid w:val="006B5D76"/>
    <w:rsid w:val="006B617D"/>
    <w:rsid w:val="006B62BF"/>
    <w:rsid w:val="006B6460"/>
    <w:rsid w:val="006B6550"/>
    <w:rsid w:val="006B681B"/>
    <w:rsid w:val="006B692A"/>
    <w:rsid w:val="006B692F"/>
    <w:rsid w:val="006B6AD2"/>
    <w:rsid w:val="006B6AFD"/>
    <w:rsid w:val="006B6B40"/>
    <w:rsid w:val="006B7001"/>
    <w:rsid w:val="006B7189"/>
    <w:rsid w:val="006B74E4"/>
    <w:rsid w:val="006B7623"/>
    <w:rsid w:val="006B7641"/>
    <w:rsid w:val="006B7718"/>
    <w:rsid w:val="006B7B35"/>
    <w:rsid w:val="006B7B79"/>
    <w:rsid w:val="006B7BAD"/>
    <w:rsid w:val="006B7D1D"/>
    <w:rsid w:val="006B7F70"/>
    <w:rsid w:val="006B7F9A"/>
    <w:rsid w:val="006C0155"/>
    <w:rsid w:val="006C0474"/>
    <w:rsid w:val="006C088D"/>
    <w:rsid w:val="006C0C56"/>
    <w:rsid w:val="006C0D64"/>
    <w:rsid w:val="006C0E53"/>
    <w:rsid w:val="006C11C9"/>
    <w:rsid w:val="006C1508"/>
    <w:rsid w:val="006C158B"/>
    <w:rsid w:val="006C1628"/>
    <w:rsid w:val="006C2023"/>
    <w:rsid w:val="006C25C7"/>
    <w:rsid w:val="006C296E"/>
    <w:rsid w:val="006C2A2C"/>
    <w:rsid w:val="006C2D42"/>
    <w:rsid w:val="006C2DAA"/>
    <w:rsid w:val="006C2EE2"/>
    <w:rsid w:val="006C2EF4"/>
    <w:rsid w:val="006C2F73"/>
    <w:rsid w:val="006C3094"/>
    <w:rsid w:val="006C31AB"/>
    <w:rsid w:val="006C328A"/>
    <w:rsid w:val="006C32D7"/>
    <w:rsid w:val="006C34AD"/>
    <w:rsid w:val="006C34B2"/>
    <w:rsid w:val="006C37B1"/>
    <w:rsid w:val="006C380F"/>
    <w:rsid w:val="006C399F"/>
    <w:rsid w:val="006C3AD4"/>
    <w:rsid w:val="006C3B7A"/>
    <w:rsid w:val="006C3CBE"/>
    <w:rsid w:val="006C3E9F"/>
    <w:rsid w:val="006C3EEC"/>
    <w:rsid w:val="006C42E5"/>
    <w:rsid w:val="006C43C9"/>
    <w:rsid w:val="006C464C"/>
    <w:rsid w:val="006C4A1B"/>
    <w:rsid w:val="006C4F06"/>
    <w:rsid w:val="006C4F5D"/>
    <w:rsid w:val="006C5A5C"/>
    <w:rsid w:val="006C5C3D"/>
    <w:rsid w:val="006C5F1A"/>
    <w:rsid w:val="006C6514"/>
    <w:rsid w:val="006C6A62"/>
    <w:rsid w:val="006C6EA2"/>
    <w:rsid w:val="006C70A5"/>
    <w:rsid w:val="006C718A"/>
    <w:rsid w:val="006C75C9"/>
    <w:rsid w:val="006C7771"/>
    <w:rsid w:val="006C7864"/>
    <w:rsid w:val="006C7AF8"/>
    <w:rsid w:val="006D0425"/>
    <w:rsid w:val="006D0C54"/>
    <w:rsid w:val="006D1169"/>
    <w:rsid w:val="006D1505"/>
    <w:rsid w:val="006D219B"/>
    <w:rsid w:val="006D22AC"/>
    <w:rsid w:val="006D22CF"/>
    <w:rsid w:val="006D2710"/>
    <w:rsid w:val="006D28E5"/>
    <w:rsid w:val="006D2A14"/>
    <w:rsid w:val="006D2AFB"/>
    <w:rsid w:val="006D2C43"/>
    <w:rsid w:val="006D2CF2"/>
    <w:rsid w:val="006D2FEE"/>
    <w:rsid w:val="006D32C9"/>
    <w:rsid w:val="006D33F0"/>
    <w:rsid w:val="006D37DD"/>
    <w:rsid w:val="006D3B6D"/>
    <w:rsid w:val="006D3C97"/>
    <w:rsid w:val="006D3DFD"/>
    <w:rsid w:val="006D4126"/>
    <w:rsid w:val="006D41BC"/>
    <w:rsid w:val="006D4228"/>
    <w:rsid w:val="006D42F9"/>
    <w:rsid w:val="006D48C7"/>
    <w:rsid w:val="006D497D"/>
    <w:rsid w:val="006D4BB0"/>
    <w:rsid w:val="006D5058"/>
    <w:rsid w:val="006D5374"/>
    <w:rsid w:val="006D55E3"/>
    <w:rsid w:val="006D57EE"/>
    <w:rsid w:val="006D5DDE"/>
    <w:rsid w:val="006D5F2E"/>
    <w:rsid w:val="006D5F3F"/>
    <w:rsid w:val="006D6256"/>
    <w:rsid w:val="006D63AD"/>
    <w:rsid w:val="006D63EB"/>
    <w:rsid w:val="006D6601"/>
    <w:rsid w:val="006D6632"/>
    <w:rsid w:val="006D678B"/>
    <w:rsid w:val="006D6AE4"/>
    <w:rsid w:val="006D7429"/>
    <w:rsid w:val="006D76CE"/>
    <w:rsid w:val="006D7A32"/>
    <w:rsid w:val="006D7AB4"/>
    <w:rsid w:val="006D7D57"/>
    <w:rsid w:val="006D7E34"/>
    <w:rsid w:val="006D7F42"/>
    <w:rsid w:val="006E0157"/>
    <w:rsid w:val="006E026A"/>
    <w:rsid w:val="006E03E3"/>
    <w:rsid w:val="006E06B3"/>
    <w:rsid w:val="006E0E87"/>
    <w:rsid w:val="006E100F"/>
    <w:rsid w:val="006E12CE"/>
    <w:rsid w:val="006E12F3"/>
    <w:rsid w:val="006E18FF"/>
    <w:rsid w:val="006E1AE1"/>
    <w:rsid w:val="006E1AF0"/>
    <w:rsid w:val="006E2178"/>
    <w:rsid w:val="006E2293"/>
    <w:rsid w:val="006E25A7"/>
    <w:rsid w:val="006E267D"/>
    <w:rsid w:val="006E2A38"/>
    <w:rsid w:val="006E2C7D"/>
    <w:rsid w:val="006E2FD7"/>
    <w:rsid w:val="006E3067"/>
    <w:rsid w:val="006E3462"/>
    <w:rsid w:val="006E3746"/>
    <w:rsid w:val="006E3FFF"/>
    <w:rsid w:val="006E4144"/>
    <w:rsid w:val="006E4450"/>
    <w:rsid w:val="006E4895"/>
    <w:rsid w:val="006E48FF"/>
    <w:rsid w:val="006E4CD4"/>
    <w:rsid w:val="006E51F3"/>
    <w:rsid w:val="006E5293"/>
    <w:rsid w:val="006E538A"/>
    <w:rsid w:val="006E5BD8"/>
    <w:rsid w:val="006E6005"/>
    <w:rsid w:val="006E6098"/>
    <w:rsid w:val="006E6122"/>
    <w:rsid w:val="006E62CD"/>
    <w:rsid w:val="006E687C"/>
    <w:rsid w:val="006E692C"/>
    <w:rsid w:val="006E6931"/>
    <w:rsid w:val="006E6BBC"/>
    <w:rsid w:val="006E6D56"/>
    <w:rsid w:val="006E72B9"/>
    <w:rsid w:val="006E7517"/>
    <w:rsid w:val="006E7693"/>
    <w:rsid w:val="006E78F3"/>
    <w:rsid w:val="006E7A60"/>
    <w:rsid w:val="006F0390"/>
    <w:rsid w:val="006F0415"/>
    <w:rsid w:val="006F1088"/>
    <w:rsid w:val="006F1132"/>
    <w:rsid w:val="006F12A9"/>
    <w:rsid w:val="006F15D4"/>
    <w:rsid w:val="006F162F"/>
    <w:rsid w:val="006F1855"/>
    <w:rsid w:val="006F1A48"/>
    <w:rsid w:val="006F1AB7"/>
    <w:rsid w:val="006F1CA5"/>
    <w:rsid w:val="006F2882"/>
    <w:rsid w:val="006F29A1"/>
    <w:rsid w:val="006F2A03"/>
    <w:rsid w:val="006F323D"/>
    <w:rsid w:val="006F3318"/>
    <w:rsid w:val="006F33EA"/>
    <w:rsid w:val="006F3624"/>
    <w:rsid w:val="006F3851"/>
    <w:rsid w:val="006F3A9E"/>
    <w:rsid w:val="006F3ED2"/>
    <w:rsid w:val="006F4010"/>
    <w:rsid w:val="006F40DA"/>
    <w:rsid w:val="006F42C1"/>
    <w:rsid w:val="006F4699"/>
    <w:rsid w:val="006F47D9"/>
    <w:rsid w:val="006F4811"/>
    <w:rsid w:val="006F48CE"/>
    <w:rsid w:val="006F4BC8"/>
    <w:rsid w:val="006F4F54"/>
    <w:rsid w:val="006F4FF6"/>
    <w:rsid w:val="006F52F1"/>
    <w:rsid w:val="006F5464"/>
    <w:rsid w:val="006F5543"/>
    <w:rsid w:val="006F59F3"/>
    <w:rsid w:val="006F5B9E"/>
    <w:rsid w:val="006F5C50"/>
    <w:rsid w:val="006F5CD2"/>
    <w:rsid w:val="006F5EAC"/>
    <w:rsid w:val="006F6302"/>
    <w:rsid w:val="006F65D4"/>
    <w:rsid w:val="006F69E4"/>
    <w:rsid w:val="006F6EBC"/>
    <w:rsid w:val="006F6FB9"/>
    <w:rsid w:val="006F73CC"/>
    <w:rsid w:val="006F7768"/>
    <w:rsid w:val="006F788F"/>
    <w:rsid w:val="006F78F5"/>
    <w:rsid w:val="006F79A5"/>
    <w:rsid w:val="006F7A1E"/>
    <w:rsid w:val="006F7CC8"/>
    <w:rsid w:val="006F7E2C"/>
    <w:rsid w:val="006F7F0D"/>
    <w:rsid w:val="0070008F"/>
    <w:rsid w:val="007000A9"/>
    <w:rsid w:val="0070043A"/>
    <w:rsid w:val="00700596"/>
    <w:rsid w:val="00700AF9"/>
    <w:rsid w:val="00700CFE"/>
    <w:rsid w:val="00700DB5"/>
    <w:rsid w:val="00700E2C"/>
    <w:rsid w:val="007014FC"/>
    <w:rsid w:val="007015CA"/>
    <w:rsid w:val="0070166B"/>
    <w:rsid w:val="00701D11"/>
    <w:rsid w:val="00701DB5"/>
    <w:rsid w:val="00702002"/>
    <w:rsid w:val="00702266"/>
    <w:rsid w:val="00702559"/>
    <w:rsid w:val="007025FA"/>
    <w:rsid w:val="00702D9C"/>
    <w:rsid w:val="007032F7"/>
    <w:rsid w:val="007034B1"/>
    <w:rsid w:val="007034E7"/>
    <w:rsid w:val="007038BA"/>
    <w:rsid w:val="00703C01"/>
    <w:rsid w:val="00703C0A"/>
    <w:rsid w:val="00704395"/>
    <w:rsid w:val="007045D7"/>
    <w:rsid w:val="00704AB7"/>
    <w:rsid w:val="00704D2F"/>
    <w:rsid w:val="00705113"/>
    <w:rsid w:val="00705725"/>
    <w:rsid w:val="00705842"/>
    <w:rsid w:val="007058E8"/>
    <w:rsid w:val="00705977"/>
    <w:rsid w:val="00705DCD"/>
    <w:rsid w:val="00706560"/>
    <w:rsid w:val="00706C6E"/>
    <w:rsid w:val="00706E76"/>
    <w:rsid w:val="00706F13"/>
    <w:rsid w:val="00706F87"/>
    <w:rsid w:val="00707293"/>
    <w:rsid w:val="00707417"/>
    <w:rsid w:val="007076AE"/>
    <w:rsid w:val="00707857"/>
    <w:rsid w:val="007104C1"/>
    <w:rsid w:val="007105B1"/>
    <w:rsid w:val="00710AEC"/>
    <w:rsid w:val="00710B5B"/>
    <w:rsid w:val="00710B8A"/>
    <w:rsid w:val="00711206"/>
    <w:rsid w:val="007115EE"/>
    <w:rsid w:val="00711B4E"/>
    <w:rsid w:val="00711BA9"/>
    <w:rsid w:val="00711D4E"/>
    <w:rsid w:val="00712347"/>
    <w:rsid w:val="00712497"/>
    <w:rsid w:val="00712614"/>
    <w:rsid w:val="0071266A"/>
    <w:rsid w:val="007126BF"/>
    <w:rsid w:val="007127F2"/>
    <w:rsid w:val="00712D39"/>
    <w:rsid w:val="00712D52"/>
    <w:rsid w:val="00712F83"/>
    <w:rsid w:val="00713BC5"/>
    <w:rsid w:val="00713F7D"/>
    <w:rsid w:val="00714094"/>
    <w:rsid w:val="007141BB"/>
    <w:rsid w:val="007141C4"/>
    <w:rsid w:val="00714232"/>
    <w:rsid w:val="0071450C"/>
    <w:rsid w:val="007146CE"/>
    <w:rsid w:val="00714C55"/>
    <w:rsid w:val="0071505F"/>
    <w:rsid w:val="007154F1"/>
    <w:rsid w:val="00715891"/>
    <w:rsid w:val="00715AB9"/>
    <w:rsid w:val="00715FCA"/>
    <w:rsid w:val="00715FFC"/>
    <w:rsid w:val="0071637A"/>
    <w:rsid w:val="007167AE"/>
    <w:rsid w:val="0071689B"/>
    <w:rsid w:val="00716C1C"/>
    <w:rsid w:val="00716E5B"/>
    <w:rsid w:val="00716F7E"/>
    <w:rsid w:val="00716FB8"/>
    <w:rsid w:val="0071721A"/>
    <w:rsid w:val="0071722E"/>
    <w:rsid w:val="007176FE"/>
    <w:rsid w:val="00717743"/>
    <w:rsid w:val="00720147"/>
    <w:rsid w:val="00720322"/>
    <w:rsid w:val="007205A2"/>
    <w:rsid w:val="00720CAD"/>
    <w:rsid w:val="00720D34"/>
    <w:rsid w:val="00720EB2"/>
    <w:rsid w:val="00720FB5"/>
    <w:rsid w:val="00721206"/>
    <w:rsid w:val="0072125D"/>
    <w:rsid w:val="007213F0"/>
    <w:rsid w:val="00721E4E"/>
    <w:rsid w:val="00721E84"/>
    <w:rsid w:val="00722113"/>
    <w:rsid w:val="0072281C"/>
    <w:rsid w:val="00722E87"/>
    <w:rsid w:val="00722FD3"/>
    <w:rsid w:val="007231A7"/>
    <w:rsid w:val="00723215"/>
    <w:rsid w:val="0072346A"/>
    <w:rsid w:val="007234F6"/>
    <w:rsid w:val="00723526"/>
    <w:rsid w:val="007238E9"/>
    <w:rsid w:val="007238F7"/>
    <w:rsid w:val="00723D08"/>
    <w:rsid w:val="00723E91"/>
    <w:rsid w:val="00724431"/>
    <w:rsid w:val="007247B8"/>
    <w:rsid w:val="00724EF4"/>
    <w:rsid w:val="007254AE"/>
    <w:rsid w:val="0072554E"/>
    <w:rsid w:val="007259F9"/>
    <w:rsid w:val="00725BC1"/>
    <w:rsid w:val="00726038"/>
    <w:rsid w:val="007265A8"/>
    <w:rsid w:val="007268EE"/>
    <w:rsid w:val="00726FAA"/>
    <w:rsid w:val="007271FA"/>
    <w:rsid w:val="00727579"/>
    <w:rsid w:val="007301E5"/>
    <w:rsid w:val="00730288"/>
    <w:rsid w:val="007306EF"/>
    <w:rsid w:val="0073096E"/>
    <w:rsid w:val="007309D3"/>
    <w:rsid w:val="00730DFE"/>
    <w:rsid w:val="00731246"/>
    <w:rsid w:val="00731983"/>
    <w:rsid w:val="00731A71"/>
    <w:rsid w:val="00731ABD"/>
    <w:rsid w:val="00731CF6"/>
    <w:rsid w:val="007320C0"/>
    <w:rsid w:val="00732171"/>
    <w:rsid w:val="0073219B"/>
    <w:rsid w:val="007322BE"/>
    <w:rsid w:val="007328AD"/>
    <w:rsid w:val="00732DA1"/>
    <w:rsid w:val="007331FF"/>
    <w:rsid w:val="007333F2"/>
    <w:rsid w:val="0073348A"/>
    <w:rsid w:val="00733496"/>
    <w:rsid w:val="00733610"/>
    <w:rsid w:val="00733883"/>
    <w:rsid w:val="007338C8"/>
    <w:rsid w:val="00733AEB"/>
    <w:rsid w:val="00733E7D"/>
    <w:rsid w:val="00733ED5"/>
    <w:rsid w:val="0073464D"/>
    <w:rsid w:val="00734B53"/>
    <w:rsid w:val="00734B63"/>
    <w:rsid w:val="00734B9B"/>
    <w:rsid w:val="00734FD4"/>
    <w:rsid w:val="0073513A"/>
    <w:rsid w:val="00735438"/>
    <w:rsid w:val="00735756"/>
    <w:rsid w:val="00735F42"/>
    <w:rsid w:val="007362B8"/>
    <w:rsid w:val="00736928"/>
    <w:rsid w:val="00736AA9"/>
    <w:rsid w:val="00736AFE"/>
    <w:rsid w:val="00736BCE"/>
    <w:rsid w:val="00737043"/>
    <w:rsid w:val="0073739A"/>
    <w:rsid w:val="0073773C"/>
    <w:rsid w:val="00737827"/>
    <w:rsid w:val="00737A3A"/>
    <w:rsid w:val="00737E2B"/>
    <w:rsid w:val="00737EF0"/>
    <w:rsid w:val="007402F7"/>
    <w:rsid w:val="007404E8"/>
    <w:rsid w:val="00740ADB"/>
    <w:rsid w:val="00740B06"/>
    <w:rsid w:val="00740B3C"/>
    <w:rsid w:val="00741094"/>
    <w:rsid w:val="007413FA"/>
    <w:rsid w:val="0074218E"/>
    <w:rsid w:val="00742529"/>
    <w:rsid w:val="007428D1"/>
    <w:rsid w:val="00742D67"/>
    <w:rsid w:val="00742E59"/>
    <w:rsid w:val="00742F9D"/>
    <w:rsid w:val="0074321E"/>
    <w:rsid w:val="00743892"/>
    <w:rsid w:val="00743B22"/>
    <w:rsid w:val="00743DEC"/>
    <w:rsid w:val="00743DF0"/>
    <w:rsid w:val="00743E37"/>
    <w:rsid w:val="0074439A"/>
    <w:rsid w:val="007445A0"/>
    <w:rsid w:val="00744C41"/>
    <w:rsid w:val="00744FBB"/>
    <w:rsid w:val="007452CB"/>
    <w:rsid w:val="007452E8"/>
    <w:rsid w:val="007454D0"/>
    <w:rsid w:val="00745663"/>
    <w:rsid w:val="007459A1"/>
    <w:rsid w:val="00745AD6"/>
    <w:rsid w:val="00745D5E"/>
    <w:rsid w:val="00745FF6"/>
    <w:rsid w:val="00746471"/>
    <w:rsid w:val="00746616"/>
    <w:rsid w:val="0074694C"/>
    <w:rsid w:val="00746B7D"/>
    <w:rsid w:val="00746D20"/>
    <w:rsid w:val="00746E22"/>
    <w:rsid w:val="00746E29"/>
    <w:rsid w:val="0074708F"/>
    <w:rsid w:val="007470B5"/>
    <w:rsid w:val="007475A0"/>
    <w:rsid w:val="00747843"/>
    <w:rsid w:val="00747982"/>
    <w:rsid w:val="00747BB5"/>
    <w:rsid w:val="00747CAC"/>
    <w:rsid w:val="00747F9A"/>
    <w:rsid w:val="00750331"/>
    <w:rsid w:val="007504CE"/>
    <w:rsid w:val="007505F8"/>
    <w:rsid w:val="00750C2A"/>
    <w:rsid w:val="00750E73"/>
    <w:rsid w:val="00750F4C"/>
    <w:rsid w:val="00751152"/>
    <w:rsid w:val="00751486"/>
    <w:rsid w:val="00751F57"/>
    <w:rsid w:val="00752C5B"/>
    <w:rsid w:val="00752E2F"/>
    <w:rsid w:val="00752F9C"/>
    <w:rsid w:val="00753193"/>
    <w:rsid w:val="007535D9"/>
    <w:rsid w:val="00753900"/>
    <w:rsid w:val="00753EE3"/>
    <w:rsid w:val="00753F30"/>
    <w:rsid w:val="0075404D"/>
    <w:rsid w:val="007542F3"/>
    <w:rsid w:val="00754798"/>
    <w:rsid w:val="0075499E"/>
    <w:rsid w:val="00754C89"/>
    <w:rsid w:val="00754CAB"/>
    <w:rsid w:val="0075558C"/>
    <w:rsid w:val="0075563E"/>
    <w:rsid w:val="007556C4"/>
    <w:rsid w:val="0075584D"/>
    <w:rsid w:val="007558EF"/>
    <w:rsid w:val="007560A6"/>
    <w:rsid w:val="0075627C"/>
    <w:rsid w:val="007566A7"/>
    <w:rsid w:val="007568BC"/>
    <w:rsid w:val="007575F6"/>
    <w:rsid w:val="00757817"/>
    <w:rsid w:val="00757A55"/>
    <w:rsid w:val="00757E4F"/>
    <w:rsid w:val="007602B1"/>
    <w:rsid w:val="007605C2"/>
    <w:rsid w:val="00760672"/>
    <w:rsid w:val="00760849"/>
    <w:rsid w:val="007609AC"/>
    <w:rsid w:val="007609CB"/>
    <w:rsid w:val="007610D2"/>
    <w:rsid w:val="00761386"/>
    <w:rsid w:val="0076167B"/>
    <w:rsid w:val="00762286"/>
    <w:rsid w:val="00762643"/>
    <w:rsid w:val="00762B0A"/>
    <w:rsid w:val="00762C19"/>
    <w:rsid w:val="00762C94"/>
    <w:rsid w:val="00762E79"/>
    <w:rsid w:val="007633C5"/>
    <w:rsid w:val="007638B8"/>
    <w:rsid w:val="00763B81"/>
    <w:rsid w:val="007641EE"/>
    <w:rsid w:val="0076425A"/>
    <w:rsid w:val="007645FF"/>
    <w:rsid w:val="0076483C"/>
    <w:rsid w:val="00764A28"/>
    <w:rsid w:val="00764AA3"/>
    <w:rsid w:val="00764B40"/>
    <w:rsid w:val="00764C8D"/>
    <w:rsid w:val="00764E8D"/>
    <w:rsid w:val="007652B1"/>
    <w:rsid w:val="007653B4"/>
    <w:rsid w:val="007655C3"/>
    <w:rsid w:val="007657B2"/>
    <w:rsid w:val="00765854"/>
    <w:rsid w:val="00765E23"/>
    <w:rsid w:val="00765E35"/>
    <w:rsid w:val="00765F16"/>
    <w:rsid w:val="00766148"/>
    <w:rsid w:val="00766353"/>
    <w:rsid w:val="007665CF"/>
    <w:rsid w:val="00766675"/>
    <w:rsid w:val="00766684"/>
    <w:rsid w:val="00766AB2"/>
    <w:rsid w:val="00766F44"/>
    <w:rsid w:val="0076727A"/>
    <w:rsid w:val="0076762F"/>
    <w:rsid w:val="0076794B"/>
    <w:rsid w:val="00767D6C"/>
    <w:rsid w:val="00767DFE"/>
    <w:rsid w:val="00767E6A"/>
    <w:rsid w:val="00767E78"/>
    <w:rsid w:val="00770022"/>
    <w:rsid w:val="00770683"/>
    <w:rsid w:val="00771055"/>
    <w:rsid w:val="007714C8"/>
    <w:rsid w:val="0077194C"/>
    <w:rsid w:val="007719DB"/>
    <w:rsid w:val="00771AB0"/>
    <w:rsid w:val="00772194"/>
    <w:rsid w:val="0077230B"/>
    <w:rsid w:val="0077232B"/>
    <w:rsid w:val="00772342"/>
    <w:rsid w:val="0077265F"/>
    <w:rsid w:val="00772673"/>
    <w:rsid w:val="007729C7"/>
    <w:rsid w:val="00772F3B"/>
    <w:rsid w:val="007737B9"/>
    <w:rsid w:val="00773956"/>
    <w:rsid w:val="00775066"/>
    <w:rsid w:val="007753A9"/>
    <w:rsid w:val="007753B4"/>
    <w:rsid w:val="00775625"/>
    <w:rsid w:val="0077571C"/>
    <w:rsid w:val="007759AA"/>
    <w:rsid w:val="00775A12"/>
    <w:rsid w:val="00775AFA"/>
    <w:rsid w:val="00775C2C"/>
    <w:rsid w:val="00775C60"/>
    <w:rsid w:val="00775C72"/>
    <w:rsid w:val="00775F0C"/>
    <w:rsid w:val="00775F43"/>
    <w:rsid w:val="00776398"/>
    <w:rsid w:val="007769A2"/>
    <w:rsid w:val="00776AEB"/>
    <w:rsid w:val="0077735B"/>
    <w:rsid w:val="00777488"/>
    <w:rsid w:val="00777762"/>
    <w:rsid w:val="007777D0"/>
    <w:rsid w:val="00777A6C"/>
    <w:rsid w:val="00777D3D"/>
    <w:rsid w:val="00777F21"/>
    <w:rsid w:val="00780439"/>
    <w:rsid w:val="00780521"/>
    <w:rsid w:val="0078060D"/>
    <w:rsid w:val="00780622"/>
    <w:rsid w:val="00780CB0"/>
    <w:rsid w:val="00780CFB"/>
    <w:rsid w:val="00780D53"/>
    <w:rsid w:val="0078106C"/>
    <w:rsid w:val="0078121C"/>
    <w:rsid w:val="00782588"/>
    <w:rsid w:val="007825DC"/>
    <w:rsid w:val="00782847"/>
    <w:rsid w:val="00782D7F"/>
    <w:rsid w:val="007830E0"/>
    <w:rsid w:val="0078314B"/>
    <w:rsid w:val="00783585"/>
    <w:rsid w:val="00783FF0"/>
    <w:rsid w:val="00784552"/>
    <w:rsid w:val="00784834"/>
    <w:rsid w:val="00784B8A"/>
    <w:rsid w:val="00784F12"/>
    <w:rsid w:val="00784F7D"/>
    <w:rsid w:val="00785060"/>
    <w:rsid w:val="0078507E"/>
    <w:rsid w:val="00785951"/>
    <w:rsid w:val="00785A83"/>
    <w:rsid w:val="00785AC8"/>
    <w:rsid w:val="00785FAE"/>
    <w:rsid w:val="007862A7"/>
    <w:rsid w:val="00786955"/>
    <w:rsid w:val="007869F4"/>
    <w:rsid w:val="00786A42"/>
    <w:rsid w:val="00786B6F"/>
    <w:rsid w:val="00786E3A"/>
    <w:rsid w:val="00786FCB"/>
    <w:rsid w:val="007870C8"/>
    <w:rsid w:val="00787337"/>
    <w:rsid w:val="007875EE"/>
    <w:rsid w:val="00787667"/>
    <w:rsid w:val="0078773A"/>
    <w:rsid w:val="00787758"/>
    <w:rsid w:val="00787807"/>
    <w:rsid w:val="00787A18"/>
    <w:rsid w:val="00787ABC"/>
    <w:rsid w:val="00787B41"/>
    <w:rsid w:val="007905BD"/>
    <w:rsid w:val="0079081F"/>
    <w:rsid w:val="00790975"/>
    <w:rsid w:val="00790C63"/>
    <w:rsid w:val="00790F3E"/>
    <w:rsid w:val="007921EA"/>
    <w:rsid w:val="00792213"/>
    <w:rsid w:val="007926ED"/>
    <w:rsid w:val="0079274C"/>
    <w:rsid w:val="00792A66"/>
    <w:rsid w:val="00792B78"/>
    <w:rsid w:val="00792B94"/>
    <w:rsid w:val="00792FAD"/>
    <w:rsid w:val="00792FFD"/>
    <w:rsid w:val="00793016"/>
    <w:rsid w:val="00793110"/>
    <w:rsid w:val="0079352C"/>
    <w:rsid w:val="00793591"/>
    <w:rsid w:val="00793649"/>
    <w:rsid w:val="00793A71"/>
    <w:rsid w:val="00793F9D"/>
    <w:rsid w:val="00794031"/>
    <w:rsid w:val="0079413B"/>
    <w:rsid w:val="00794431"/>
    <w:rsid w:val="00794763"/>
    <w:rsid w:val="00794918"/>
    <w:rsid w:val="00794A69"/>
    <w:rsid w:val="00794CB8"/>
    <w:rsid w:val="00794F53"/>
    <w:rsid w:val="00795314"/>
    <w:rsid w:val="007956C9"/>
    <w:rsid w:val="00795A05"/>
    <w:rsid w:val="00795F00"/>
    <w:rsid w:val="007961B4"/>
    <w:rsid w:val="00796345"/>
    <w:rsid w:val="00796513"/>
    <w:rsid w:val="007965D2"/>
    <w:rsid w:val="00796781"/>
    <w:rsid w:val="00796B85"/>
    <w:rsid w:val="00796D7C"/>
    <w:rsid w:val="00797162"/>
    <w:rsid w:val="007971A8"/>
    <w:rsid w:val="007972BF"/>
    <w:rsid w:val="00797CE9"/>
    <w:rsid w:val="007A03AB"/>
    <w:rsid w:val="007A03B0"/>
    <w:rsid w:val="007A0815"/>
    <w:rsid w:val="007A08BD"/>
    <w:rsid w:val="007A0C46"/>
    <w:rsid w:val="007A0E26"/>
    <w:rsid w:val="007A110C"/>
    <w:rsid w:val="007A17FC"/>
    <w:rsid w:val="007A1AC3"/>
    <w:rsid w:val="007A1CE0"/>
    <w:rsid w:val="007A1E70"/>
    <w:rsid w:val="007A20B8"/>
    <w:rsid w:val="007A211C"/>
    <w:rsid w:val="007A231F"/>
    <w:rsid w:val="007A2449"/>
    <w:rsid w:val="007A2625"/>
    <w:rsid w:val="007A2868"/>
    <w:rsid w:val="007A28D4"/>
    <w:rsid w:val="007A28DF"/>
    <w:rsid w:val="007A2C26"/>
    <w:rsid w:val="007A311A"/>
    <w:rsid w:val="007A386B"/>
    <w:rsid w:val="007A3B3C"/>
    <w:rsid w:val="007A3DA3"/>
    <w:rsid w:val="007A480A"/>
    <w:rsid w:val="007A4924"/>
    <w:rsid w:val="007A4C05"/>
    <w:rsid w:val="007A4E12"/>
    <w:rsid w:val="007A4F79"/>
    <w:rsid w:val="007A516F"/>
    <w:rsid w:val="007A523E"/>
    <w:rsid w:val="007A5413"/>
    <w:rsid w:val="007A5534"/>
    <w:rsid w:val="007A5698"/>
    <w:rsid w:val="007A5CD0"/>
    <w:rsid w:val="007A5D94"/>
    <w:rsid w:val="007A627A"/>
    <w:rsid w:val="007A64FC"/>
    <w:rsid w:val="007A693F"/>
    <w:rsid w:val="007A719E"/>
    <w:rsid w:val="007A7499"/>
    <w:rsid w:val="007A7867"/>
    <w:rsid w:val="007A78B2"/>
    <w:rsid w:val="007A78B6"/>
    <w:rsid w:val="007A78D2"/>
    <w:rsid w:val="007A7B26"/>
    <w:rsid w:val="007A7B48"/>
    <w:rsid w:val="007A7E6E"/>
    <w:rsid w:val="007B008E"/>
    <w:rsid w:val="007B0407"/>
    <w:rsid w:val="007B073B"/>
    <w:rsid w:val="007B08B4"/>
    <w:rsid w:val="007B0A2E"/>
    <w:rsid w:val="007B0E41"/>
    <w:rsid w:val="007B106C"/>
    <w:rsid w:val="007B124E"/>
    <w:rsid w:val="007B165D"/>
    <w:rsid w:val="007B1BBF"/>
    <w:rsid w:val="007B1EF2"/>
    <w:rsid w:val="007B2067"/>
    <w:rsid w:val="007B2256"/>
    <w:rsid w:val="007B22A5"/>
    <w:rsid w:val="007B32FB"/>
    <w:rsid w:val="007B3916"/>
    <w:rsid w:val="007B3BB2"/>
    <w:rsid w:val="007B3D7E"/>
    <w:rsid w:val="007B3E35"/>
    <w:rsid w:val="007B43E0"/>
    <w:rsid w:val="007B457B"/>
    <w:rsid w:val="007B497C"/>
    <w:rsid w:val="007B49AE"/>
    <w:rsid w:val="007B4B45"/>
    <w:rsid w:val="007B4C61"/>
    <w:rsid w:val="007B4F39"/>
    <w:rsid w:val="007B4FD1"/>
    <w:rsid w:val="007B563B"/>
    <w:rsid w:val="007B56EA"/>
    <w:rsid w:val="007B58FE"/>
    <w:rsid w:val="007B678A"/>
    <w:rsid w:val="007B6DCC"/>
    <w:rsid w:val="007B6F83"/>
    <w:rsid w:val="007B718E"/>
    <w:rsid w:val="007B7457"/>
    <w:rsid w:val="007B7512"/>
    <w:rsid w:val="007B78F8"/>
    <w:rsid w:val="007B7BEB"/>
    <w:rsid w:val="007B7C04"/>
    <w:rsid w:val="007B7E25"/>
    <w:rsid w:val="007C018F"/>
    <w:rsid w:val="007C0623"/>
    <w:rsid w:val="007C06AF"/>
    <w:rsid w:val="007C0715"/>
    <w:rsid w:val="007C0807"/>
    <w:rsid w:val="007C0870"/>
    <w:rsid w:val="007C09F4"/>
    <w:rsid w:val="007C0C84"/>
    <w:rsid w:val="007C0FC0"/>
    <w:rsid w:val="007C1407"/>
    <w:rsid w:val="007C1449"/>
    <w:rsid w:val="007C1933"/>
    <w:rsid w:val="007C1BA2"/>
    <w:rsid w:val="007C1CDA"/>
    <w:rsid w:val="007C1FB8"/>
    <w:rsid w:val="007C2367"/>
    <w:rsid w:val="007C2455"/>
    <w:rsid w:val="007C259B"/>
    <w:rsid w:val="007C2CB8"/>
    <w:rsid w:val="007C2F9A"/>
    <w:rsid w:val="007C3424"/>
    <w:rsid w:val="007C3960"/>
    <w:rsid w:val="007C3A45"/>
    <w:rsid w:val="007C3C84"/>
    <w:rsid w:val="007C3CC3"/>
    <w:rsid w:val="007C3D1E"/>
    <w:rsid w:val="007C40F3"/>
    <w:rsid w:val="007C428D"/>
    <w:rsid w:val="007C4427"/>
    <w:rsid w:val="007C457A"/>
    <w:rsid w:val="007C4ACB"/>
    <w:rsid w:val="007C4C4C"/>
    <w:rsid w:val="007C5EF6"/>
    <w:rsid w:val="007C6532"/>
    <w:rsid w:val="007C6553"/>
    <w:rsid w:val="007C65E8"/>
    <w:rsid w:val="007C6BAD"/>
    <w:rsid w:val="007C6C37"/>
    <w:rsid w:val="007C6FA7"/>
    <w:rsid w:val="007C73CD"/>
    <w:rsid w:val="007C77F8"/>
    <w:rsid w:val="007C7841"/>
    <w:rsid w:val="007C7875"/>
    <w:rsid w:val="007C7E23"/>
    <w:rsid w:val="007C7E51"/>
    <w:rsid w:val="007D0143"/>
    <w:rsid w:val="007D01C0"/>
    <w:rsid w:val="007D030D"/>
    <w:rsid w:val="007D058E"/>
    <w:rsid w:val="007D0C9D"/>
    <w:rsid w:val="007D0CDF"/>
    <w:rsid w:val="007D1354"/>
    <w:rsid w:val="007D18C7"/>
    <w:rsid w:val="007D1928"/>
    <w:rsid w:val="007D1954"/>
    <w:rsid w:val="007D1D31"/>
    <w:rsid w:val="007D2497"/>
    <w:rsid w:val="007D24FD"/>
    <w:rsid w:val="007D283F"/>
    <w:rsid w:val="007D2C69"/>
    <w:rsid w:val="007D2CBA"/>
    <w:rsid w:val="007D38B0"/>
    <w:rsid w:val="007D39CC"/>
    <w:rsid w:val="007D3E98"/>
    <w:rsid w:val="007D4634"/>
    <w:rsid w:val="007D463B"/>
    <w:rsid w:val="007D508C"/>
    <w:rsid w:val="007D5133"/>
    <w:rsid w:val="007D5A3F"/>
    <w:rsid w:val="007D5D97"/>
    <w:rsid w:val="007D5DAC"/>
    <w:rsid w:val="007D5F56"/>
    <w:rsid w:val="007D6006"/>
    <w:rsid w:val="007D6158"/>
    <w:rsid w:val="007D627E"/>
    <w:rsid w:val="007D63F3"/>
    <w:rsid w:val="007D64D2"/>
    <w:rsid w:val="007D64E3"/>
    <w:rsid w:val="007D687F"/>
    <w:rsid w:val="007D6899"/>
    <w:rsid w:val="007D6A13"/>
    <w:rsid w:val="007D6BAB"/>
    <w:rsid w:val="007D705C"/>
    <w:rsid w:val="007D769E"/>
    <w:rsid w:val="007D76AC"/>
    <w:rsid w:val="007D79D1"/>
    <w:rsid w:val="007D7D43"/>
    <w:rsid w:val="007D7D78"/>
    <w:rsid w:val="007E02B9"/>
    <w:rsid w:val="007E07E2"/>
    <w:rsid w:val="007E0B59"/>
    <w:rsid w:val="007E0DE6"/>
    <w:rsid w:val="007E0E39"/>
    <w:rsid w:val="007E0E85"/>
    <w:rsid w:val="007E0EF5"/>
    <w:rsid w:val="007E13D9"/>
    <w:rsid w:val="007E1D55"/>
    <w:rsid w:val="007E240C"/>
    <w:rsid w:val="007E29CA"/>
    <w:rsid w:val="007E2ABD"/>
    <w:rsid w:val="007E36B4"/>
    <w:rsid w:val="007E39A2"/>
    <w:rsid w:val="007E412C"/>
    <w:rsid w:val="007E43DE"/>
    <w:rsid w:val="007E488A"/>
    <w:rsid w:val="007E4D5F"/>
    <w:rsid w:val="007E4F0C"/>
    <w:rsid w:val="007E4F47"/>
    <w:rsid w:val="007E50E0"/>
    <w:rsid w:val="007E522F"/>
    <w:rsid w:val="007E5341"/>
    <w:rsid w:val="007E54E1"/>
    <w:rsid w:val="007E5733"/>
    <w:rsid w:val="007E58F0"/>
    <w:rsid w:val="007E59CE"/>
    <w:rsid w:val="007E5BC0"/>
    <w:rsid w:val="007E5D40"/>
    <w:rsid w:val="007E630F"/>
    <w:rsid w:val="007E6685"/>
    <w:rsid w:val="007E674E"/>
    <w:rsid w:val="007E67F6"/>
    <w:rsid w:val="007E6B23"/>
    <w:rsid w:val="007E6F5A"/>
    <w:rsid w:val="007E7294"/>
    <w:rsid w:val="007E786C"/>
    <w:rsid w:val="007E7A92"/>
    <w:rsid w:val="007F01F5"/>
    <w:rsid w:val="007F0809"/>
    <w:rsid w:val="007F0995"/>
    <w:rsid w:val="007F0C9C"/>
    <w:rsid w:val="007F0D09"/>
    <w:rsid w:val="007F0F7F"/>
    <w:rsid w:val="007F0FC1"/>
    <w:rsid w:val="007F15A8"/>
    <w:rsid w:val="007F1735"/>
    <w:rsid w:val="007F18DD"/>
    <w:rsid w:val="007F196E"/>
    <w:rsid w:val="007F1A20"/>
    <w:rsid w:val="007F1B3F"/>
    <w:rsid w:val="007F1CA7"/>
    <w:rsid w:val="007F22EE"/>
    <w:rsid w:val="007F2494"/>
    <w:rsid w:val="007F26A8"/>
    <w:rsid w:val="007F293E"/>
    <w:rsid w:val="007F2F4F"/>
    <w:rsid w:val="007F3225"/>
    <w:rsid w:val="007F3356"/>
    <w:rsid w:val="007F368A"/>
    <w:rsid w:val="007F3A92"/>
    <w:rsid w:val="007F4315"/>
    <w:rsid w:val="007F4430"/>
    <w:rsid w:val="007F4ACD"/>
    <w:rsid w:val="007F4C4E"/>
    <w:rsid w:val="007F4FDE"/>
    <w:rsid w:val="007F515E"/>
    <w:rsid w:val="007F5161"/>
    <w:rsid w:val="007F559A"/>
    <w:rsid w:val="007F583D"/>
    <w:rsid w:val="007F5AE4"/>
    <w:rsid w:val="007F5D95"/>
    <w:rsid w:val="007F6356"/>
    <w:rsid w:val="007F6359"/>
    <w:rsid w:val="007F6B55"/>
    <w:rsid w:val="007F6E21"/>
    <w:rsid w:val="007F6FAC"/>
    <w:rsid w:val="007F757F"/>
    <w:rsid w:val="007F75AA"/>
    <w:rsid w:val="007F777F"/>
    <w:rsid w:val="007F7AA3"/>
    <w:rsid w:val="007F7CFF"/>
    <w:rsid w:val="0080070F"/>
    <w:rsid w:val="0080098B"/>
    <w:rsid w:val="00800D53"/>
    <w:rsid w:val="00800DDD"/>
    <w:rsid w:val="008010B3"/>
    <w:rsid w:val="008012CB"/>
    <w:rsid w:val="00801446"/>
    <w:rsid w:val="008015D2"/>
    <w:rsid w:val="008015DE"/>
    <w:rsid w:val="008016FD"/>
    <w:rsid w:val="008016FF"/>
    <w:rsid w:val="008019AE"/>
    <w:rsid w:val="008019D9"/>
    <w:rsid w:val="00801B60"/>
    <w:rsid w:val="00802392"/>
    <w:rsid w:val="0080281C"/>
    <w:rsid w:val="00802A8C"/>
    <w:rsid w:val="008032B1"/>
    <w:rsid w:val="00803368"/>
    <w:rsid w:val="008034AC"/>
    <w:rsid w:val="008037C5"/>
    <w:rsid w:val="00803A30"/>
    <w:rsid w:val="00803DC0"/>
    <w:rsid w:val="00803DCA"/>
    <w:rsid w:val="00803F0B"/>
    <w:rsid w:val="00804008"/>
    <w:rsid w:val="00804727"/>
    <w:rsid w:val="0080487D"/>
    <w:rsid w:val="00804979"/>
    <w:rsid w:val="00805519"/>
    <w:rsid w:val="008056D6"/>
    <w:rsid w:val="00805CF1"/>
    <w:rsid w:val="00805EAB"/>
    <w:rsid w:val="00806138"/>
    <w:rsid w:val="00806716"/>
    <w:rsid w:val="00806777"/>
    <w:rsid w:val="008067C5"/>
    <w:rsid w:val="00806BB1"/>
    <w:rsid w:val="00806C57"/>
    <w:rsid w:val="00806D2F"/>
    <w:rsid w:val="00806D86"/>
    <w:rsid w:val="00806FEB"/>
    <w:rsid w:val="00807014"/>
    <w:rsid w:val="00807038"/>
    <w:rsid w:val="00807567"/>
    <w:rsid w:val="00807B0E"/>
    <w:rsid w:val="00807B9E"/>
    <w:rsid w:val="00810259"/>
    <w:rsid w:val="008105C3"/>
    <w:rsid w:val="00810895"/>
    <w:rsid w:val="00810A2C"/>
    <w:rsid w:val="00811035"/>
    <w:rsid w:val="00811602"/>
    <w:rsid w:val="008116B8"/>
    <w:rsid w:val="00811928"/>
    <w:rsid w:val="00811C2C"/>
    <w:rsid w:val="00811C74"/>
    <w:rsid w:val="00811D09"/>
    <w:rsid w:val="00811D57"/>
    <w:rsid w:val="00812061"/>
    <w:rsid w:val="008131A6"/>
    <w:rsid w:val="008137E3"/>
    <w:rsid w:val="00813847"/>
    <w:rsid w:val="0081392F"/>
    <w:rsid w:val="0081399B"/>
    <w:rsid w:val="00813E6C"/>
    <w:rsid w:val="00813ECE"/>
    <w:rsid w:val="00814082"/>
    <w:rsid w:val="008140CF"/>
    <w:rsid w:val="008140F9"/>
    <w:rsid w:val="0081410F"/>
    <w:rsid w:val="00814687"/>
    <w:rsid w:val="00814970"/>
    <w:rsid w:val="00814A7C"/>
    <w:rsid w:val="00814B56"/>
    <w:rsid w:val="008153F1"/>
    <w:rsid w:val="008155C0"/>
    <w:rsid w:val="0081561C"/>
    <w:rsid w:val="008156AC"/>
    <w:rsid w:val="008157E5"/>
    <w:rsid w:val="00815AA1"/>
    <w:rsid w:val="00815D84"/>
    <w:rsid w:val="00815E77"/>
    <w:rsid w:val="00816100"/>
    <w:rsid w:val="0081646B"/>
    <w:rsid w:val="008167C7"/>
    <w:rsid w:val="00816817"/>
    <w:rsid w:val="00816AE8"/>
    <w:rsid w:val="00816FB6"/>
    <w:rsid w:val="00816FDC"/>
    <w:rsid w:val="0081710D"/>
    <w:rsid w:val="00817212"/>
    <w:rsid w:val="00817534"/>
    <w:rsid w:val="00817F4E"/>
    <w:rsid w:val="00820082"/>
    <w:rsid w:val="008200E0"/>
    <w:rsid w:val="008200F5"/>
    <w:rsid w:val="0082010C"/>
    <w:rsid w:val="00820352"/>
    <w:rsid w:val="00820A20"/>
    <w:rsid w:val="00820A9A"/>
    <w:rsid w:val="00820CEF"/>
    <w:rsid w:val="00821068"/>
    <w:rsid w:val="00821158"/>
    <w:rsid w:val="0082126D"/>
    <w:rsid w:val="008220EA"/>
    <w:rsid w:val="008220FC"/>
    <w:rsid w:val="00822123"/>
    <w:rsid w:val="00822141"/>
    <w:rsid w:val="00822332"/>
    <w:rsid w:val="00822499"/>
    <w:rsid w:val="008224E3"/>
    <w:rsid w:val="0082299A"/>
    <w:rsid w:val="00822B17"/>
    <w:rsid w:val="00823040"/>
    <w:rsid w:val="008230DC"/>
    <w:rsid w:val="00823127"/>
    <w:rsid w:val="0082315D"/>
    <w:rsid w:val="00823871"/>
    <w:rsid w:val="00823AB9"/>
    <w:rsid w:val="00823D9F"/>
    <w:rsid w:val="00823E17"/>
    <w:rsid w:val="00824059"/>
    <w:rsid w:val="008240AC"/>
    <w:rsid w:val="008242B1"/>
    <w:rsid w:val="00824367"/>
    <w:rsid w:val="00824508"/>
    <w:rsid w:val="00824673"/>
    <w:rsid w:val="00824678"/>
    <w:rsid w:val="008247BA"/>
    <w:rsid w:val="00824B93"/>
    <w:rsid w:val="00824F17"/>
    <w:rsid w:val="00824F3D"/>
    <w:rsid w:val="00824FED"/>
    <w:rsid w:val="00824FF4"/>
    <w:rsid w:val="00825117"/>
    <w:rsid w:val="0082558A"/>
    <w:rsid w:val="00825865"/>
    <w:rsid w:val="00825BBE"/>
    <w:rsid w:val="00826264"/>
    <w:rsid w:val="00826294"/>
    <w:rsid w:val="00826379"/>
    <w:rsid w:val="008263D1"/>
    <w:rsid w:val="00826D81"/>
    <w:rsid w:val="00827008"/>
    <w:rsid w:val="00827036"/>
    <w:rsid w:val="00827046"/>
    <w:rsid w:val="00827731"/>
    <w:rsid w:val="008279B3"/>
    <w:rsid w:val="00827C9C"/>
    <w:rsid w:val="00827E2A"/>
    <w:rsid w:val="00827F41"/>
    <w:rsid w:val="008305E3"/>
    <w:rsid w:val="008307C9"/>
    <w:rsid w:val="00830B12"/>
    <w:rsid w:val="0083100A"/>
    <w:rsid w:val="0083101B"/>
    <w:rsid w:val="00831628"/>
    <w:rsid w:val="008320EF"/>
    <w:rsid w:val="00832454"/>
    <w:rsid w:val="00832610"/>
    <w:rsid w:val="0083272B"/>
    <w:rsid w:val="00832740"/>
    <w:rsid w:val="00832AC4"/>
    <w:rsid w:val="00832B7E"/>
    <w:rsid w:val="00832C45"/>
    <w:rsid w:val="00832C9D"/>
    <w:rsid w:val="00832CEA"/>
    <w:rsid w:val="00832E78"/>
    <w:rsid w:val="008330ED"/>
    <w:rsid w:val="00833224"/>
    <w:rsid w:val="008332AA"/>
    <w:rsid w:val="0083365F"/>
    <w:rsid w:val="00833AB8"/>
    <w:rsid w:val="00833C27"/>
    <w:rsid w:val="00833CDF"/>
    <w:rsid w:val="00834DEA"/>
    <w:rsid w:val="00834F4F"/>
    <w:rsid w:val="00835093"/>
    <w:rsid w:val="0083552F"/>
    <w:rsid w:val="00835886"/>
    <w:rsid w:val="008359DB"/>
    <w:rsid w:val="00835C1C"/>
    <w:rsid w:val="00835E54"/>
    <w:rsid w:val="00835F4C"/>
    <w:rsid w:val="008366EE"/>
    <w:rsid w:val="00836736"/>
    <w:rsid w:val="008369B4"/>
    <w:rsid w:val="00836DC5"/>
    <w:rsid w:val="00836F0F"/>
    <w:rsid w:val="00836F1C"/>
    <w:rsid w:val="00837131"/>
    <w:rsid w:val="008374F6"/>
    <w:rsid w:val="00837636"/>
    <w:rsid w:val="00837859"/>
    <w:rsid w:val="00837BEB"/>
    <w:rsid w:val="00837E5F"/>
    <w:rsid w:val="00840068"/>
    <w:rsid w:val="008400D6"/>
    <w:rsid w:val="0084030E"/>
    <w:rsid w:val="008407D3"/>
    <w:rsid w:val="00840953"/>
    <w:rsid w:val="00841239"/>
    <w:rsid w:val="008412B2"/>
    <w:rsid w:val="00841699"/>
    <w:rsid w:val="008418B4"/>
    <w:rsid w:val="00841DB4"/>
    <w:rsid w:val="00842096"/>
    <w:rsid w:val="0084215D"/>
    <w:rsid w:val="0084225C"/>
    <w:rsid w:val="00842414"/>
    <w:rsid w:val="008424F2"/>
    <w:rsid w:val="008426AB"/>
    <w:rsid w:val="008429A3"/>
    <w:rsid w:val="008429F6"/>
    <w:rsid w:val="00842A22"/>
    <w:rsid w:val="00842D64"/>
    <w:rsid w:val="00842F10"/>
    <w:rsid w:val="00843144"/>
    <w:rsid w:val="008431D5"/>
    <w:rsid w:val="00843400"/>
    <w:rsid w:val="0084352D"/>
    <w:rsid w:val="0084362A"/>
    <w:rsid w:val="008437A6"/>
    <w:rsid w:val="00843900"/>
    <w:rsid w:val="00843A8B"/>
    <w:rsid w:val="00843B44"/>
    <w:rsid w:val="00843EC7"/>
    <w:rsid w:val="008440BC"/>
    <w:rsid w:val="00844796"/>
    <w:rsid w:val="00844C54"/>
    <w:rsid w:val="00844D2D"/>
    <w:rsid w:val="00844DF3"/>
    <w:rsid w:val="00844FDD"/>
    <w:rsid w:val="00844FFD"/>
    <w:rsid w:val="00845027"/>
    <w:rsid w:val="0084508A"/>
    <w:rsid w:val="0084517E"/>
    <w:rsid w:val="008453A6"/>
    <w:rsid w:val="008453C2"/>
    <w:rsid w:val="008454F1"/>
    <w:rsid w:val="0084563A"/>
    <w:rsid w:val="00845783"/>
    <w:rsid w:val="00845930"/>
    <w:rsid w:val="00845C26"/>
    <w:rsid w:val="00845C82"/>
    <w:rsid w:val="00845D81"/>
    <w:rsid w:val="00846704"/>
    <w:rsid w:val="008467C8"/>
    <w:rsid w:val="0084692C"/>
    <w:rsid w:val="00846A8B"/>
    <w:rsid w:val="00846D0F"/>
    <w:rsid w:val="008473F7"/>
    <w:rsid w:val="0084797A"/>
    <w:rsid w:val="00850B1A"/>
    <w:rsid w:val="00850E04"/>
    <w:rsid w:val="00851037"/>
    <w:rsid w:val="0085114C"/>
    <w:rsid w:val="00851408"/>
    <w:rsid w:val="0085173E"/>
    <w:rsid w:val="0085174E"/>
    <w:rsid w:val="00851806"/>
    <w:rsid w:val="00851A92"/>
    <w:rsid w:val="00851A93"/>
    <w:rsid w:val="0085266E"/>
    <w:rsid w:val="00852A38"/>
    <w:rsid w:val="00852B90"/>
    <w:rsid w:val="00852DA8"/>
    <w:rsid w:val="0085318C"/>
    <w:rsid w:val="00853FFA"/>
    <w:rsid w:val="0085402E"/>
    <w:rsid w:val="008541DA"/>
    <w:rsid w:val="00854654"/>
    <w:rsid w:val="00854A32"/>
    <w:rsid w:val="00855277"/>
    <w:rsid w:val="00855330"/>
    <w:rsid w:val="00855706"/>
    <w:rsid w:val="0085578F"/>
    <w:rsid w:val="00855854"/>
    <w:rsid w:val="00855C40"/>
    <w:rsid w:val="008561D7"/>
    <w:rsid w:val="00856712"/>
    <w:rsid w:val="00856E41"/>
    <w:rsid w:val="00856EB8"/>
    <w:rsid w:val="00857BC1"/>
    <w:rsid w:val="00857CD5"/>
    <w:rsid w:val="00857DCF"/>
    <w:rsid w:val="00860283"/>
    <w:rsid w:val="008604CA"/>
    <w:rsid w:val="00860958"/>
    <w:rsid w:val="00860CB6"/>
    <w:rsid w:val="00860EFC"/>
    <w:rsid w:val="008618C3"/>
    <w:rsid w:val="00861B53"/>
    <w:rsid w:val="00861E20"/>
    <w:rsid w:val="008623F5"/>
    <w:rsid w:val="00862986"/>
    <w:rsid w:val="008629A4"/>
    <w:rsid w:val="00862DF3"/>
    <w:rsid w:val="0086367C"/>
    <w:rsid w:val="00863818"/>
    <w:rsid w:val="00863861"/>
    <w:rsid w:val="00863880"/>
    <w:rsid w:val="008639CE"/>
    <w:rsid w:val="00863B40"/>
    <w:rsid w:val="00864679"/>
    <w:rsid w:val="00864D70"/>
    <w:rsid w:val="00864EBD"/>
    <w:rsid w:val="008652C3"/>
    <w:rsid w:val="00865591"/>
    <w:rsid w:val="00865B7A"/>
    <w:rsid w:val="00865C86"/>
    <w:rsid w:val="00865CC6"/>
    <w:rsid w:val="00865D77"/>
    <w:rsid w:val="008665C6"/>
    <w:rsid w:val="008667E9"/>
    <w:rsid w:val="008668D1"/>
    <w:rsid w:val="00866965"/>
    <w:rsid w:val="00866ADB"/>
    <w:rsid w:val="00866FBD"/>
    <w:rsid w:val="00867325"/>
    <w:rsid w:val="00867820"/>
    <w:rsid w:val="0086784E"/>
    <w:rsid w:val="00867866"/>
    <w:rsid w:val="00867E9A"/>
    <w:rsid w:val="00867ED2"/>
    <w:rsid w:val="0087045D"/>
    <w:rsid w:val="008704EF"/>
    <w:rsid w:val="00870752"/>
    <w:rsid w:val="00870B8C"/>
    <w:rsid w:val="00870D66"/>
    <w:rsid w:val="00871398"/>
    <w:rsid w:val="0087159C"/>
    <w:rsid w:val="00871839"/>
    <w:rsid w:val="00871B9D"/>
    <w:rsid w:val="00871BC0"/>
    <w:rsid w:val="00871CB0"/>
    <w:rsid w:val="00871D56"/>
    <w:rsid w:val="0087216E"/>
    <w:rsid w:val="008721B0"/>
    <w:rsid w:val="00872589"/>
    <w:rsid w:val="008727AF"/>
    <w:rsid w:val="00872A1E"/>
    <w:rsid w:val="00872B7D"/>
    <w:rsid w:val="00872C02"/>
    <w:rsid w:val="00872EE4"/>
    <w:rsid w:val="00872F0D"/>
    <w:rsid w:val="00873148"/>
    <w:rsid w:val="00873185"/>
    <w:rsid w:val="00873238"/>
    <w:rsid w:val="0087347C"/>
    <w:rsid w:val="00873B8E"/>
    <w:rsid w:val="00873E0B"/>
    <w:rsid w:val="008747DD"/>
    <w:rsid w:val="00874842"/>
    <w:rsid w:val="008749C3"/>
    <w:rsid w:val="00875395"/>
    <w:rsid w:val="008754D0"/>
    <w:rsid w:val="00875658"/>
    <w:rsid w:val="0087571A"/>
    <w:rsid w:val="008759FB"/>
    <w:rsid w:val="00875B53"/>
    <w:rsid w:val="00875DCE"/>
    <w:rsid w:val="008762E0"/>
    <w:rsid w:val="00876463"/>
    <w:rsid w:val="00876569"/>
    <w:rsid w:val="00877089"/>
    <w:rsid w:val="00877A77"/>
    <w:rsid w:val="00877AF2"/>
    <w:rsid w:val="0088007B"/>
    <w:rsid w:val="00880425"/>
    <w:rsid w:val="00880884"/>
    <w:rsid w:val="00880A8E"/>
    <w:rsid w:val="00880BE4"/>
    <w:rsid w:val="00880E06"/>
    <w:rsid w:val="0088104F"/>
    <w:rsid w:val="008811B9"/>
    <w:rsid w:val="008811DE"/>
    <w:rsid w:val="00881715"/>
    <w:rsid w:val="008818E4"/>
    <w:rsid w:val="00881A89"/>
    <w:rsid w:val="00881C50"/>
    <w:rsid w:val="00881CD2"/>
    <w:rsid w:val="0088223E"/>
    <w:rsid w:val="008822B3"/>
    <w:rsid w:val="00882D27"/>
    <w:rsid w:val="00882D4F"/>
    <w:rsid w:val="00882F57"/>
    <w:rsid w:val="0088336C"/>
    <w:rsid w:val="0088396A"/>
    <w:rsid w:val="00883A0C"/>
    <w:rsid w:val="00883CE5"/>
    <w:rsid w:val="008842EB"/>
    <w:rsid w:val="008848A8"/>
    <w:rsid w:val="0088498E"/>
    <w:rsid w:val="008849B7"/>
    <w:rsid w:val="00884AAB"/>
    <w:rsid w:val="00884B8C"/>
    <w:rsid w:val="00884DD3"/>
    <w:rsid w:val="00885503"/>
    <w:rsid w:val="008857B9"/>
    <w:rsid w:val="0088599C"/>
    <w:rsid w:val="00885DEF"/>
    <w:rsid w:val="00885F21"/>
    <w:rsid w:val="0088652D"/>
    <w:rsid w:val="00886A88"/>
    <w:rsid w:val="0088725C"/>
    <w:rsid w:val="0088744F"/>
    <w:rsid w:val="00887518"/>
    <w:rsid w:val="00887692"/>
    <w:rsid w:val="00887706"/>
    <w:rsid w:val="0088791F"/>
    <w:rsid w:val="0088794A"/>
    <w:rsid w:val="00887A3A"/>
    <w:rsid w:val="00887AA7"/>
    <w:rsid w:val="0089007B"/>
    <w:rsid w:val="0089011B"/>
    <w:rsid w:val="00890255"/>
    <w:rsid w:val="00890CAF"/>
    <w:rsid w:val="00890E34"/>
    <w:rsid w:val="008912CD"/>
    <w:rsid w:val="00891406"/>
    <w:rsid w:val="00891E11"/>
    <w:rsid w:val="00892068"/>
    <w:rsid w:val="0089261A"/>
    <w:rsid w:val="008927E8"/>
    <w:rsid w:val="00892F33"/>
    <w:rsid w:val="00892FFA"/>
    <w:rsid w:val="00893556"/>
    <w:rsid w:val="00893614"/>
    <w:rsid w:val="008939B3"/>
    <w:rsid w:val="00893B7E"/>
    <w:rsid w:val="00893D55"/>
    <w:rsid w:val="008940A7"/>
    <w:rsid w:val="008940A9"/>
    <w:rsid w:val="008943F6"/>
    <w:rsid w:val="0089451A"/>
    <w:rsid w:val="00894619"/>
    <w:rsid w:val="00894D23"/>
    <w:rsid w:val="00894DD8"/>
    <w:rsid w:val="00894F62"/>
    <w:rsid w:val="00894F72"/>
    <w:rsid w:val="00894FA8"/>
    <w:rsid w:val="008952CF"/>
    <w:rsid w:val="0089549F"/>
    <w:rsid w:val="008954C3"/>
    <w:rsid w:val="00895541"/>
    <w:rsid w:val="00895A28"/>
    <w:rsid w:val="008966A4"/>
    <w:rsid w:val="008971C7"/>
    <w:rsid w:val="008973A0"/>
    <w:rsid w:val="00897487"/>
    <w:rsid w:val="008974A2"/>
    <w:rsid w:val="0089762E"/>
    <w:rsid w:val="008979C6"/>
    <w:rsid w:val="00897E64"/>
    <w:rsid w:val="00897EB2"/>
    <w:rsid w:val="00897FF3"/>
    <w:rsid w:val="008A0288"/>
    <w:rsid w:val="008A0336"/>
    <w:rsid w:val="008A0418"/>
    <w:rsid w:val="008A0C6B"/>
    <w:rsid w:val="008A1528"/>
    <w:rsid w:val="008A160D"/>
    <w:rsid w:val="008A17E7"/>
    <w:rsid w:val="008A1C57"/>
    <w:rsid w:val="008A1DF7"/>
    <w:rsid w:val="008A1F11"/>
    <w:rsid w:val="008A201F"/>
    <w:rsid w:val="008A2105"/>
    <w:rsid w:val="008A222E"/>
    <w:rsid w:val="008A22A4"/>
    <w:rsid w:val="008A23F1"/>
    <w:rsid w:val="008A2C0A"/>
    <w:rsid w:val="008A2F11"/>
    <w:rsid w:val="008A3181"/>
    <w:rsid w:val="008A3673"/>
    <w:rsid w:val="008A3682"/>
    <w:rsid w:val="008A3837"/>
    <w:rsid w:val="008A3EE2"/>
    <w:rsid w:val="008A44CF"/>
    <w:rsid w:val="008A44DB"/>
    <w:rsid w:val="008A49B2"/>
    <w:rsid w:val="008A49CC"/>
    <w:rsid w:val="008A4C8E"/>
    <w:rsid w:val="008A594C"/>
    <w:rsid w:val="008A5A43"/>
    <w:rsid w:val="008A5C38"/>
    <w:rsid w:val="008A5EBF"/>
    <w:rsid w:val="008A5EED"/>
    <w:rsid w:val="008A62B5"/>
    <w:rsid w:val="008A6422"/>
    <w:rsid w:val="008A66B0"/>
    <w:rsid w:val="008A6913"/>
    <w:rsid w:val="008A6FEC"/>
    <w:rsid w:val="008A73DC"/>
    <w:rsid w:val="008A7466"/>
    <w:rsid w:val="008A760A"/>
    <w:rsid w:val="008A7776"/>
    <w:rsid w:val="008A78E5"/>
    <w:rsid w:val="008A792D"/>
    <w:rsid w:val="008A7BF2"/>
    <w:rsid w:val="008A7E01"/>
    <w:rsid w:val="008B0390"/>
    <w:rsid w:val="008B03FA"/>
    <w:rsid w:val="008B0DDA"/>
    <w:rsid w:val="008B0EE7"/>
    <w:rsid w:val="008B0F03"/>
    <w:rsid w:val="008B0FE2"/>
    <w:rsid w:val="008B1555"/>
    <w:rsid w:val="008B1664"/>
    <w:rsid w:val="008B1811"/>
    <w:rsid w:val="008B1A57"/>
    <w:rsid w:val="008B1BD8"/>
    <w:rsid w:val="008B1D57"/>
    <w:rsid w:val="008B263F"/>
    <w:rsid w:val="008B27A3"/>
    <w:rsid w:val="008B287C"/>
    <w:rsid w:val="008B2A8C"/>
    <w:rsid w:val="008B2D42"/>
    <w:rsid w:val="008B30F5"/>
    <w:rsid w:val="008B325D"/>
    <w:rsid w:val="008B32ED"/>
    <w:rsid w:val="008B3B54"/>
    <w:rsid w:val="008B42E5"/>
    <w:rsid w:val="008B4725"/>
    <w:rsid w:val="008B47AA"/>
    <w:rsid w:val="008B48EA"/>
    <w:rsid w:val="008B4978"/>
    <w:rsid w:val="008B49D4"/>
    <w:rsid w:val="008B5A00"/>
    <w:rsid w:val="008B611F"/>
    <w:rsid w:val="008B62CE"/>
    <w:rsid w:val="008B6328"/>
    <w:rsid w:val="008B66F3"/>
    <w:rsid w:val="008B681B"/>
    <w:rsid w:val="008B69D7"/>
    <w:rsid w:val="008B6D53"/>
    <w:rsid w:val="008B6DBA"/>
    <w:rsid w:val="008B6FCF"/>
    <w:rsid w:val="008B703A"/>
    <w:rsid w:val="008B70A9"/>
    <w:rsid w:val="008B7384"/>
    <w:rsid w:val="008B74A2"/>
    <w:rsid w:val="008B7AE4"/>
    <w:rsid w:val="008B7B7F"/>
    <w:rsid w:val="008B7BBB"/>
    <w:rsid w:val="008C01E7"/>
    <w:rsid w:val="008C03A1"/>
    <w:rsid w:val="008C0580"/>
    <w:rsid w:val="008C06CC"/>
    <w:rsid w:val="008C0731"/>
    <w:rsid w:val="008C0CBC"/>
    <w:rsid w:val="008C0D2F"/>
    <w:rsid w:val="008C0EE8"/>
    <w:rsid w:val="008C0EF5"/>
    <w:rsid w:val="008C140C"/>
    <w:rsid w:val="008C14FA"/>
    <w:rsid w:val="008C15D0"/>
    <w:rsid w:val="008C180B"/>
    <w:rsid w:val="008C1A1A"/>
    <w:rsid w:val="008C24A2"/>
    <w:rsid w:val="008C254D"/>
    <w:rsid w:val="008C2759"/>
    <w:rsid w:val="008C2856"/>
    <w:rsid w:val="008C29AB"/>
    <w:rsid w:val="008C2F90"/>
    <w:rsid w:val="008C3078"/>
    <w:rsid w:val="008C38FD"/>
    <w:rsid w:val="008C3AFC"/>
    <w:rsid w:val="008C3DBC"/>
    <w:rsid w:val="008C3EBF"/>
    <w:rsid w:val="008C40DB"/>
    <w:rsid w:val="008C440C"/>
    <w:rsid w:val="008C4846"/>
    <w:rsid w:val="008C4B50"/>
    <w:rsid w:val="008C4CE4"/>
    <w:rsid w:val="008C4EDB"/>
    <w:rsid w:val="008C5075"/>
    <w:rsid w:val="008C54EF"/>
    <w:rsid w:val="008C57A2"/>
    <w:rsid w:val="008C5898"/>
    <w:rsid w:val="008C58E9"/>
    <w:rsid w:val="008C5A2D"/>
    <w:rsid w:val="008C5C11"/>
    <w:rsid w:val="008C6051"/>
    <w:rsid w:val="008C6469"/>
    <w:rsid w:val="008C6962"/>
    <w:rsid w:val="008C6A56"/>
    <w:rsid w:val="008C7199"/>
    <w:rsid w:val="008C765F"/>
    <w:rsid w:val="008C76C7"/>
    <w:rsid w:val="008C77D7"/>
    <w:rsid w:val="008C7AAB"/>
    <w:rsid w:val="008C7F18"/>
    <w:rsid w:val="008D0343"/>
    <w:rsid w:val="008D0711"/>
    <w:rsid w:val="008D0954"/>
    <w:rsid w:val="008D099F"/>
    <w:rsid w:val="008D0AFB"/>
    <w:rsid w:val="008D0B3D"/>
    <w:rsid w:val="008D0DF2"/>
    <w:rsid w:val="008D103A"/>
    <w:rsid w:val="008D1153"/>
    <w:rsid w:val="008D123F"/>
    <w:rsid w:val="008D1246"/>
    <w:rsid w:val="008D12D6"/>
    <w:rsid w:val="008D1BF4"/>
    <w:rsid w:val="008D2347"/>
    <w:rsid w:val="008D2385"/>
    <w:rsid w:val="008D23A5"/>
    <w:rsid w:val="008D2CE0"/>
    <w:rsid w:val="008D2EA3"/>
    <w:rsid w:val="008D2FD2"/>
    <w:rsid w:val="008D30CA"/>
    <w:rsid w:val="008D3509"/>
    <w:rsid w:val="008D3759"/>
    <w:rsid w:val="008D3767"/>
    <w:rsid w:val="008D3900"/>
    <w:rsid w:val="008D3966"/>
    <w:rsid w:val="008D3D91"/>
    <w:rsid w:val="008D4764"/>
    <w:rsid w:val="008D4CE3"/>
    <w:rsid w:val="008D5159"/>
    <w:rsid w:val="008D58B3"/>
    <w:rsid w:val="008D5A39"/>
    <w:rsid w:val="008D5A40"/>
    <w:rsid w:val="008D5B17"/>
    <w:rsid w:val="008D5C06"/>
    <w:rsid w:val="008D5C4E"/>
    <w:rsid w:val="008D5D44"/>
    <w:rsid w:val="008D5F58"/>
    <w:rsid w:val="008D5FC6"/>
    <w:rsid w:val="008D6305"/>
    <w:rsid w:val="008D6572"/>
    <w:rsid w:val="008D659A"/>
    <w:rsid w:val="008D671F"/>
    <w:rsid w:val="008D6858"/>
    <w:rsid w:val="008D6F01"/>
    <w:rsid w:val="008D6FC4"/>
    <w:rsid w:val="008D7220"/>
    <w:rsid w:val="008D7600"/>
    <w:rsid w:val="008D7CE2"/>
    <w:rsid w:val="008E0568"/>
    <w:rsid w:val="008E05F5"/>
    <w:rsid w:val="008E0A3B"/>
    <w:rsid w:val="008E0E48"/>
    <w:rsid w:val="008E0EFC"/>
    <w:rsid w:val="008E1008"/>
    <w:rsid w:val="008E10F5"/>
    <w:rsid w:val="008E12C6"/>
    <w:rsid w:val="008E155A"/>
    <w:rsid w:val="008E1896"/>
    <w:rsid w:val="008E1F16"/>
    <w:rsid w:val="008E200A"/>
    <w:rsid w:val="008E2656"/>
    <w:rsid w:val="008E29F0"/>
    <w:rsid w:val="008E2C2F"/>
    <w:rsid w:val="008E2C63"/>
    <w:rsid w:val="008E2F4B"/>
    <w:rsid w:val="008E30F1"/>
    <w:rsid w:val="008E31C5"/>
    <w:rsid w:val="008E3255"/>
    <w:rsid w:val="008E3361"/>
    <w:rsid w:val="008E33FE"/>
    <w:rsid w:val="008E3B5B"/>
    <w:rsid w:val="008E3BA8"/>
    <w:rsid w:val="008E3C5A"/>
    <w:rsid w:val="008E3D23"/>
    <w:rsid w:val="008E3F6B"/>
    <w:rsid w:val="008E408F"/>
    <w:rsid w:val="008E4294"/>
    <w:rsid w:val="008E4674"/>
    <w:rsid w:val="008E481D"/>
    <w:rsid w:val="008E4A64"/>
    <w:rsid w:val="008E4B20"/>
    <w:rsid w:val="008E4BBC"/>
    <w:rsid w:val="008E4FA2"/>
    <w:rsid w:val="008E50A4"/>
    <w:rsid w:val="008E553D"/>
    <w:rsid w:val="008E5628"/>
    <w:rsid w:val="008E5C5F"/>
    <w:rsid w:val="008E5E7A"/>
    <w:rsid w:val="008E6480"/>
    <w:rsid w:val="008E6759"/>
    <w:rsid w:val="008E6DDB"/>
    <w:rsid w:val="008E6E8E"/>
    <w:rsid w:val="008E7335"/>
    <w:rsid w:val="008E73EE"/>
    <w:rsid w:val="008E7514"/>
    <w:rsid w:val="008E7A9B"/>
    <w:rsid w:val="008E7C87"/>
    <w:rsid w:val="008E7CF1"/>
    <w:rsid w:val="008E7D25"/>
    <w:rsid w:val="008F005C"/>
    <w:rsid w:val="008F0070"/>
    <w:rsid w:val="008F0080"/>
    <w:rsid w:val="008F00ED"/>
    <w:rsid w:val="008F03A5"/>
    <w:rsid w:val="008F0569"/>
    <w:rsid w:val="008F0733"/>
    <w:rsid w:val="008F0CB8"/>
    <w:rsid w:val="008F16CB"/>
    <w:rsid w:val="008F18E0"/>
    <w:rsid w:val="008F20CE"/>
    <w:rsid w:val="008F21A9"/>
    <w:rsid w:val="008F22C2"/>
    <w:rsid w:val="008F244F"/>
    <w:rsid w:val="008F2B81"/>
    <w:rsid w:val="008F2FE8"/>
    <w:rsid w:val="008F333F"/>
    <w:rsid w:val="008F34A5"/>
    <w:rsid w:val="008F3596"/>
    <w:rsid w:val="008F37B9"/>
    <w:rsid w:val="008F3BC3"/>
    <w:rsid w:val="008F3BF1"/>
    <w:rsid w:val="008F3F47"/>
    <w:rsid w:val="008F456C"/>
    <w:rsid w:val="008F46EB"/>
    <w:rsid w:val="008F4757"/>
    <w:rsid w:val="008F4ABF"/>
    <w:rsid w:val="008F4D26"/>
    <w:rsid w:val="008F5151"/>
    <w:rsid w:val="008F5308"/>
    <w:rsid w:val="008F544F"/>
    <w:rsid w:val="008F5800"/>
    <w:rsid w:val="008F585F"/>
    <w:rsid w:val="008F59E5"/>
    <w:rsid w:val="008F5D18"/>
    <w:rsid w:val="008F6353"/>
    <w:rsid w:val="008F6622"/>
    <w:rsid w:val="008F72E8"/>
    <w:rsid w:val="008F7AC4"/>
    <w:rsid w:val="00900146"/>
    <w:rsid w:val="009009BC"/>
    <w:rsid w:val="00900A11"/>
    <w:rsid w:val="00900AD8"/>
    <w:rsid w:val="00900BD9"/>
    <w:rsid w:val="00900E11"/>
    <w:rsid w:val="0090117F"/>
    <w:rsid w:val="0090146D"/>
    <w:rsid w:val="00901883"/>
    <w:rsid w:val="00901A35"/>
    <w:rsid w:val="00901AB4"/>
    <w:rsid w:val="00901D80"/>
    <w:rsid w:val="00902285"/>
    <w:rsid w:val="009025B2"/>
    <w:rsid w:val="00902767"/>
    <w:rsid w:val="00902A81"/>
    <w:rsid w:val="00902CE5"/>
    <w:rsid w:val="00903580"/>
    <w:rsid w:val="00903612"/>
    <w:rsid w:val="009039E5"/>
    <w:rsid w:val="00903C2F"/>
    <w:rsid w:val="00903D01"/>
    <w:rsid w:val="00903D73"/>
    <w:rsid w:val="00903D8B"/>
    <w:rsid w:val="00903EFE"/>
    <w:rsid w:val="00903FA8"/>
    <w:rsid w:val="0090436C"/>
    <w:rsid w:val="009044E7"/>
    <w:rsid w:val="00904929"/>
    <w:rsid w:val="00904BDC"/>
    <w:rsid w:val="00904CFD"/>
    <w:rsid w:val="00904D90"/>
    <w:rsid w:val="00904DD0"/>
    <w:rsid w:val="00904ED8"/>
    <w:rsid w:val="0090547C"/>
    <w:rsid w:val="009055AC"/>
    <w:rsid w:val="00905A82"/>
    <w:rsid w:val="00905B5A"/>
    <w:rsid w:val="009060B1"/>
    <w:rsid w:val="009061C2"/>
    <w:rsid w:val="0090635A"/>
    <w:rsid w:val="0090673B"/>
    <w:rsid w:val="00906B39"/>
    <w:rsid w:val="00906C09"/>
    <w:rsid w:val="00906C80"/>
    <w:rsid w:val="00906ECF"/>
    <w:rsid w:val="00907047"/>
    <w:rsid w:val="009072A0"/>
    <w:rsid w:val="009072F1"/>
    <w:rsid w:val="00907697"/>
    <w:rsid w:val="009077E7"/>
    <w:rsid w:val="00907826"/>
    <w:rsid w:val="00907C8B"/>
    <w:rsid w:val="0091010C"/>
    <w:rsid w:val="00910170"/>
    <w:rsid w:val="00910279"/>
    <w:rsid w:val="00910B6A"/>
    <w:rsid w:val="00910C7A"/>
    <w:rsid w:val="0091104A"/>
    <w:rsid w:val="00911211"/>
    <w:rsid w:val="0091159E"/>
    <w:rsid w:val="009115EC"/>
    <w:rsid w:val="0091162A"/>
    <w:rsid w:val="00912367"/>
    <w:rsid w:val="009128B3"/>
    <w:rsid w:val="00912E31"/>
    <w:rsid w:val="00912E8D"/>
    <w:rsid w:val="00913285"/>
    <w:rsid w:val="009132E7"/>
    <w:rsid w:val="00913AA9"/>
    <w:rsid w:val="00913EE6"/>
    <w:rsid w:val="00914037"/>
    <w:rsid w:val="00914970"/>
    <w:rsid w:val="009149DD"/>
    <w:rsid w:val="00914ACA"/>
    <w:rsid w:val="00914B92"/>
    <w:rsid w:val="00914D85"/>
    <w:rsid w:val="00914F1F"/>
    <w:rsid w:val="00915019"/>
    <w:rsid w:val="00915025"/>
    <w:rsid w:val="00915890"/>
    <w:rsid w:val="00915A8C"/>
    <w:rsid w:val="00915BB1"/>
    <w:rsid w:val="00915BBA"/>
    <w:rsid w:val="00916023"/>
    <w:rsid w:val="009160B2"/>
    <w:rsid w:val="009165DE"/>
    <w:rsid w:val="009167D8"/>
    <w:rsid w:val="00916ED2"/>
    <w:rsid w:val="00917536"/>
    <w:rsid w:val="00917A3B"/>
    <w:rsid w:val="00917CF1"/>
    <w:rsid w:val="00917DEE"/>
    <w:rsid w:val="00920497"/>
    <w:rsid w:val="00920677"/>
    <w:rsid w:val="009206AC"/>
    <w:rsid w:val="00920B99"/>
    <w:rsid w:val="00920BED"/>
    <w:rsid w:val="0092101E"/>
    <w:rsid w:val="009212A2"/>
    <w:rsid w:val="0092131D"/>
    <w:rsid w:val="0092149E"/>
    <w:rsid w:val="00921574"/>
    <w:rsid w:val="00921708"/>
    <w:rsid w:val="0092171A"/>
    <w:rsid w:val="00921838"/>
    <w:rsid w:val="00921B1A"/>
    <w:rsid w:val="00921CF0"/>
    <w:rsid w:val="00921E75"/>
    <w:rsid w:val="00922166"/>
    <w:rsid w:val="009225FB"/>
    <w:rsid w:val="00922624"/>
    <w:rsid w:val="0092276F"/>
    <w:rsid w:val="00922A0D"/>
    <w:rsid w:val="00922B20"/>
    <w:rsid w:val="00922D7B"/>
    <w:rsid w:val="00922DEC"/>
    <w:rsid w:val="00922EE5"/>
    <w:rsid w:val="009233BD"/>
    <w:rsid w:val="009233E1"/>
    <w:rsid w:val="009235DA"/>
    <w:rsid w:val="00923601"/>
    <w:rsid w:val="00923981"/>
    <w:rsid w:val="0092406F"/>
    <w:rsid w:val="00924703"/>
    <w:rsid w:val="00924838"/>
    <w:rsid w:val="00924989"/>
    <w:rsid w:val="0092498D"/>
    <w:rsid w:val="00925134"/>
    <w:rsid w:val="00925224"/>
    <w:rsid w:val="0092527F"/>
    <w:rsid w:val="0092568F"/>
    <w:rsid w:val="00925742"/>
    <w:rsid w:val="009258E4"/>
    <w:rsid w:val="0092596F"/>
    <w:rsid w:val="00925AF0"/>
    <w:rsid w:val="00926412"/>
    <w:rsid w:val="009267B6"/>
    <w:rsid w:val="009267EC"/>
    <w:rsid w:val="009268AD"/>
    <w:rsid w:val="0092691A"/>
    <w:rsid w:val="00926A77"/>
    <w:rsid w:val="00926AF6"/>
    <w:rsid w:val="00926CF1"/>
    <w:rsid w:val="00926FAF"/>
    <w:rsid w:val="009272E8"/>
    <w:rsid w:val="0092742E"/>
    <w:rsid w:val="0092745A"/>
    <w:rsid w:val="00927854"/>
    <w:rsid w:val="00927C2E"/>
    <w:rsid w:val="00927C45"/>
    <w:rsid w:val="00927E89"/>
    <w:rsid w:val="009300A7"/>
    <w:rsid w:val="009302A3"/>
    <w:rsid w:val="009303B7"/>
    <w:rsid w:val="00930564"/>
    <w:rsid w:val="009306E5"/>
    <w:rsid w:val="00930839"/>
    <w:rsid w:val="009308B6"/>
    <w:rsid w:val="00930C0B"/>
    <w:rsid w:val="00930D7B"/>
    <w:rsid w:val="009310A3"/>
    <w:rsid w:val="00931314"/>
    <w:rsid w:val="00931992"/>
    <w:rsid w:val="00931F48"/>
    <w:rsid w:val="00931F73"/>
    <w:rsid w:val="00931FF8"/>
    <w:rsid w:val="0093229D"/>
    <w:rsid w:val="00932601"/>
    <w:rsid w:val="00932EF2"/>
    <w:rsid w:val="00932F29"/>
    <w:rsid w:val="00933166"/>
    <w:rsid w:val="009331C0"/>
    <w:rsid w:val="009334A8"/>
    <w:rsid w:val="00933833"/>
    <w:rsid w:val="00933E8C"/>
    <w:rsid w:val="009343E7"/>
    <w:rsid w:val="00934961"/>
    <w:rsid w:val="00934C85"/>
    <w:rsid w:val="00934D40"/>
    <w:rsid w:val="00934E16"/>
    <w:rsid w:val="00934E29"/>
    <w:rsid w:val="0093520D"/>
    <w:rsid w:val="00935344"/>
    <w:rsid w:val="009354F8"/>
    <w:rsid w:val="0093572E"/>
    <w:rsid w:val="009357B5"/>
    <w:rsid w:val="00935FC5"/>
    <w:rsid w:val="0093604E"/>
    <w:rsid w:val="00936284"/>
    <w:rsid w:val="009363FF"/>
    <w:rsid w:val="0093654A"/>
    <w:rsid w:val="00936563"/>
    <w:rsid w:val="009365FA"/>
    <w:rsid w:val="0093674C"/>
    <w:rsid w:val="0093698E"/>
    <w:rsid w:val="00936A03"/>
    <w:rsid w:val="00936E8D"/>
    <w:rsid w:val="0093728C"/>
    <w:rsid w:val="0093749E"/>
    <w:rsid w:val="009378E4"/>
    <w:rsid w:val="00937924"/>
    <w:rsid w:val="00937CD0"/>
    <w:rsid w:val="009402FA"/>
    <w:rsid w:val="00940473"/>
    <w:rsid w:val="00940B8F"/>
    <w:rsid w:val="00940D9A"/>
    <w:rsid w:val="00941070"/>
    <w:rsid w:val="0094116F"/>
    <w:rsid w:val="00941AFD"/>
    <w:rsid w:val="00941C1F"/>
    <w:rsid w:val="00941DBB"/>
    <w:rsid w:val="00941E0E"/>
    <w:rsid w:val="00941FA9"/>
    <w:rsid w:val="00941FED"/>
    <w:rsid w:val="009422F3"/>
    <w:rsid w:val="009425A0"/>
    <w:rsid w:val="009427F1"/>
    <w:rsid w:val="00942A17"/>
    <w:rsid w:val="00942A3D"/>
    <w:rsid w:val="00942AA6"/>
    <w:rsid w:val="00942BAE"/>
    <w:rsid w:val="00942C86"/>
    <w:rsid w:val="009432B8"/>
    <w:rsid w:val="009433D8"/>
    <w:rsid w:val="00943CF4"/>
    <w:rsid w:val="00943F23"/>
    <w:rsid w:val="0094420C"/>
    <w:rsid w:val="0094430A"/>
    <w:rsid w:val="00944364"/>
    <w:rsid w:val="009443C5"/>
    <w:rsid w:val="009444F8"/>
    <w:rsid w:val="0094467A"/>
    <w:rsid w:val="00944C48"/>
    <w:rsid w:val="00944DA6"/>
    <w:rsid w:val="00944E10"/>
    <w:rsid w:val="00944E61"/>
    <w:rsid w:val="0094504B"/>
    <w:rsid w:val="009450A4"/>
    <w:rsid w:val="009453D8"/>
    <w:rsid w:val="00945AAB"/>
    <w:rsid w:val="00945AAC"/>
    <w:rsid w:val="00945C89"/>
    <w:rsid w:val="00946152"/>
    <w:rsid w:val="009463B2"/>
    <w:rsid w:val="0094641F"/>
    <w:rsid w:val="00946463"/>
    <w:rsid w:val="0094649C"/>
    <w:rsid w:val="0094659B"/>
    <w:rsid w:val="009466FD"/>
    <w:rsid w:val="0094671A"/>
    <w:rsid w:val="0094686E"/>
    <w:rsid w:val="00946F1D"/>
    <w:rsid w:val="0094709C"/>
    <w:rsid w:val="00947752"/>
    <w:rsid w:val="00947B71"/>
    <w:rsid w:val="00947CC5"/>
    <w:rsid w:val="00947E6C"/>
    <w:rsid w:val="009500F3"/>
    <w:rsid w:val="0095028F"/>
    <w:rsid w:val="009503DF"/>
    <w:rsid w:val="009504DC"/>
    <w:rsid w:val="0095060A"/>
    <w:rsid w:val="009507AF"/>
    <w:rsid w:val="009509BF"/>
    <w:rsid w:val="00951487"/>
    <w:rsid w:val="009515C0"/>
    <w:rsid w:val="00951B5F"/>
    <w:rsid w:val="00951EE1"/>
    <w:rsid w:val="00951FA6"/>
    <w:rsid w:val="00951FD3"/>
    <w:rsid w:val="009522C8"/>
    <w:rsid w:val="009522F4"/>
    <w:rsid w:val="00952305"/>
    <w:rsid w:val="00952334"/>
    <w:rsid w:val="009524AF"/>
    <w:rsid w:val="009527FE"/>
    <w:rsid w:val="00952AFC"/>
    <w:rsid w:val="00952B1E"/>
    <w:rsid w:val="00952B64"/>
    <w:rsid w:val="00952D58"/>
    <w:rsid w:val="00953279"/>
    <w:rsid w:val="00953825"/>
    <w:rsid w:val="00953A85"/>
    <w:rsid w:val="00953AA5"/>
    <w:rsid w:val="00953CC8"/>
    <w:rsid w:val="00953CF5"/>
    <w:rsid w:val="0095416D"/>
    <w:rsid w:val="00954429"/>
    <w:rsid w:val="0095444A"/>
    <w:rsid w:val="009548D8"/>
    <w:rsid w:val="0095490E"/>
    <w:rsid w:val="00954D06"/>
    <w:rsid w:val="00954FA5"/>
    <w:rsid w:val="00954FAF"/>
    <w:rsid w:val="0095502F"/>
    <w:rsid w:val="00955289"/>
    <w:rsid w:val="00955394"/>
    <w:rsid w:val="00955BC4"/>
    <w:rsid w:val="00955BED"/>
    <w:rsid w:val="00955C20"/>
    <w:rsid w:val="00955E05"/>
    <w:rsid w:val="00955EF7"/>
    <w:rsid w:val="00956092"/>
    <w:rsid w:val="009562FA"/>
    <w:rsid w:val="009569DC"/>
    <w:rsid w:val="00956C41"/>
    <w:rsid w:val="00956E1A"/>
    <w:rsid w:val="00957465"/>
    <w:rsid w:val="009574B0"/>
    <w:rsid w:val="009574F6"/>
    <w:rsid w:val="00957584"/>
    <w:rsid w:val="00957732"/>
    <w:rsid w:val="00957754"/>
    <w:rsid w:val="00957BB6"/>
    <w:rsid w:val="00957BCA"/>
    <w:rsid w:val="00957D3B"/>
    <w:rsid w:val="009604C3"/>
    <w:rsid w:val="00960894"/>
    <w:rsid w:val="00960960"/>
    <w:rsid w:val="00960E26"/>
    <w:rsid w:val="00960F65"/>
    <w:rsid w:val="00960FC7"/>
    <w:rsid w:val="00961053"/>
    <w:rsid w:val="0096120A"/>
    <w:rsid w:val="009614F6"/>
    <w:rsid w:val="0096176B"/>
    <w:rsid w:val="00961AB0"/>
    <w:rsid w:val="00961B35"/>
    <w:rsid w:val="00961E06"/>
    <w:rsid w:val="00961E4F"/>
    <w:rsid w:val="00961E78"/>
    <w:rsid w:val="00961EED"/>
    <w:rsid w:val="00961F90"/>
    <w:rsid w:val="00962069"/>
    <w:rsid w:val="0096209E"/>
    <w:rsid w:val="00962235"/>
    <w:rsid w:val="00962365"/>
    <w:rsid w:val="00962906"/>
    <w:rsid w:val="00962980"/>
    <w:rsid w:val="00962A2A"/>
    <w:rsid w:val="00962D2C"/>
    <w:rsid w:val="00962DA5"/>
    <w:rsid w:val="0096383D"/>
    <w:rsid w:val="0096396E"/>
    <w:rsid w:val="00963C30"/>
    <w:rsid w:val="009640AA"/>
    <w:rsid w:val="00964503"/>
    <w:rsid w:val="0096450F"/>
    <w:rsid w:val="00964865"/>
    <w:rsid w:val="009648D9"/>
    <w:rsid w:val="00965358"/>
    <w:rsid w:val="009657CB"/>
    <w:rsid w:val="0096585C"/>
    <w:rsid w:val="009659FF"/>
    <w:rsid w:val="00965B70"/>
    <w:rsid w:val="00965C01"/>
    <w:rsid w:val="00965D0E"/>
    <w:rsid w:val="00965EAE"/>
    <w:rsid w:val="009661B7"/>
    <w:rsid w:val="009663C5"/>
    <w:rsid w:val="009665C2"/>
    <w:rsid w:val="00966A5D"/>
    <w:rsid w:val="0096705F"/>
    <w:rsid w:val="0096732D"/>
    <w:rsid w:val="00967914"/>
    <w:rsid w:val="00967A38"/>
    <w:rsid w:val="00967A8E"/>
    <w:rsid w:val="00967BD1"/>
    <w:rsid w:val="00967F6C"/>
    <w:rsid w:val="00967FDC"/>
    <w:rsid w:val="009700B6"/>
    <w:rsid w:val="009700BB"/>
    <w:rsid w:val="00970403"/>
    <w:rsid w:val="0097045D"/>
    <w:rsid w:val="009704EA"/>
    <w:rsid w:val="009707D7"/>
    <w:rsid w:val="00970885"/>
    <w:rsid w:val="00970D6B"/>
    <w:rsid w:val="00970E55"/>
    <w:rsid w:val="009710E7"/>
    <w:rsid w:val="009713D5"/>
    <w:rsid w:val="00971948"/>
    <w:rsid w:val="00971A54"/>
    <w:rsid w:val="00971AB6"/>
    <w:rsid w:val="00971EF0"/>
    <w:rsid w:val="00971FED"/>
    <w:rsid w:val="00972011"/>
    <w:rsid w:val="0097202B"/>
    <w:rsid w:val="009726D6"/>
    <w:rsid w:val="009728EF"/>
    <w:rsid w:val="00972C90"/>
    <w:rsid w:val="00972CA2"/>
    <w:rsid w:val="00972E91"/>
    <w:rsid w:val="00972FF1"/>
    <w:rsid w:val="0097329B"/>
    <w:rsid w:val="009733D4"/>
    <w:rsid w:val="00973472"/>
    <w:rsid w:val="009736B9"/>
    <w:rsid w:val="00973727"/>
    <w:rsid w:val="00973767"/>
    <w:rsid w:val="00973AF1"/>
    <w:rsid w:val="00973CAC"/>
    <w:rsid w:val="0097473B"/>
    <w:rsid w:val="0097487E"/>
    <w:rsid w:val="009754FD"/>
    <w:rsid w:val="0097571E"/>
    <w:rsid w:val="00975A87"/>
    <w:rsid w:val="00975C26"/>
    <w:rsid w:val="00975D6B"/>
    <w:rsid w:val="00975FD2"/>
    <w:rsid w:val="00975FD8"/>
    <w:rsid w:val="00976031"/>
    <w:rsid w:val="0097632A"/>
    <w:rsid w:val="009768F5"/>
    <w:rsid w:val="009769DE"/>
    <w:rsid w:val="00976A1A"/>
    <w:rsid w:val="00977237"/>
    <w:rsid w:val="0097740C"/>
    <w:rsid w:val="0097754F"/>
    <w:rsid w:val="009776DC"/>
    <w:rsid w:val="009779A0"/>
    <w:rsid w:val="00977A28"/>
    <w:rsid w:val="00977B50"/>
    <w:rsid w:val="00977BE4"/>
    <w:rsid w:val="00977D8E"/>
    <w:rsid w:val="00977E88"/>
    <w:rsid w:val="009801A3"/>
    <w:rsid w:val="0098050B"/>
    <w:rsid w:val="0098060E"/>
    <w:rsid w:val="00980619"/>
    <w:rsid w:val="00980796"/>
    <w:rsid w:val="00980F3A"/>
    <w:rsid w:val="009812E4"/>
    <w:rsid w:val="009813D4"/>
    <w:rsid w:val="00981E91"/>
    <w:rsid w:val="009821FC"/>
    <w:rsid w:val="00982476"/>
    <w:rsid w:val="009824FB"/>
    <w:rsid w:val="00982878"/>
    <w:rsid w:val="009828E5"/>
    <w:rsid w:val="00982927"/>
    <w:rsid w:val="00982C46"/>
    <w:rsid w:val="00982C64"/>
    <w:rsid w:val="00983316"/>
    <w:rsid w:val="00983533"/>
    <w:rsid w:val="009843B8"/>
    <w:rsid w:val="00984568"/>
    <w:rsid w:val="009847F6"/>
    <w:rsid w:val="0098521B"/>
    <w:rsid w:val="009855F2"/>
    <w:rsid w:val="0098598A"/>
    <w:rsid w:val="00985E7A"/>
    <w:rsid w:val="00986433"/>
    <w:rsid w:val="00986450"/>
    <w:rsid w:val="009864C9"/>
    <w:rsid w:val="00986638"/>
    <w:rsid w:val="00986739"/>
    <w:rsid w:val="00986A18"/>
    <w:rsid w:val="00986A20"/>
    <w:rsid w:val="00986C04"/>
    <w:rsid w:val="00986EA9"/>
    <w:rsid w:val="00987057"/>
    <w:rsid w:val="00987151"/>
    <w:rsid w:val="009873CA"/>
    <w:rsid w:val="00987443"/>
    <w:rsid w:val="009874F4"/>
    <w:rsid w:val="00987657"/>
    <w:rsid w:val="009878D7"/>
    <w:rsid w:val="00987C5A"/>
    <w:rsid w:val="00987C87"/>
    <w:rsid w:val="00987D91"/>
    <w:rsid w:val="00990398"/>
    <w:rsid w:val="009908D8"/>
    <w:rsid w:val="009909C6"/>
    <w:rsid w:val="00990A1B"/>
    <w:rsid w:val="00990A5B"/>
    <w:rsid w:val="00990A72"/>
    <w:rsid w:val="00990C80"/>
    <w:rsid w:val="00990FA1"/>
    <w:rsid w:val="00991041"/>
    <w:rsid w:val="00991316"/>
    <w:rsid w:val="00991684"/>
    <w:rsid w:val="009916A7"/>
    <w:rsid w:val="0099195B"/>
    <w:rsid w:val="00991A98"/>
    <w:rsid w:val="00991BDD"/>
    <w:rsid w:val="0099223E"/>
    <w:rsid w:val="0099238D"/>
    <w:rsid w:val="0099249F"/>
    <w:rsid w:val="0099263A"/>
    <w:rsid w:val="009926ED"/>
    <w:rsid w:val="00992B68"/>
    <w:rsid w:val="0099328D"/>
    <w:rsid w:val="00993D5F"/>
    <w:rsid w:val="00993D7B"/>
    <w:rsid w:val="00993F16"/>
    <w:rsid w:val="0099409D"/>
    <w:rsid w:val="009942D3"/>
    <w:rsid w:val="009949DB"/>
    <w:rsid w:val="00994A19"/>
    <w:rsid w:val="00994A74"/>
    <w:rsid w:val="00994FF8"/>
    <w:rsid w:val="0099551E"/>
    <w:rsid w:val="009955FD"/>
    <w:rsid w:val="00995FD2"/>
    <w:rsid w:val="009965D0"/>
    <w:rsid w:val="00996F2D"/>
    <w:rsid w:val="009972E2"/>
    <w:rsid w:val="0099782F"/>
    <w:rsid w:val="009A0193"/>
    <w:rsid w:val="009A01AF"/>
    <w:rsid w:val="009A0272"/>
    <w:rsid w:val="009A0313"/>
    <w:rsid w:val="009A07BB"/>
    <w:rsid w:val="009A08C7"/>
    <w:rsid w:val="009A0B78"/>
    <w:rsid w:val="009A0D17"/>
    <w:rsid w:val="009A0EA2"/>
    <w:rsid w:val="009A102D"/>
    <w:rsid w:val="009A1073"/>
    <w:rsid w:val="009A10E3"/>
    <w:rsid w:val="009A1203"/>
    <w:rsid w:val="009A12E5"/>
    <w:rsid w:val="009A14EF"/>
    <w:rsid w:val="009A15BC"/>
    <w:rsid w:val="009A18F7"/>
    <w:rsid w:val="009A1A2E"/>
    <w:rsid w:val="009A1B29"/>
    <w:rsid w:val="009A1C21"/>
    <w:rsid w:val="009A23A7"/>
    <w:rsid w:val="009A2459"/>
    <w:rsid w:val="009A2597"/>
    <w:rsid w:val="009A25E9"/>
    <w:rsid w:val="009A25EB"/>
    <w:rsid w:val="009A271F"/>
    <w:rsid w:val="009A27F8"/>
    <w:rsid w:val="009A2A1A"/>
    <w:rsid w:val="009A2A8E"/>
    <w:rsid w:val="009A2B43"/>
    <w:rsid w:val="009A2BA8"/>
    <w:rsid w:val="009A2F64"/>
    <w:rsid w:val="009A2F69"/>
    <w:rsid w:val="009A349B"/>
    <w:rsid w:val="009A35CC"/>
    <w:rsid w:val="009A4050"/>
    <w:rsid w:val="009A46C6"/>
    <w:rsid w:val="009A46D4"/>
    <w:rsid w:val="009A46EC"/>
    <w:rsid w:val="009A4D67"/>
    <w:rsid w:val="009A4E7F"/>
    <w:rsid w:val="009A5118"/>
    <w:rsid w:val="009A5158"/>
    <w:rsid w:val="009A54C3"/>
    <w:rsid w:val="009A576A"/>
    <w:rsid w:val="009A57D7"/>
    <w:rsid w:val="009A5ACB"/>
    <w:rsid w:val="009A5D9D"/>
    <w:rsid w:val="009A5E98"/>
    <w:rsid w:val="009A6054"/>
    <w:rsid w:val="009A64D1"/>
    <w:rsid w:val="009A6613"/>
    <w:rsid w:val="009A6944"/>
    <w:rsid w:val="009A6D9D"/>
    <w:rsid w:val="009A70FE"/>
    <w:rsid w:val="009A724B"/>
    <w:rsid w:val="009A7490"/>
    <w:rsid w:val="009A7C2D"/>
    <w:rsid w:val="009A7D0D"/>
    <w:rsid w:val="009B04E0"/>
    <w:rsid w:val="009B0AC5"/>
    <w:rsid w:val="009B0F46"/>
    <w:rsid w:val="009B1267"/>
    <w:rsid w:val="009B1807"/>
    <w:rsid w:val="009B19D7"/>
    <w:rsid w:val="009B19FC"/>
    <w:rsid w:val="009B1CC6"/>
    <w:rsid w:val="009B20DB"/>
    <w:rsid w:val="009B2192"/>
    <w:rsid w:val="009B2308"/>
    <w:rsid w:val="009B2CA6"/>
    <w:rsid w:val="009B2D2A"/>
    <w:rsid w:val="009B2D34"/>
    <w:rsid w:val="009B2E50"/>
    <w:rsid w:val="009B31B1"/>
    <w:rsid w:val="009B34D1"/>
    <w:rsid w:val="009B3652"/>
    <w:rsid w:val="009B36AC"/>
    <w:rsid w:val="009B3806"/>
    <w:rsid w:val="009B3965"/>
    <w:rsid w:val="009B3A15"/>
    <w:rsid w:val="009B3CE8"/>
    <w:rsid w:val="009B3F4B"/>
    <w:rsid w:val="009B4055"/>
    <w:rsid w:val="009B4237"/>
    <w:rsid w:val="009B4686"/>
    <w:rsid w:val="009B48C9"/>
    <w:rsid w:val="009B5280"/>
    <w:rsid w:val="009B544E"/>
    <w:rsid w:val="009B59BB"/>
    <w:rsid w:val="009B5D3C"/>
    <w:rsid w:val="009B5E3D"/>
    <w:rsid w:val="009B5E95"/>
    <w:rsid w:val="009B61A2"/>
    <w:rsid w:val="009B66C5"/>
    <w:rsid w:val="009B70EF"/>
    <w:rsid w:val="009B731E"/>
    <w:rsid w:val="009B772D"/>
    <w:rsid w:val="009B7ACA"/>
    <w:rsid w:val="009B7C2A"/>
    <w:rsid w:val="009B7F13"/>
    <w:rsid w:val="009B7F8D"/>
    <w:rsid w:val="009C0197"/>
    <w:rsid w:val="009C01E6"/>
    <w:rsid w:val="009C0520"/>
    <w:rsid w:val="009C052E"/>
    <w:rsid w:val="009C0A61"/>
    <w:rsid w:val="009C0F35"/>
    <w:rsid w:val="009C10F7"/>
    <w:rsid w:val="009C11E5"/>
    <w:rsid w:val="009C1865"/>
    <w:rsid w:val="009C189B"/>
    <w:rsid w:val="009C1AE1"/>
    <w:rsid w:val="009C1F81"/>
    <w:rsid w:val="009C1FCD"/>
    <w:rsid w:val="009C2109"/>
    <w:rsid w:val="009C210C"/>
    <w:rsid w:val="009C2306"/>
    <w:rsid w:val="009C2376"/>
    <w:rsid w:val="009C23C4"/>
    <w:rsid w:val="009C28CD"/>
    <w:rsid w:val="009C2A48"/>
    <w:rsid w:val="009C2CC4"/>
    <w:rsid w:val="009C311E"/>
    <w:rsid w:val="009C35D5"/>
    <w:rsid w:val="009C3691"/>
    <w:rsid w:val="009C36D7"/>
    <w:rsid w:val="009C39E1"/>
    <w:rsid w:val="009C3A6F"/>
    <w:rsid w:val="009C3D45"/>
    <w:rsid w:val="009C3E3A"/>
    <w:rsid w:val="009C3EDE"/>
    <w:rsid w:val="009C4477"/>
    <w:rsid w:val="009C45BF"/>
    <w:rsid w:val="009C45C2"/>
    <w:rsid w:val="009C466D"/>
    <w:rsid w:val="009C4B16"/>
    <w:rsid w:val="009C4F84"/>
    <w:rsid w:val="009C5213"/>
    <w:rsid w:val="009C53DE"/>
    <w:rsid w:val="009C5947"/>
    <w:rsid w:val="009C5E1B"/>
    <w:rsid w:val="009C6171"/>
    <w:rsid w:val="009C6183"/>
    <w:rsid w:val="009C6367"/>
    <w:rsid w:val="009C67B8"/>
    <w:rsid w:val="009C68F8"/>
    <w:rsid w:val="009C6A6B"/>
    <w:rsid w:val="009C6B80"/>
    <w:rsid w:val="009C6D8A"/>
    <w:rsid w:val="009C7023"/>
    <w:rsid w:val="009C7227"/>
    <w:rsid w:val="009C73B2"/>
    <w:rsid w:val="009C7586"/>
    <w:rsid w:val="009C78DF"/>
    <w:rsid w:val="009C7AD0"/>
    <w:rsid w:val="009C7C08"/>
    <w:rsid w:val="009D0084"/>
    <w:rsid w:val="009D05F3"/>
    <w:rsid w:val="009D06E7"/>
    <w:rsid w:val="009D0D61"/>
    <w:rsid w:val="009D1198"/>
    <w:rsid w:val="009D13AC"/>
    <w:rsid w:val="009D144E"/>
    <w:rsid w:val="009D15FB"/>
    <w:rsid w:val="009D1EA3"/>
    <w:rsid w:val="009D291C"/>
    <w:rsid w:val="009D298A"/>
    <w:rsid w:val="009D30B4"/>
    <w:rsid w:val="009D3C44"/>
    <w:rsid w:val="009D3C95"/>
    <w:rsid w:val="009D4340"/>
    <w:rsid w:val="009D4417"/>
    <w:rsid w:val="009D44A1"/>
    <w:rsid w:val="009D4D0E"/>
    <w:rsid w:val="009D5366"/>
    <w:rsid w:val="009D5BF0"/>
    <w:rsid w:val="009D6250"/>
    <w:rsid w:val="009D6265"/>
    <w:rsid w:val="009D65BA"/>
    <w:rsid w:val="009D6653"/>
    <w:rsid w:val="009D665F"/>
    <w:rsid w:val="009D6727"/>
    <w:rsid w:val="009D69B9"/>
    <w:rsid w:val="009D6A2F"/>
    <w:rsid w:val="009D6C00"/>
    <w:rsid w:val="009D73B6"/>
    <w:rsid w:val="009D73C6"/>
    <w:rsid w:val="009D753A"/>
    <w:rsid w:val="009D77AC"/>
    <w:rsid w:val="009D77B9"/>
    <w:rsid w:val="009D7F6D"/>
    <w:rsid w:val="009E04D5"/>
    <w:rsid w:val="009E0545"/>
    <w:rsid w:val="009E05FD"/>
    <w:rsid w:val="009E0706"/>
    <w:rsid w:val="009E0AC8"/>
    <w:rsid w:val="009E15C5"/>
    <w:rsid w:val="009E177E"/>
    <w:rsid w:val="009E190E"/>
    <w:rsid w:val="009E1A75"/>
    <w:rsid w:val="009E1E28"/>
    <w:rsid w:val="009E24E2"/>
    <w:rsid w:val="009E2884"/>
    <w:rsid w:val="009E2C35"/>
    <w:rsid w:val="009E2F56"/>
    <w:rsid w:val="009E324A"/>
    <w:rsid w:val="009E329E"/>
    <w:rsid w:val="009E364B"/>
    <w:rsid w:val="009E3690"/>
    <w:rsid w:val="009E38A2"/>
    <w:rsid w:val="009E39A6"/>
    <w:rsid w:val="009E3A43"/>
    <w:rsid w:val="009E3A82"/>
    <w:rsid w:val="009E401D"/>
    <w:rsid w:val="009E44F3"/>
    <w:rsid w:val="009E47D6"/>
    <w:rsid w:val="009E4BCF"/>
    <w:rsid w:val="009E4CB6"/>
    <w:rsid w:val="009E534A"/>
    <w:rsid w:val="009E577F"/>
    <w:rsid w:val="009E5961"/>
    <w:rsid w:val="009E5F8E"/>
    <w:rsid w:val="009E6397"/>
    <w:rsid w:val="009E665A"/>
    <w:rsid w:val="009E72C5"/>
    <w:rsid w:val="009E75FA"/>
    <w:rsid w:val="009E7CFD"/>
    <w:rsid w:val="009F0497"/>
    <w:rsid w:val="009F06E3"/>
    <w:rsid w:val="009F0E31"/>
    <w:rsid w:val="009F1006"/>
    <w:rsid w:val="009F1079"/>
    <w:rsid w:val="009F1151"/>
    <w:rsid w:val="009F13AA"/>
    <w:rsid w:val="009F16E8"/>
    <w:rsid w:val="009F27F2"/>
    <w:rsid w:val="009F28E7"/>
    <w:rsid w:val="009F2A13"/>
    <w:rsid w:val="009F2D6B"/>
    <w:rsid w:val="009F2DEB"/>
    <w:rsid w:val="009F2F61"/>
    <w:rsid w:val="009F32DA"/>
    <w:rsid w:val="009F3351"/>
    <w:rsid w:val="009F33DD"/>
    <w:rsid w:val="009F3A12"/>
    <w:rsid w:val="009F3E86"/>
    <w:rsid w:val="009F3F4D"/>
    <w:rsid w:val="009F3F5B"/>
    <w:rsid w:val="009F43D4"/>
    <w:rsid w:val="009F4427"/>
    <w:rsid w:val="009F4572"/>
    <w:rsid w:val="009F45B9"/>
    <w:rsid w:val="009F4683"/>
    <w:rsid w:val="009F4684"/>
    <w:rsid w:val="009F46C6"/>
    <w:rsid w:val="009F495A"/>
    <w:rsid w:val="009F4ADF"/>
    <w:rsid w:val="009F4C80"/>
    <w:rsid w:val="009F5602"/>
    <w:rsid w:val="009F5730"/>
    <w:rsid w:val="009F57A4"/>
    <w:rsid w:val="009F5C68"/>
    <w:rsid w:val="009F5CF9"/>
    <w:rsid w:val="009F61AF"/>
    <w:rsid w:val="009F64E2"/>
    <w:rsid w:val="009F6718"/>
    <w:rsid w:val="009F67DA"/>
    <w:rsid w:val="009F6DC0"/>
    <w:rsid w:val="009F6FEF"/>
    <w:rsid w:val="009F752E"/>
    <w:rsid w:val="009F76AE"/>
    <w:rsid w:val="009F7BCB"/>
    <w:rsid w:val="009F7C66"/>
    <w:rsid w:val="009F7FF7"/>
    <w:rsid w:val="00A0040F"/>
    <w:rsid w:val="00A0058F"/>
    <w:rsid w:val="00A00673"/>
    <w:rsid w:val="00A006A1"/>
    <w:rsid w:val="00A00CE2"/>
    <w:rsid w:val="00A00DFD"/>
    <w:rsid w:val="00A00E13"/>
    <w:rsid w:val="00A0108D"/>
    <w:rsid w:val="00A013AF"/>
    <w:rsid w:val="00A01656"/>
    <w:rsid w:val="00A019D0"/>
    <w:rsid w:val="00A01BFA"/>
    <w:rsid w:val="00A0209C"/>
    <w:rsid w:val="00A02802"/>
    <w:rsid w:val="00A0292E"/>
    <w:rsid w:val="00A0295F"/>
    <w:rsid w:val="00A02C13"/>
    <w:rsid w:val="00A0316F"/>
    <w:rsid w:val="00A032A3"/>
    <w:rsid w:val="00A0337D"/>
    <w:rsid w:val="00A03AC0"/>
    <w:rsid w:val="00A03E23"/>
    <w:rsid w:val="00A03E7C"/>
    <w:rsid w:val="00A04313"/>
    <w:rsid w:val="00A0457E"/>
    <w:rsid w:val="00A046B2"/>
    <w:rsid w:val="00A04E66"/>
    <w:rsid w:val="00A050CF"/>
    <w:rsid w:val="00A05173"/>
    <w:rsid w:val="00A05312"/>
    <w:rsid w:val="00A05EAE"/>
    <w:rsid w:val="00A0620E"/>
    <w:rsid w:val="00A0654B"/>
    <w:rsid w:val="00A06D76"/>
    <w:rsid w:val="00A06FC0"/>
    <w:rsid w:val="00A0707C"/>
    <w:rsid w:val="00A07228"/>
    <w:rsid w:val="00A0743B"/>
    <w:rsid w:val="00A07570"/>
    <w:rsid w:val="00A0789B"/>
    <w:rsid w:val="00A07B10"/>
    <w:rsid w:val="00A07B40"/>
    <w:rsid w:val="00A07F8A"/>
    <w:rsid w:val="00A10266"/>
    <w:rsid w:val="00A1029F"/>
    <w:rsid w:val="00A1078B"/>
    <w:rsid w:val="00A1094F"/>
    <w:rsid w:val="00A109D2"/>
    <w:rsid w:val="00A10D8B"/>
    <w:rsid w:val="00A110C8"/>
    <w:rsid w:val="00A116D5"/>
    <w:rsid w:val="00A11AFE"/>
    <w:rsid w:val="00A11D27"/>
    <w:rsid w:val="00A11E0F"/>
    <w:rsid w:val="00A11E7E"/>
    <w:rsid w:val="00A12C7D"/>
    <w:rsid w:val="00A12D87"/>
    <w:rsid w:val="00A13019"/>
    <w:rsid w:val="00A1383B"/>
    <w:rsid w:val="00A140B0"/>
    <w:rsid w:val="00A14332"/>
    <w:rsid w:val="00A14D68"/>
    <w:rsid w:val="00A14DD2"/>
    <w:rsid w:val="00A150F0"/>
    <w:rsid w:val="00A151EF"/>
    <w:rsid w:val="00A161F9"/>
    <w:rsid w:val="00A16411"/>
    <w:rsid w:val="00A1675A"/>
    <w:rsid w:val="00A16974"/>
    <w:rsid w:val="00A16E0D"/>
    <w:rsid w:val="00A16FE9"/>
    <w:rsid w:val="00A1707E"/>
    <w:rsid w:val="00A17599"/>
    <w:rsid w:val="00A17AEC"/>
    <w:rsid w:val="00A17B21"/>
    <w:rsid w:val="00A17D2A"/>
    <w:rsid w:val="00A20033"/>
    <w:rsid w:val="00A204E9"/>
    <w:rsid w:val="00A2083D"/>
    <w:rsid w:val="00A20F2A"/>
    <w:rsid w:val="00A20FE6"/>
    <w:rsid w:val="00A210B5"/>
    <w:rsid w:val="00A21E1E"/>
    <w:rsid w:val="00A21FAF"/>
    <w:rsid w:val="00A22473"/>
    <w:rsid w:val="00A225A7"/>
    <w:rsid w:val="00A228CE"/>
    <w:rsid w:val="00A229A2"/>
    <w:rsid w:val="00A22BA3"/>
    <w:rsid w:val="00A22BAC"/>
    <w:rsid w:val="00A22D13"/>
    <w:rsid w:val="00A22E6A"/>
    <w:rsid w:val="00A23002"/>
    <w:rsid w:val="00A23274"/>
    <w:rsid w:val="00A232F8"/>
    <w:rsid w:val="00A23492"/>
    <w:rsid w:val="00A2385C"/>
    <w:rsid w:val="00A238DF"/>
    <w:rsid w:val="00A23905"/>
    <w:rsid w:val="00A2395F"/>
    <w:rsid w:val="00A23C9C"/>
    <w:rsid w:val="00A23D2B"/>
    <w:rsid w:val="00A241E8"/>
    <w:rsid w:val="00A24458"/>
    <w:rsid w:val="00A245EC"/>
    <w:rsid w:val="00A24FB6"/>
    <w:rsid w:val="00A2521B"/>
    <w:rsid w:val="00A259F3"/>
    <w:rsid w:val="00A25AF3"/>
    <w:rsid w:val="00A2628E"/>
    <w:rsid w:val="00A265C2"/>
    <w:rsid w:val="00A26623"/>
    <w:rsid w:val="00A26B74"/>
    <w:rsid w:val="00A26C27"/>
    <w:rsid w:val="00A26C57"/>
    <w:rsid w:val="00A26E34"/>
    <w:rsid w:val="00A271C7"/>
    <w:rsid w:val="00A271DC"/>
    <w:rsid w:val="00A27641"/>
    <w:rsid w:val="00A2777C"/>
    <w:rsid w:val="00A27ABD"/>
    <w:rsid w:val="00A27B57"/>
    <w:rsid w:val="00A27BEF"/>
    <w:rsid w:val="00A27FBA"/>
    <w:rsid w:val="00A302F8"/>
    <w:rsid w:val="00A306FC"/>
    <w:rsid w:val="00A30A56"/>
    <w:rsid w:val="00A30DD2"/>
    <w:rsid w:val="00A30E11"/>
    <w:rsid w:val="00A3108D"/>
    <w:rsid w:val="00A31228"/>
    <w:rsid w:val="00A319A6"/>
    <w:rsid w:val="00A31A8A"/>
    <w:rsid w:val="00A31AA4"/>
    <w:rsid w:val="00A31B5E"/>
    <w:rsid w:val="00A31F9D"/>
    <w:rsid w:val="00A32193"/>
    <w:rsid w:val="00A32760"/>
    <w:rsid w:val="00A327BA"/>
    <w:rsid w:val="00A327DC"/>
    <w:rsid w:val="00A32B46"/>
    <w:rsid w:val="00A32E05"/>
    <w:rsid w:val="00A33516"/>
    <w:rsid w:val="00A33C1C"/>
    <w:rsid w:val="00A341F9"/>
    <w:rsid w:val="00A34421"/>
    <w:rsid w:val="00A345BA"/>
    <w:rsid w:val="00A349D9"/>
    <w:rsid w:val="00A34C7C"/>
    <w:rsid w:val="00A3541B"/>
    <w:rsid w:val="00A3567D"/>
    <w:rsid w:val="00A359E5"/>
    <w:rsid w:val="00A35A6D"/>
    <w:rsid w:val="00A35ADD"/>
    <w:rsid w:val="00A35CC4"/>
    <w:rsid w:val="00A36008"/>
    <w:rsid w:val="00A36380"/>
    <w:rsid w:val="00A36620"/>
    <w:rsid w:val="00A36AB8"/>
    <w:rsid w:val="00A3758A"/>
    <w:rsid w:val="00A37742"/>
    <w:rsid w:val="00A377C7"/>
    <w:rsid w:val="00A37843"/>
    <w:rsid w:val="00A37C1C"/>
    <w:rsid w:val="00A37DD4"/>
    <w:rsid w:val="00A40168"/>
    <w:rsid w:val="00A4046C"/>
    <w:rsid w:val="00A40531"/>
    <w:rsid w:val="00A40749"/>
    <w:rsid w:val="00A40AA7"/>
    <w:rsid w:val="00A413A8"/>
    <w:rsid w:val="00A41892"/>
    <w:rsid w:val="00A41A4D"/>
    <w:rsid w:val="00A41D28"/>
    <w:rsid w:val="00A42150"/>
    <w:rsid w:val="00A424E9"/>
    <w:rsid w:val="00A424F7"/>
    <w:rsid w:val="00A427D8"/>
    <w:rsid w:val="00A427EF"/>
    <w:rsid w:val="00A42B64"/>
    <w:rsid w:val="00A42D11"/>
    <w:rsid w:val="00A434EF"/>
    <w:rsid w:val="00A43556"/>
    <w:rsid w:val="00A435AC"/>
    <w:rsid w:val="00A436D3"/>
    <w:rsid w:val="00A43725"/>
    <w:rsid w:val="00A438C4"/>
    <w:rsid w:val="00A44E18"/>
    <w:rsid w:val="00A45124"/>
    <w:rsid w:val="00A454B5"/>
    <w:rsid w:val="00A457D4"/>
    <w:rsid w:val="00A4582B"/>
    <w:rsid w:val="00A45883"/>
    <w:rsid w:val="00A45A14"/>
    <w:rsid w:val="00A45A92"/>
    <w:rsid w:val="00A45AC5"/>
    <w:rsid w:val="00A45E9F"/>
    <w:rsid w:val="00A45F29"/>
    <w:rsid w:val="00A460CF"/>
    <w:rsid w:val="00A46282"/>
    <w:rsid w:val="00A4633C"/>
    <w:rsid w:val="00A46907"/>
    <w:rsid w:val="00A46D2A"/>
    <w:rsid w:val="00A46D5E"/>
    <w:rsid w:val="00A46EA9"/>
    <w:rsid w:val="00A475BA"/>
    <w:rsid w:val="00A47756"/>
    <w:rsid w:val="00A4780B"/>
    <w:rsid w:val="00A47AD0"/>
    <w:rsid w:val="00A47AD4"/>
    <w:rsid w:val="00A47B01"/>
    <w:rsid w:val="00A47D04"/>
    <w:rsid w:val="00A47E05"/>
    <w:rsid w:val="00A47F03"/>
    <w:rsid w:val="00A47FA3"/>
    <w:rsid w:val="00A47FE3"/>
    <w:rsid w:val="00A50873"/>
    <w:rsid w:val="00A509D3"/>
    <w:rsid w:val="00A50ED7"/>
    <w:rsid w:val="00A51080"/>
    <w:rsid w:val="00A51242"/>
    <w:rsid w:val="00A51643"/>
    <w:rsid w:val="00A51C41"/>
    <w:rsid w:val="00A51DC6"/>
    <w:rsid w:val="00A52014"/>
    <w:rsid w:val="00A5228E"/>
    <w:rsid w:val="00A52383"/>
    <w:rsid w:val="00A5272F"/>
    <w:rsid w:val="00A52A46"/>
    <w:rsid w:val="00A52BA8"/>
    <w:rsid w:val="00A52C34"/>
    <w:rsid w:val="00A53190"/>
    <w:rsid w:val="00A531FA"/>
    <w:rsid w:val="00A5336C"/>
    <w:rsid w:val="00A53715"/>
    <w:rsid w:val="00A53817"/>
    <w:rsid w:val="00A539A1"/>
    <w:rsid w:val="00A54392"/>
    <w:rsid w:val="00A543FB"/>
    <w:rsid w:val="00A54420"/>
    <w:rsid w:val="00A54580"/>
    <w:rsid w:val="00A5473C"/>
    <w:rsid w:val="00A548F3"/>
    <w:rsid w:val="00A5495F"/>
    <w:rsid w:val="00A54C42"/>
    <w:rsid w:val="00A54D3B"/>
    <w:rsid w:val="00A54DFF"/>
    <w:rsid w:val="00A54EDF"/>
    <w:rsid w:val="00A558E6"/>
    <w:rsid w:val="00A55A9F"/>
    <w:rsid w:val="00A55B59"/>
    <w:rsid w:val="00A55BF8"/>
    <w:rsid w:val="00A55D5F"/>
    <w:rsid w:val="00A567F0"/>
    <w:rsid w:val="00A56923"/>
    <w:rsid w:val="00A56A87"/>
    <w:rsid w:val="00A56ED9"/>
    <w:rsid w:val="00A5712E"/>
    <w:rsid w:val="00A57CB5"/>
    <w:rsid w:val="00A57FD1"/>
    <w:rsid w:val="00A606BF"/>
    <w:rsid w:val="00A60C27"/>
    <w:rsid w:val="00A60C61"/>
    <w:rsid w:val="00A60D4D"/>
    <w:rsid w:val="00A60DF7"/>
    <w:rsid w:val="00A60DFF"/>
    <w:rsid w:val="00A61621"/>
    <w:rsid w:val="00A6186A"/>
    <w:rsid w:val="00A6186F"/>
    <w:rsid w:val="00A61FDE"/>
    <w:rsid w:val="00A62593"/>
    <w:rsid w:val="00A62B6C"/>
    <w:rsid w:val="00A62BFC"/>
    <w:rsid w:val="00A62C32"/>
    <w:rsid w:val="00A62CCD"/>
    <w:rsid w:val="00A62F6A"/>
    <w:rsid w:val="00A62F97"/>
    <w:rsid w:val="00A6312D"/>
    <w:rsid w:val="00A63AF0"/>
    <w:rsid w:val="00A6439C"/>
    <w:rsid w:val="00A644A4"/>
    <w:rsid w:val="00A6493A"/>
    <w:rsid w:val="00A64CC8"/>
    <w:rsid w:val="00A64E17"/>
    <w:rsid w:val="00A65385"/>
    <w:rsid w:val="00A65577"/>
    <w:rsid w:val="00A65691"/>
    <w:rsid w:val="00A657FF"/>
    <w:rsid w:val="00A66B87"/>
    <w:rsid w:val="00A66CB0"/>
    <w:rsid w:val="00A66D0C"/>
    <w:rsid w:val="00A66F48"/>
    <w:rsid w:val="00A67638"/>
    <w:rsid w:val="00A676DC"/>
    <w:rsid w:val="00A67899"/>
    <w:rsid w:val="00A67C56"/>
    <w:rsid w:val="00A700AA"/>
    <w:rsid w:val="00A701F0"/>
    <w:rsid w:val="00A70305"/>
    <w:rsid w:val="00A703C4"/>
    <w:rsid w:val="00A70915"/>
    <w:rsid w:val="00A70DB0"/>
    <w:rsid w:val="00A70DCE"/>
    <w:rsid w:val="00A70E36"/>
    <w:rsid w:val="00A71167"/>
    <w:rsid w:val="00A71CC4"/>
    <w:rsid w:val="00A72BC8"/>
    <w:rsid w:val="00A72CFD"/>
    <w:rsid w:val="00A72E12"/>
    <w:rsid w:val="00A732A6"/>
    <w:rsid w:val="00A7338C"/>
    <w:rsid w:val="00A733B7"/>
    <w:rsid w:val="00A7357D"/>
    <w:rsid w:val="00A7369B"/>
    <w:rsid w:val="00A739AD"/>
    <w:rsid w:val="00A73EAC"/>
    <w:rsid w:val="00A73F56"/>
    <w:rsid w:val="00A7403C"/>
    <w:rsid w:val="00A7413F"/>
    <w:rsid w:val="00A741B2"/>
    <w:rsid w:val="00A74264"/>
    <w:rsid w:val="00A743C6"/>
    <w:rsid w:val="00A748FC"/>
    <w:rsid w:val="00A75374"/>
    <w:rsid w:val="00A75AFD"/>
    <w:rsid w:val="00A75B32"/>
    <w:rsid w:val="00A75CA7"/>
    <w:rsid w:val="00A75F92"/>
    <w:rsid w:val="00A76050"/>
    <w:rsid w:val="00A76056"/>
    <w:rsid w:val="00A76255"/>
    <w:rsid w:val="00A7643D"/>
    <w:rsid w:val="00A76F71"/>
    <w:rsid w:val="00A7705D"/>
    <w:rsid w:val="00A77EB3"/>
    <w:rsid w:val="00A80E36"/>
    <w:rsid w:val="00A81177"/>
    <w:rsid w:val="00A812B2"/>
    <w:rsid w:val="00A81BD1"/>
    <w:rsid w:val="00A81D9E"/>
    <w:rsid w:val="00A82023"/>
    <w:rsid w:val="00A8219F"/>
    <w:rsid w:val="00A823A7"/>
    <w:rsid w:val="00A829CE"/>
    <w:rsid w:val="00A82A8D"/>
    <w:rsid w:val="00A82F80"/>
    <w:rsid w:val="00A832AA"/>
    <w:rsid w:val="00A83A2A"/>
    <w:rsid w:val="00A83B94"/>
    <w:rsid w:val="00A83BFA"/>
    <w:rsid w:val="00A83F55"/>
    <w:rsid w:val="00A84060"/>
    <w:rsid w:val="00A8409A"/>
    <w:rsid w:val="00A8435C"/>
    <w:rsid w:val="00A847B0"/>
    <w:rsid w:val="00A85348"/>
    <w:rsid w:val="00A855F1"/>
    <w:rsid w:val="00A85B2F"/>
    <w:rsid w:val="00A85F75"/>
    <w:rsid w:val="00A85F95"/>
    <w:rsid w:val="00A8603C"/>
    <w:rsid w:val="00A86948"/>
    <w:rsid w:val="00A86B8F"/>
    <w:rsid w:val="00A87050"/>
    <w:rsid w:val="00A87092"/>
    <w:rsid w:val="00A872DB"/>
    <w:rsid w:val="00A8731F"/>
    <w:rsid w:val="00A87401"/>
    <w:rsid w:val="00A877EC"/>
    <w:rsid w:val="00A87952"/>
    <w:rsid w:val="00A87DC1"/>
    <w:rsid w:val="00A87E0B"/>
    <w:rsid w:val="00A87ED9"/>
    <w:rsid w:val="00A90899"/>
    <w:rsid w:val="00A90C85"/>
    <w:rsid w:val="00A9100E"/>
    <w:rsid w:val="00A91441"/>
    <w:rsid w:val="00A914BF"/>
    <w:rsid w:val="00A916EC"/>
    <w:rsid w:val="00A91BF0"/>
    <w:rsid w:val="00A91C05"/>
    <w:rsid w:val="00A91DD0"/>
    <w:rsid w:val="00A91E31"/>
    <w:rsid w:val="00A9210D"/>
    <w:rsid w:val="00A92D6E"/>
    <w:rsid w:val="00A931BB"/>
    <w:rsid w:val="00A932F2"/>
    <w:rsid w:val="00A93480"/>
    <w:rsid w:val="00A93779"/>
    <w:rsid w:val="00A9391F"/>
    <w:rsid w:val="00A93A51"/>
    <w:rsid w:val="00A93F4A"/>
    <w:rsid w:val="00A93FC1"/>
    <w:rsid w:val="00A940DF"/>
    <w:rsid w:val="00A944D8"/>
    <w:rsid w:val="00A94709"/>
    <w:rsid w:val="00A94FA5"/>
    <w:rsid w:val="00A95091"/>
    <w:rsid w:val="00A95391"/>
    <w:rsid w:val="00A953A0"/>
    <w:rsid w:val="00A9599A"/>
    <w:rsid w:val="00A95D4E"/>
    <w:rsid w:val="00A95F12"/>
    <w:rsid w:val="00A96465"/>
    <w:rsid w:val="00A96671"/>
    <w:rsid w:val="00A967B6"/>
    <w:rsid w:val="00A9682B"/>
    <w:rsid w:val="00A969E5"/>
    <w:rsid w:val="00A96CFD"/>
    <w:rsid w:val="00A97664"/>
    <w:rsid w:val="00A97986"/>
    <w:rsid w:val="00A97B75"/>
    <w:rsid w:val="00AA0127"/>
    <w:rsid w:val="00AA03EC"/>
    <w:rsid w:val="00AA0764"/>
    <w:rsid w:val="00AA0BC8"/>
    <w:rsid w:val="00AA0D5D"/>
    <w:rsid w:val="00AA0DAC"/>
    <w:rsid w:val="00AA1498"/>
    <w:rsid w:val="00AA1528"/>
    <w:rsid w:val="00AA180D"/>
    <w:rsid w:val="00AA1B58"/>
    <w:rsid w:val="00AA1BB3"/>
    <w:rsid w:val="00AA1C24"/>
    <w:rsid w:val="00AA1D96"/>
    <w:rsid w:val="00AA228E"/>
    <w:rsid w:val="00AA2373"/>
    <w:rsid w:val="00AA2650"/>
    <w:rsid w:val="00AA2696"/>
    <w:rsid w:val="00AA2699"/>
    <w:rsid w:val="00AA2B0E"/>
    <w:rsid w:val="00AA2C3B"/>
    <w:rsid w:val="00AA2C6E"/>
    <w:rsid w:val="00AA2D27"/>
    <w:rsid w:val="00AA3E67"/>
    <w:rsid w:val="00AA415B"/>
    <w:rsid w:val="00AA4513"/>
    <w:rsid w:val="00AA4C2E"/>
    <w:rsid w:val="00AA4DD1"/>
    <w:rsid w:val="00AA5607"/>
    <w:rsid w:val="00AA5CD6"/>
    <w:rsid w:val="00AA609F"/>
    <w:rsid w:val="00AA6265"/>
    <w:rsid w:val="00AA64EE"/>
    <w:rsid w:val="00AA6572"/>
    <w:rsid w:val="00AA6675"/>
    <w:rsid w:val="00AA6ABD"/>
    <w:rsid w:val="00AA6C51"/>
    <w:rsid w:val="00AA756F"/>
    <w:rsid w:val="00AA79D0"/>
    <w:rsid w:val="00AB01D0"/>
    <w:rsid w:val="00AB0407"/>
    <w:rsid w:val="00AB058D"/>
    <w:rsid w:val="00AB0663"/>
    <w:rsid w:val="00AB06EE"/>
    <w:rsid w:val="00AB0816"/>
    <w:rsid w:val="00AB08D7"/>
    <w:rsid w:val="00AB0987"/>
    <w:rsid w:val="00AB0A6A"/>
    <w:rsid w:val="00AB0BEA"/>
    <w:rsid w:val="00AB0C12"/>
    <w:rsid w:val="00AB105F"/>
    <w:rsid w:val="00AB1326"/>
    <w:rsid w:val="00AB13A0"/>
    <w:rsid w:val="00AB177B"/>
    <w:rsid w:val="00AB20C5"/>
    <w:rsid w:val="00AB2504"/>
    <w:rsid w:val="00AB2FAA"/>
    <w:rsid w:val="00AB2FDB"/>
    <w:rsid w:val="00AB30CB"/>
    <w:rsid w:val="00AB31C4"/>
    <w:rsid w:val="00AB32A1"/>
    <w:rsid w:val="00AB3716"/>
    <w:rsid w:val="00AB3ADF"/>
    <w:rsid w:val="00AB3ECC"/>
    <w:rsid w:val="00AB4C3D"/>
    <w:rsid w:val="00AB4D97"/>
    <w:rsid w:val="00AB4ECC"/>
    <w:rsid w:val="00AB508E"/>
    <w:rsid w:val="00AB5266"/>
    <w:rsid w:val="00AB5381"/>
    <w:rsid w:val="00AB57B4"/>
    <w:rsid w:val="00AB5D56"/>
    <w:rsid w:val="00AB6029"/>
    <w:rsid w:val="00AB61C8"/>
    <w:rsid w:val="00AB61F7"/>
    <w:rsid w:val="00AB63D1"/>
    <w:rsid w:val="00AB6C60"/>
    <w:rsid w:val="00AB6D98"/>
    <w:rsid w:val="00AB6F71"/>
    <w:rsid w:val="00AB7174"/>
    <w:rsid w:val="00AB7305"/>
    <w:rsid w:val="00AB764F"/>
    <w:rsid w:val="00AB7922"/>
    <w:rsid w:val="00AB7A73"/>
    <w:rsid w:val="00AB7BBA"/>
    <w:rsid w:val="00AB7BED"/>
    <w:rsid w:val="00AB7E22"/>
    <w:rsid w:val="00AC015C"/>
    <w:rsid w:val="00AC02A9"/>
    <w:rsid w:val="00AC084F"/>
    <w:rsid w:val="00AC085B"/>
    <w:rsid w:val="00AC08E0"/>
    <w:rsid w:val="00AC0B0D"/>
    <w:rsid w:val="00AC0D7D"/>
    <w:rsid w:val="00AC1250"/>
    <w:rsid w:val="00AC155C"/>
    <w:rsid w:val="00AC171B"/>
    <w:rsid w:val="00AC1975"/>
    <w:rsid w:val="00AC1CA4"/>
    <w:rsid w:val="00AC1EAD"/>
    <w:rsid w:val="00AC2048"/>
    <w:rsid w:val="00AC2101"/>
    <w:rsid w:val="00AC2194"/>
    <w:rsid w:val="00AC27A4"/>
    <w:rsid w:val="00AC29BB"/>
    <w:rsid w:val="00AC3044"/>
    <w:rsid w:val="00AC310B"/>
    <w:rsid w:val="00AC3141"/>
    <w:rsid w:val="00AC3351"/>
    <w:rsid w:val="00AC3616"/>
    <w:rsid w:val="00AC39A9"/>
    <w:rsid w:val="00AC3C3A"/>
    <w:rsid w:val="00AC3E75"/>
    <w:rsid w:val="00AC4014"/>
    <w:rsid w:val="00AC4462"/>
    <w:rsid w:val="00AC4825"/>
    <w:rsid w:val="00AC4A60"/>
    <w:rsid w:val="00AC4DE3"/>
    <w:rsid w:val="00AC4FD8"/>
    <w:rsid w:val="00AC5B48"/>
    <w:rsid w:val="00AC5CD7"/>
    <w:rsid w:val="00AC60B1"/>
    <w:rsid w:val="00AC612B"/>
    <w:rsid w:val="00AC61BF"/>
    <w:rsid w:val="00AC6851"/>
    <w:rsid w:val="00AC68EF"/>
    <w:rsid w:val="00AC6C3E"/>
    <w:rsid w:val="00AC6EE9"/>
    <w:rsid w:val="00AC6FFE"/>
    <w:rsid w:val="00AC7193"/>
    <w:rsid w:val="00AC7351"/>
    <w:rsid w:val="00AC741C"/>
    <w:rsid w:val="00AC761B"/>
    <w:rsid w:val="00AC779F"/>
    <w:rsid w:val="00AC7C4D"/>
    <w:rsid w:val="00AC7D4C"/>
    <w:rsid w:val="00AC7FA2"/>
    <w:rsid w:val="00AD00E4"/>
    <w:rsid w:val="00AD0414"/>
    <w:rsid w:val="00AD0942"/>
    <w:rsid w:val="00AD0AE0"/>
    <w:rsid w:val="00AD0EB3"/>
    <w:rsid w:val="00AD0F39"/>
    <w:rsid w:val="00AD137F"/>
    <w:rsid w:val="00AD13DC"/>
    <w:rsid w:val="00AD1877"/>
    <w:rsid w:val="00AD19F3"/>
    <w:rsid w:val="00AD1DAA"/>
    <w:rsid w:val="00AD1ED1"/>
    <w:rsid w:val="00AD242D"/>
    <w:rsid w:val="00AD263D"/>
    <w:rsid w:val="00AD2801"/>
    <w:rsid w:val="00AD2A26"/>
    <w:rsid w:val="00AD2B50"/>
    <w:rsid w:val="00AD2C8C"/>
    <w:rsid w:val="00AD3299"/>
    <w:rsid w:val="00AD32E4"/>
    <w:rsid w:val="00AD37C6"/>
    <w:rsid w:val="00AD397E"/>
    <w:rsid w:val="00AD3B7D"/>
    <w:rsid w:val="00AD3C19"/>
    <w:rsid w:val="00AD3CD8"/>
    <w:rsid w:val="00AD3E2C"/>
    <w:rsid w:val="00AD3F31"/>
    <w:rsid w:val="00AD4479"/>
    <w:rsid w:val="00AD4765"/>
    <w:rsid w:val="00AD51B4"/>
    <w:rsid w:val="00AD54E9"/>
    <w:rsid w:val="00AD5823"/>
    <w:rsid w:val="00AD5AAD"/>
    <w:rsid w:val="00AD5B58"/>
    <w:rsid w:val="00AD5B6C"/>
    <w:rsid w:val="00AD5F0E"/>
    <w:rsid w:val="00AD6768"/>
    <w:rsid w:val="00AD6C31"/>
    <w:rsid w:val="00AD6D8D"/>
    <w:rsid w:val="00AD7246"/>
    <w:rsid w:val="00AD7466"/>
    <w:rsid w:val="00AD7687"/>
    <w:rsid w:val="00AD79A3"/>
    <w:rsid w:val="00AD7E8E"/>
    <w:rsid w:val="00AE0E75"/>
    <w:rsid w:val="00AE15A2"/>
    <w:rsid w:val="00AE17A8"/>
    <w:rsid w:val="00AE1A24"/>
    <w:rsid w:val="00AE1C4E"/>
    <w:rsid w:val="00AE22AB"/>
    <w:rsid w:val="00AE23A3"/>
    <w:rsid w:val="00AE23C1"/>
    <w:rsid w:val="00AE2479"/>
    <w:rsid w:val="00AE25CB"/>
    <w:rsid w:val="00AE2921"/>
    <w:rsid w:val="00AE2A01"/>
    <w:rsid w:val="00AE2AB7"/>
    <w:rsid w:val="00AE2D88"/>
    <w:rsid w:val="00AE2DC2"/>
    <w:rsid w:val="00AE2EF1"/>
    <w:rsid w:val="00AE2EF9"/>
    <w:rsid w:val="00AE2F11"/>
    <w:rsid w:val="00AE3093"/>
    <w:rsid w:val="00AE31D4"/>
    <w:rsid w:val="00AE3218"/>
    <w:rsid w:val="00AE3412"/>
    <w:rsid w:val="00AE3461"/>
    <w:rsid w:val="00AE34B5"/>
    <w:rsid w:val="00AE3554"/>
    <w:rsid w:val="00AE365B"/>
    <w:rsid w:val="00AE39BE"/>
    <w:rsid w:val="00AE4188"/>
    <w:rsid w:val="00AE43A4"/>
    <w:rsid w:val="00AE4C9F"/>
    <w:rsid w:val="00AE4CB7"/>
    <w:rsid w:val="00AE4DDD"/>
    <w:rsid w:val="00AE5041"/>
    <w:rsid w:val="00AE5436"/>
    <w:rsid w:val="00AE559D"/>
    <w:rsid w:val="00AE56A3"/>
    <w:rsid w:val="00AE5D97"/>
    <w:rsid w:val="00AE614A"/>
    <w:rsid w:val="00AE641A"/>
    <w:rsid w:val="00AE6607"/>
    <w:rsid w:val="00AE6784"/>
    <w:rsid w:val="00AE67C7"/>
    <w:rsid w:val="00AE6835"/>
    <w:rsid w:val="00AE6E4D"/>
    <w:rsid w:val="00AE701A"/>
    <w:rsid w:val="00AE7120"/>
    <w:rsid w:val="00AE72CB"/>
    <w:rsid w:val="00AE762B"/>
    <w:rsid w:val="00AE772A"/>
    <w:rsid w:val="00AE79A9"/>
    <w:rsid w:val="00AE7B98"/>
    <w:rsid w:val="00AE7D92"/>
    <w:rsid w:val="00AF02F6"/>
    <w:rsid w:val="00AF06F6"/>
    <w:rsid w:val="00AF0775"/>
    <w:rsid w:val="00AF0851"/>
    <w:rsid w:val="00AF0B2D"/>
    <w:rsid w:val="00AF0F09"/>
    <w:rsid w:val="00AF10C8"/>
    <w:rsid w:val="00AF1107"/>
    <w:rsid w:val="00AF1188"/>
    <w:rsid w:val="00AF11C9"/>
    <w:rsid w:val="00AF11DE"/>
    <w:rsid w:val="00AF1229"/>
    <w:rsid w:val="00AF1507"/>
    <w:rsid w:val="00AF1A5B"/>
    <w:rsid w:val="00AF1E4F"/>
    <w:rsid w:val="00AF1ED7"/>
    <w:rsid w:val="00AF2125"/>
    <w:rsid w:val="00AF2646"/>
    <w:rsid w:val="00AF2BC9"/>
    <w:rsid w:val="00AF32E5"/>
    <w:rsid w:val="00AF375D"/>
    <w:rsid w:val="00AF3771"/>
    <w:rsid w:val="00AF3815"/>
    <w:rsid w:val="00AF3C45"/>
    <w:rsid w:val="00AF3E09"/>
    <w:rsid w:val="00AF4045"/>
    <w:rsid w:val="00AF42A1"/>
    <w:rsid w:val="00AF4B9B"/>
    <w:rsid w:val="00AF4D15"/>
    <w:rsid w:val="00AF4DEA"/>
    <w:rsid w:val="00AF4E99"/>
    <w:rsid w:val="00AF52FE"/>
    <w:rsid w:val="00AF54FD"/>
    <w:rsid w:val="00AF5953"/>
    <w:rsid w:val="00AF5A29"/>
    <w:rsid w:val="00AF5AFE"/>
    <w:rsid w:val="00AF5B6D"/>
    <w:rsid w:val="00AF5BC7"/>
    <w:rsid w:val="00AF5CDE"/>
    <w:rsid w:val="00AF5CE0"/>
    <w:rsid w:val="00AF5D54"/>
    <w:rsid w:val="00AF64A1"/>
    <w:rsid w:val="00AF658A"/>
    <w:rsid w:val="00AF65A4"/>
    <w:rsid w:val="00AF65EC"/>
    <w:rsid w:val="00AF666A"/>
    <w:rsid w:val="00AF66C6"/>
    <w:rsid w:val="00AF708E"/>
    <w:rsid w:val="00AF71A8"/>
    <w:rsid w:val="00AF746B"/>
    <w:rsid w:val="00AF758F"/>
    <w:rsid w:val="00AF76D5"/>
    <w:rsid w:val="00AF79B7"/>
    <w:rsid w:val="00AF7AE2"/>
    <w:rsid w:val="00AF7B1F"/>
    <w:rsid w:val="00AF7B36"/>
    <w:rsid w:val="00AF7B90"/>
    <w:rsid w:val="00AF7D9D"/>
    <w:rsid w:val="00B000B2"/>
    <w:rsid w:val="00B00130"/>
    <w:rsid w:val="00B00579"/>
    <w:rsid w:val="00B0069C"/>
    <w:rsid w:val="00B006A3"/>
    <w:rsid w:val="00B006EE"/>
    <w:rsid w:val="00B0086A"/>
    <w:rsid w:val="00B00962"/>
    <w:rsid w:val="00B00A03"/>
    <w:rsid w:val="00B00B22"/>
    <w:rsid w:val="00B00BDD"/>
    <w:rsid w:val="00B01288"/>
    <w:rsid w:val="00B014D3"/>
    <w:rsid w:val="00B01539"/>
    <w:rsid w:val="00B01BB8"/>
    <w:rsid w:val="00B01BC0"/>
    <w:rsid w:val="00B01CDF"/>
    <w:rsid w:val="00B01EC0"/>
    <w:rsid w:val="00B01ECB"/>
    <w:rsid w:val="00B01F32"/>
    <w:rsid w:val="00B0220A"/>
    <w:rsid w:val="00B02765"/>
    <w:rsid w:val="00B02BA3"/>
    <w:rsid w:val="00B032E8"/>
    <w:rsid w:val="00B03355"/>
    <w:rsid w:val="00B03473"/>
    <w:rsid w:val="00B0349B"/>
    <w:rsid w:val="00B034F5"/>
    <w:rsid w:val="00B03712"/>
    <w:rsid w:val="00B03A2B"/>
    <w:rsid w:val="00B03ACA"/>
    <w:rsid w:val="00B03B42"/>
    <w:rsid w:val="00B03F6B"/>
    <w:rsid w:val="00B04DA0"/>
    <w:rsid w:val="00B04E58"/>
    <w:rsid w:val="00B05023"/>
    <w:rsid w:val="00B05451"/>
    <w:rsid w:val="00B05860"/>
    <w:rsid w:val="00B05903"/>
    <w:rsid w:val="00B05999"/>
    <w:rsid w:val="00B05DC0"/>
    <w:rsid w:val="00B05DC5"/>
    <w:rsid w:val="00B060EF"/>
    <w:rsid w:val="00B0614F"/>
    <w:rsid w:val="00B063E6"/>
    <w:rsid w:val="00B068DC"/>
    <w:rsid w:val="00B06D76"/>
    <w:rsid w:val="00B06EE7"/>
    <w:rsid w:val="00B06F5C"/>
    <w:rsid w:val="00B07144"/>
    <w:rsid w:val="00B0723C"/>
    <w:rsid w:val="00B073E0"/>
    <w:rsid w:val="00B07717"/>
    <w:rsid w:val="00B07908"/>
    <w:rsid w:val="00B079EB"/>
    <w:rsid w:val="00B07BC2"/>
    <w:rsid w:val="00B07F5C"/>
    <w:rsid w:val="00B10001"/>
    <w:rsid w:val="00B10253"/>
    <w:rsid w:val="00B10650"/>
    <w:rsid w:val="00B10975"/>
    <w:rsid w:val="00B10C3C"/>
    <w:rsid w:val="00B10FC9"/>
    <w:rsid w:val="00B11132"/>
    <w:rsid w:val="00B1114A"/>
    <w:rsid w:val="00B112C0"/>
    <w:rsid w:val="00B115B0"/>
    <w:rsid w:val="00B118E0"/>
    <w:rsid w:val="00B119FB"/>
    <w:rsid w:val="00B11B0D"/>
    <w:rsid w:val="00B1200D"/>
    <w:rsid w:val="00B124D0"/>
    <w:rsid w:val="00B124D5"/>
    <w:rsid w:val="00B128F9"/>
    <w:rsid w:val="00B12FA2"/>
    <w:rsid w:val="00B131F2"/>
    <w:rsid w:val="00B13238"/>
    <w:rsid w:val="00B1324C"/>
    <w:rsid w:val="00B13763"/>
    <w:rsid w:val="00B1407D"/>
    <w:rsid w:val="00B14890"/>
    <w:rsid w:val="00B14DE2"/>
    <w:rsid w:val="00B1511C"/>
    <w:rsid w:val="00B151FE"/>
    <w:rsid w:val="00B1561A"/>
    <w:rsid w:val="00B159F0"/>
    <w:rsid w:val="00B15BF8"/>
    <w:rsid w:val="00B15C4A"/>
    <w:rsid w:val="00B15D70"/>
    <w:rsid w:val="00B16279"/>
    <w:rsid w:val="00B16385"/>
    <w:rsid w:val="00B1651C"/>
    <w:rsid w:val="00B16554"/>
    <w:rsid w:val="00B166A7"/>
    <w:rsid w:val="00B168AF"/>
    <w:rsid w:val="00B168FA"/>
    <w:rsid w:val="00B17129"/>
    <w:rsid w:val="00B171EE"/>
    <w:rsid w:val="00B1741A"/>
    <w:rsid w:val="00B175C0"/>
    <w:rsid w:val="00B17ADE"/>
    <w:rsid w:val="00B17D78"/>
    <w:rsid w:val="00B17F1E"/>
    <w:rsid w:val="00B20655"/>
    <w:rsid w:val="00B20B5E"/>
    <w:rsid w:val="00B20BD2"/>
    <w:rsid w:val="00B20DB3"/>
    <w:rsid w:val="00B211A0"/>
    <w:rsid w:val="00B2137D"/>
    <w:rsid w:val="00B214BA"/>
    <w:rsid w:val="00B216FA"/>
    <w:rsid w:val="00B219D4"/>
    <w:rsid w:val="00B21A80"/>
    <w:rsid w:val="00B21F31"/>
    <w:rsid w:val="00B22880"/>
    <w:rsid w:val="00B23207"/>
    <w:rsid w:val="00B23238"/>
    <w:rsid w:val="00B234E8"/>
    <w:rsid w:val="00B235AF"/>
    <w:rsid w:val="00B235CD"/>
    <w:rsid w:val="00B23812"/>
    <w:rsid w:val="00B239A0"/>
    <w:rsid w:val="00B239BC"/>
    <w:rsid w:val="00B23C27"/>
    <w:rsid w:val="00B23F16"/>
    <w:rsid w:val="00B23F45"/>
    <w:rsid w:val="00B2401A"/>
    <w:rsid w:val="00B240BD"/>
    <w:rsid w:val="00B246B8"/>
    <w:rsid w:val="00B247D8"/>
    <w:rsid w:val="00B24885"/>
    <w:rsid w:val="00B24B79"/>
    <w:rsid w:val="00B24DB0"/>
    <w:rsid w:val="00B24EF2"/>
    <w:rsid w:val="00B24F51"/>
    <w:rsid w:val="00B24FD3"/>
    <w:rsid w:val="00B25223"/>
    <w:rsid w:val="00B25323"/>
    <w:rsid w:val="00B254B3"/>
    <w:rsid w:val="00B25565"/>
    <w:rsid w:val="00B256BF"/>
    <w:rsid w:val="00B25CEE"/>
    <w:rsid w:val="00B25E3F"/>
    <w:rsid w:val="00B25E87"/>
    <w:rsid w:val="00B25EF6"/>
    <w:rsid w:val="00B2619D"/>
    <w:rsid w:val="00B26548"/>
    <w:rsid w:val="00B26A5F"/>
    <w:rsid w:val="00B26B40"/>
    <w:rsid w:val="00B26C51"/>
    <w:rsid w:val="00B27035"/>
    <w:rsid w:val="00B27087"/>
    <w:rsid w:val="00B2713F"/>
    <w:rsid w:val="00B272CC"/>
    <w:rsid w:val="00B276E8"/>
    <w:rsid w:val="00B2784D"/>
    <w:rsid w:val="00B27920"/>
    <w:rsid w:val="00B27AB7"/>
    <w:rsid w:val="00B27D0A"/>
    <w:rsid w:val="00B27DD9"/>
    <w:rsid w:val="00B30325"/>
    <w:rsid w:val="00B3069B"/>
    <w:rsid w:val="00B306F0"/>
    <w:rsid w:val="00B307B4"/>
    <w:rsid w:val="00B309F6"/>
    <w:rsid w:val="00B30D2F"/>
    <w:rsid w:val="00B31354"/>
    <w:rsid w:val="00B31419"/>
    <w:rsid w:val="00B31600"/>
    <w:rsid w:val="00B31A99"/>
    <w:rsid w:val="00B31BE1"/>
    <w:rsid w:val="00B31D82"/>
    <w:rsid w:val="00B31DA8"/>
    <w:rsid w:val="00B3217C"/>
    <w:rsid w:val="00B32757"/>
    <w:rsid w:val="00B327E8"/>
    <w:rsid w:val="00B32969"/>
    <w:rsid w:val="00B32F07"/>
    <w:rsid w:val="00B33B1D"/>
    <w:rsid w:val="00B33BC8"/>
    <w:rsid w:val="00B33EA7"/>
    <w:rsid w:val="00B33F67"/>
    <w:rsid w:val="00B34818"/>
    <w:rsid w:val="00B34993"/>
    <w:rsid w:val="00B34F41"/>
    <w:rsid w:val="00B34FD6"/>
    <w:rsid w:val="00B35025"/>
    <w:rsid w:val="00B35154"/>
    <w:rsid w:val="00B3524B"/>
    <w:rsid w:val="00B35264"/>
    <w:rsid w:val="00B35585"/>
    <w:rsid w:val="00B357DF"/>
    <w:rsid w:val="00B3581A"/>
    <w:rsid w:val="00B3588D"/>
    <w:rsid w:val="00B35A2B"/>
    <w:rsid w:val="00B360F1"/>
    <w:rsid w:val="00B3624C"/>
    <w:rsid w:val="00B36A4E"/>
    <w:rsid w:val="00B36B08"/>
    <w:rsid w:val="00B36B23"/>
    <w:rsid w:val="00B36DD6"/>
    <w:rsid w:val="00B36EED"/>
    <w:rsid w:val="00B37650"/>
    <w:rsid w:val="00B376D2"/>
    <w:rsid w:val="00B37C81"/>
    <w:rsid w:val="00B37DC1"/>
    <w:rsid w:val="00B37FC7"/>
    <w:rsid w:val="00B40321"/>
    <w:rsid w:val="00B405CE"/>
    <w:rsid w:val="00B40852"/>
    <w:rsid w:val="00B40892"/>
    <w:rsid w:val="00B41530"/>
    <w:rsid w:val="00B41CF8"/>
    <w:rsid w:val="00B41D7B"/>
    <w:rsid w:val="00B42285"/>
    <w:rsid w:val="00B424C0"/>
    <w:rsid w:val="00B424FE"/>
    <w:rsid w:val="00B42567"/>
    <w:rsid w:val="00B428C6"/>
    <w:rsid w:val="00B4293D"/>
    <w:rsid w:val="00B42974"/>
    <w:rsid w:val="00B42A03"/>
    <w:rsid w:val="00B42ABF"/>
    <w:rsid w:val="00B43233"/>
    <w:rsid w:val="00B432DA"/>
    <w:rsid w:val="00B4358C"/>
    <w:rsid w:val="00B43C23"/>
    <w:rsid w:val="00B43EF7"/>
    <w:rsid w:val="00B44026"/>
    <w:rsid w:val="00B4405D"/>
    <w:rsid w:val="00B4433C"/>
    <w:rsid w:val="00B443F7"/>
    <w:rsid w:val="00B4461F"/>
    <w:rsid w:val="00B4463D"/>
    <w:rsid w:val="00B44718"/>
    <w:rsid w:val="00B44A07"/>
    <w:rsid w:val="00B44AA3"/>
    <w:rsid w:val="00B44BAB"/>
    <w:rsid w:val="00B44F5A"/>
    <w:rsid w:val="00B455FA"/>
    <w:rsid w:val="00B4599F"/>
    <w:rsid w:val="00B45DE8"/>
    <w:rsid w:val="00B461B9"/>
    <w:rsid w:val="00B46890"/>
    <w:rsid w:val="00B46AC5"/>
    <w:rsid w:val="00B474EE"/>
    <w:rsid w:val="00B47549"/>
    <w:rsid w:val="00B47812"/>
    <w:rsid w:val="00B4793B"/>
    <w:rsid w:val="00B47962"/>
    <w:rsid w:val="00B50075"/>
    <w:rsid w:val="00B50106"/>
    <w:rsid w:val="00B5040E"/>
    <w:rsid w:val="00B50863"/>
    <w:rsid w:val="00B50958"/>
    <w:rsid w:val="00B50FD4"/>
    <w:rsid w:val="00B511D5"/>
    <w:rsid w:val="00B51D5B"/>
    <w:rsid w:val="00B525A5"/>
    <w:rsid w:val="00B528DA"/>
    <w:rsid w:val="00B52B3B"/>
    <w:rsid w:val="00B52B88"/>
    <w:rsid w:val="00B52E8E"/>
    <w:rsid w:val="00B52EA5"/>
    <w:rsid w:val="00B52FC5"/>
    <w:rsid w:val="00B53063"/>
    <w:rsid w:val="00B5366E"/>
    <w:rsid w:val="00B54037"/>
    <w:rsid w:val="00B54B3B"/>
    <w:rsid w:val="00B553DE"/>
    <w:rsid w:val="00B55AF6"/>
    <w:rsid w:val="00B55BBB"/>
    <w:rsid w:val="00B55C65"/>
    <w:rsid w:val="00B55D27"/>
    <w:rsid w:val="00B56072"/>
    <w:rsid w:val="00B56B3E"/>
    <w:rsid w:val="00B57191"/>
    <w:rsid w:val="00B578DF"/>
    <w:rsid w:val="00B57D54"/>
    <w:rsid w:val="00B57E50"/>
    <w:rsid w:val="00B602CE"/>
    <w:rsid w:val="00B610FB"/>
    <w:rsid w:val="00B6117A"/>
    <w:rsid w:val="00B61995"/>
    <w:rsid w:val="00B61BB7"/>
    <w:rsid w:val="00B61D65"/>
    <w:rsid w:val="00B61D9A"/>
    <w:rsid w:val="00B61E87"/>
    <w:rsid w:val="00B61EDA"/>
    <w:rsid w:val="00B61F65"/>
    <w:rsid w:val="00B6232C"/>
    <w:rsid w:val="00B62410"/>
    <w:rsid w:val="00B627C5"/>
    <w:rsid w:val="00B62A8D"/>
    <w:rsid w:val="00B62BAC"/>
    <w:rsid w:val="00B6301F"/>
    <w:rsid w:val="00B63514"/>
    <w:rsid w:val="00B63860"/>
    <w:rsid w:val="00B63A6D"/>
    <w:rsid w:val="00B63C1C"/>
    <w:rsid w:val="00B63FF2"/>
    <w:rsid w:val="00B643BB"/>
    <w:rsid w:val="00B64913"/>
    <w:rsid w:val="00B649AB"/>
    <w:rsid w:val="00B64C04"/>
    <w:rsid w:val="00B64C20"/>
    <w:rsid w:val="00B64EC4"/>
    <w:rsid w:val="00B64F9D"/>
    <w:rsid w:val="00B65085"/>
    <w:rsid w:val="00B650C7"/>
    <w:rsid w:val="00B65137"/>
    <w:rsid w:val="00B65712"/>
    <w:rsid w:val="00B65C27"/>
    <w:rsid w:val="00B65D92"/>
    <w:rsid w:val="00B66007"/>
    <w:rsid w:val="00B6674B"/>
    <w:rsid w:val="00B667B1"/>
    <w:rsid w:val="00B66927"/>
    <w:rsid w:val="00B669B4"/>
    <w:rsid w:val="00B66AC9"/>
    <w:rsid w:val="00B66BEC"/>
    <w:rsid w:val="00B6714F"/>
    <w:rsid w:val="00B673D5"/>
    <w:rsid w:val="00B677E6"/>
    <w:rsid w:val="00B67855"/>
    <w:rsid w:val="00B67AE7"/>
    <w:rsid w:val="00B67F0E"/>
    <w:rsid w:val="00B67F18"/>
    <w:rsid w:val="00B70E14"/>
    <w:rsid w:val="00B70E49"/>
    <w:rsid w:val="00B71368"/>
    <w:rsid w:val="00B71FEB"/>
    <w:rsid w:val="00B72333"/>
    <w:rsid w:val="00B72350"/>
    <w:rsid w:val="00B72492"/>
    <w:rsid w:val="00B726C4"/>
    <w:rsid w:val="00B728D2"/>
    <w:rsid w:val="00B72993"/>
    <w:rsid w:val="00B72994"/>
    <w:rsid w:val="00B72B6F"/>
    <w:rsid w:val="00B72B92"/>
    <w:rsid w:val="00B72BF5"/>
    <w:rsid w:val="00B72E2C"/>
    <w:rsid w:val="00B72FB4"/>
    <w:rsid w:val="00B734B4"/>
    <w:rsid w:val="00B73C4F"/>
    <w:rsid w:val="00B73D57"/>
    <w:rsid w:val="00B74514"/>
    <w:rsid w:val="00B74B0B"/>
    <w:rsid w:val="00B74CBC"/>
    <w:rsid w:val="00B74EC9"/>
    <w:rsid w:val="00B74FD7"/>
    <w:rsid w:val="00B754E2"/>
    <w:rsid w:val="00B75B26"/>
    <w:rsid w:val="00B7604E"/>
    <w:rsid w:val="00B762EA"/>
    <w:rsid w:val="00B7671A"/>
    <w:rsid w:val="00B76952"/>
    <w:rsid w:val="00B76AA5"/>
    <w:rsid w:val="00B76C91"/>
    <w:rsid w:val="00B77DF9"/>
    <w:rsid w:val="00B77E7E"/>
    <w:rsid w:val="00B801B8"/>
    <w:rsid w:val="00B8020F"/>
    <w:rsid w:val="00B8037D"/>
    <w:rsid w:val="00B80381"/>
    <w:rsid w:val="00B808FB"/>
    <w:rsid w:val="00B80C04"/>
    <w:rsid w:val="00B80D01"/>
    <w:rsid w:val="00B80DE9"/>
    <w:rsid w:val="00B8121F"/>
    <w:rsid w:val="00B81574"/>
    <w:rsid w:val="00B81604"/>
    <w:rsid w:val="00B81826"/>
    <w:rsid w:val="00B818AD"/>
    <w:rsid w:val="00B81AD0"/>
    <w:rsid w:val="00B81C6C"/>
    <w:rsid w:val="00B81F37"/>
    <w:rsid w:val="00B82197"/>
    <w:rsid w:val="00B8236E"/>
    <w:rsid w:val="00B823D0"/>
    <w:rsid w:val="00B8266E"/>
    <w:rsid w:val="00B828C7"/>
    <w:rsid w:val="00B82CAE"/>
    <w:rsid w:val="00B82D3E"/>
    <w:rsid w:val="00B82D41"/>
    <w:rsid w:val="00B82D5A"/>
    <w:rsid w:val="00B82F6D"/>
    <w:rsid w:val="00B83475"/>
    <w:rsid w:val="00B835BD"/>
    <w:rsid w:val="00B83A84"/>
    <w:rsid w:val="00B83BB8"/>
    <w:rsid w:val="00B83D43"/>
    <w:rsid w:val="00B83DAE"/>
    <w:rsid w:val="00B84041"/>
    <w:rsid w:val="00B841F0"/>
    <w:rsid w:val="00B845B1"/>
    <w:rsid w:val="00B8495C"/>
    <w:rsid w:val="00B8496B"/>
    <w:rsid w:val="00B84AB2"/>
    <w:rsid w:val="00B84B6F"/>
    <w:rsid w:val="00B84D6D"/>
    <w:rsid w:val="00B84DE4"/>
    <w:rsid w:val="00B8568B"/>
    <w:rsid w:val="00B85803"/>
    <w:rsid w:val="00B8660F"/>
    <w:rsid w:val="00B867A2"/>
    <w:rsid w:val="00B86A60"/>
    <w:rsid w:val="00B86B95"/>
    <w:rsid w:val="00B86C5B"/>
    <w:rsid w:val="00B86D00"/>
    <w:rsid w:val="00B86FDE"/>
    <w:rsid w:val="00B872DD"/>
    <w:rsid w:val="00B8767A"/>
    <w:rsid w:val="00B87736"/>
    <w:rsid w:val="00B87739"/>
    <w:rsid w:val="00B87BC4"/>
    <w:rsid w:val="00B87D2F"/>
    <w:rsid w:val="00B902D4"/>
    <w:rsid w:val="00B902EE"/>
    <w:rsid w:val="00B90368"/>
    <w:rsid w:val="00B9039C"/>
    <w:rsid w:val="00B906F7"/>
    <w:rsid w:val="00B90DF4"/>
    <w:rsid w:val="00B91001"/>
    <w:rsid w:val="00B9156F"/>
    <w:rsid w:val="00B916D4"/>
    <w:rsid w:val="00B917ED"/>
    <w:rsid w:val="00B9219E"/>
    <w:rsid w:val="00B9226A"/>
    <w:rsid w:val="00B92426"/>
    <w:rsid w:val="00B9244F"/>
    <w:rsid w:val="00B92450"/>
    <w:rsid w:val="00B925A3"/>
    <w:rsid w:val="00B92770"/>
    <w:rsid w:val="00B9286B"/>
    <w:rsid w:val="00B9286D"/>
    <w:rsid w:val="00B92899"/>
    <w:rsid w:val="00B92BA3"/>
    <w:rsid w:val="00B92DE5"/>
    <w:rsid w:val="00B9310A"/>
    <w:rsid w:val="00B9346E"/>
    <w:rsid w:val="00B93478"/>
    <w:rsid w:val="00B935C9"/>
    <w:rsid w:val="00B935F6"/>
    <w:rsid w:val="00B936B2"/>
    <w:rsid w:val="00B939D0"/>
    <w:rsid w:val="00B93ADF"/>
    <w:rsid w:val="00B93F95"/>
    <w:rsid w:val="00B941D8"/>
    <w:rsid w:val="00B941F0"/>
    <w:rsid w:val="00B942E0"/>
    <w:rsid w:val="00B945AC"/>
    <w:rsid w:val="00B94764"/>
    <w:rsid w:val="00B9476C"/>
    <w:rsid w:val="00B94AB2"/>
    <w:rsid w:val="00B94BC2"/>
    <w:rsid w:val="00B94CE8"/>
    <w:rsid w:val="00B94D1C"/>
    <w:rsid w:val="00B94D5E"/>
    <w:rsid w:val="00B94DDD"/>
    <w:rsid w:val="00B9536A"/>
    <w:rsid w:val="00B955AA"/>
    <w:rsid w:val="00B95C71"/>
    <w:rsid w:val="00B95CD1"/>
    <w:rsid w:val="00B95DC8"/>
    <w:rsid w:val="00B95DFF"/>
    <w:rsid w:val="00B95F43"/>
    <w:rsid w:val="00B9605B"/>
    <w:rsid w:val="00B961FE"/>
    <w:rsid w:val="00B9634C"/>
    <w:rsid w:val="00B969A7"/>
    <w:rsid w:val="00B96B39"/>
    <w:rsid w:val="00B9716C"/>
    <w:rsid w:val="00B9750F"/>
    <w:rsid w:val="00B97ABB"/>
    <w:rsid w:val="00B97F56"/>
    <w:rsid w:val="00BA014F"/>
    <w:rsid w:val="00BA08B0"/>
    <w:rsid w:val="00BA0D17"/>
    <w:rsid w:val="00BA0DF8"/>
    <w:rsid w:val="00BA118B"/>
    <w:rsid w:val="00BA138F"/>
    <w:rsid w:val="00BA154D"/>
    <w:rsid w:val="00BA1829"/>
    <w:rsid w:val="00BA1A89"/>
    <w:rsid w:val="00BA1B78"/>
    <w:rsid w:val="00BA1E49"/>
    <w:rsid w:val="00BA1E55"/>
    <w:rsid w:val="00BA20FE"/>
    <w:rsid w:val="00BA22BF"/>
    <w:rsid w:val="00BA26C8"/>
    <w:rsid w:val="00BA27BC"/>
    <w:rsid w:val="00BA287F"/>
    <w:rsid w:val="00BA29EA"/>
    <w:rsid w:val="00BA2B53"/>
    <w:rsid w:val="00BA3198"/>
    <w:rsid w:val="00BA32EA"/>
    <w:rsid w:val="00BA335D"/>
    <w:rsid w:val="00BA36B0"/>
    <w:rsid w:val="00BA37A1"/>
    <w:rsid w:val="00BA3805"/>
    <w:rsid w:val="00BA385F"/>
    <w:rsid w:val="00BA3E43"/>
    <w:rsid w:val="00BA3ED0"/>
    <w:rsid w:val="00BA403E"/>
    <w:rsid w:val="00BA440C"/>
    <w:rsid w:val="00BA4D43"/>
    <w:rsid w:val="00BA4DA2"/>
    <w:rsid w:val="00BA4EBF"/>
    <w:rsid w:val="00BA4EF1"/>
    <w:rsid w:val="00BA4F83"/>
    <w:rsid w:val="00BA515E"/>
    <w:rsid w:val="00BA53D7"/>
    <w:rsid w:val="00BA5562"/>
    <w:rsid w:val="00BA580C"/>
    <w:rsid w:val="00BA5E02"/>
    <w:rsid w:val="00BA5E66"/>
    <w:rsid w:val="00BA5F43"/>
    <w:rsid w:val="00BA6484"/>
    <w:rsid w:val="00BA649E"/>
    <w:rsid w:val="00BA6582"/>
    <w:rsid w:val="00BA6E93"/>
    <w:rsid w:val="00BA72CD"/>
    <w:rsid w:val="00BA7AFB"/>
    <w:rsid w:val="00BA7D8C"/>
    <w:rsid w:val="00BB0667"/>
    <w:rsid w:val="00BB066B"/>
    <w:rsid w:val="00BB068B"/>
    <w:rsid w:val="00BB07C1"/>
    <w:rsid w:val="00BB08D7"/>
    <w:rsid w:val="00BB0B64"/>
    <w:rsid w:val="00BB0FE1"/>
    <w:rsid w:val="00BB177A"/>
    <w:rsid w:val="00BB1BA3"/>
    <w:rsid w:val="00BB1D25"/>
    <w:rsid w:val="00BB1E89"/>
    <w:rsid w:val="00BB264D"/>
    <w:rsid w:val="00BB3162"/>
    <w:rsid w:val="00BB3407"/>
    <w:rsid w:val="00BB370E"/>
    <w:rsid w:val="00BB3D07"/>
    <w:rsid w:val="00BB3DB4"/>
    <w:rsid w:val="00BB3DCE"/>
    <w:rsid w:val="00BB3EAD"/>
    <w:rsid w:val="00BB3FE2"/>
    <w:rsid w:val="00BB43A9"/>
    <w:rsid w:val="00BB444A"/>
    <w:rsid w:val="00BB45AE"/>
    <w:rsid w:val="00BB515F"/>
    <w:rsid w:val="00BB5223"/>
    <w:rsid w:val="00BB5611"/>
    <w:rsid w:val="00BB5701"/>
    <w:rsid w:val="00BB5A53"/>
    <w:rsid w:val="00BB5A94"/>
    <w:rsid w:val="00BB5CFA"/>
    <w:rsid w:val="00BB5DC7"/>
    <w:rsid w:val="00BB5DDA"/>
    <w:rsid w:val="00BB5ED0"/>
    <w:rsid w:val="00BB61D1"/>
    <w:rsid w:val="00BB625D"/>
    <w:rsid w:val="00BB6630"/>
    <w:rsid w:val="00BB68CE"/>
    <w:rsid w:val="00BB6A54"/>
    <w:rsid w:val="00BB73EC"/>
    <w:rsid w:val="00BB73F6"/>
    <w:rsid w:val="00BB7BA5"/>
    <w:rsid w:val="00BB7F1C"/>
    <w:rsid w:val="00BB7F8D"/>
    <w:rsid w:val="00BC0571"/>
    <w:rsid w:val="00BC0718"/>
    <w:rsid w:val="00BC0991"/>
    <w:rsid w:val="00BC0A34"/>
    <w:rsid w:val="00BC0AC0"/>
    <w:rsid w:val="00BC0B9B"/>
    <w:rsid w:val="00BC0C30"/>
    <w:rsid w:val="00BC0FA6"/>
    <w:rsid w:val="00BC1020"/>
    <w:rsid w:val="00BC1265"/>
    <w:rsid w:val="00BC1531"/>
    <w:rsid w:val="00BC2001"/>
    <w:rsid w:val="00BC2396"/>
    <w:rsid w:val="00BC247C"/>
    <w:rsid w:val="00BC275A"/>
    <w:rsid w:val="00BC2965"/>
    <w:rsid w:val="00BC2B04"/>
    <w:rsid w:val="00BC2B5F"/>
    <w:rsid w:val="00BC2E6E"/>
    <w:rsid w:val="00BC3057"/>
    <w:rsid w:val="00BC3745"/>
    <w:rsid w:val="00BC37BD"/>
    <w:rsid w:val="00BC3C01"/>
    <w:rsid w:val="00BC3E6F"/>
    <w:rsid w:val="00BC41FB"/>
    <w:rsid w:val="00BC42CD"/>
    <w:rsid w:val="00BC4626"/>
    <w:rsid w:val="00BC49DA"/>
    <w:rsid w:val="00BC4D70"/>
    <w:rsid w:val="00BC505E"/>
    <w:rsid w:val="00BC5297"/>
    <w:rsid w:val="00BC5312"/>
    <w:rsid w:val="00BC5B4B"/>
    <w:rsid w:val="00BC5BDB"/>
    <w:rsid w:val="00BC5DFF"/>
    <w:rsid w:val="00BC5E1B"/>
    <w:rsid w:val="00BC628D"/>
    <w:rsid w:val="00BC685E"/>
    <w:rsid w:val="00BC69B6"/>
    <w:rsid w:val="00BC69EA"/>
    <w:rsid w:val="00BC6BEF"/>
    <w:rsid w:val="00BC70BB"/>
    <w:rsid w:val="00BC73F9"/>
    <w:rsid w:val="00BC790D"/>
    <w:rsid w:val="00BC7963"/>
    <w:rsid w:val="00BC7C0B"/>
    <w:rsid w:val="00BC7EB2"/>
    <w:rsid w:val="00BD0043"/>
    <w:rsid w:val="00BD027F"/>
    <w:rsid w:val="00BD0357"/>
    <w:rsid w:val="00BD0372"/>
    <w:rsid w:val="00BD0452"/>
    <w:rsid w:val="00BD0653"/>
    <w:rsid w:val="00BD086C"/>
    <w:rsid w:val="00BD11ED"/>
    <w:rsid w:val="00BD133F"/>
    <w:rsid w:val="00BD14D8"/>
    <w:rsid w:val="00BD166A"/>
    <w:rsid w:val="00BD1CD7"/>
    <w:rsid w:val="00BD2148"/>
    <w:rsid w:val="00BD2B52"/>
    <w:rsid w:val="00BD3135"/>
    <w:rsid w:val="00BD34C5"/>
    <w:rsid w:val="00BD3982"/>
    <w:rsid w:val="00BD4487"/>
    <w:rsid w:val="00BD44C7"/>
    <w:rsid w:val="00BD4576"/>
    <w:rsid w:val="00BD47F6"/>
    <w:rsid w:val="00BD48D1"/>
    <w:rsid w:val="00BD55E6"/>
    <w:rsid w:val="00BD59A0"/>
    <w:rsid w:val="00BD59BC"/>
    <w:rsid w:val="00BD5D79"/>
    <w:rsid w:val="00BD5F2C"/>
    <w:rsid w:val="00BD6603"/>
    <w:rsid w:val="00BD66A3"/>
    <w:rsid w:val="00BD67B9"/>
    <w:rsid w:val="00BD69A2"/>
    <w:rsid w:val="00BD6A5B"/>
    <w:rsid w:val="00BD7007"/>
    <w:rsid w:val="00BD7985"/>
    <w:rsid w:val="00BD7E4F"/>
    <w:rsid w:val="00BE00FC"/>
    <w:rsid w:val="00BE0558"/>
    <w:rsid w:val="00BE0979"/>
    <w:rsid w:val="00BE09D9"/>
    <w:rsid w:val="00BE0A9F"/>
    <w:rsid w:val="00BE0E1F"/>
    <w:rsid w:val="00BE13C8"/>
    <w:rsid w:val="00BE167E"/>
    <w:rsid w:val="00BE1825"/>
    <w:rsid w:val="00BE19D4"/>
    <w:rsid w:val="00BE1B0D"/>
    <w:rsid w:val="00BE1C5D"/>
    <w:rsid w:val="00BE1D80"/>
    <w:rsid w:val="00BE22AF"/>
    <w:rsid w:val="00BE22ED"/>
    <w:rsid w:val="00BE2A24"/>
    <w:rsid w:val="00BE2ABD"/>
    <w:rsid w:val="00BE2D04"/>
    <w:rsid w:val="00BE2E8F"/>
    <w:rsid w:val="00BE3E05"/>
    <w:rsid w:val="00BE4439"/>
    <w:rsid w:val="00BE4A01"/>
    <w:rsid w:val="00BE4B42"/>
    <w:rsid w:val="00BE4FBB"/>
    <w:rsid w:val="00BE51EC"/>
    <w:rsid w:val="00BE559C"/>
    <w:rsid w:val="00BE5669"/>
    <w:rsid w:val="00BE5689"/>
    <w:rsid w:val="00BE5AF8"/>
    <w:rsid w:val="00BE60CE"/>
    <w:rsid w:val="00BE6126"/>
    <w:rsid w:val="00BE6460"/>
    <w:rsid w:val="00BE6648"/>
    <w:rsid w:val="00BE66C1"/>
    <w:rsid w:val="00BE67DE"/>
    <w:rsid w:val="00BE6895"/>
    <w:rsid w:val="00BE691E"/>
    <w:rsid w:val="00BE6AFE"/>
    <w:rsid w:val="00BE6EF6"/>
    <w:rsid w:val="00BE722C"/>
    <w:rsid w:val="00BE7440"/>
    <w:rsid w:val="00BE781C"/>
    <w:rsid w:val="00BE7B41"/>
    <w:rsid w:val="00BE7BDC"/>
    <w:rsid w:val="00BE7F09"/>
    <w:rsid w:val="00BF08AC"/>
    <w:rsid w:val="00BF08B0"/>
    <w:rsid w:val="00BF0A77"/>
    <w:rsid w:val="00BF0EC7"/>
    <w:rsid w:val="00BF0F76"/>
    <w:rsid w:val="00BF1104"/>
    <w:rsid w:val="00BF1697"/>
    <w:rsid w:val="00BF1A4D"/>
    <w:rsid w:val="00BF2970"/>
    <w:rsid w:val="00BF2B9C"/>
    <w:rsid w:val="00BF2BB9"/>
    <w:rsid w:val="00BF2C0E"/>
    <w:rsid w:val="00BF2CB1"/>
    <w:rsid w:val="00BF2D10"/>
    <w:rsid w:val="00BF2F31"/>
    <w:rsid w:val="00BF31CF"/>
    <w:rsid w:val="00BF338B"/>
    <w:rsid w:val="00BF34B8"/>
    <w:rsid w:val="00BF3519"/>
    <w:rsid w:val="00BF39CA"/>
    <w:rsid w:val="00BF3C8E"/>
    <w:rsid w:val="00BF3D80"/>
    <w:rsid w:val="00BF3E09"/>
    <w:rsid w:val="00BF3FB5"/>
    <w:rsid w:val="00BF4609"/>
    <w:rsid w:val="00BF4AB6"/>
    <w:rsid w:val="00BF4C63"/>
    <w:rsid w:val="00BF50CB"/>
    <w:rsid w:val="00BF53FE"/>
    <w:rsid w:val="00BF5958"/>
    <w:rsid w:val="00BF5A30"/>
    <w:rsid w:val="00BF5CBF"/>
    <w:rsid w:val="00BF5E8B"/>
    <w:rsid w:val="00BF69C0"/>
    <w:rsid w:val="00BF6A31"/>
    <w:rsid w:val="00BF6C5E"/>
    <w:rsid w:val="00BF7106"/>
    <w:rsid w:val="00BF72E6"/>
    <w:rsid w:val="00BF735B"/>
    <w:rsid w:val="00BF751C"/>
    <w:rsid w:val="00BF7A73"/>
    <w:rsid w:val="00C00189"/>
    <w:rsid w:val="00C0020C"/>
    <w:rsid w:val="00C00218"/>
    <w:rsid w:val="00C00374"/>
    <w:rsid w:val="00C0072C"/>
    <w:rsid w:val="00C008C1"/>
    <w:rsid w:val="00C009D4"/>
    <w:rsid w:val="00C00BD6"/>
    <w:rsid w:val="00C01293"/>
    <w:rsid w:val="00C01472"/>
    <w:rsid w:val="00C017E6"/>
    <w:rsid w:val="00C01BA0"/>
    <w:rsid w:val="00C01C8D"/>
    <w:rsid w:val="00C020F7"/>
    <w:rsid w:val="00C02408"/>
    <w:rsid w:val="00C025D5"/>
    <w:rsid w:val="00C027A1"/>
    <w:rsid w:val="00C02EF3"/>
    <w:rsid w:val="00C0332A"/>
    <w:rsid w:val="00C034D6"/>
    <w:rsid w:val="00C035EC"/>
    <w:rsid w:val="00C0372B"/>
    <w:rsid w:val="00C03871"/>
    <w:rsid w:val="00C03F0E"/>
    <w:rsid w:val="00C04062"/>
    <w:rsid w:val="00C042EC"/>
    <w:rsid w:val="00C04483"/>
    <w:rsid w:val="00C045C0"/>
    <w:rsid w:val="00C04EC7"/>
    <w:rsid w:val="00C05AE7"/>
    <w:rsid w:val="00C05BA5"/>
    <w:rsid w:val="00C05C1D"/>
    <w:rsid w:val="00C05CD8"/>
    <w:rsid w:val="00C0630B"/>
    <w:rsid w:val="00C069D8"/>
    <w:rsid w:val="00C06E73"/>
    <w:rsid w:val="00C07313"/>
    <w:rsid w:val="00C07370"/>
    <w:rsid w:val="00C07554"/>
    <w:rsid w:val="00C0774E"/>
    <w:rsid w:val="00C07B96"/>
    <w:rsid w:val="00C07C08"/>
    <w:rsid w:val="00C07C37"/>
    <w:rsid w:val="00C10622"/>
    <w:rsid w:val="00C106C0"/>
    <w:rsid w:val="00C10841"/>
    <w:rsid w:val="00C10AE5"/>
    <w:rsid w:val="00C1107E"/>
    <w:rsid w:val="00C117D0"/>
    <w:rsid w:val="00C11C2A"/>
    <w:rsid w:val="00C11D12"/>
    <w:rsid w:val="00C11DB2"/>
    <w:rsid w:val="00C11E47"/>
    <w:rsid w:val="00C12013"/>
    <w:rsid w:val="00C12107"/>
    <w:rsid w:val="00C121AF"/>
    <w:rsid w:val="00C12AC6"/>
    <w:rsid w:val="00C12CA8"/>
    <w:rsid w:val="00C12CF8"/>
    <w:rsid w:val="00C12F30"/>
    <w:rsid w:val="00C13236"/>
    <w:rsid w:val="00C138FA"/>
    <w:rsid w:val="00C13C2C"/>
    <w:rsid w:val="00C13C3A"/>
    <w:rsid w:val="00C13FC3"/>
    <w:rsid w:val="00C14150"/>
    <w:rsid w:val="00C143BD"/>
    <w:rsid w:val="00C1457A"/>
    <w:rsid w:val="00C146DC"/>
    <w:rsid w:val="00C147AD"/>
    <w:rsid w:val="00C14CBE"/>
    <w:rsid w:val="00C1514C"/>
    <w:rsid w:val="00C1547C"/>
    <w:rsid w:val="00C15595"/>
    <w:rsid w:val="00C15775"/>
    <w:rsid w:val="00C1697B"/>
    <w:rsid w:val="00C16B2E"/>
    <w:rsid w:val="00C16B4B"/>
    <w:rsid w:val="00C16D79"/>
    <w:rsid w:val="00C16E0F"/>
    <w:rsid w:val="00C16E2E"/>
    <w:rsid w:val="00C174A2"/>
    <w:rsid w:val="00C17D58"/>
    <w:rsid w:val="00C200D2"/>
    <w:rsid w:val="00C2037D"/>
    <w:rsid w:val="00C205A3"/>
    <w:rsid w:val="00C20AA4"/>
    <w:rsid w:val="00C20DAD"/>
    <w:rsid w:val="00C211FA"/>
    <w:rsid w:val="00C21748"/>
    <w:rsid w:val="00C217BF"/>
    <w:rsid w:val="00C218EE"/>
    <w:rsid w:val="00C219D3"/>
    <w:rsid w:val="00C21CC6"/>
    <w:rsid w:val="00C21FF1"/>
    <w:rsid w:val="00C22121"/>
    <w:rsid w:val="00C2236E"/>
    <w:rsid w:val="00C22738"/>
    <w:rsid w:val="00C22C5A"/>
    <w:rsid w:val="00C22C9D"/>
    <w:rsid w:val="00C22D30"/>
    <w:rsid w:val="00C230AC"/>
    <w:rsid w:val="00C2311B"/>
    <w:rsid w:val="00C236B9"/>
    <w:rsid w:val="00C2396F"/>
    <w:rsid w:val="00C239CE"/>
    <w:rsid w:val="00C24029"/>
    <w:rsid w:val="00C242B5"/>
    <w:rsid w:val="00C24428"/>
    <w:rsid w:val="00C24906"/>
    <w:rsid w:val="00C24CFD"/>
    <w:rsid w:val="00C252C7"/>
    <w:rsid w:val="00C25451"/>
    <w:rsid w:val="00C25520"/>
    <w:rsid w:val="00C2563A"/>
    <w:rsid w:val="00C25BB8"/>
    <w:rsid w:val="00C2601B"/>
    <w:rsid w:val="00C260B0"/>
    <w:rsid w:val="00C262AC"/>
    <w:rsid w:val="00C263BE"/>
    <w:rsid w:val="00C264F5"/>
    <w:rsid w:val="00C266EE"/>
    <w:rsid w:val="00C26717"/>
    <w:rsid w:val="00C26A1C"/>
    <w:rsid w:val="00C26DCA"/>
    <w:rsid w:val="00C26E8D"/>
    <w:rsid w:val="00C2722A"/>
    <w:rsid w:val="00C2722F"/>
    <w:rsid w:val="00C27456"/>
    <w:rsid w:val="00C274C2"/>
    <w:rsid w:val="00C277AD"/>
    <w:rsid w:val="00C278B1"/>
    <w:rsid w:val="00C302E1"/>
    <w:rsid w:val="00C302FC"/>
    <w:rsid w:val="00C305E4"/>
    <w:rsid w:val="00C30670"/>
    <w:rsid w:val="00C307D7"/>
    <w:rsid w:val="00C30E22"/>
    <w:rsid w:val="00C3119F"/>
    <w:rsid w:val="00C312D0"/>
    <w:rsid w:val="00C31616"/>
    <w:rsid w:val="00C31AF4"/>
    <w:rsid w:val="00C31C65"/>
    <w:rsid w:val="00C31E24"/>
    <w:rsid w:val="00C31E88"/>
    <w:rsid w:val="00C31E92"/>
    <w:rsid w:val="00C31F04"/>
    <w:rsid w:val="00C31F15"/>
    <w:rsid w:val="00C32285"/>
    <w:rsid w:val="00C32964"/>
    <w:rsid w:val="00C32B29"/>
    <w:rsid w:val="00C32D85"/>
    <w:rsid w:val="00C33964"/>
    <w:rsid w:val="00C339F5"/>
    <w:rsid w:val="00C33D7E"/>
    <w:rsid w:val="00C33D84"/>
    <w:rsid w:val="00C34194"/>
    <w:rsid w:val="00C341E2"/>
    <w:rsid w:val="00C343E3"/>
    <w:rsid w:val="00C346E4"/>
    <w:rsid w:val="00C34746"/>
    <w:rsid w:val="00C34968"/>
    <w:rsid w:val="00C34AF0"/>
    <w:rsid w:val="00C34B31"/>
    <w:rsid w:val="00C34B86"/>
    <w:rsid w:val="00C34E4B"/>
    <w:rsid w:val="00C354F7"/>
    <w:rsid w:val="00C358C8"/>
    <w:rsid w:val="00C35973"/>
    <w:rsid w:val="00C35BA6"/>
    <w:rsid w:val="00C35D01"/>
    <w:rsid w:val="00C3693F"/>
    <w:rsid w:val="00C36C51"/>
    <w:rsid w:val="00C371F5"/>
    <w:rsid w:val="00C37718"/>
    <w:rsid w:val="00C37B6F"/>
    <w:rsid w:val="00C40002"/>
    <w:rsid w:val="00C40061"/>
    <w:rsid w:val="00C4038E"/>
    <w:rsid w:val="00C40430"/>
    <w:rsid w:val="00C404BA"/>
    <w:rsid w:val="00C405AD"/>
    <w:rsid w:val="00C406A3"/>
    <w:rsid w:val="00C40A3F"/>
    <w:rsid w:val="00C40A86"/>
    <w:rsid w:val="00C40B36"/>
    <w:rsid w:val="00C4105C"/>
    <w:rsid w:val="00C410D3"/>
    <w:rsid w:val="00C411E9"/>
    <w:rsid w:val="00C412FC"/>
    <w:rsid w:val="00C4165F"/>
    <w:rsid w:val="00C41699"/>
    <w:rsid w:val="00C418A3"/>
    <w:rsid w:val="00C418AD"/>
    <w:rsid w:val="00C41A15"/>
    <w:rsid w:val="00C41B87"/>
    <w:rsid w:val="00C41D72"/>
    <w:rsid w:val="00C41F53"/>
    <w:rsid w:val="00C42517"/>
    <w:rsid w:val="00C4290C"/>
    <w:rsid w:val="00C42BBD"/>
    <w:rsid w:val="00C42D63"/>
    <w:rsid w:val="00C430DE"/>
    <w:rsid w:val="00C43378"/>
    <w:rsid w:val="00C4353A"/>
    <w:rsid w:val="00C437BD"/>
    <w:rsid w:val="00C4403E"/>
    <w:rsid w:val="00C445D6"/>
    <w:rsid w:val="00C4474C"/>
    <w:rsid w:val="00C4484F"/>
    <w:rsid w:val="00C44A7A"/>
    <w:rsid w:val="00C44A80"/>
    <w:rsid w:val="00C44E26"/>
    <w:rsid w:val="00C44E56"/>
    <w:rsid w:val="00C44F90"/>
    <w:rsid w:val="00C4509D"/>
    <w:rsid w:val="00C455F9"/>
    <w:rsid w:val="00C46130"/>
    <w:rsid w:val="00C465C9"/>
    <w:rsid w:val="00C4667E"/>
    <w:rsid w:val="00C4682B"/>
    <w:rsid w:val="00C468F5"/>
    <w:rsid w:val="00C46ADF"/>
    <w:rsid w:val="00C46E26"/>
    <w:rsid w:val="00C46FE2"/>
    <w:rsid w:val="00C47441"/>
    <w:rsid w:val="00C474F1"/>
    <w:rsid w:val="00C4779D"/>
    <w:rsid w:val="00C479AE"/>
    <w:rsid w:val="00C50069"/>
    <w:rsid w:val="00C502F9"/>
    <w:rsid w:val="00C5038D"/>
    <w:rsid w:val="00C50404"/>
    <w:rsid w:val="00C50437"/>
    <w:rsid w:val="00C50555"/>
    <w:rsid w:val="00C50A3F"/>
    <w:rsid w:val="00C50AF6"/>
    <w:rsid w:val="00C50C38"/>
    <w:rsid w:val="00C50EAA"/>
    <w:rsid w:val="00C50EC9"/>
    <w:rsid w:val="00C51013"/>
    <w:rsid w:val="00C51602"/>
    <w:rsid w:val="00C51710"/>
    <w:rsid w:val="00C520C7"/>
    <w:rsid w:val="00C522CD"/>
    <w:rsid w:val="00C52531"/>
    <w:rsid w:val="00C528AE"/>
    <w:rsid w:val="00C52991"/>
    <w:rsid w:val="00C529ED"/>
    <w:rsid w:val="00C52ACA"/>
    <w:rsid w:val="00C52B78"/>
    <w:rsid w:val="00C52B99"/>
    <w:rsid w:val="00C52C24"/>
    <w:rsid w:val="00C52D1E"/>
    <w:rsid w:val="00C52E2B"/>
    <w:rsid w:val="00C53201"/>
    <w:rsid w:val="00C53606"/>
    <w:rsid w:val="00C53ACD"/>
    <w:rsid w:val="00C53ECF"/>
    <w:rsid w:val="00C53F0C"/>
    <w:rsid w:val="00C541CD"/>
    <w:rsid w:val="00C54540"/>
    <w:rsid w:val="00C54673"/>
    <w:rsid w:val="00C54FBE"/>
    <w:rsid w:val="00C5522A"/>
    <w:rsid w:val="00C55493"/>
    <w:rsid w:val="00C55A0D"/>
    <w:rsid w:val="00C55E2C"/>
    <w:rsid w:val="00C560E2"/>
    <w:rsid w:val="00C561A6"/>
    <w:rsid w:val="00C564FE"/>
    <w:rsid w:val="00C56C13"/>
    <w:rsid w:val="00C56E82"/>
    <w:rsid w:val="00C57291"/>
    <w:rsid w:val="00C57433"/>
    <w:rsid w:val="00C57FCE"/>
    <w:rsid w:val="00C6008A"/>
    <w:rsid w:val="00C6016E"/>
    <w:rsid w:val="00C60208"/>
    <w:rsid w:val="00C605A7"/>
    <w:rsid w:val="00C60995"/>
    <w:rsid w:val="00C60C48"/>
    <w:rsid w:val="00C60D33"/>
    <w:rsid w:val="00C60DA0"/>
    <w:rsid w:val="00C60EAC"/>
    <w:rsid w:val="00C613C4"/>
    <w:rsid w:val="00C61A99"/>
    <w:rsid w:val="00C61A9B"/>
    <w:rsid w:val="00C624C1"/>
    <w:rsid w:val="00C62754"/>
    <w:rsid w:val="00C62803"/>
    <w:rsid w:val="00C628FC"/>
    <w:rsid w:val="00C62915"/>
    <w:rsid w:val="00C629DC"/>
    <w:rsid w:val="00C62C22"/>
    <w:rsid w:val="00C62DC5"/>
    <w:rsid w:val="00C63125"/>
    <w:rsid w:val="00C6393A"/>
    <w:rsid w:val="00C63BC3"/>
    <w:rsid w:val="00C64EF4"/>
    <w:rsid w:val="00C655B1"/>
    <w:rsid w:val="00C658EE"/>
    <w:rsid w:val="00C659DF"/>
    <w:rsid w:val="00C65A24"/>
    <w:rsid w:val="00C66016"/>
    <w:rsid w:val="00C660A5"/>
    <w:rsid w:val="00C66267"/>
    <w:rsid w:val="00C6629F"/>
    <w:rsid w:val="00C66306"/>
    <w:rsid w:val="00C6632C"/>
    <w:rsid w:val="00C66564"/>
    <w:rsid w:val="00C66624"/>
    <w:rsid w:val="00C6669B"/>
    <w:rsid w:val="00C666E2"/>
    <w:rsid w:val="00C666E7"/>
    <w:rsid w:val="00C66CBD"/>
    <w:rsid w:val="00C66FFE"/>
    <w:rsid w:val="00C67033"/>
    <w:rsid w:val="00C67059"/>
    <w:rsid w:val="00C67099"/>
    <w:rsid w:val="00C6712D"/>
    <w:rsid w:val="00C67184"/>
    <w:rsid w:val="00C67543"/>
    <w:rsid w:val="00C67609"/>
    <w:rsid w:val="00C678AD"/>
    <w:rsid w:val="00C70507"/>
    <w:rsid w:val="00C7075A"/>
    <w:rsid w:val="00C7083F"/>
    <w:rsid w:val="00C7171B"/>
    <w:rsid w:val="00C717F5"/>
    <w:rsid w:val="00C71C33"/>
    <w:rsid w:val="00C72013"/>
    <w:rsid w:val="00C72028"/>
    <w:rsid w:val="00C72125"/>
    <w:rsid w:val="00C72204"/>
    <w:rsid w:val="00C722D4"/>
    <w:rsid w:val="00C722DB"/>
    <w:rsid w:val="00C72502"/>
    <w:rsid w:val="00C7284A"/>
    <w:rsid w:val="00C72A2C"/>
    <w:rsid w:val="00C72F60"/>
    <w:rsid w:val="00C72FD9"/>
    <w:rsid w:val="00C73038"/>
    <w:rsid w:val="00C7320C"/>
    <w:rsid w:val="00C73685"/>
    <w:rsid w:val="00C7397A"/>
    <w:rsid w:val="00C73C93"/>
    <w:rsid w:val="00C73EF7"/>
    <w:rsid w:val="00C73F7E"/>
    <w:rsid w:val="00C74304"/>
    <w:rsid w:val="00C7467F"/>
    <w:rsid w:val="00C746EF"/>
    <w:rsid w:val="00C74881"/>
    <w:rsid w:val="00C74930"/>
    <w:rsid w:val="00C74982"/>
    <w:rsid w:val="00C74A5C"/>
    <w:rsid w:val="00C74D1D"/>
    <w:rsid w:val="00C74D3B"/>
    <w:rsid w:val="00C74E83"/>
    <w:rsid w:val="00C75025"/>
    <w:rsid w:val="00C750A0"/>
    <w:rsid w:val="00C75531"/>
    <w:rsid w:val="00C759CA"/>
    <w:rsid w:val="00C75A33"/>
    <w:rsid w:val="00C76558"/>
    <w:rsid w:val="00C765F9"/>
    <w:rsid w:val="00C76956"/>
    <w:rsid w:val="00C7748C"/>
    <w:rsid w:val="00C77666"/>
    <w:rsid w:val="00C77902"/>
    <w:rsid w:val="00C77A95"/>
    <w:rsid w:val="00C77A9A"/>
    <w:rsid w:val="00C800CE"/>
    <w:rsid w:val="00C802AC"/>
    <w:rsid w:val="00C80BDF"/>
    <w:rsid w:val="00C80C2C"/>
    <w:rsid w:val="00C8120A"/>
    <w:rsid w:val="00C81703"/>
    <w:rsid w:val="00C819A7"/>
    <w:rsid w:val="00C81A95"/>
    <w:rsid w:val="00C81D95"/>
    <w:rsid w:val="00C81F68"/>
    <w:rsid w:val="00C82CD3"/>
    <w:rsid w:val="00C82DD5"/>
    <w:rsid w:val="00C82E91"/>
    <w:rsid w:val="00C83067"/>
    <w:rsid w:val="00C83213"/>
    <w:rsid w:val="00C833B9"/>
    <w:rsid w:val="00C8365B"/>
    <w:rsid w:val="00C83B6D"/>
    <w:rsid w:val="00C83D5B"/>
    <w:rsid w:val="00C83DA1"/>
    <w:rsid w:val="00C83DF4"/>
    <w:rsid w:val="00C8439D"/>
    <w:rsid w:val="00C8450A"/>
    <w:rsid w:val="00C852B4"/>
    <w:rsid w:val="00C8547C"/>
    <w:rsid w:val="00C85502"/>
    <w:rsid w:val="00C85EA8"/>
    <w:rsid w:val="00C864D6"/>
    <w:rsid w:val="00C86758"/>
    <w:rsid w:val="00C86B78"/>
    <w:rsid w:val="00C86D2A"/>
    <w:rsid w:val="00C87054"/>
    <w:rsid w:val="00C87085"/>
    <w:rsid w:val="00C8712E"/>
    <w:rsid w:val="00C8714E"/>
    <w:rsid w:val="00C87338"/>
    <w:rsid w:val="00C875F8"/>
    <w:rsid w:val="00C87613"/>
    <w:rsid w:val="00C8765F"/>
    <w:rsid w:val="00C8790B"/>
    <w:rsid w:val="00C87A06"/>
    <w:rsid w:val="00C87ABD"/>
    <w:rsid w:val="00C87C2F"/>
    <w:rsid w:val="00C87C97"/>
    <w:rsid w:val="00C87CF8"/>
    <w:rsid w:val="00C9004E"/>
    <w:rsid w:val="00C906DD"/>
    <w:rsid w:val="00C907C0"/>
    <w:rsid w:val="00C90879"/>
    <w:rsid w:val="00C90A95"/>
    <w:rsid w:val="00C913E2"/>
    <w:rsid w:val="00C91A42"/>
    <w:rsid w:val="00C91AD1"/>
    <w:rsid w:val="00C91B38"/>
    <w:rsid w:val="00C91BBD"/>
    <w:rsid w:val="00C91D64"/>
    <w:rsid w:val="00C921A3"/>
    <w:rsid w:val="00C921FC"/>
    <w:rsid w:val="00C9243E"/>
    <w:rsid w:val="00C92687"/>
    <w:rsid w:val="00C9270E"/>
    <w:rsid w:val="00C9290B"/>
    <w:rsid w:val="00C92C30"/>
    <w:rsid w:val="00C93041"/>
    <w:rsid w:val="00C93257"/>
    <w:rsid w:val="00C935B6"/>
    <w:rsid w:val="00C935CC"/>
    <w:rsid w:val="00C9376E"/>
    <w:rsid w:val="00C93B33"/>
    <w:rsid w:val="00C93CFE"/>
    <w:rsid w:val="00C941F4"/>
    <w:rsid w:val="00C94495"/>
    <w:rsid w:val="00C946BF"/>
    <w:rsid w:val="00C94F19"/>
    <w:rsid w:val="00C950F1"/>
    <w:rsid w:val="00C95440"/>
    <w:rsid w:val="00C95A75"/>
    <w:rsid w:val="00C95B76"/>
    <w:rsid w:val="00C961B6"/>
    <w:rsid w:val="00C9627C"/>
    <w:rsid w:val="00C9635D"/>
    <w:rsid w:val="00C96A9E"/>
    <w:rsid w:val="00C96BB9"/>
    <w:rsid w:val="00C96E9A"/>
    <w:rsid w:val="00C96E9B"/>
    <w:rsid w:val="00C96FB1"/>
    <w:rsid w:val="00C9712F"/>
    <w:rsid w:val="00C97412"/>
    <w:rsid w:val="00C97669"/>
    <w:rsid w:val="00C978FE"/>
    <w:rsid w:val="00C97E85"/>
    <w:rsid w:val="00CA0703"/>
    <w:rsid w:val="00CA0B88"/>
    <w:rsid w:val="00CA0E9F"/>
    <w:rsid w:val="00CA0FC7"/>
    <w:rsid w:val="00CA108B"/>
    <w:rsid w:val="00CA1561"/>
    <w:rsid w:val="00CA15DC"/>
    <w:rsid w:val="00CA1994"/>
    <w:rsid w:val="00CA19EC"/>
    <w:rsid w:val="00CA1C72"/>
    <w:rsid w:val="00CA1F02"/>
    <w:rsid w:val="00CA2023"/>
    <w:rsid w:val="00CA2262"/>
    <w:rsid w:val="00CA23BF"/>
    <w:rsid w:val="00CA24DC"/>
    <w:rsid w:val="00CA2AA2"/>
    <w:rsid w:val="00CA2EE7"/>
    <w:rsid w:val="00CA2EFC"/>
    <w:rsid w:val="00CA2F4C"/>
    <w:rsid w:val="00CA354D"/>
    <w:rsid w:val="00CA37D1"/>
    <w:rsid w:val="00CA3BF3"/>
    <w:rsid w:val="00CA3F15"/>
    <w:rsid w:val="00CA40F8"/>
    <w:rsid w:val="00CA42E8"/>
    <w:rsid w:val="00CA4440"/>
    <w:rsid w:val="00CA451F"/>
    <w:rsid w:val="00CA4937"/>
    <w:rsid w:val="00CA5188"/>
    <w:rsid w:val="00CA527F"/>
    <w:rsid w:val="00CA5386"/>
    <w:rsid w:val="00CA5ACF"/>
    <w:rsid w:val="00CA5B2D"/>
    <w:rsid w:val="00CA5E13"/>
    <w:rsid w:val="00CA5EE0"/>
    <w:rsid w:val="00CA623C"/>
    <w:rsid w:val="00CA6680"/>
    <w:rsid w:val="00CA668C"/>
    <w:rsid w:val="00CA693C"/>
    <w:rsid w:val="00CA69D6"/>
    <w:rsid w:val="00CA6A3D"/>
    <w:rsid w:val="00CA6AA8"/>
    <w:rsid w:val="00CA6E26"/>
    <w:rsid w:val="00CA709E"/>
    <w:rsid w:val="00CA70F0"/>
    <w:rsid w:val="00CA7358"/>
    <w:rsid w:val="00CA750E"/>
    <w:rsid w:val="00CA7510"/>
    <w:rsid w:val="00CA7B92"/>
    <w:rsid w:val="00CA7EFB"/>
    <w:rsid w:val="00CB02F2"/>
    <w:rsid w:val="00CB03B4"/>
    <w:rsid w:val="00CB03C5"/>
    <w:rsid w:val="00CB04C1"/>
    <w:rsid w:val="00CB071A"/>
    <w:rsid w:val="00CB0E22"/>
    <w:rsid w:val="00CB0E76"/>
    <w:rsid w:val="00CB105A"/>
    <w:rsid w:val="00CB116C"/>
    <w:rsid w:val="00CB127E"/>
    <w:rsid w:val="00CB15A0"/>
    <w:rsid w:val="00CB180A"/>
    <w:rsid w:val="00CB1843"/>
    <w:rsid w:val="00CB18D9"/>
    <w:rsid w:val="00CB1C8E"/>
    <w:rsid w:val="00CB1E7D"/>
    <w:rsid w:val="00CB21C2"/>
    <w:rsid w:val="00CB245A"/>
    <w:rsid w:val="00CB2545"/>
    <w:rsid w:val="00CB2554"/>
    <w:rsid w:val="00CB2AE2"/>
    <w:rsid w:val="00CB2BEE"/>
    <w:rsid w:val="00CB3158"/>
    <w:rsid w:val="00CB32E2"/>
    <w:rsid w:val="00CB3430"/>
    <w:rsid w:val="00CB3471"/>
    <w:rsid w:val="00CB37D6"/>
    <w:rsid w:val="00CB396F"/>
    <w:rsid w:val="00CB3D17"/>
    <w:rsid w:val="00CB3FB7"/>
    <w:rsid w:val="00CB4177"/>
    <w:rsid w:val="00CB446F"/>
    <w:rsid w:val="00CB4531"/>
    <w:rsid w:val="00CB4BED"/>
    <w:rsid w:val="00CB4C2D"/>
    <w:rsid w:val="00CB4D90"/>
    <w:rsid w:val="00CB4DE8"/>
    <w:rsid w:val="00CB55B1"/>
    <w:rsid w:val="00CB55D2"/>
    <w:rsid w:val="00CB55EF"/>
    <w:rsid w:val="00CB5A06"/>
    <w:rsid w:val="00CB5AC7"/>
    <w:rsid w:val="00CB5CB3"/>
    <w:rsid w:val="00CB5D1D"/>
    <w:rsid w:val="00CB60FC"/>
    <w:rsid w:val="00CB62A3"/>
    <w:rsid w:val="00CB62DD"/>
    <w:rsid w:val="00CB665F"/>
    <w:rsid w:val="00CB669B"/>
    <w:rsid w:val="00CB6871"/>
    <w:rsid w:val="00CB6ECD"/>
    <w:rsid w:val="00CB710C"/>
    <w:rsid w:val="00CB743B"/>
    <w:rsid w:val="00CB76D7"/>
    <w:rsid w:val="00CB7AB4"/>
    <w:rsid w:val="00CB7F96"/>
    <w:rsid w:val="00CC0091"/>
    <w:rsid w:val="00CC0499"/>
    <w:rsid w:val="00CC0740"/>
    <w:rsid w:val="00CC0956"/>
    <w:rsid w:val="00CC0C93"/>
    <w:rsid w:val="00CC11CA"/>
    <w:rsid w:val="00CC1428"/>
    <w:rsid w:val="00CC147A"/>
    <w:rsid w:val="00CC159F"/>
    <w:rsid w:val="00CC19E7"/>
    <w:rsid w:val="00CC1C64"/>
    <w:rsid w:val="00CC1FA9"/>
    <w:rsid w:val="00CC1FE7"/>
    <w:rsid w:val="00CC24A1"/>
    <w:rsid w:val="00CC26CB"/>
    <w:rsid w:val="00CC2732"/>
    <w:rsid w:val="00CC2835"/>
    <w:rsid w:val="00CC307B"/>
    <w:rsid w:val="00CC33AC"/>
    <w:rsid w:val="00CC34BD"/>
    <w:rsid w:val="00CC3501"/>
    <w:rsid w:val="00CC366E"/>
    <w:rsid w:val="00CC36B6"/>
    <w:rsid w:val="00CC388D"/>
    <w:rsid w:val="00CC3C41"/>
    <w:rsid w:val="00CC41A9"/>
    <w:rsid w:val="00CC41D1"/>
    <w:rsid w:val="00CC43C6"/>
    <w:rsid w:val="00CC444D"/>
    <w:rsid w:val="00CC44BB"/>
    <w:rsid w:val="00CC45C1"/>
    <w:rsid w:val="00CC4C17"/>
    <w:rsid w:val="00CC4D96"/>
    <w:rsid w:val="00CC4EF9"/>
    <w:rsid w:val="00CC5315"/>
    <w:rsid w:val="00CC551E"/>
    <w:rsid w:val="00CC55A6"/>
    <w:rsid w:val="00CC58A3"/>
    <w:rsid w:val="00CC5B74"/>
    <w:rsid w:val="00CC6099"/>
    <w:rsid w:val="00CC70BF"/>
    <w:rsid w:val="00CC71FA"/>
    <w:rsid w:val="00CC7411"/>
    <w:rsid w:val="00CC747C"/>
    <w:rsid w:val="00CC76B0"/>
    <w:rsid w:val="00CC7BCF"/>
    <w:rsid w:val="00CC7F5F"/>
    <w:rsid w:val="00CD0222"/>
    <w:rsid w:val="00CD023C"/>
    <w:rsid w:val="00CD0260"/>
    <w:rsid w:val="00CD0493"/>
    <w:rsid w:val="00CD063B"/>
    <w:rsid w:val="00CD0914"/>
    <w:rsid w:val="00CD0980"/>
    <w:rsid w:val="00CD0C71"/>
    <w:rsid w:val="00CD0FCE"/>
    <w:rsid w:val="00CD0FF5"/>
    <w:rsid w:val="00CD11C3"/>
    <w:rsid w:val="00CD1485"/>
    <w:rsid w:val="00CD1765"/>
    <w:rsid w:val="00CD19A6"/>
    <w:rsid w:val="00CD1D84"/>
    <w:rsid w:val="00CD1ED4"/>
    <w:rsid w:val="00CD1FF1"/>
    <w:rsid w:val="00CD2246"/>
    <w:rsid w:val="00CD2514"/>
    <w:rsid w:val="00CD2BE9"/>
    <w:rsid w:val="00CD2C08"/>
    <w:rsid w:val="00CD3227"/>
    <w:rsid w:val="00CD3417"/>
    <w:rsid w:val="00CD36CC"/>
    <w:rsid w:val="00CD37E7"/>
    <w:rsid w:val="00CD3CA7"/>
    <w:rsid w:val="00CD3E53"/>
    <w:rsid w:val="00CD403A"/>
    <w:rsid w:val="00CD4D5F"/>
    <w:rsid w:val="00CD4DC1"/>
    <w:rsid w:val="00CD4E9D"/>
    <w:rsid w:val="00CD50F4"/>
    <w:rsid w:val="00CD58AE"/>
    <w:rsid w:val="00CD5D8C"/>
    <w:rsid w:val="00CD5EF8"/>
    <w:rsid w:val="00CD6076"/>
    <w:rsid w:val="00CD6082"/>
    <w:rsid w:val="00CD631E"/>
    <w:rsid w:val="00CD637A"/>
    <w:rsid w:val="00CD65F4"/>
    <w:rsid w:val="00CD6652"/>
    <w:rsid w:val="00CD682F"/>
    <w:rsid w:val="00CD6C4D"/>
    <w:rsid w:val="00CD6D4D"/>
    <w:rsid w:val="00CD6E84"/>
    <w:rsid w:val="00CD6EED"/>
    <w:rsid w:val="00CD6FDF"/>
    <w:rsid w:val="00CD72D7"/>
    <w:rsid w:val="00CD75BE"/>
    <w:rsid w:val="00CD7A8E"/>
    <w:rsid w:val="00CD7ADF"/>
    <w:rsid w:val="00CD7B14"/>
    <w:rsid w:val="00CD7B7C"/>
    <w:rsid w:val="00CD7BBA"/>
    <w:rsid w:val="00CD7CC2"/>
    <w:rsid w:val="00CD7D1B"/>
    <w:rsid w:val="00CD7DF2"/>
    <w:rsid w:val="00CD7F99"/>
    <w:rsid w:val="00CE0007"/>
    <w:rsid w:val="00CE0409"/>
    <w:rsid w:val="00CE06F1"/>
    <w:rsid w:val="00CE09A2"/>
    <w:rsid w:val="00CE0AB9"/>
    <w:rsid w:val="00CE0B6B"/>
    <w:rsid w:val="00CE0BCA"/>
    <w:rsid w:val="00CE0C0A"/>
    <w:rsid w:val="00CE0C40"/>
    <w:rsid w:val="00CE1108"/>
    <w:rsid w:val="00CE1238"/>
    <w:rsid w:val="00CE127C"/>
    <w:rsid w:val="00CE16E2"/>
    <w:rsid w:val="00CE180C"/>
    <w:rsid w:val="00CE228C"/>
    <w:rsid w:val="00CE26F4"/>
    <w:rsid w:val="00CE27E7"/>
    <w:rsid w:val="00CE2AED"/>
    <w:rsid w:val="00CE2BA8"/>
    <w:rsid w:val="00CE32CA"/>
    <w:rsid w:val="00CE34FC"/>
    <w:rsid w:val="00CE3566"/>
    <w:rsid w:val="00CE3A4E"/>
    <w:rsid w:val="00CE3BB5"/>
    <w:rsid w:val="00CE3BC2"/>
    <w:rsid w:val="00CE3C36"/>
    <w:rsid w:val="00CE3CE2"/>
    <w:rsid w:val="00CE4B80"/>
    <w:rsid w:val="00CE4C45"/>
    <w:rsid w:val="00CE4CBF"/>
    <w:rsid w:val="00CE5170"/>
    <w:rsid w:val="00CE5447"/>
    <w:rsid w:val="00CE5523"/>
    <w:rsid w:val="00CE5A27"/>
    <w:rsid w:val="00CE5A71"/>
    <w:rsid w:val="00CE5C34"/>
    <w:rsid w:val="00CE6342"/>
    <w:rsid w:val="00CE655A"/>
    <w:rsid w:val="00CE6707"/>
    <w:rsid w:val="00CE6753"/>
    <w:rsid w:val="00CE6916"/>
    <w:rsid w:val="00CE73B5"/>
    <w:rsid w:val="00CE7435"/>
    <w:rsid w:val="00CE7609"/>
    <w:rsid w:val="00CE776F"/>
    <w:rsid w:val="00CE7885"/>
    <w:rsid w:val="00CE7BBE"/>
    <w:rsid w:val="00CF0044"/>
    <w:rsid w:val="00CF0311"/>
    <w:rsid w:val="00CF07DA"/>
    <w:rsid w:val="00CF0B44"/>
    <w:rsid w:val="00CF0B9A"/>
    <w:rsid w:val="00CF0F8A"/>
    <w:rsid w:val="00CF1072"/>
    <w:rsid w:val="00CF10F9"/>
    <w:rsid w:val="00CF1170"/>
    <w:rsid w:val="00CF1416"/>
    <w:rsid w:val="00CF16D2"/>
    <w:rsid w:val="00CF1896"/>
    <w:rsid w:val="00CF1A44"/>
    <w:rsid w:val="00CF1B51"/>
    <w:rsid w:val="00CF1C40"/>
    <w:rsid w:val="00CF2043"/>
    <w:rsid w:val="00CF2451"/>
    <w:rsid w:val="00CF2583"/>
    <w:rsid w:val="00CF274C"/>
    <w:rsid w:val="00CF2D95"/>
    <w:rsid w:val="00CF3C44"/>
    <w:rsid w:val="00CF435C"/>
    <w:rsid w:val="00CF483C"/>
    <w:rsid w:val="00CF4853"/>
    <w:rsid w:val="00CF4AD1"/>
    <w:rsid w:val="00CF5052"/>
    <w:rsid w:val="00CF5317"/>
    <w:rsid w:val="00CF569C"/>
    <w:rsid w:val="00CF56A9"/>
    <w:rsid w:val="00CF5A6B"/>
    <w:rsid w:val="00CF5AE3"/>
    <w:rsid w:val="00CF64A2"/>
    <w:rsid w:val="00CF6693"/>
    <w:rsid w:val="00CF6A10"/>
    <w:rsid w:val="00CF6A38"/>
    <w:rsid w:val="00CF6B8F"/>
    <w:rsid w:val="00CF6D49"/>
    <w:rsid w:val="00CF7087"/>
    <w:rsid w:val="00CF71A0"/>
    <w:rsid w:val="00CF747C"/>
    <w:rsid w:val="00CF7523"/>
    <w:rsid w:val="00CF7970"/>
    <w:rsid w:val="00CF7A06"/>
    <w:rsid w:val="00CF7CED"/>
    <w:rsid w:val="00D0033A"/>
    <w:rsid w:val="00D006CA"/>
    <w:rsid w:val="00D00E57"/>
    <w:rsid w:val="00D012FE"/>
    <w:rsid w:val="00D0139F"/>
    <w:rsid w:val="00D013F5"/>
    <w:rsid w:val="00D014F8"/>
    <w:rsid w:val="00D01697"/>
    <w:rsid w:val="00D016C1"/>
    <w:rsid w:val="00D018DA"/>
    <w:rsid w:val="00D01D03"/>
    <w:rsid w:val="00D01F1E"/>
    <w:rsid w:val="00D01F5F"/>
    <w:rsid w:val="00D01FDC"/>
    <w:rsid w:val="00D02416"/>
    <w:rsid w:val="00D02A50"/>
    <w:rsid w:val="00D02BE9"/>
    <w:rsid w:val="00D03250"/>
    <w:rsid w:val="00D0333C"/>
    <w:rsid w:val="00D034D1"/>
    <w:rsid w:val="00D037FB"/>
    <w:rsid w:val="00D03924"/>
    <w:rsid w:val="00D03F9F"/>
    <w:rsid w:val="00D0407D"/>
    <w:rsid w:val="00D042F8"/>
    <w:rsid w:val="00D04611"/>
    <w:rsid w:val="00D04B9B"/>
    <w:rsid w:val="00D04BA9"/>
    <w:rsid w:val="00D04C74"/>
    <w:rsid w:val="00D04DFD"/>
    <w:rsid w:val="00D0510E"/>
    <w:rsid w:val="00D051C0"/>
    <w:rsid w:val="00D054C9"/>
    <w:rsid w:val="00D0568D"/>
    <w:rsid w:val="00D056B1"/>
    <w:rsid w:val="00D05B0D"/>
    <w:rsid w:val="00D062A3"/>
    <w:rsid w:val="00D06308"/>
    <w:rsid w:val="00D0632F"/>
    <w:rsid w:val="00D0637F"/>
    <w:rsid w:val="00D069FC"/>
    <w:rsid w:val="00D06A21"/>
    <w:rsid w:val="00D06BCF"/>
    <w:rsid w:val="00D06DE5"/>
    <w:rsid w:val="00D06FE0"/>
    <w:rsid w:val="00D07106"/>
    <w:rsid w:val="00D0739D"/>
    <w:rsid w:val="00D073AC"/>
    <w:rsid w:val="00D07668"/>
    <w:rsid w:val="00D07790"/>
    <w:rsid w:val="00D077D3"/>
    <w:rsid w:val="00D079A6"/>
    <w:rsid w:val="00D07ACE"/>
    <w:rsid w:val="00D07C5C"/>
    <w:rsid w:val="00D07DA9"/>
    <w:rsid w:val="00D10A59"/>
    <w:rsid w:val="00D10DAB"/>
    <w:rsid w:val="00D110C0"/>
    <w:rsid w:val="00D1173A"/>
    <w:rsid w:val="00D1187F"/>
    <w:rsid w:val="00D119F0"/>
    <w:rsid w:val="00D11DAA"/>
    <w:rsid w:val="00D11DBA"/>
    <w:rsid w:val="00D11ED8"/>
    <w:rsid w:val="00D122A4"/>
    <w:rsid w:val="00D123AB"/>
    <w:rsid w:val="00D12401"/>
    <w:rsid w:val="00D12941"/>
    <w:rsid w:val="00D12B43"/>
    <w:rsid w:val="00D12BEE"/>
    <w:rsid w:val="00D12C0A"/>
    <w:rsid w:val="00D134A4"/>
    <w:rsid w:val="00D1354D"/>
    <w:rsid w:val="00D135FB"/>
    <w:rsid w:val="00D1369C"/>
    <w:rsid w:val="00D13902"/>
    <w:rsid w:val="00D13B12"/>
    <w:rsid w:val="00D13B37"/>
    <w:rsid w:val="00D13DE8"/>
    <w:rsid w:val="00D13F82"/>
    <w:rsid w:val="00D14204"/>
    <w:rsid w:val="00D1467B"/>
    <w:rsid w:val="00D14E18"/>
    <w:rsid w:val="00D14F1F"/>
    <w:rsid w:val="00D15354"/>
    <w:rsid w:val="00D153CF"/>
    <w:rsid w:val="00D155DC"/>
    <w:rsid w:val="00D15694"/>
    <w:rsid w:val="00D15DEB"/>
    <w:rsid w:val="00D15F22"/>
    <w:rsid w:val="00D16424"/>
    <w:rsid w:val="00D16472"/>
    <w:rsid w:val="00D1684D"/>
    <w:rsid w:val="00D17A6E"/>
    <w:rsid w:val="00D17BE9"/>
    <w:rsid w:val="00D17C06"/>
    <w:rsid w:val="00D17D59"/>
    <w:rsid w:val="00D17DA5"/>
    <w:rsid w:val="00D17F07"/>
    <w:rsid w:val="00D20689"/>
    <w:rsid w:val="00D20C0E"/>
    <w:rsid w:val="00D20F85"/>
    <w:rsid w:val="00D210A1"/>
    <w:rsid w:val="00D211E7"/>
    <w:rsid w:val="00D21655"/>
    <w:rsid w:val="00D217DC"/>
    <w:rsid w:val="00D21C28"/>
    <w:rsid w:val="00D21C51"/>
    <w:rsid w:val="00D2204B"/>
    <w:rsid w:val="00D2208C"/>
    <w:rsid w:val="00D2224A"/>
    <w:rsid w:val="00D224A8"/>
    <w:rsid w:val="00D22708"/>
    <w:rsid w:val="00D229AA"/>
    <w:rsid w:val="00D22B25"/>
    <w:rsid w:val="00D22B8F"/>
    <w:rsid w:val="00D22E95"/>
    <w:rsid w:val="00D22F61"/>
    <w:rsid w:val="00D231E6"/>
    <w:rsid w:val="00D236D3"/>
    <w:rsid w:val="00D23859"/>
    <w:rsid w:val="00D23BDF"/>
    <w:rsid w:val="00D23E8D"/>
    <w:rsid w:val="00D23FC4"/>
    <w:rsid w:val="00D24031"/>
    <w:rsid w:val="00D242D5"/>
    <w:rsid w:val="00D24542"/>
    <w:rsid w:val="00D24B55"/>
    <w:rsid w:val="00D2508A"/>
    <w:rsid w:val="00D25371"/>
    <w:rsid w:val="00D25589"/>
    <w:rsid w:val="00D25630"/>
    <w:rsid w:val="00D25825"/>
    <w:rsid w:val="00D25B57"/>
    <w:rsid w:val="00D25F80"/>
    <w:rsid w:val="00D260C1"/>
    <w:rsid w:val="00D26306"/>
    <w:rsid w:val="00D26410"/>
    <w:rsid w:val="00D2656D"/>
    <w:rsid w:val="00D26971"/>
    <w:rsid w:val="00D26D3A"/>
    <w:rsid w:val="00D27028"/>
    <w:rsid w:val="00D27370"/>
    <w:rsid w:val="00D274B4"/>
    <w:rsid w:val="00D274DF"/>
    <w:rsid w:val="00D277CA"/>
    <w:rsid w:val="00D27A16"/>
    <w:rsid w:val="00D27A6C"/>
    <w:rsid w:val="00D27A80"/>
    <w:rsid w:val="00D27B9B"/>
    <w:rsid w:val="00D27D71"/>
    <w:rsid w:val="00D30019"/>
    <w:rsid w:val="00D30066"/>
    <w:rsid w:val="00D300C3"/>
    <w:rsid w:val="00D301BA"/>
    <w:rsid w:val="00D30436"/>
    <w:rsid w:val="00D3043C"/>
    <w:rsid w:val="00D30D90"/>
    <w:rsid w:val="00D310D6"/>
    <w:rsid w:val="00D31128"/>
    <w:rsid w:val="00D311CA"/>
    <w:rsid w:val="00D31308"/>
    <w:rsid w:val="00D31385"/>
    <w:rsid w:val="00D314BC"/>
    <w:rsid w:val="00D31890"/>
    <w:rsid w:val="00D318B4"/>
    <w:rsid w:val="00D31C61"/>
    <w:rsid w:val="00D3283C"/>
    <w:rsid w:val="00D32A18"/>
    <w:rsid w:val="00D32B69"/>
    <w:rsid w:val="00D32FA0"/>
    <w:rsid w:val="00D333A4"/>
    <w:rsid w:val="00D3368B"/>
    <w:rsid w:val="00D338E4"/>
    <w:rsid w:val="00D33C98"/>
    <w:rsid w:val="00D33D19"/>
    <w:rsid w:val="00D33D5D"/>
    <w:rsid w:val="00D344E9"/>
    <w:rsid w:val="00D34B4A"/>
    <w:rsid w:val="00D356F2"/>
    <w:rsid w:val="00D35C76"/>
    <w:rsid w:val="00D3608B"/>
    <w:rsid w:val="00D36649"/>
    <w:rsid w:val="00D367F0"/>
    <w:rsid w:val="00D36AA9"/>
    <w:rsid w:val="00D37238"/>
    <w:rsid w:val="00D375AF"/>
    <w:rsid w:val="00D379E4"/>
    <w:rsid w:val="00D37B2E"/>
    <w:rsid w:val="00D400AF"/>
    <w:rsid w:val="00D4010E"/>
    <w:rsid w:val="00D40992"/>
    <w:rsid w:val="00D40AB2"/>
    <w:rsid w:val="00D40D91"/>
    <w:rsid w:val="00D4116A"/>
    <w:rsid w:val="00D411E5"/>
    <w:rsid w:val="00D4127D"/>
    <w:rsid w:val="00D412A0"/>
    <w:rsid w:val="00D41681"/>
    <w:rsid w:val="00D41773"/>
    <w:rsid w:val="00D41AFC"/>
    <w:rsid w:val="00D41E66"/>
    <w:rsid w:val="00D420AF"/>
    <w:rsid w:val="00D420B1"/>
    <w:rsid w:val="00D42709"/>
    <w:rsid w:val="00D42A10"/>
    <w:rsid w:val="00D42ADC"/>
    <w:rsid w:val="00D42D90"/>
    <w:rsid w:val="00D4334A"/>
    <w:rsid w:val="00D43514"/>
    <w:rsid w:val="00D43761"/>
    <w:rsid w:val="00D43833"/>
    <w:rsid w:val="00D43A8E"/>
    <w:rsid w:val="00D43C36"/>
    <w:rsid w:val="00D43C63"/>
    <w:rsid w:val="00D44469"/>
    <w:rsid w:val="00D444D2"/>
    <w:rsid w:val="00D44938"/>
    <w:rsid w:val="00D44E95"/>
    <w:rsid w:val="00D45007"/>
    <w:rsid w:val="00D4592F"/>
    <w:rsid w:val="00D45A7F"/>
    <w:rsid w:val="00D45BAF"/>
    <w:rsid w:val="00D46205"/>
    <w:rsid w:val="00D46B89"/>
    <w:rsid w:val="00D46ECB"/>
    <w:rsid w:val="00D47029"/>
    <w:rsid w:val="00D47171"/>
    <w:rsid w:val="00D47571"/>
    <w:rsid w:val="00D4768E"/>
    <w:rsid w:val="00D47709"/>
    <w:rsid w:val="00D4799F"/>
    <w:rsid w:val="00D47D6B"/>
    <w:rsid w:val="00D5037B"/>
    <w:rsid w:val="00D505A3"/>
    <w:rsid w:val="00D50800"/>
    <w:rsid w:val="00D50A0A"/>
    <w:rsid w:val="00D50B0C"/>
    <w:rsid w:val="00D50E8F"/>
    <w:rsid w:val="00D50E97"/>
    <w:rsid w:val="00D51155"/>
    <w:rsid w:val="00D511D6"/>
    <w:rsid w:val="00D51420"/>
    <w:rsid w:val="00D51BEC"/>
    <w:rsid w:val="00D51CD5"/>
    <w:rsid w:val="00D52235"/>
    <w:rsid w:val="00D522BC"/>
    <w:rsid w:val="00D52517"/>
    <w:rsid w:val="00D5273B"/>
    <w:rsid w:val="00D527FC"/>
    <w:rsid w:val="00D52957"/>
    <w:rsid w:val="00D52A96"/>
    <w:rsid w:val="00D52B77"/>
    <w:rsid w:val="00D52C8F"/>
    <w:rsid w:val="00D52DAA"/>
    <w:rsid w:val="00D5310D"/>
    <w:rsid w:val="00D532B3"/>
    <w:rsid w:val="00D532E2"/>
    <w:rsid w:val="00D53DC1"/>
    <w:rsid w:val="00D541A7"/>
    <w:rsid w:val="00D54DE7"/>
    <w:rsid w:val="00D54E4E"/>
    <w:rsid w:val="00D5509B"/>
    <w:rsid w:val="00D5513F"/>
    <w:rsid w:val="00D552AF"/>
    <w:rsid w:val="00D5567C"/>
    <w:rsid w:val="00D55908"/>
    <w:rsid w:val="00D55AE6"/>
    <w:rsid w:val="00D563DA"/>
    <w:rsid w:val="00D5654F"/>
    <w:rsid w:val="00D566AE"/>
    <w:rsid w:val="00D56BBF"/>
    <w:rsid w:val="00D56D7A"/>
    <w:rsid w:val="00D56E94"/>
    <w:rsid w:val="00D56ECC"/>
    <w:rsid w:val="00D56FB4"/>
    <w:rsid w:val="00D57161"/>
    <w:rsid w:val="00D57310"/>
    <w:rsid w:val="00D573D2"/>
    <w:rsid w:val="00D57448"/>
    <w:rsid w:val="00D577B4"/>
    <w:rsid w:val="00D57AAF"/>
    <w:rsid w:val="00D57C4E"/>
    <w:rsid w:val="00D60B83"/>
    <w:rsid w:val="00D60BE8"/>
    <w:rsid w:val="00D60C97"/>
    <w:rsid w:val="00D613F0"/>
    <w:rsid w:val="00D6166E"/>
    <w:rsid w:val="00D61752"/>
    <w:rsid w:val="00D61891"/>
    <w:rsid w:val="00D620A6"/>
    <w:rsid w:val="00D62BBD"/>
    <w:rsid w:val="00D634F2"/>
    <w:rsid w:val="00D63534"/>
    <w:rsid w:val="00D63583"/>
    <w:rsid w:val="00D636B4"/>
    <w:rsid w:val="00D63766"/>
    <w:rsid w:val="00D6395D"/>
    <w:rsid w:val="00D63DD7"/>
    <w:rsid w:val="00D6419F"/>
    <w:rsid w:val="00D646CF"/>
    <w:rsid w:val="00D648B0"/>
    <w:rsid w:val="00D64D46"/>
    <w:rsid w:val="00D652CD"/>
    <w:rsid w:val="00D65426"/>
    <w:rsid w:val="00D65640"/>
    <w:rsid w:val="00D65707"/>
    <w:rsid w:val="00D65A4D"/>
    <w:rsid w:val="00D65C52"/>
    <w:rsid w:val="00D65E63"/>
    <w:rsid w:val="00D65ED1"/>
    <w:rsid w:val="00D66B05"/>
    <w:rsid w:val="00D66B5D"/>
    <w:rsid w:val="00D66BCA"/>
    <w:rsid w:val="00D675A2"/>
    <w:rsid w:val="00D676E4"/>
    <w:rsid w:val="00D679CA"/>
    <w:rsid w:val="00D67ADB"/>
    <w:rsid w:val="00D67FCD"/>
    <w:rsid w:val="00D70039"/>
    <w:rsid w:val="00D7029A"/>
    <w:rsid w:val="00D7069C"/>
    <w:rsid w:val="00D70821"/>
    <w:rsid w:val="00D70A43"/>
    <w:rsid w:val="00D70B2D"/>
    <w:rsid w:val="00D70F27"/>
    <w:rsid w:val="00D71242"/>
    <w:rsid w:val="00D719DF"/>
    <w:rsid w:val="00D71D10"/>
    <w:rsid w:val="00D71E35"/>
    <w:rsid w:val="00D722CF"/>
    <w:rsid w:val="00D72435"/>
    <w:rsid w:val="00D7246D"/>
    <w:rsid w:val="00D7256C"/>
    <w:rsid w:val="00D72E92"/>
    <w:rsid w:val="00D73418"/>
    <w:rsid w:val="00D73929"/>
    <w:rsid w:val="00D73AA0"/>
    <w:rsid w:val="00D73D07"/>
    <w:rsid w:val="00D73EF0"/>
    <w:rsid w:val="00D73FDD"/>
    <w:rsid w:val="00D7404A"/>
    <w:rsid w:val="00D741B2"/>
    <w:rsid w:val="00D7440C"/>
    <w:rsid w:val="00D74A60"/>
    <w:rsid w:val="00D74D3D"/>
    <w:rsid w:val="00D74D79"/>
    <w:rsid w:val="00D7543A"/>
    <w:rsid w:val="00D754A0"/>
    <w:rsid w:val="00D759F4"/>
    <w:rsid w:val="00D75C40"/>
    <w:rsid w:val="00D75E31"/>
    <w:rsid w:val="00D76401"/>
    <w:rsid w:val="00D76487"/>
    <w:rsid w:val="00D7678E"/>
    <w:rsid w:val="00D76B8E"/>
    <w:rsid w:val="00D76C51"/>
    <w:rsid w:val="00D76F90"/>
    <w:rsid w:val="00D77595"/>
    <w:rsid w:val="00D779EE"/>
    <w:rsid w:val="00D77DE9"/>
    <w:rsid w:val="00D77FBD"/>
    <w:rsid w:val="00D801E4"/>
    <w:rsid w:val="00D8023F"/>
    <w:rsid w:val="00D8025C"/>
    <w:rsid w:val="00D80445"/>
    <w:rsid w:val="00D804CD"/>
    <w:rsid w:val="00D80C48"/>
    <w:rsid w:val="00D80C5D"/>
    <w:rsid w:val="00D80D2F"/>
    <w:rsid w:val="00D8113D"/>
    <w:rsid w:val="00D81335"/>
    <w:rsid w:val="00D813B3"/>
    <w:rsid w:val="00D817AB"/>
    <w:rsid w:val="00D817DB"/>
    <w:rsid w:val="00D81896"/>
    <w:rsid w:val="00D81953"/>
    <w:rsid w:val="00D81B00"/>
    <w:rsid w:val="00D81D4A"/>
    <w:rsid w:val="00D82137"/>
    <w:rsid w:val="00D82333"/>
    <w:rsid w:val="00D8255E"/>
    <w:rsid w:val="00D82864"/>
    <w:rsid w:val="00D82A2A"/>
    <w:rsid w:val="00D82AC9"/>
    <w:rsid w:val="00D82AE4"/>
    <w:rsid w:val="00D82B2C"/>
    <w:rsid w:val="00D82BF9"/>
    <w:rsid w:val="00D82EA4"/>
    <w:rsid w:val="00D82EB8"/>
    <w:rsid w:val="00D83630"/>
    <w:rsid w:val="00D836FE"/>
    <w:rsid w:val="00D83732"/>
    <w:rsid w:val="00D83A1E"/>
    <w:rsid w:val="00D83D06"/>
    <w:rsid w:val="00D83EC4"/>
    <w:rsid w:val="00D844F7"/>
    <w:rsid w:val="00D845EE"/>
    <w:rsid w:val="00D84900"/>
    <w:rsid w:val="00D84A27"/>
    <w:rsid w:val="00D84E6D"/>
    <w:rsid w:val="00D84F19"/>
    <w:rsid w:val="00D85093"/>
    <w:rsid w:val="00D8516E"/>
    <w:rsid w:val="00D8517D"/>
    <w:rsid w:val="00D85590"/>
    <w:rsid w:val="00D855E7"/>
    <w:rsid w:val="00D8598D"/>
    <w:rsid w:val="00D85D9A"/>
    <w:rsid w:val="00D85E72"/>
    <w:rsid w:val="00D85FD8"/>
    <w:rsid w:val="00D8628A"/>
    <w:rsid w:val="00D862EA"/>
    <w:rsid w:val="00D868ED"/>
    <w:rsid w:val="00D86958"/>
    <w:rsid w:val="00D8698C"/>
    <w:rsid w:val="00D86B03"/>
    <w:rsid w:val="00D86B1D"/>
    <w:rsid w:val="00D86BB3"/>
    <w:rsid w:val="00D86C36"/>
    <w:rsid w:val="00D86D26"/>
    <w:rsid w:val="00D86F9E"/>
    <w:rsid w:val="00D870CA"/>
    <w:rsid w:val="00D8761D"/>
    <w:rsid w:val="00D877C8"/>
    <w:rsid w:val="00D87AE2"/>
    <w:rsid w:val="00D90108"/>
    <w:rsid w:val="00D90220"/>
    <w:rsid w:val="00D90309"/>
    <w:rsid w:val="00D90D9B"/>
    <w:rsid w:val="00D9179C"/>
    <w:rsid w:val="00D91C37"/>
    <w:rsid w:val="00D91DF0"/>
    <w:rsid w:val="00D920D1"/>
    <w:rsid w:val="00D921E4"/>
    <w:rsid w:val="00D9241C"/>
    <w:rsid w:val="00D925D3"/>
    <w:rsid w:val="00D92752"/>
    <w:rsid w:val="00D9287A"/>
    <w:rsid w:val="00D92B26"/>
    <w:rsid w:val="00D92E52"/>
    <w:rsid w:val="00D92F68"/>
    <w:rsid w:val="00D93474"/>
    <w:rsid w:val="00D93499"/>
    <w:rsid w:val="00D934CA"/>
    <w:rsid w:val="00D93587"/>
    <w:rsid w:val="00D93690"/>
    <w:rsid w:val="00D936E4"/>
    <w:rsid w:val="00D9378F"/>
    <w:rsid w:val="00D93B15"/>
    <w:rsid w:val="00D93CC6"/>
    <w:rsid w:val="00D93ECC"/>
    <w:rsid w:val="00D93F4F"/>
    <w:rsid w:val="00D93FD0"/>
    <w:rsid w:val="00D94181"/>
    <w:rsid w:val="00D941F2"/>
    <w:rsid w:val="00D942A4"/>
    <w:rsid w:val="00D94408"/>
    <w:rsid w:val="00D945BC"/>
    <w:rsid w:val="00D94823"/>
    <w:rsid w:val="00D94BE8"/>
    <w:rsid w:val="00D94CC5"/>
    <w:rsid w:val="00D95BF1"/>
    <w:rsid w:val="00D95C09"/>
    <w:rsid w:val="00D95F1A"/>
    <w:rsid w:val="00D96835"/>
    <w:rsid w:val="00D9686C"/>
    <w:rsid w:val="00D96B48"/>
    <w:rsid w:val="00D96B94"/>
    <w:rsid w:val="00D96C37"/>
    <w:rsid w:val="00D96CA4"/>
    <w:rsid w:val="00D96D9A"/>
    <w:rsid w:val="00D97078"/>
    <w:rsid w:val="00D97307"/>
    <w:rsid w:val="00D9749C"/>
    <w:rsid w:val="00D9783C"/>
    <w:rsid w:val="00D97C40"/>
    <w:rsid w:val="00D97C6C"/>
    <w:rsid w:val="00DA0086"/>
    <w:rsid w:val="00DA0090"/>
    <w:rsid w:val="00DA0332"/>
    <w:rsid w:val="00DA05C3"/>
    <w:rsid w:val="00DA05D2"/>
    <w:rsid w:val="00DA07D5"/>
    <w:rsid w:val="00DA0803"/>
    <w:rsid w:val="00DA08E5"/>
    <w:rsid w:val="00DA0CF4"/>
    <w:rsid w:val="00DA1935"/>
    <w:rsid w:val="00DA1A07"/>
    <w:rsid w:val="00DA1A60"/>
    <w:rsid w:val="00DA2184"/>
    <w:rsid w:val="00DA26FB"/>
    <w:rsid w:val="00DA3434"/>
    <w:rsid w:val="00DA3968"/>
    <w:rsid w:val="00DA3F18"/>
    <w:rsid w:val="00DA3F35"/>
    <w:rsid w:val="00DA4100"/>
    <w:rsid w:val="00DA4652"/>
    <w:rsid w:val="00DA4878"/>
    <w:rsid w:val="00DA48B4"/>
    <w:rsid w:val="00DA4BAB"/>
    <w:rsid w:val="00DA4C63"/>
    <w:rsid w:val="00DA501A"/>
    <w:rsid w:val="00DA56EA"/>
    <w:rsid w:val="00DA5EB3"/>
    <w:rsid w:val="00DA5ED4"/>
    <w:rsid w:val="00DA664D"/>
    <w:rsid w:val="00DA671C"/>
    <w:rsid w:val="00DA720F"/>
    <w:rsid w:val="00DA75FB"/>
    <w:rsid w:val="00DA7F2F"/>
    <w:rsid w:val="00DA7FC9"/>
    <w:rsid w:val="00DB0155"/>
    <w:rsid w:val="00DB048F"/>
    <w:rsid w:val="00DB0825"/>
    <w:rsid w:val="00DB098B"/>
    <w:rsid w:val="00DB0C73"/>
    <w:rsid w:val="00DB149A"/>
    <w:rsid w:val="00DB17B5"/>
    <w:rsid w:val="00DB17D3"/>
    <w:rsid w:val="00DB1BDD"/>
    <w:rsid w:val="00DB1FDA"/>
    <w:rsid w:val="00DB21CE"/>
    <w:rsid w:val="00DB2288"/>
    <w:rsid w:val="00DB2483"/>
    <w:rsid w:val="00DB29D7"/>
    <w:rsid w:val="00DB2E4D"/>
    <w:rsid w:val="00DB2F1F"/>
    <w:rsid w:val="00DB36C8"/>
    <w:rsid w:val="00DB3A79"/>
    <w:rsid w:val="00DB3B8E"/>
    <w:rsid w:val="00DB3DB9"/>
    <w:rsid w:val="00DB412E"/>
    <w:rsid w:val="00DB4311"/>
    <w:rsid w:val="00DB44CF"/>
    <w:rsid w:val="00DB48B2"/>
    <w:rsid w:val="00DB49C8"/>
    <w:rsid w:val="00DB4A7C"/>
    <w:rsid w:val="00DB501D"/>
    <w:rsid w:val="00DB5586"/>
    <w:rsid w:val="00DB566D"/>
    <w:rsid w:val="00DB5965"/>
    <w:rsid w:val="00DB59E7"/>
    <w:rsid w:val="00DB5CDD"/>
    <w:rsid w:val="00DB5D22"/>
    <w:rsid w:val="00DB5EC9"/>
    <w:rsid w:val="00DB6387"/>
    <w:rsid w:val="00DB6471"/>
    <w:rsid w:val="00DB64D6"/>
    <w:rsid w:val="00DB6BEF"/>
    <w:rsid w:val="00DB6EDF"/>
    <w:rsid w:val="00DB71D0"/>
    <w:rsid w:val="00DB72A4"/>
    <w:rsid w:val="00DB730D"/>
    <w:rsid w:val="00DB7325"/>
    <w:rsid w:val="00DB7410"/>
    <w:rsid w:val="00DB762C"/>
    <w:rsid w:val="00DC03B9"/>
    <w:rsid w:val="00DC128F"/>
    <w:rsid w:val="00DC13E0"/>
    <w:rsid w:val="00DC177C"/>
    <w:rsid w:val="00DC1A97"/>
    <w:rsid w:val="00DC1E10"/>
    <w:rsid w:val="00DC220F"/>
    <w:rsid w:val="00DC2776"/>
    <w:rsid w:val="00DC30D9"/>
    <w:rsid w:val="00DC3784"/>
    <w:rsid w:val="00DC37F7"/>
    <w:rsid w:val="00DC3B6E"/>
    <w:rsid w:val="00DC3D04"/>
    <w:rsid w:val="00DC4054"/>
    <w:rsid w:val="00DC4084"/>
    <w:rsid w:val="00DC4519"/>
    <w:rsid w:val="00DC4E3D"/>
    <w:rsid w:val="00DC5069"/>
    <w:rsid w:val="00DC54C2"/>
    <w:rsid w:val="00DC5658"/>
    <w:rsid w:val="00DC5B04"/>
    <w:rsid w:val="00DC5C97"/>
    <w:rsid w:val="00DC648B"/>
    <w:rsid w:val="00DC6556"/>
    <w:rsid w:val="00DC6805"/>
    <w:rsid w:val="00DC6878"/>
    <w:rsid w:val="00DC69F5"/>
    <w:rsid w:val="00DC6B5D"/>
    <w:rsid w:val="00DC6BA5"/>
    <w:rsid w:val="00DC71FF"/>
    <w:rsid w:val="00DC7601"/>
    <w:rsid w:val="00DC7837"/>
    <w:rsid w:val="00DC7849"/>
    <w:rsid w:val="00DC7926"/>
    <w:rsid w:val="00DC7B8F"/>
    <w:rsid w:val="00DD0189"/>
    <w:rsid w:val="00DD02EA"/>
    <w:rsid w:val="00DD0353"/>
    <w:rsid w:val="00DD0471"/>
    <w:rsid w:val="00DD06E5"/>
    <w:rsid w:val="00DD081A"/>
    <w:rsid w:val="00DD09CB"/>
    <w:rsid w:val="00DD0AE7"/>
    <w:rsid w:val="00DD0B39"/>
    <w:rsid w:val="00DD12A2"/>
    <w:rsid w:val="00DD16ED"/>
    <w:rsid w:val="00DD1C44"/>
    <w:rsid w:val="00DD1CF9"/>
    <w:rsid w:val="00DD1F5D"/>
    <w:rsid w:val="00DD1F7E"/>
    <w:rsid w:val="00DD21A4"/>
    <w:rsid w:val="00DD22FA"/>
    <w:rsid w:val="00DD2FB1"/>
    <w:rsid w:val="00DD3138"/>
    <w:rsid w:val="00DD3A69"/>
    <w:rsid w:val="00DD4979"/>
    <w:rsid w:val="00DD523C"/>
    <w:rsid w:val="00DD524F"/>
    <w:rsid w:val="00DD5A9E"/>
    <w:rsid w:val="00DD5D00"/>
    <w:rsid w:val="00DD5FA2"/>
    <w:rsid w:val="00DD6076"/>
    <w:rsid w:val="00DD6094"/>
    <w:rsid w:val="00DD6C1A"/>
    <w:rsid w:val="00DD73BE"/>
    <w:rsid w:val="00DE05DA"/>
    <w:rsid w:val="00DE0804"/>
    <w:rsid w:val="00DE0ACE"/>
    <w:rsid w:val="00DE0C5C"/>
    <w:rsid w:val="00DE1031"/>
    <w:rsid w:val="00DE132F"/>
    <w:rsid w:val="00DE1569"/>
    <w:rsid w:val="00DE1577"/>
    <w:rsid w:val="00DE165A"/>
    <w:rsid w:val="00DE17D0"/>
    <w:rsid w:val="00DE24F2"/>
    <w:rsid w:val="00DE2800"/>
    <w:rsid w:val="00DE2B23"/>
    <w:rsid w:val="00DE2FB3"/>
    <w:rsid w:val="00DE30F8"/>
    <w:rsid w:val="00DE33B4"/>
    <w:rsid w:val="00DE3AB8"/>
    <w:rsid w:val="00DE3CA2"/>
    <w:rsid w:val="00DE4079"/>
    <w:rsid w:val="00DE40DA"/>
    <w:rsid w:val="00DE40DC"/>
    <w:rsid w:val="00DE40F5"/>
    <w:rsid w:val="00DE4D93"/>
    <w:rsid w:val="00DE4DF7"/>
    <w:rsid w:val="00DE4EB3"/>
    <w:rsid w:val="00DE4FCE"/>
    <w:rsid w:val="00DE5356"/>
    <w:rsid w:val="00DE5B36"/>
    <w:rsid w:val="00DE5DEE"/>
    <w:rsid w:val="00DE5EC5"/>
    <w:rsid w:val="00DE5EF6"/>
    <w:rsid w:val="00DE5FD8"/>
    <w:rsid w:val="00DE63AD"/>
    <w:rsid w:val="00DE6444"/>
    <w:rsid w:val="00DE6899"/>
    <w:rsid w:val="00DE6A91"/>
    <w:rsid w:val="00DE791C"/>
    <w:rsid w:val="00DE7FC8"/>
    <w:rsid w:val="00DF0266"/>
    <w:rsid w:val="00DF04F7"/>
    <w:rsid w:val="00DF0781"/>
    <w:rsid w:val="00DF0AA8"/>
    <w:rsid w:val="00DF0AE1"/>
    <w:rsid w:val="00DF0C3A"/>
    <w:rsid w:val="00DF0D02"/>
    <w:rsid w:val="00DF0D88"/>
    <w:rsid w:val="00DF0F09"/>
    <w:rsid w:val="00DF0F70"/>
    <w:rsid w:val="00DF134B"/>
    <w:rsid w:val="00DF1618"/>
    <w:rsid w:val="00DF1DA2"/>
    <w:rsid w:val="00DF1F6D"/>
    <w:rsid w:val="00DF2931"/>
    <w:rsid w:val="00DF3026"/>
    <w:rsid w:val="00DF3104"/>
    <w:rsid w:val="00DF3480"/>
    <w:rsid w:val="00DF34F8"/>
    <w:rsid w:val="00DF38BD"/>
    <w:rsid w:val="00DF3A87"/>
    <w:rsid w:val="00DF3AA4"/>
    <w:rsid w:val="00DF40EF"/>
    <w:rsid w:val="00DF4111"/>
    <w:rsid w:val="00DF4149"/>
    <w:rsid w:val="00DF42AB"/>
    <w:rsid w:val="00DF4575"/>
    <w:rsid w:val="00DF48BB"/>
    <w:rsid w:val="00DF4AA9"/>
    <w:rsid w:val="00DF4B88"/>
    <w:rsid w:val="00DF4DF6"/>
    <w:rsid w:val="00DF4E9B"/>
    <w:rsid w:val="00DF4EA1"/>
    <w:rsid w:val="00DF4FC3"/>
    <w:rsid w:val="00DF5273"/>
    <w:rsid w:val="00DF54F7"/>
    <w:rsid w:val="00DF552C"/>
    <w:rsid w:val="00DF55CB"/>
    <w:rsid w:val="00DF5604"/>
    <w:rsid w:val="00DF566D"/>
    <w:rsid w:val="00DF594F"/>
    <w:rsid w:val="00DF59FD"/>
    <w:rsid w:val="00DF5CAE"/>
    <w:rsid w:val="00DF5EC7"/>
    <w:rsid w:val="00DF60E0"/>
    <w:rsid w:val="00DF63E0"/>
    <w:rsid w:val="00DF6659"/>
    <w:rsid w:val="00DF6750"/>
    <w:rsid w:val="00DF6A7B"/>
    <w:rsid w:val="00DF6AA2"/>
    <w:rsid w:val="00DF6F0B"/>
    <w:rsid w:val="00DF7013"/>
    <w:rsid w:val="00DF72A1"/>
    <w:rsid w:val="00DF746D"/>
    <w:rsid w:val="00DF7596"/>
    <w:rsid w:val="00DF75A8"/>
    <w:rsid w:val="00DF77C6"/>
    <w:rsid w:val="00DF7BEC"/>
    <w:rsid w:val="00DF7C5F"/>
    <w:rsid w:val="00DF7EEA"/>
    <w:rsid w:val="00E00231"/>
    <w:rsid w:val="00E0026F"/>
    <w:rsid w:val="00E005EA"/>
    <w:rsid w:val="00E00642"/>
    <w:rsid w:val="00E00CB5"/>
    <w:rsid w:val="00E00F1A"/>
    <w:rsid w:val="00E010DF"/>
    <w:rsid w:val="00E01261"/>
    <w:rsid w:val="00E01600"/>
    <w:rsid w:val="00E016F9"/>
    <w:rsid w:val="00E018A1"/>
    <w:rsid w:val="00E018D0"/>
    <w:rsid w:val="00E01BFA"/>
    <w:rsid w:val="00E01DF0"/>
    <w:rsid w:val="00E01E2A"/>
    <w:rsid w:val="00E01F15"/>
    <w:rsid w:val="00E02088"/>
    <w:rsid w:val="00E02221"/>
    <w:rsid w:val="00E022BD"/>
    <w:rsid w:val="00E0234D"/>
    <w:rsid w:val="00E023E3"/>
    <w:rsid w:val="00E02749"/>
    <w:rsid w:val="00E02D66"/>
    <w:rsid w:val="00E0324C"/>
    <w:rsid w:val="00E03AA8"/>
    <w:rsid w:val="00E03C5C"/>
    <w:rsid w:val="00E03C8C"/>
    <w:rsid w:val="00E03FD0"/>
    <w:rsid w:val="00E040D3"/>
    <w:rsid w:val="00E041D0"/>
    <w:rsid w:val="00E04704"/>
    <w:rsid w:val="00E04A25"/>
    <w:rsid w:val="00E04A42"/>
    <w:rsid w:val="00E04E07"/>
    <w:rsid w:val="00E0509B"/>
    <w:rsid w:val="00E052CC"/>
    <w:rsid w:val="00E05501"/>
    <w:rsid w:val="00E057A5"/>
    <w:rsid w:val="00E0596F"/>
    <w:rsid w:val="00E05C26"/>
    <w:rsid w:val="00E05F1F"/>
    <w:rsid w:val="00E060D7"/>
    <w:rsid w:val="00E06273"/>
    <w:rsid w:val="00E066A1"/>
    <w:rsid w:val="00E06797"/>
    <w:rsid w:val="00E068B7"/>
    <w:rsid w:val="00E06D29"/>
    <w:rsid w:val="00E074BB"/>
    <w:rsid w:val="00E07504"/>
    <w:rsid w:val="00E07924"/>
    <w:rsid w:val="00E07AE1"/>
    <w:rsid w:val="00E07CAF"/>
    <w:rsid w:val="00E07D47"/>
    <w:rsid w:val="00E07DB7"/>
    <w:rsid w:val="00E07F4C"/>
    <w:rsid w:val="00E10A66"/>
    <w:rsid w:val="00E10DA2"/>
    <w:rsid w:val="00E10F61"/>
    <w:rsid w:val="00E11599"/>
    <w:rsid w:val="00E11655"/>
    <w:rsid w:val="00E11BAB"/>
    <w:rsid w:val="00E11C86"/>
    <w:rsid w:val="00E12306"/>
    <w:rsid w:val="00E124A2"/>
    <w:rsid w:val="00E13640"/>
    <w:rsid w:val="00E13E13"/>
    <w:rsid w:val="00E14051"/>
    <w:rsid w:val="00E14B12"/>
    <w:rsid w:val="00E14B83"/>
    <w:rsid w:val="00E14CA1"/>
    <w:rsid w:val="00E14EF0"/>
    <w:rsid w:val="00E15148"/>
    <w:rsid w:val="00E15791"/>
    <w:rsid w:val="00E15AFC"/>
    <w:rsid w:val="00E16041"/>
    <w:rsid w:val="00E168E4"/>
    <w:rsid w:val="00E16CB2"/>
    <w:rsid w:val="00E16D66"/>
    <w:rsid w:val="00E16E43"/>
    <w:rsid w:val="00E16E60"/>
    <w:rsid w:val="00E1709A"/>
    <w:rsid w:val="00E17130"/>
    <w:rsid w:val="00E17650"/>
    <w:rsid w:val="00E17717"/>
    <w:rsid w:val="00E177E1"/>
    <w:rsid w:val="00E178BC"/>
    <w:rsid w:val="00E17A3C"/>
    <w:rsid w:val="00E17E8A"/>
    <w:rsid w:val="00E17F93"/>
    <w:rsid w:val="00E17F9A"/>
    <w:rsid w:val="00E2008E"/>
    <w:rsid w:val="00E2025E"/>
    <w:rsid w:val="00E2059A"/>
    <w:rsid w:val="00E20814"/>
    <w:rsid w:val="00E20956"/>
    <w:rsid w:val="00E20B5A"/>
    <w:rsid w:val="00E20BAF"/>
    <w:rsid w:val="00E20E60"/>
    <w:rsid w:val="00E20E63"/>
    <w:rsid w:val="00E20EBB"/>
    <w:rsid w:val="00E20EDE"/>
    <w:rsid w:val="00E20F3A"/>
    <w:rsid w:val="00E20F4D"/>
    <w:rsid w:val="00E20FEF"/>
    <w:rsid w:val="00E211DC"/>
    <w:rsid w:val="00E2125B"/>
    <w:rsid w:val="00E21357"/>
    <w:rsid w:val="00E2146D"/>
    <w:rsid w:val="00E21867"/>
    <w:rsid w:val="00E21D31"/>
    <w:rsid w:val="00E22067"/>
    <w:rsid w:val="00E22184"/>
    <w:rsid w:val="00E22458"/>
    <w:rsid w:val="00E22598"/>
    <w:rsid w:val="00E22956"/>
    <w:rsid w:val="00E22996"/>
    <w:rsid w:val="00E22D4A"/>
    <w:rsid w:val="00E22D83"/>
    <w:rsid w:val="00E231DF"/>
    <w:rsid w:val="00E233B9"/>
    <w:rsid w:val="00E23A54"/>
    <w:rsid w:val="00E24031"/>
    <w:rsid w:val="00E244CA"/>
    <w:rsid w:val="00E24512"/>
    <w:rsid w:val="00E24833"/>
    <w:rsid w:val="00E24E8C"/>
    <w:rsid w:val="00E25266"/>
    <w:rsid w:val="00E259F3"/>
    <w:rsid w:val="00E25B43"/>
    <w:rsid w:val="00E260F7"/>
    <w:rsid w:val="00E262F4"/>
    <w:rsid w:val="00E2636F"/>
    <w:rsid w:val="00E26756"/>
    <w:rsid w:val="00E26775"/>
    <w:rsid w:val="00E27146"/>
    <w:rsid w:val="00E272F2"/>
    <w:rsid w:val="00E27786"/>
    <w:rsid w:val="00E27DF8"/>
    <w:rsid w:val="00E27F65"/>
    <w:rsid w:val="00E27F89"/>
    <w:rsid w:val="00E3008B"/>
    <w:rsid w:val="00E303DB"/>
    <w:rsid w:val="00E309D1"/>
    <w:rsid w:val="00E30BD3"/>
    <w:rsid w:val="00E30C73"/>
    <w:rsid w:val="00E30FFF"/>
    <w:rsid w:val="00E31806"/>
    <w:rsid w:val="00E31A62"/>
    <w:rsid w:val="00E31A72"/>
    <w:rsid w:val="00E32625"/>
    <w:rsid w:val="00E3278A"/>
    <w:rsid w:val="00E32D00"/>
    <w:rsid w:val="00E3324F"/>
    <w:rsid w:val="00E333FD"/>
    <w:rsid w:val="00E33C8E"/>
    <w:rsid w:val="00E342FC"/>
    <w:rsid w:val="00E34335"/>
    <w:rsid w:val="00E34343"/>
    <w:rsid w:val="00E346E0"/>
    <w:rsid w:val="00E34B2D"/>
    <w:rsid w:val="00E34B64"/>
    <w:rsid w:val="00E34C3B"/>
    <w:rsid w:val="00E34CF9"/>
    <w:rsid w:val="00E34F4D"/>
    <w:rsid w:val="00E351EB"/>
    <w:rsid w:val="00E35243"/>
    <w:rsid w:val="00E35422"/>
    <w:rsid w:val="00E35482"/>
    <w:rsid w:val="00E35B20"/>
    <w:rsid w:val="00E35B34"/>
    <w:rsid w:val="00E364CE"/>
    <w:rsid w:val="00E3691C"/>
    <w:rsid w:val="00E36A9C"/>
    <w:rsid w:val="00E370A6"/>
    <w:rsid w:val="00E3732A"/>
    <w:rsid w:val="00E3746A"/>
    <w:rsid w:val="00E3774F"/>
    <w:rsid w:val="00E37A9D"/>
    <w:rsid w:val="00E400A7"/>
    <w:rsid w:val="00E401F1"/>
    <w:rsid w:val="00E40295"/>
    <w:rsid w:val="00E4056D"/>
    <w:rsid w:val="00E40614"/>
    <w:rsid w:val="00E40A52"/>
    <w:rsid w:val="00E4116C"/>
    <w:rsid w:val="00E412E8"/>
    <w:rsid w:val="00E41376"/>
    <w:rsid w:val="00E414FE"/>
    <w:rsid w:val="00E415B8"/>
    <w:rsid w:val="00E41670"/>
    <w:rsid w:val="00E4174B"/>
    <w:rsid w:val="00E41EA4"/>
    <w:rsid w:val="00E420BB"/>
    <w:rsid w:val="00E42DBC"/>
    <w:rsid w:val="00E430A4"/>
    <w:rsid w:val="00E4325A"/>
    <w:rsid w:val="00E43299"/>
    <w:rsid w:val="00E4329E"/>
    <w:rsid w:val="00E435AE"/>
    <w:rsid w:val="00E435CD"/>
    <w:rsid w:val="00E43601"/>
    <w:rsid w:val="00E43847"/>
    <w:rsid w:val="00E439CE"/>
    <w:rsid w:val="00E43DAF"/>
    <w:rsid w:val="00E43F63"/>
    <w:rsid w:val="00E4409D"/>
    <w:rsid w:val="00E44869"/>
    <w:rsid w:val="00E44BBC"/>
    <w:rsid w:val="00E44D02"/>
    <w:rsid w:val="00E44D44"/>
    <w:rsid w:val="00E44F3D"/>
    <w:rsid w:val="00E4507D"/>
    <w:rsid w:val="00E450D3"/>
    <w:rsid w:val="00E452E1"/>
    <w:rsid w:val="00E45441"/>
    <w:rsid w:val="00E45505"/>
    <w:rsid w:val="00E4562C"/>
    <w:rsid w:val="00E45737"/>
    <w:rsid w:val="00E45922"/>
    <w:rsid w:val="00E459C0"/>
    <w:rsid w:val="00E45C97"/>
    <w:rsid w:val="00E45D4A"/>
    <w:rsid w:val="00E45E89"/>
    <w:rsid w:val="00E45EEA"/>
    <w:rsid w:val="00E4631C"/>
    <w:rsid w:val="00E466A8"/>
    <w:rsid w:val="00E46750"/>
    <w:rsid w:val="00E46AF1"/>
    <w:rsid w:val="00E46D61"/>
    <w:rsid w:val="00E46DDE"/>
    <w:rsid w:val="00E46E46"/>
    <w:rsid w:val="00E46E66"/>
    <w:rsid w:val="00E46F4F"/>
    <w:rsid w:val="00E47272"/>
    <w:rsid w:val="00E473A9"/>
    <w:rsid w:val="00E478C6"/>
    <w:rsid w:val="00E47A07"/>
    <w:rsid w:val="00E47F60"/>
    <w:rsid w:val="00E47FC6"/>
    <w:rsid w:val="00E50106"/>
    <w:rsid w:val="00E50304"/>
    <w:rsid w:val="00E50322"/>
    <w:rsid w:val="00E504CC"/>
    <w:rsid w:val="00E504F5"/>
    <w:rsid w:val="00E5063D"/>
    <w:rsid w:val="00E50668"/>
    <w:rsid w:val="00E50691"/>
    <w:rsid w:val="00E509A9"/>
    <w:rsid w:val="00E50C57"/>
    <w:rsid w:val="00E50DCE"/>
    <w:rsid w:val="00E510CA"/>
    <w:rsid w:val="00E51149"/>
    <w:rsid w:val="00E512B2"/>
    <w:rsid w:val="00E51881"/>
    <w:rsid w:val="00E519AC"/>
    <w:rsid w:val="00E51AEC"/>
    <w:rsid w:val="00E51B8F"/>
    <w:rsid w:val="00E522ED"/>
    <w:rsid w:val="00E52604"/>
    <w:rsid w:val="00E526A3"/>
    <w:rsid w:val="00E5289B"/>
    <w:rsid w:val="00E52A75"/>
    <w:rsid w:val="00E52F85"/>
    <w:rsid w:val="00E5337A"/>
    <w:rsid w:val="00E53B83"/>
    <w:rsid w:val="00E53BAF"/>
    <w:rsid w:val="00E54780"/>
    <w:rsid w:val="00E54785"/>
    <w:rsid w:val="00E54A64"/>
    <w:rsid w:val="00E54E2C"/>
    <w:rsid w:val="00E54FE1"/>
    <w:rsid w:val="00E550A8"/>
    <w:rsid w:val="00E55119"/>
    <w:rsid w:val="00E5529F"/>
    <w:rsid w:val="00E55419"/>
    <w:rsid w:val="00E55AEE"/>
    <w:rsid w:val="00E5610F"/>
    <w:rsid w:val="00E56658"/>
    <w:rsid w:val="00E5667F"/>
    <w:rsid w:val="00E5695A"/>
    <w:rsid w:val="00E570E9"/>
    <w:rsid w:val="00E573E5"/>
    <w:rsid w:val="00E57420"/>
    <w:rsid w:val="00E57555"/>
    <w:rsid w:val="00E5756E"/>
    <w:rsid w:val="00E5799D"/>
    <w:rsid w:val="00E57AEA"/>
    <w:rsid w:val="00E57FAF"/>
    <w:rsid w:val="00E57FCF"/>
    <w:rsid w:val="00E605DB"/>
    <w:rsid w:val="00E607C1"/>
    <w:rsid w:val="00E607EA"/>
    <w:rsid w:val="00E60D15"/>
    <w:rsid w:val="00E60EB0"/>
    <w:rsid w:val="00E61140"/>
    <w:rsid w:val="00E61429"/>
    <w:rsid w:val="00E6178C"/>
    <w:rsid w:val="00E61A03"/>
    <w:rsid w:val="00E61A18"/>
    <w:rsid w:val="00E61A49"/>
    <w:rsid w:val="00E61C47"/>
    <w:rsid w:val="00E62024"/>
    <w:rsid w:val="00E62429"/>
    <w:rsid w:val="00E62464"/>
    <w:rsid w:val="00E625D3"/>
    <w:rsid w:val="00E62914"/>
    <w:rsid w:val="00E62939"/>
    <w:rsid w:val="00E62CEE"/>
    <w:rsid w:val="00E63023"/>
    <w:rsid w:val="00E6313F"/>
    <w:rsid w:val="00E63727"/>
    <w:rsid w:val="00E63734"/>
    <w:rsid w:val="00E63842"/>
    <w:rsid w:val="00E63BC5"/>
    <w:rsid w:val="00E63FCF"/>
    <w:rsid w:val="00E6416C"/>
    <w:rsid w:val="00E643C4"/>
    <w:rsid w:val="00E64542"/>
    <w:rsid w:val="00E64690"/>
    <w:rsid w:val="00E646F6"/>
    <w:rsid w:val="00E64943"/>
    <w:rsid w:val="00E64EF5"/>
    <w:rsid w:val="00E65027"/>
    <w:rsid w:val="00E653D9"/>
    <w:rsid w:val="00E653F0"/>
    <w:rsid w:val="00E65723"/>
    <w:rsid w:val="00E65818"/>
    <w:rsid w:val="00E65A8E"/>
    <w:rsid w:val="00E65B6C"/>
    <w:rsid w:val="00E65C77"/>
    <w:rsid w:val="00E65DB0"/>
    <w:rsid w:val="00E66696"/>
    <w:rsid w:val="00E668D1"/>
    <w:rsid w:val="00E66E39"/>
    <w:rsid w:val="00E6718B"/>
    <w:rsid w:val="00E673C0"/>
    <w:rsid w:val="00E673C2"/>
    <w:rsid w:val="00E67651"/>
    <w:rsid w:val="00E67719"/>
    <w:rsid w:val="00E677BC"/>
    <w:rsid w:val="00E67A96"/>
    <w:rsid w:val="00E70590"/>
    <w:rsid w:val="00E70845"/>
    <w:rsid w:val="00E70913"/>
    <w:rsid w:val="00E70B44"/>
    <w:rsid w:val="00E70CE6"/>
    <w:rsid w:val="00E70FFE"/>
    <w:rsid w:val="00E71153"/>
    <w:rsid w:val="00E71296"/>
    <w:rsid w:val="00E71499"/>
    <w:rsid w:val="00E71AB2"/>
    <w:rsid w:val="00E71E11"/>
    <w:rsid w:val="00E7224C"/>
    <w:rsid w:val="00E728DF"/>
    <w:rsid w:val="00E72A0B"/>
    <w:rsid w:val="00E72B52"/>
    <w:rsid w:val="00E73B9B"/>
    <w:rsid w:val="00E73F59"/>
    <w:rsid w:val="00E740EF"/>
    <w:rsid w:val="00E74462"/>
    <w:rsid w:val="00E7465B"/>
    <w:rsid w:val="00E7473B"/>
    <w:rsid w:val="00E7495B"/>
    <w:rsid w:val="00E755B6"/>
    <w:rsid w:val="00E75696"/>
    <w:rsid w:val="00E756F3"/>
    <w:rsid w:val="00E75810"/>
    <w:rsid w:val="00E75C2E"/>
    <w:rsid w:val="00E75C95"/>
    <w:rsid w:val="00E75F83"/>
    <w:rsid w:val="00E7617A"/>
    <w:rsid w:val="00E76745"/>
    <w:rsid w:val="00E76A56"/>
    <w:rsid w:val="00E76BB4"/>
    <w:rsid w:val="00E76CD7"/>
    <w:rsid w:val="00E76D3B"/>
    <w:rsid w:val="00E76F00"/>
    <w:rsid w:val="00E773AF"/>
    <w:rsid w:val="00E775EB"/>
    <w:rsid w:val="00E77611"/>
    <w:rsid w:val="00E77648"/>
    <w:rsid w:val="00E77B19"/>
    <w:rsid w:val="00E77EB7"/>
    <w:rsid w:val="00E77F3E"/>
    <w:rsid w:val="00E801B2"/>
    <w:rsid w:val="00E80203"/>
    <w:rsid w:val="00E802A9"/>
    <w:rsid w:val="00E804F2"/>
    <w:rsid w:val="00E80F48"/>
    <w:rsid w:val="00E81A8D"/>
    <w:rsid w:val="00E81CAC"/>
    <w:rsid w:val="00E81DE2"/>
    <w:rsid w:val="00E82049"/>
    <w:rsid w:val="00E82079"/>
    <w:rsid w:val="00E8219F"/>
    <w:rsid w:val="00E82362"/>
    <w:rsid w:val="00E825A6"/>
    <w:rsid w:val="00E825F2"/>
    <w:rsid w:val="00E82885"/>
    <w:rsid w:val="00E82898"/>
    <w:rsid w:val="00E82DAB"/>
    <w:rsid w:val="00E8301D"/>
    <w:rsid w:val="00E8305F"/>
    <w:rsid w:val="00E830DC"/>
    <w:rsid w:val="00E830F8"/>
    <w:rsid w:val="00E83521"/>
    <w:rsid w:val="00E83CF4"/>
    <w:rsid w:val="00E83EE1"/>
    <w:rsid w:val="00E8407D"/>
    <w:rsid w:val="00E8408B"/>
    <w:rsid w:val="00E84325"/>
    <w:rsid w:val="00E843EB"/>
    <w:rsid w:val="00E844CF"/>
    <w:rsid w:val="00E845CA"/>
    <w:rsid w:val="00E84667"/>
    <w:rsid w:val="00E84778"/>
    <w:rsid w:val="00E847D5"/>
    <w:rsid w:val="00E848D7"/>
    <w:rsid w:val="00E84BBD"/>
    <w:rsid w:val="00E84BE8"/>
    <w:rsid w:val="00E84F92"/>
    <w:rsid w:val="00E8549C"/>
    <w:rsid w:val="00E85640"/>
    <w:rsid w:val="00E8574D"/>
    <w:rsid w:val="00E85A70"/>
    <w:rsid w:val="00E85BBF"/>
    <w:rsid w:val="00E85D2C"/>
    <w:rsid w:val="00E85F33"/>
    <w:rsid w:val="00E86251"/>
    <w:rsid w:val="00E862AC"/>
    <w:rsid w:val="00E865E8"/>
    <w:rsid w:val="00E865E9"/>
    <w:rsid w:val="00E86955"/>
    <w:rsid w:val="00E86B2E"/>
    <w:rsid w:val="00E86B8A"/>
    <w:rsid w:val="00E86D3A"/>
    <w:rsid w:val="00E86EB1"/>
    <w:rsid w:val="00E871E5"/>
    <w:rsid w:val="00E87543"/>
    <w:rsid w:val="00E87634"/>
    <w:rsid w:val="00E878A6"/>
    <w:rsid w:val="00E87D7F"/>
    <w:rsid w:val="00E87F42"/>
    <w:rsid w:val="00E87FE9"/>
    <w:rsid w:val="00E901F1"/>
    <w:rsid w:val="00E903B8"/>
    <w:rsid w:val="00E905D3"/>
    <w:rsid w:val="00E906B2"/>
    <w:rsid w:val="00E9075A"/>
    <w:rsid w:val="00E907A6"/>
    <w:rsid w:val="00E90E2D"/>
    <w:rsid w:val="00E91598"/>
    <w:rsid w:val="00E91D6B"/>
    <w:rsid w:val="00E9214B"/>
    <w:rsid w:val="00E9218C"/>
    <w:rsid w:val="00E9239D"/>
    <w:rsid w:val="00E92829"/>
    <w:rsid w:val="00E92C43"/>
    <w:rsid w:val="00E92CC2"/>
    <w:rsid w:val="00E92FEA"/>
    <w:rsid w:val="00E93182"/>
    <w:rsid w:val="00E936CC"/>
    <w:rsid w:val="00E939EA"/>
    <w:rsid w:val="00E93FC5"/>
    <w:rsid w:val="00E94483"/>
    <w:rsid w:val="00E944CD"/>
    <w:rsid w:val="00E945A5"/>
    <w:rsid w:val="00E94ACC"/>
    <w:rsid w:val="00E94FF3"/>
    <w:rsid w:val="00E95878"/>
    <w:rsid w:val="00E95ADF"/>
    <w:rsid w:val="00E95CC9"/>
    <w:rsid w:val="00E95F68"/>
    <w:rsid w:val="00E96230"/>
    <w:rsid w:val="00E96653"/>
    <w:rsid w:val="00E9677E"/>
    <w:rsid w:val="00E96E9E"/>
    <w:rsid w:val="00E974D2"/>
    <w:rsid w:val="00E97743"/>
    <w:rsid w:val="00E978FA"/>
    <w:rsid w:val="00E97CFA"/>
    <w:rsid w:val="00E97F65"/>
    <w:rsid w:val="00EA0236"/>
    <w:rsid w:val="00EA0360"/>
    <w:rsid w:val="00EA0719"/>
    <w:rsid w:val="00EA0786"/>
    <w:rsid w:val="00EA0D75"/>
    <w:rsid w:val="00EA0F28"/>
    <w:rsid w:val="00EA0FD4"/>
    <w:rsid w:val="00EA110D"/>
    <w:rsid w:val="00EA122F"/>
    <w:rsid w:val="00EA1488"/>
    <w:rsid w:val="00EA1782"/>
    <w:rsid w:val="00EA1BA1"/>
    <w:rsid w:val="00EA1CB7"/>
    <w:rsid w:val="00EA2488"/>
    <w:rsid w:val="00EA25B4"/>
    <w:rsid w:val="00EA2901"/>
    <w:rsid w:val="00EA2A1C"/>
    <w:rsid w:val="00EA2B58"/>
    <w:rsid w:val="00EA2C0C"/>
    <w:rsid w:val="00EA2EB5"/>
    <w:rsid w:val="00EA305D"/>
    <w:rsid w:val="00EA3190"/>
    <w:rsid w:val="00EA33CA"/>
    <w:rsid w:val="00EA382E"/>
    <w:rsid w:val="00EA3AF1"/>
    <w:rsid w:val="00EA3C91"/>
    <w:rsid w:val="00EA48B5"/>
    <w:rsid w:val="00EA4A80"/>
    <w:rsid w:val="00EA4FAC"/>
    <w:rsid w:val="00EA4FE6"/>
    <w:rsid w:val="00EA5057"/>
    <w:rsid w:val="00EA53F3"/>
    <w:rsid w:val="00EA5882"/>
    <w:rsid w:val="00EA5C20"/>
    <w:rsid w:val="00EA5DAB"/>
    <w:rsid w:val="00EA60CC"/>
    <w:rsid w:val="00EA6959"/>
    <w:rsid w:val="00EA6A68"/>
    <w:rsid w:val="00EA7475"/>
    <w:rsid w:val="00EA748E"/>
    <w:rsid w:val="00EA78DD"/>
    <w:rsid w:val="00EA7C2B"/>
    <w:rsid w:val="00EA7D64"/>
    <w:rsid w:val="00EB026C"/>
    <w:rsid w:val="00EB02B3"/>
    <w:rsid w:val="00EB0331"/>
    <w:rsid w:val="00EB0426"/>
    <w:rsid w:val="00EB0482"/>
    <w:rsid w:val="00EB0E36"/>
    <w:rsid w:val="00EB14CA"/>
    <w:rsid w:val="00EB18C9"/>
    <w:rsid w:val="00EB1E00"/>
    <w:rsid w:val="00EB2042"/>
    <w:rsid w:val="00EB2431"/>
    <w:rsid w:val="00EB2506"/>
    <w:rsid w:val="00EB27ED"/>
    <w:rsid w:val="00EB2E03"/>
    <w:rsid w:val="00EB2F11"/>
    <w:rsid w:val="00EB3582"/>
    <w:rsid w:val="00EB3B5A"/>
    <w:rsid w:val="00EB3DEB"/>
    <w:rsid w:val="00EB3E82"/>
    <w:rsid w:val="00EB3EEE"/>
    <w:rsid w:val="00EB4178"/>
    <w:rsid w:val="00EB41BA"/>
    <w:rsid w:val="00EB425E"/>
    <w:rsid w:val="00EB439B"/>
    <w:rsid w:val="00EB4531"/>
    <w:rsid w:val="00EB4738"/>
    <w:rsid w:val="00EB483F"/>
    <w:rsid w:val="00EB497F"/>
    <w:rsid w:val="00EB4C26"/>
    <w:rsid w:val="00EB4D44"/>
    <w:rsid w:val="00EB4E30"/>
    <w:rsid w:val="00EB4EF8"/>
    <w:rsid w:val="00EB5110"/>
    <w:rsid w:val="00EB512C"/>
    <w:rsid w:val="00EB541C"/>
    <w:rsid w:val="00EB5654"/>
    <w:rsid w:val="00EB5695"/>
    <w:rsid w:val="00EB56CB"/>
    <w:rsid w:val="00EB570F"/>
    <w:rsid w:val="00EB58FD"/>
    <w:rsid w:val="00EB5EEE"/>
    <w:rsid w:val="00EB5F72"/>
    <w:rsid w:val="00EB6186"/>
    <w:rsid w:val="00EB63C4"/>
    <w:rsid w:val="00EB6823"/>
    <w:rsid w:val="00EB684B"/>
    <w:rsid w:val="00EB698F"/>
    <w:rsid w:val="00EB6D87"/>
    <w:rsid w:val="00EB71BC"/>
    <w:rsid w:val="00EB7FB7"/>
    <w:rsid w:val="00EC0018"/>
    <w:rsid w:val="00EC031B"/>
    <w:rsid w:val="00EC03C6"/>
    <w:rsid w:val="00EC0536"/>
    <w:rsid w:val="00EC088F"/>
    <w:rsid w:val="00EC096D"/>
    <w:rsid w:val="00EC0A59"/>
    <w:rsid w:val="00EC0CDB"/>
    <w:rsid w:val="00EC0FF6"/>
    <w:rsid w:val="00EC1379"/>
    <w:rsid w:val="00EC1687"/>
    <w:rsid w:val="00EC1C45"/>
    <w:rsid w:val="00EC29E9"/>
    <w:rsid w:val="00EC2A3B"/>
    <w:rsid w:val="00EC2A48"/>
    <w:rsid w:val="00EC2E96"/>
    <w:rsid w:val="00EC318C"/>
    <w:rsid w:val="00EC363D"/>
    <w:rsid w:val="00EC3841"/>
    <w:rsid w:val="00EC38E7"/>
    <w:rsid w:val="00EC3C12"/>
    <w:rsid w:val="00EC3D1F"/>
    <w:rsid w:val="00EC4170"/>
    <w:rsid w:val="00EC450E"/>
    <w:rsid w:val="00EC4A23"/>
    <w:rsid w:val="00EC4FA7"/>
    <w:rsid w:val="00EC51B1"/>
    <w:rsid w:val="00EC521A"/>
    <w:rsid w:val="00EC547B"/>
    <w:rsid w:val="00EC5669"/>
    <w:rsid w:val="00EC5C22"/>
    <w:rsid w:val="00EC5D7A"/>
    <w:rsid w:val="00EC5F9C"/>
    <w:rsid w:val="00EC63FA"/>
    <w:rsid w:val="00EC6451"/>
    <w:rsid w:val="00EC68A5"/>
    <w:rsid w:val="00EC6C91"/>
    <w:rsid w:val="00EC72DC"/>
    <w:rsid w:val="00EC7680"/>
    <w:rsid w:val="00EC78AE"/>
    <w:rsid w:val="00EC7DCA"/>
    <w:rsid w:val="00ED0385"/>
    <w:rsid w:val="00ED040D"/>
    <w:rsid w:val="00ED06BC"/>
    <w:rsid w:val="00ED07A1"/>
    <w:rsid w:val="00ED08A3"/>
    <w:rsid w:val="00ED08C9"/>
    <w:rsid w:val="00ED08D8"/>
    <w:rsid w:val="00ED08F3"/>
    <w:rsid w:val="00ED0B7C"/>
    <w:rsid w:val="00ED12BB"/>
    <w:rsid w:val="00ED1FFC"/>
    <w:rsid w:val="00ED22CF"/>
    <w:rsid w:val="00ED2AD0"/>
    <w:rsid w:val="00ED2DB2"/>
    <w:rsid w:val="00ED35EA"/>
    <w:rsid w:val="00ED39BD"/>
    <w:rsid w:val="00ED3AED"/>
    <w:rsid w:val="00ED3F4C"/>
    <w:rsid w:val="00ED43CB"/>
    <w:rsid w:val="00ED4B5B"/>
    <w:rsid w:val="00ED4FC4"/>
    <w:rsid w:val="00ED5195"/>
    <w:rsid w:val="00ED531E"/>
    <w:rsid w:val="00ED536A"/>
    <w:rsid w:val="00ED58A8"/>
    <w:rsid w:val="00ED5C8E"/>
    <w:rsid w:val="00ED5D21"/>
    <w:rsid w:val="00ED5D82"/>
    <w:rsid w:val="00ED61F5"/>
    <w:rsid w:val="00ED620F"/>
    <w:rsid w:val="00ED6693"/>
    <w:rsid w:val="00ED6851"/>
    <w:rsid w:val="00ED687C"/>
    <w:rsid w:val="00ED6BB8"/>
    <w:rsid w:val="00ED6BE5"/>
    <w:rsid w:val="00ED6C06"/>
    <w:rsid w:val="00ED6F36"/>
    <w:rsid w:val="00ED70B3"/>
    <w:rsid w:val="00ED723D"/>
    <w:rsid w:val="00ED72A9"/>
    <w:rsid w:val="00ED7465"/>
    <w:rsid w:val="00ED7751"/>
    <w:rsid w:val="00ED7BE8"/>
    <w:rsid w:val="00ED7CE4"/>
    <w:rsid w:val="00ED7D39"/>
    <w:rsid w:val="00ED7D93"/>
    <w:rsid w:val="00EE003A"/>
    <w:rsid w:val="00EE039D"/>
    <w:rsid w:val="00EE0451"/>
    <w:rsid w:val="00EE0669"/>
    <w:rsid w:val="00EE0A3D"/>
    <w:rsid w:val="00EE10D8"/>
    <w:rsid w:val="00EE11A9"/>
    <w:rsid w:val="00EE12A0"/>
    <w:rsid w:val="00EE13DC"/>
    <w:rsid w:val="00EE16ED"/>
    <w:rsid w:val="00EE174A"/>
    <w:rsid w:val="00EE17F0"/>
    <w:rsid w:val="00EE1BEF"/>
    <w:rsid w:val="00EE1DDE"/>
    <w:rsid w:val="00EE2268"/>
    <w:rsid w:val="00EE231A"/>
    <w:rsid w:val="00EE2409"/>
    <w:rsid w:val="00EE2485"/>
    <w:rsid w:val="00EE2556"/>
    <w:rsid w:val="00EE282C"/>
    <w:rsid w:val="00EE2973"/>
    <w:rsid w:val="00EE2BE3"/>
    <w:rsid w:val="00EE3925"/>
    <w:rsid w:val="00EE3BEF"/>
    <w:rsid w:val="00EE3E78"/>
    <w:rsid w:val="00EE3ED9"/>
    <w:rsid w:val="00EE3EDA"/>
    <w:rsid w:val="00EE4398"/>
    <w:rsid w:val="00EE4704"/>
    <w:rsid w:val="00EE49B8"/>
    <w:rsid w:val="00EE49E2"/>
    <w:rsid w:val="00EE4ACE"/>
    <w:rsid w:val="00EE5712"/>
    <w:rsid w:val="00EE5A13"/>
    <w:rsid w:val="00EE5A4A"/>
    <w:rsid w:val="00EE6258"/>
    <w:rsid w:val="00EE63DC"/>
    <w:rsid w:val="00EE6564"/>
    <w:rsid w:val="00EE65CD"/>
    <w:rsid w:val="00EE67CA"/>
    <w:rsid w:val="00EE6E34"/>
    <w:rsid w:val="00EE7028"/>
    <w:rsid w:val="00EE709A"/>
    <w:rsid w:val="00EE716B"/>
    <w:rsid w:val="00EE72E8"/>
    <w:rsid w:val="00EE7803"/>
    <w:rsid w:val="00EE7A91"/>
    <w:rsid w:val="00EE7E2D"/>
    <w:rsid w:val="00EF0374"/>
    <w:rsid w:val="00EF08E2"/>
    <w:rsid w:val="00EF0AA1"/>
    <w:rsid w:val="00EF0C51"/>
    <w:rsid w:val="00EF0C67"/>
    <w:rsid w:val="00EF0E51"/>
    <w:rsid w:val="00EF0F18"/>
    <w:rsid w:val="00EF1216"/>
    <w:rsid w:val="00EF15B6"/>
    <w:rsid w:val="00EF1615"/>
    <w:rsid w:val="00EF1A63"/>
    <w:rsid w:val="00EF1AFF"/>
    <w:rsid w:val="00EF1C89"/>
    <w:rsid w:val="00EF2212"/>
    <w:rsid w:val="00EF2619"/>
    <w:rsid w:val="00EF2785"/>
    <w:rsid w:val="00EF2C27"/>
    <w:rsid w:val="00EF2CB0"/>
    <w:rsid w:val="00EF2E2E"/>
    <w:rsid w:val="00EF30B5"/>
    <w:rsid w:val="00EF30E7"/>
    <w:rsid w:val="00EF321F"/>
    <w:rsid w:val="00EF3393"/>
    <w:rsid w:val="00EF3406"/>
    <w:rsid w:val="00EF39C6"/>
    <w:rsid w:val="00EF3AF0"/>
    <w:rsid w:val="00EF3B64"/>
    <w:rsid w:val="00EF402F"/>
    <w:rsid w:val="00EF43E8"/>
    <w:rsid w:val="00EF4B61"/>
    <w:rsid w:val="00EF4C0F"/>
    <w:rsid w:val="00EF4DC5"/>
    <w:rsid w:val="00EF4DC9"/>
    <w:rsid w:val="00EF4E4E"/>
    <w:rsid w:val="00EF5295"/>
    <w:rsid w:val="00EF5540"/>
    <w:rsid w:val="00EF57CF"/>
    <w:rsid w:val="00EF6188"/>
    <w:rsid w:val="00EF6309"/>
    <w:rsid w:val="00EF649F"/>
    <w:rsid w:val="00EF688A"/>
    <w:rsid w:val="00EF68D0"/>
    <w:rsid w:val="00EF698A"/>
    <w:rsid w:val="00EF6AF0"/>
    <w:rsid w:val="00EF6B95"/>
    <w:rsid w:val="00EF6BB9"/>
    <w:rsid w:val="00EF6CB9"/>
    <w:rsid w:val="00EF6DA0"/>
    <w:rsid w:val="00EF7908"/>
    <w:rsid w:val="00EF7974"/>
    <w:rsid w:val="00EF7AF4"/>
    <w:rsid w:val="00EF7BFC"/>
    <w:rsid w:val="00EF7EC6"/>
    <w:rsid w:val="00F00112"/>
    <w:rsid w:val="00F002D0"/>
    <w:rsid w:val="00F004C1"/>
    <w:rsid w:val="00F00506"/>
    <w:rsid w:val="00F006CA"/>
    <w:rsid w:val="00F0080F"/>
    <w:rsid w:val="00F00AE3"/>
    <w:rsid w:val="00F00B06"/>
    <w:rsid w:val="00F00C76"/>
    <w:rsid w:val="00F00D8C"/>
    <w:rsid w:val="00F00F5A"/>
    <w:rsid w:val="00F01079"/>
    <w:rsid w:val="00F010A7"/>
    <w:rsid w:val="00F0127A"/>
    <w:rsid w:val="00F0139A"/>
    <w:rsid w:val="00F015A7"/>
    <w:rsid w:val="00F01A0E"/>
    <w:rsid w:val="00F01DF9"/>
    <w:rsid w:val="00F02598"/>
    <w:rsid w:val="00F02722"/>
    <w:rsid w:val="00F0312E"/>
    <w:rsid w:val="00F03156"/>
    <w:rsid w:val="00F0364F"/>
    <w:rsid w:val="00F0382D"/>
    <w:rsid w:val="00F043AA"/>
    <w:rsid w:val="00F04A8F"/>
    <w:rsid w:val="00F04D23"/>
    <w:rsid w:val="00F04DBA"/>
    <w:rsid w:val="00F05830"/>
    <w:rsid w:val="00F0596E"/>
    <w:rsid w:val="00F05EB8"/>
    <w:rsid w:val="00F05F7A"/>
    <w:rsid w:val="00F06656"/>
    <w:rsid w:val="00F067B7"/>
    <w:rsid w:val="00F069BF"/>
    <w:rsid w:val="00F06AA0"/>
    <w:rsid w:val="00F06ED3"/>
    <w:rsid w:val="00F06EEA"/>
    <w:rsid w:val="00F0701F"/>
    <w:rsid w:val="00F07408"/>
    <w:rsid w:val="00F076AF"/>
    <w:rsid w:val="00F07A0F"/>
    <w:rsid w:val="00F07CF7"/>
    <w:rsid w:val="00F07D14"/>
    <w:rsid w:val="00F07D51"/>
    <w:rsid w:val="00F10164"/>
    <w:rsid w:val="00F101BC"/>
    <w:rsid w:val="00F104D1"/>
    <w:rsid w:val="00F10567"/>
    <w:rsid w:val="00F10E5D"/>
    <w:rsid w:val="00F10E75"/>
    <w:rsid w:val="00F10EC2"/>
    <w:rsid w:val="00F112E8"/>
    <w:rsid w:val="00F11719"/>
    <w:rsid w:val="00F117E0"/>
    <w:rsid w:val="00F11834"/>
    <w:rsid w:val="00F1208A"/>
    <w:rsid w:val="00F12B15"/>
    <w:rsid w:val="00F12BFE"/>
    <w:rsid w:val="00F12C19"/>
    <w:rsid w:val="00F12F3A"/>
    <w:rsid w:val="00F13013"/>
    <w:rsid w:val="00F130C6"/>
    <w:rsid w:val="00F132C9"/>
    <w:rsid w:val="00F13315"/>
    <w:rsid w:val="00F133AC"/>
    <w:rsid w:val="00F138D2"/>
    <w:rsid w:val="00F139FA"/>
    <w:rsid w:val="00F143D3"/>
    <w:rsid w:val="00F14579"/>
    <w:rsid w:val="00F145EC"/>
    <w:rsid w:val="00F14652"/>
    <w:rsid w:val="00F15DC7"/>
    <w:rsid w:val="00F15F4E"/>
    <w:rsid w:val="00F167F0"/>
    <w:rsid w:val="00F16B16"/>
    <w:rsid w:val="00F16B5C"/>
    <w:rsid w:val="00F16BAB"/>
    <w:rsid w:val="00F16FE2"/>
    <w:rsid w:val="00F17379"/>
    <w:rsid w:val="00F1789B"/>
    <w:rsid w:val="00F1792B"/>
    <w:rsid w:val="00F202DF"/>
    <w:rsid w:val="00F20732"/>
    <w:rsid w:val="00F20986"/>
    <w:rsid w:val="00F20ADA"/>
    <w:rsid w:val="00F2102D"/>
    <w:rsid w:val="00F211D0"/>
    <w:rsid w:val="00F21301"/>
    <w:rsid w:val="00F21389"/>
    <w:rsid w:val="00F21B63"/>
    <w:rsid w:val="00F21C2A"/>
    <w:rsid w:val="00F21CB1"/>
    <w:rsid w:val="00F221DC"/>
    <w:rsid w:val="00F22251"/>
    <w:rsid w:val="00F2270B"/>
    <w:rsid w:val="00F228B4"/>
    <w:rsid w:val="00F22BF5"/>
    <w:rsid w:val="00F22D8F"/>
    <w:rsid w:val="00F234B4"/>
    <w:rsid w:val="00F235D2"/>
    <w:rsid w:val="00F23662"/>
    <w:rsid w:val="00F23AF8"/>
    <w:rsid w:val="00F23C10"/>
    <w:rsid w:val="00F23CE1"/>
    <w:rsid w:val="00F240C8"/>
    <w:rsid w:val="00F242F0"/>
    <w:rsid w:val="00F243A5"/>
    <w:rsid w:val="00F2482B"/>
    <w:rsid w:val="00F24A31"/>
    <w:rsid w:val="00F24BE0"/>
    <w:rsid w:val="00F24D15"/>
    <w:rsid w:val="00F24E37"/>
    <w:rsid w:val="00F24E74"/>
    <w:rsid w:val="00F254C7"/>
    <w:rsid w:val="00F254E1"/>
    <w:rsid w:val="00F258B3"/>
    <w:rsid w:val="00F2592D"/>
    <w:rsid w:val="00F25B5D"/>
    <w:rsid w:val="00F25C07"/>
    <w:rsid w:val="00F25E20"/>
    <w:rsid w:val="00F262DF"/>
    <w:rsid w:val="00F2632D"/>
    <w:rsid w:val="00F267CE"/>
    <w:rsid w:val="00F2691C"/>
    <w:rsid w:val="00F27A30"/>
    <w:rsid w:val="00F27E7F"/>
    <w:rsid w:val="00F27EA3"/>
    <w:rsid w:val="00F30370"/>
    <w:rsid w:val="00F304D8"/>
    <w:rsid w:val="00F3056B"/>
    <w:rsid w:val="00F3075C"/>
    <w:rsid w:val="00F307CD"/>
    <w:rsid w:val="00F30824"/>
    <w:rsid w:val="00F30A69"/>
    <w:rsid w:val="00F30C52"/>
    <w:rsid w:val="00F30EB7"/>
    <w:rsid w:val="00F30F97"/>
    <w:rsid w:val="00F31096"/>
    <w:rsid w:val="00F31166"/>
    <w:rsid w:val="00F311C9"/>
    <w:rsid w:val="00F3120A"/>
    <w:rsid w:val="00F31622"/>
    <w:rsid w:val="00F31706"/>
    <w:rsid w:val="00F31F48"/>
    <w:rsid w:val="00F31F8D"/>
    <w:rsid w:val="00F324C0"/>
    <w:rsid w:val="00F327AB"/>
    <w:rsid w:val="00F32A65"/>
    <w:rsid w:val="00F32FD0"/>
    <w:rsid w:val="00F33670"/>
    <w:rsid w:val="00F339BB"/>
    <w:rsid w:val="00F33A4B"/>
    <w:rsid w:val="00F33AAE"/>
    <w:rsid w:val="00F33C3C"/>
    <w:rsid w:val="00F33CDF"/>
    <w:rsid w:val="00F340F3"/>
    <w:rsid w:val="00F345FD"/>
    <w:rsid w:val="00F34B47"/>
    <w:rsid w:val="00F34EB3"/>
    <w:rsid w:val="00F34FF3"/>
    <w:rsid w:val="00F3532C"/>
    <w:rsid w:val="00F353A8"/>
    <w:rsid w:val="00F353AE"/>
    <w:rsid w:val="00F36277"/>
    <w:rsid w:val="00F3662B"/>
    <w:rsid w:val="00F36801"/>
    <w:rsid w:val="00F36A78"/>
    <w:rsid w:val="00F36F5B"/>
    <w:rsid w:val="00F37187"/>
    <w:rsid w:val="00F372E8"/>
    <w:rsid w:val="00F3745C"/>
    <w:rsid w:val="00F37D57"/>
    <w:rsid w:val="00F4003A"/>
    <w:rsid w:val="00F403C6"/>
    <w:rsid w:val="00F404D9"/>
    <w:rsid w:val="00F40556"/>
    <w:rsid w:val="00F40772"/>
    <w:rsid w:val="00F40F9A"/>
    <w:rsid w:val="00F40FEE"/>
    <w:rsid w:val="00F41489"/>
    <w:rsid w:val="00F414DA"/>
    <w:rsid w:val="00F4159E"/>
    <w:rsid w:val="00F41AA2"/>
    <w:rsid w:val="00F41B87"/>
    <w:rsid w:val="00F41EC6"/>
    <w:rsid w:val="00F41F43"/>
    <w:rsid w:val="00F4200A"/>
    <w:rsid w:val="00F4213D"/>
    <w:rsid w:val="00F42396"/>
    <w:rsid w:val="00F423F9"/>
    <w:rsid w:val="00F43185"/>
    <w:rsid w:val="00F43314"/>
    <w:rsid w:val="00F43938"/>
    <w:rsid w:val="00F43976"/>
    <w:rsid w:val="00F439ED"/>
    <w:rsid w:val="00F43D25"/>
    <w:rsid w:val="00F43ECB"/>
    <w:rsid w:val="00F44196"/>
    <w:rsid w:val="00F443C2"/>
    <w:rsid w:val="00F4496C"/>
    <w:rsid w:val="00F449D2"/>
    <w:rsid w:val="00F4502F"/>
    <w:rsid w:val="00F450C3"/>
    <w:rsid w:val="00F4537D"/>
    <w:rsid w:val="00F455BE"/>
    <w:rsid w:val="00F461C2"/>
    <w:rsid w:val="00F4628B"/>
    <w:rsid w:val="00F46668"/>
    <w:rsid w:val="00F46722"/>
    <w:rsid w:val="00F46724"/>
    <w:rsid w:val="00F467A5"/>
    <w:rsid w:val="00F46A3A"/>
    <w:rsid w:val="00F46AB4"/>
    <w:rsid w:val="00F46B18"/>
    <w:rsid w:val="00F46B26"/>
    <w:rsid w:val="00F46CE9"/>
    <w:rsid w:val="00F46F9E"/>
    <w:rsid w:val="00F46FCD"/>
    <w:rsid w:val="00F4709A"/>
    <w:rsid w:val="00F47D18"/>
    <w:rsid w:val="00F500F6"/>
    <w:rsid w:val="00F50C9B"/>
    <w:rsid w:val="00F50DE3"/>
    <w:rsid w:val="00F514DC"/>
    <w:rsid w:val="00F51873"/>
    <w:rsid w:val="00F51964"/>
    <w:rsid w:val="00F51A9F"/>
    <w:rsid w:val="00F51C3A"/>
    <w:rsid w:val="00F51D1B"/>
    <w:rsid w:val="00F51ED2"/>
    <w:rsid w:val="00F51FF0"/>
    <w:rsid w:val="00F5283D"/>
    <w:rsid w:val="00F52C7B"/>
    <w:rsid w:val="00F52D44"/>
    <w:rsid w:val="00F52EA0"/>
    <w:rsid w:val="00F52F53"/>
    <w:rsid w:val="00F53089"/>
    <w:rsid w:val="00F530C3"/>
    <w:rsid w:val="00F5311F"/>
    <w:rsid w:val="00F534B2"/>
    <w:rsid w:val="00F53506"/>
    <w:rsid w:val="00F53514"/>
    <w:rsid w:val="00F53D12"/>
    <w:rsid w:val="00F53FA8"/>
    <w:rsid w:val="00F540D5"/>
    <w:rsid w:val="00F5443B"/>
    <w:rsid w:val="00F54829"/>
    <w:rsid w:val="00F55195"/>
    <w:rsid w:val="00F55688"/>
    <w:rsid w:val="00F556AE"/>
    <w:rsid w:val="00F55E28"/>
    <w:rsid w:val="00F56495"/>
    <w:rsid w:val="00F565B3"/>
    <w:rsid w:val="00F56778"/>
    <w:rsid w:val="00F56BC1"/>
    <w:rsid w:val="00F57546"/>
    <w:rsid w:val="00F575F4"/>
    <w:rsid w:val="00F576B9"/>
    <w:rsid w:val="00F576F3"/>
    <w:rsid w:val="00F579D8"/>
    <w:rsid w:val="00F57CA1"/>
    <w:rsid w:val="00F57E8A"/>
    <w:rsid w:val="00F57FB3"/>
    <w:rsid w:val="00F60257"/>
    <w:rsid w:val="00F60499"/>
    <w:rsid w:val="00F60752"/>
    <w:rsid w:val="00F60976"/>
    <w:rsid w:val="00F60B9C"/>
    <w:rsid w:val="00F60FBA"/>
    <w:rsid w:val="00F610BD"/>
    <w:rsid w:val="00F6123C"/>
    <w:rsid w:val="00F612A2"/>
    <w:rsid w:val="00F61454"/>
    <w:rsid w:val="00F615CB"/>
    <w:rsid w:val="00F6174C"/>
    <w:rsid w:val="00F617BB"/>
    <w:rsid w:val="00F617E4"/>
    <w:rsid w:val="00F6182B"/>
    <w:rsid w:val="00F61CFB"/>
    <w:rsid w:val="00F61EC9"/>
    <w:rsid w:val="00F6267C"/>
    <w:rsid w:val="00F6329C"/>
    <w:rsid w:val="00F63595"/>
    <w:rsid w:val="00F64D1A"/>
    <w:rsid w:val="00F64D5C"/>
    <w:rsid w:val="00F64D74"/>
    <w:rsid w:val="00F65047"/>
    <w:rsid w:val="00F6506C"/>
    <w:rsid w:val="00F65126"/>
    <w:rsid w:val="00F658AE"/>
    <w:rsid w:val="00F65B24"/>
    <w:rsid w:val="00F65B78"/>
    <w:rsid w:val="00F65C1B"/>
    <w:rsid w:val="00F65E57"/>
    <w:rsid w:val="00F65EFC"/>
    <w:rsid w:val="00F661B5"/>
    <w:rsid w:val="00F66658"/>
    <w:rsid w:val="00F66AC3"/>
    <w:rsid w:val="00F66D73"/>
    <w:rsid w:val="00F66F57"/>
    <w:rsid w:val="00F672DD"/>
    <w:rsid w:val="00F677BA"/>
    <w:rsid w:val="00F67B32"/>
    <w:rsid w:val="00F67F8E"/>
    <w:rsid w:val="00F70098"/>
    <w:rsid w:val="00F7044F"/>
    <w:rsid w:val="00F70DDF"/>
    <w:rsid w:val="00F70EEA"/>
    <w:rsid w:val="00F7100F"/>
    <w:rsid w:val="00F712EF"/>
    <w:rsid w:val="00F7139A"/>
    <w:rsid w:val="00F71B5E"/>
    <w:rsid w:val="00F71BC5"/>
    <w:rsid w:val="00F71D45"/>
    <w:rsid w:val="00F71F14"/>
    <w:rsid w:val="00F71FBB"/>
    <w:rsid w:val="00F72070"/>
    <w:rsid w:val="00F7293C"/>
    <w:rsid w:val="00F729D6"/>
    <w:rsid w:val="00F72B2E"/>
    <w:rsid w:val="00F72D4C"/>
    <w:rsid w:val="00F72DD4"/>
    <w:rsid w:val="00F734A4"/>
    <w:rsid w:val="00F736E7"/>
    <w:rsid w:val="00F73C4A"/>
    <w:rsid w:val="00F73C6A"/>
    <w:rsid w:val="00F73F6C"/>
    <w:rsid w:val="00F740A3"/>
    <w:rsid w:val="00F74148"/>
    <w:rsid w:val="00F743CE"/>
    <w:rsid w:val="00F7465E"/>
    <w:rsid w:val="00F746A3"/>
    <w:rsid w:val="00F747B6"/>
    <w:rsid w:val="00F7489E"/>
    <w:rsid w:val="00F74BD0"/>
    <w:rsid w:val="00F74D33"/>
    <w:rsid w:val="00F74E21"/>
    <w:rsid w:val="00F74F4D"/>
    <w:rsid w:val="00F752B8"/>
    <w:rsid w:val="00F752E4"/>
    <w:rsid w:val="00F7535A"/>
    <w:rsid w:val="00F753CD"/>
    <w:rsid w:val="00F753D8"/>
    <w:rsid w:val="00F75B06"/>
    <w:rsid w:val="00F75C84"/>
    <w:rsid w:val="00F75D44"/>
    <w:rsid w:val="00F76298"/>
    <w:rsid w:val="00F76532"/>
    <w:rsid w:val="00F765D6"/>
    <w:rsid w:val="00F76712"/>
    <w:rsid w:val="00F767BF"/>
    <w:rsid w:val="00F76E10"/>
    <w:rsid w:val="00F76FFE"/>
    <w:rsid w:val="00F77173"/>
    <w:rsid w:val="00F771AA"/>
    <w:rsid w:val="00F77255"/>
    <w:rsid w:val="00F77491"/>
    <w:rsid w:val="00F7770F"/>
    <w:rsid w:val="00F777D3"/>
    <w:rsid w:val="00F77A75"/>
    <w:rsid w:val="00F801D8"/>
    <w:rsid w:val="00F80866"/>
    <w:rsid w:val="00F80C6D"/>
    <w:rsid w:val="00F80E60"/>
    <w:rsid w:val="00F80EDC"/>
    <w:rsid w:val="00F80F07"/>
    <w:rsid w:val="00F8146F"/>
    <w:rsid w:val="00F8153B"/>
    <w:rsid w:val="00F8166C"/>
    <w:rsid w:val="00F8186C"/>
    <w:rsid w:val="00F81C28"/>
    <w:rsid w:val="00F81E87"/>
    <w:rsid w:val="00F8274F"/>
    <w:rsid w:val="00F829E8"/>
    <w:rsid w:val="00F82CBD"/>
    <w:rsid w:val="00F82D03"/>
    <w:rsid w:val="00F82EC2"/>
    <w:rsid w:val="00F83293"/>
    <w:rsid w:val="00F83372"/>
    <w:rsid w:val="00F83419"/>
    <w:rsid w:val="00F836EC"/>
    <w:rsid w:val="00F83A07"/>
    <w:rsid w:val="00F83BE4"/>
    <w:rsid w:val="00F83D48"/>
    <w:rsid w:val="00F83DEB"/>
    <w:rsid w:val="00F84512"/>
    <w:rsid w:val="00F84C47"/>
    <w:rsid w:val="00F851BD"/>
    <w:rsid w:val="00F853AC"/>
    <w:rsid w:val="00F85483"/>
    <w:rsid w:val="00F85815"/>
    <w:rsid w:val="00F8583A"/>
    <w:rsid w:val="00F8594C"/>
    <w:rsid w:val="00F861D6"/>
    <w:rsid w:val="00F861D8"/>
    <w:rsid w:val="00F866B5"/>
    <w:rsid w:val="00F867FB"/>
    <w:rsid w:val="00F86804"/>
    <w:rsid w:val="00F8694C"/>
    <w:rsid w:val="00F86A5E"/>
    <w:rsid w:val="00F86C70"/>
    <w:rsid w:val="00F86EFC"/>
    <w:rsid w:val="00F86FB1"/>
    <w:rsid w:val="00F870B8"/>
    <w:rsid w:val="00F8720D"/>
    <w:rsid w:val="00F87237"/>
    <w:rsid w:val="00F9025C"/>
    <w:rsid w:val="00F90481"/>
    <w:rsid w:val="00F908DF"/>
    <w:rsid w:val="00F90D12"/>
    <w:rsid w:val="00F91108"/>
    <w:rsid w:val="00F9142A"/>
    <w:rsid w:val="00F916C3"/>
    <w:rsid w:val="00F91F62"/>
    <w:rsid w:val="00F92AFB"/>
    <w:rsid w:val="00F92D57"/>
    <w:rsid w:val="00F92DD1"/>
    <w:rsid w:val="00F93381"/>
    <w:rsid w:val="00F93417"/>
    <w:rsid w:val="00F93534"/>
    <w:rsid w:val="00F93627"/>
    <w:rsid w:val="00F93953"/>
    <w:rsid w:val="00F93A47"/>
    <w:rsid w:val="00F93BC0"/>
    <w:rsid w:val="00F93CF0"/>
    <w:rsid w:val="00F93EBA"/>
    <w:rsid w:val="00F93FAC"/>
    <w:rsid w:val="00F941D0"/>
    <w:rsid w:val="00F9429F"/>
    <w:rsid w:val="00F942FE"/>
    <w:rsid w:val="00F94749"/>
    <w:rsid w:val="00F94924"/>
    <w:rsid w:val="00F94947"/>
    <w:rsid w:val="00F949FD"/>
    <w:rsid w:val="00F94D84"/>
    <w:rsid w:val="00F94D86"/>
    <w:rsid w:val="00F94F9E"/>
    <w:rsid w:val="00F94FED"/>
    <w:rsid w:val="00F94FF3"/>
    <w:rsid w:val="00F9504D"/>
    <w:rsid w:val="00F950ED"/>
    <w:rsid w:val="00F9519C"/>
    <w:rsid w:val="00F95243"/>
    <w:rsid w:val="00F95334"/>
    <w:rsid w:val="00F95CBB"/>
    <w:rsid w:val="00F95FFA"/>
    <w:rsid w:val="00F9629C"/>
    <w:rsid w:val="00F97111"/>
    <w:rsid w:val="00F97382"/>
    <w:rsid w:val="00F973B6"/>
    <w:rsid w:val="00F9761E"/>
    <w:rsid w:val="00F978C6"/>
    <w:rsid w:val="00F978DD"/>
    <w:rsid w:val="00F97B06"/>
    <w:rsid w:val="00F97B22"/>
    <w:rsid w:val="00F97B88"/>
    <w:rsid w:val="00FA0391"/>
    <w:rsid w:val="00FA047D"/>
    <w:rsid w:val="00FA0833"/>
    <w:rsid w:val="00FA0A2C"/>
    <w:rsid w:val="00FA0E19"/>
    <w:rsid w:val="00FA14FA"/>
    <w:rsid w:val="00FA15A8"/>
    <w:rsid w:val="00FA166D"/>
    <w:rsid w:val="00FA18A6"/>
    <w:rsid w:val="00FA18E5"/>
    <w:rsid w:val="00FA1E85"/>
    <w:rsid w:val="00FA27A0"/>
    <w:rsid w:val="00FA2C3C"/>
    <w:rsid w:val="00FA2C87"/>
    <w:rsid w:val="00FA2DB2"/>
    <w:rsid w:val="00FA3125"/>
    <w:rsid w:val="00FA31A8"/>
    <w:rsid w:val="00FA31D7"/>
    <w:rsid w:val="00FA33F6"/>
    <w:rsid w:val="00FA36D2"/>
    <w:rsid w:val="00FA38D1"/>
    <w:rsid w:val="00FA4076"/>
    <w:rsid w:val="00FA46B5"/>
    <w:rsid w:val="00FA4A39"/>
    <w:rsid w:val="00FA4B89"/>
    <w:rsid w:val="00FA4F4E"/>
    <w:rsid w:val="00FA5570"/>
    <w:rsid w:val="00FA55EC"/>
    <w:rsid w:val="00FA5659"/>
    <w:rsid w:val="00FA5763"/>
    <w:rsid w:val="00FA5DD4"/>
    <w:rsid w:val="00FA6287"/>
    <w:rsid w:val="00FA651B"/>
    <w:rsid w:val="00FA699D"/>
    <w:rsid w:val="00FA6A7D"/>
    <w:rsid w:val="00FA6B93"/>
    <w:rsid w:val="00FA6D80"/>
    <w:rsid w:val="00FA6F50"/>
    <w:rsid w:val="00FA725B"/>
    <w:rsid w:val="00FA75F1"/>
    <w:rsid w:val="00FA770E"/>
    <w:rsid w:val="00FA79A6"/>
    <w:rsid w:val="00FB02C2"/>
    <w:rsid w:val="00FB0480"/>
    <w:rsid w:val="00FB0594"/>
    <w:rsid w:val="00FB0800"/>
    <w:rsid w:val="00FB0B5D"/>
    <w:rsid w:val="00FB0C41"/>
    <w:rsid w:val="00FB1605"/>
    <w:rsid w:val="00FB1A7B"/>
    <w:rsid w:val="00FB1A7F"/>
    <w:rsid w:val="00FB1BED"/>
    <w:rsid w:val="00FB1D07"/>
    <w:rsid w:val="00FB1DA0"/>
    <w:rsid w:val="00FB2054"/>
    <w:rsid w:val="00FB2361"/>
    <w:rsid w:val="00FB2509"/>
    <w:rsid w:val="00FB2621"/>
    <w:rsid w:val="00FB2637"/>
    <w:rsid w:val="00FB2BD2"/>
    <w:rsid w:val="00FB2C61"/>
    <w:rsid w:val="00FB304C"/>
    <w:rsid w:val="00FB30A6"/>
    <w:rsid w:val="00FB32F4"/>
    <w:rsid w:val="00FB360F"/>
    <w:rsid w:val="00FB3747"/>
    <w:rsid w:val="00FB3758"/>
    <w:rsid w:val="00FB37AF"/>
    <w:rsid w:val="00FB392F"/>
    <w:rsid w:val="00FB39E8"/>
    <w:rsid w:val="00FB3B69"/>
    <w:rsid w:val="00FB3C7C"/>
    <w:rsid w:val="00FB3D81"/>
    <w:rsid w:val="00FB3F68"/>
    <w:rsid w:val="00FB3FEA"/>
    <w:rsid w:val="00FB4975"/>
    <w:rsid w:val="00FB4976"/>
    <w:rsid w:val="00FB4E6A"/>
    <w:rsid w:val="00FB4EFB"/>
    <w:rsid w:val="00FB5083"/>
    <w:rsid w:val="00FB5374"/>
    <w:rsid w:val="00FB5697"/>
    <w:rsid w:val="00FB58C0"/>
    <w:rsid w:val="00FB5CCF"/>
    <w:rsid w:val="00FB5E28"/>
    <w:rsid w:val="00FB6244"/>
    <w:rsid w:val="00FB63C1"/>
    <w:rsid w:val="00FB659F"/>
    <w:rsid w:val="00FB6829"/>
    <w:rsid w:val="00FB7009"/>
    <w:rsid w:val="00FB71F5"/>
    <w:rsid w:val="00FB731D"/>
    <w:rsid w:val="00FB7795"/>
    <w:rsid w:val="00FC087B"/>
    <w:rsid w:val="00FC08AC"/>
    <w:rsid w:val="00FC0BC9"/>
    <w:rsid w:val="00FC0F25"/>
    <w:rsid w:val="00FC102B"/>
    <w:rsid w:val="00FC1098"/>
    <w:rsid w:val="00FC11EF"/>
    <w:rsid w:val="00FC1596"/>
    <w:rsid w:val="00FC1977"/>
    <w:rsid w:val="00FC1CD0"/>
    <w:rsid w:val="00FC1DFE"/>
    <w:rsid w:val="00FC2055"/>
    <w:rsid w:val="00FC2170"/>
    <w:rsid w:val="00FC22DE"/>
    <w:rsid w:val="00FC2411"/>
    <w:rsid w:val="00FC2E1F"/>
    <w:rsid w:val="00FC328F"/>
    <w:rsid w:val="00FC3C8F"/>
    <w:rsid w:val="00FC42FF"/>
    <w:rsid w:val="00FC43FC"/>
    <w:rsid w:val="00FC4733"/>
    <w:rsid w:val="00FC4958"/>
    <w:rsid w:val="00FC4970"/>
    <w:rsid w:val="00FC5073"/>
    <w:rsid w:val="00FC56BB"/>
    <w:rsid w:val="00FC571E"/>
    <w:rsid w:val="00FC572E"/>
    <w:rsid w:val="00FC5A1B"/>
    <w:rsid w:val="00FC619F"/>
    <w:rsid w:val="00FC6864"/>
    <w:rsid w:val="00FC6A44"/>
    <w:rsid w:val="00FC6A6D"/>
    <w:rsid w:val="00FC6E6A"/>
    <w:rsid w:val="00FC6EFC"/>
    <w:rsid w:val="00FC7084"/>
    <w:rsid w:val="00FC726C"/>
    <w:rsid w:val="00FC7EB8"/>
    <w:rsid w:val="00FD00E1"/>
    <w:rsid w:val="00FD00FC"/>
    <w:rsid w:val="00FD022C"/>
    <w:rsid w:val="00FD053C"/>
    <w:rsid w:val="00FD0555"/>
    <w:rsid w:val="00FD05EA"/>
    <w:rsid w:val="00FD0852"/>
    <w:rsid w:val="00FD08E8"/>
    <w:rsid w:val="00FD08F2"/>
    <w:rsid w:val="00FD0B10"/>
    <w:rsid w:val="00FD0C94"/>
    <w:rsid w:val="00FD0DFC"/>
    <w:rsid w:val="00FD0FB3"/>
    <w:rsid w:val="00FD11AD"/>
    <w:rsid w:val="00FD15EA"/>
    <w:rsid w:val="00FD1D57"/>
    <w:rsid w:val="00FD1E6A"/>
    <w:rsid w:val="00FD1E75"/>
    <w:rsid w:val="00FD1E8F"/>
    <w:rsid w:val="00FD1F15"/>
    <w:rsid w:val="00FD1FCA"/>
    <w:rsid w:val="00FD2342"/>
    <w:rsid w:val="00FD25BC"/>
    <w:rsid w:val="00FD2688"/>
    <w:rsid w:val="00FD2884"/>
    <w:rsid w:val="00FD28DF"/>
    <w:rsid w:val="00FD2979"/>
    <w:rsid w:val="00FD2AF7"/>
    <w:rsid w:val="00FD2BF0"/>
    <w:rsid w:val="00FD2FDE"/>
    <w:rsid w:val="00FD3871"/>
    <w:rsid w:val="00FD3FA1"/>
    <w:rsid w:val="00FD4073"/>
    <w:rsid w:val="00FD4157"/>
    <w:rsid w:val="00FD4235"/>
    <w:rsid w:val="00FD4396"/>
    <w:rsid w:val="00FD44A2"/>
    <w:rsid w:val="00FD45FE"/>
    <w:rsid w:val="00FD470D"/>
    <w:rsid w:val="00FD4D37"/>
    <w:rsid w:val="00FD4D9E"/>
    <w:rsid w:val="00FD5022"/>
    <w:rsid w:val="00FD50D0"/>
    <w:rsid w:val="00FD51B9"/>
    <w:rsid w:val="00FD54DE"/>
    <w:rsid w:val="00FD5726"/>
    <w:rsid w:val="00FD58D0"/>
    <w:rsid w:val="00FD5937"/>
    <w:rsid w:val="00FD6122"/>
    <w:rsid w:val="00FD6D80"/>
    <w:rsid w:val="00FD6EB1"/>
    <w:rsid w:val="00FD7083"/>
    <w:rsid w:val="00FD70D1"/>
    <w:rsid w:val="00FD7B52"/>
    <w:rsid w:val="00FE031C"/>
    <w:rsid w:val="00FE0344"/>
    <w:rsid w:val="00FE05E7"/>
    <w:rsid w:val="00FE0704"/>
    <w:rsid w:val="00FE0772"/>
    <w:rsid w:val="00FE0D05"/>
    <w:rsid w:val="00FE0DA8"/>
    <w:rsid w:val="00FE0E79"/>
    <w:rsid w:val="00FE0E84"/>
    <w:rsid w:val="00FE14AF"/>
    <w:rsid w:val="00FE157B"/>
    <w:rsid w:val="00FE1A40"/>
    <w:rsid w:val="00FE1AC0"/>
    <w:rsid w:val="00FE23EE"/>
    <w:rsid w:val="00FE26D3"/>
    <w:rsid w:val="00FE2A4F"/>
    <w:rsid w:val="00FE30E5"/>
    <w:rsid w:val="00FE313D"/>
    <w:rsid w:val="00FE33A0"/>
    <w:rsid w:val="00FE36DA"/>
    <w:rsid w:val="00FE36F0"/>
    <w:rsid w:val="00FE3739"/>
    <w:rsid w:val="00FE39F0"/>
    <w:rsid w:val="00FE3FEF"/>
    <w:rsid w:val="00FE404E"/>
    <w:rsid w:val="00FE43C1"/>
    <w:rsid w:val="00FE4675"/>
    <w:rsid w:val="00FE4679"/>
    <w:rsid w:val="00FE4CAF"/>
    <w:rsid w:val="00FE539A"/>
    <w:rsid w:val="00FE5526"/>
    <w:rsid w:val="00FE5938"/>
    <w:rsid w:val="00FE5A2B"/>
    <w:rsid w:val="00FE5B7A"/>
    <w:rsid w:val="00FE5B99"/>
    <w:rsid w:val="00FE5DD1"/>
    <w:rsid w:val="00FE6120"/>
    <w:rsid w:val="00FE65D2"/>
    <w:rsid w:val="00FE6788"/>
    <w:rsid w:val="00FE6AA6"/>
    <w:rsid w:val="00FE6B57"/>
    <w:rsid w:val="00FE6D6D"/>
    <w:rsid w:val="00FE73D7"/>
    <w:rsid w:val="00FE7458"/>
    <w:rsid w:val="00FE7DB6"/>
    <w:rsid w:val="00FF01C4"/>
    <w:rsid w:val="00FF038A"/>
    <w:rsid w:val="00FF09C4"/>
    <w:rsid w:val="00FF0C1C"/>
    <w:rsid w:val="00FF18B6"/>
    <w:rsid w:val="00FF1DB1"/>
    <w:rsid w:val="00FF1DC3"/>
    <w:rsid w:val="00FF212B"/>
    <w:rsid w:val="00FF242E"/>
    <w:rsid w:val="00FF245D"/>
    <w:rsid w:val="00FF24CD"/>
    <w:rsid w:val="00FF26F2"/>
    <w:rsid w:val="00FF2B54"/>
    <w:rsid w:val="00FF34BB"/>
    <w:rsid w:val="00FF354B"/>
    <w:rsid w:val="00FF3AE2"/>
    <w:rsid w:val="00FF3D0E"/>
    <w:rsid w:val="00FF416B"/>
    <w:rsid w:val="00FF4247"/>
    <w:rsid w:val="00FF4471"/>
    <w:rsid w:val="00FF4B10"/>
    <w:rsid w:val="00FF4CE1"/>
    <w:rsid w:val="00FF52DD"/>
    <w:rsid w:val="00FF5423"/>
    <w:rsid w:val="00FF5A21"/>
    <w:rsid w:val="00FF5B00"/>
    <w:rsid w:val="00FF5B35"/>
    <w:rsid w:val="00FF5C23"/>
    <w:rsid w:val="00FF5C57"/>
    <w:rsid w:val="00FF5C69"/>
    <w:rsid w:val="00FF5F91"/>
    <w:rsid w:val="00FF6178"/>
    <w:rsid w:val="00FF674A"/>
    <w:rsid w:val="00FF6AA7"/>
    <w:rsid w:val="00FF6D01"/>
    <w:rsid w:val="00FF6FF4"/>
    <w:rsid w:val="00FF7B00"/>
    <w:rsid w:val="00FF7B4E"/>
    <w:rsid w:val="00FF7F08"/>
    <w:rsid w:val="01163C84"/>
    <w:rsid w:val="012872A5"/>
    <w:rsid w:val="01714989"/>
    <w:rsid w:val="01AC5B8B"/>
    <w:rsid w:val="01AF7431"/>
    <w:rsid w:val="01BF16BA"/>
    <w:rsid w:val="01D61A4B"/>
    <w:rsid w:val="0202579C"/>
    <w:rsid w:val="0263579A"/>
    <w:rsid w:val="026B6011"/>
    <w:rsid w:val="028A7034"/>
    <w:rsid w:val="02A310A4"/>
    <w:rsid w:val="02B330F6"/>
    <w:rsid w:val="02CE5D5F"/>
    <w:rsid w:val="02DC4F4F"/>
    <w:rsid w:val="02EA4478"/>
    <w:rsid w:val="031B1A8F"/>
    <w:rsid w:val="032A49B4"/>
    <w:rsid w:val="032C2D3B"/>
    <w:rsid w:val="032F16C2"/>
    <w:rsid w:val="03625090"/>
    <w:rsid w:val="036B09CD"/>
    <w:rsid w:val="038C41D8"/>
    <w:rsid w:val="03987747"/>
    <w:rsid w:val="03BC6E92"/>
    <w:rsid w:val="03D31B41"/>
    <w:rsid w:val="03FD574A"/>
    <w:rsid w:val="043F5D42"/>
    <w:rsid w:val="048630AA"/>
    <w:rsid w:val="04E72A1C"/>
    <w:rsid w:val="050D5074"/>
    <w:rsid w:val="051B3C90"/>
    <w:rsid w:val="059129F9"/>
    <w:rsid w:val="05913D85"/>
    <w:rsid w:val="05D55D63"/>
    <w:rsid w:val="0609187B"/>
    <w:rsid w:val="06187C2C"/>
    <w:rsid w:val="061C3AF3"/>
    <w:rsid w:val="069E3F43"/>
    <w:rsid w:val="06A831CB"/>
    <w:rsid w:val="06B35461"/>
    <w:rsid w:val="06DD6B4F"/>
    <w:rsid w:val="06E119DA"/>
    <w:rsid w:val="06F559BE"/>
    <w:rsid w:val="070126F2"/>
    <w:rsid w:val="070A7732"/>
    <w:rsid w:val="07A96A27"/>
    <w:rsid w:val="08011856"/>
    <w:rsid w:val="08051EA7"/>
    <w:rsid w:val="0808180F"/>
    <w:rsid w:val="084C66BF"/>
    <w:rsid w:val="086E37F8"/>
    <w:rsid w:val="0895670D"/>
    <w:rsid w:val="08B678E7"/>
    <w:rsid w:val="08DE2DA8"/>
    <w:rsid w:val="08E9467C"/>
    <w:rsid w:val="08F203F6"/>
    <w:rsid w:val="08FE60BB"/>
    <w:rsid w:val="09010049"/>
    <w:rsid w:val="0905665D"/>
    <w:rsid w:val="097765EB"/>
    <w:rsid w:val="09862982"/>
    <w:rsid w:val="09954A43"/>
    <w:rsid w:val="09E6666E"/>
    <w:rsid w:val="09EC4255"/>
    <w:rsid w:val="09FC63E8"/>
    <w:rsid w:val="09FE2072"/>
    <w:rsid w:val="0A1B638E"/>
    <w:rsid w:val="0A366581"/>
    <w:rsid w:val="0A5B3CD5"/>
    <w:rsid w:val="0A675D65"/>
    <w:rsid w:val="0A751725"/>
    <w:rsid w:val="0AEF2309"/>
    <w:rsid w:val="0AF55979"/>
    <w:rsid w:val="0B06721E"/>
    <w:rsid w:val="0B096A4A"/>
    <w:rsid w:val="0B11751A"/>
    <w:rsid w:val="0B182678"/>
    <w:rsid w:val="0B243E4D"/>
    <w:rsid w:val="0B792372"/>
    <w:rsid w:val="0B835DE9"/>
    <w:rsid w:val="0B9A16E5"/>
    <w:rsid w:val="0BAE7BB0"/>
    <w:rsid w:val="0BB167DA"/>
    <w:rsid w:val="0BCE2E68"/>
    <w:rsid w:val="0BE70437"/>
    <w:rsid w:val="0C080983"/>
    <w:rsid w:val="0C4120BA"/>
    <w:rsid w:val="0C5477A5"/>
    <w:rsid w:val="0C663F0A"/>
    <w:rsid w:val="0C7A24A1"/>
    <w:rsid w:val="0C8634D5"/>
    <w:rsid w:val="0C880F51"/>
    <w:rsid w:val="0C977203"/>
    <w:rsid w:val="0CA75583"/>
    <w:rsid w:val="0CAA4E84"/>
    <w:rsid w:val="0CAC5DE7"/>
    <w:rsid w:val="0CB32C36"/>
    <w:rsid w:val="0CBE2E28"/>
    <w:rsid w:val="0CCD7396"/>
    <w:rsid w:val="0CD925DE"/>
    <w:rsid w:val="0CFC544B"/>
    <w:rsid w:val="0D3077CE"/>
    <w:rsid w:val="0D595DC3"/>
    <w:rsid w:val="0D595F70"/>
    <w:rsid w:val="0D701483"/>
    <w:rsid w:val="0D8039EF"/>
    <w:rsid w:val="0D840165"/>
    <w:rsid w:val="0DB24920"/>
    <w:rsid w:val="0E2749FD"/>
    <w:rsid w:val="0E287EBA"/>
    <w:rsid w:val="0E354113"/>
    <w:rsid w:val="0E5D0248"/>
    <w:rsid w:val="0E7F09A2"/>
    <w:rsid w:val="0E8C3EB9"/>
    <w:rsid w:val="0EA42FC7"/>
    <w:rsid w:val="0EA76444"/>
    <w:rsid w:val="0EB45D2E"/>
    <w:rsid w:val="0EC207B5"/>
    <w:rsid w:val="0EE91B6D"/>
    <w:rsid w:val="0EF24831"/>
    <w:rsid w:val="0F0C2AE0"/>
    <w:rsid w:val="0F1C0121"/>
    <w:rsid w:val="0F2B267E"/>
    <w:rsid w:val="0F3A21A3"/>
    <w:rsid w:val="0F3F25E0"/>
    <w:rsid w:val="0F722B6A"/>
    <w:rsid w:val="0F8804F9"/>
    <w:rsid w:val="0F8F7270"/>
    <w:rsid w:val="0F9D713B"/>
    <w:rsid w:val="0FC4351A"/>
    <w:rsid w:val="0FC45328"/>
    <w:rsid w:val="0FDD0424"/>
    <w:rsid w:val="0FF5569A"/>
    <w:rsid w:val="103A46EC"/>
    <w:rsid w:val="10461606"/>
    <w:rsid w:val="105A6CCB"/>
    <w:rsid w:val="106A23E9"/>
    <w:rsid w:val="10C633A8"/>
    <w:rsid w:val="10D90015"/>
    <w:rsid w:val="10E87055"/>
    <w:rsid w:val="10F918BE"/>
    <w:rsid w:val="11202156"/>
    <w:rsid w:val="11346AEE"/>
    <w:rsid w:val="1168475D"/>
    <w:rsid w:val="117822CD"/>
    <w:rsid w:val="11A021CD"/>
    <w:rsid w:val="11C36B0F"/>
    <w:rsid w:val="11F83BE0"/>
    <w:rsid w:val="121655B8"/>
    <w:rsid w:val="12184F32"/>
    <w:rsid w:val="12687EE1"/>
    <w:rsid w:val="126900CB"/>
    <w:rsid w:val="12803EDB"/>
    <w:rsid w:val="12842DA9"/>
    <w:rsid w:val="12B044A3"/>
    <w:rsid w:val="12BF02B1"/>
    <w:rsid w:val="12CB69EA"/>
    <w:rsid w:val="131915EB"/>
    <w:rsid w:val="13762F9F"/>
    <w:rsid w:val="137F745D"/>
    <w:rsid w:val="13963C7B"/>
    <w:rsid w:val="13F27C96"/>
    <w:rsid w:val="1432363E"/>
    <w:rsid w:val="1443747F"/>
    <w:rsid w:val="147C13FB"/>
    <w:rsid w:val="148D7BB2"/>
    <w:rsid w:val="1503330F"/>
    <w:rsid w:val="151341BE"/>
    <w:rsid w:val="15165439"/>
    <w:rsid w:val="153131BE"/>
    <w:rsid w:val="15AC6639"/>
    <w:rsid w:val="15F515C8"/>
    <w:rsid w:val="15F51B06"/>
    <w:rsid w:val="16047F87"/>
    <w:rsid w:val="16331AF7"/>
    <w:rsid w:val="163527F5"/>
    <w:rsid w:val="167D570E"/>
    <w:rsid w:val="16981665"/>
    <w:rsid w:val="16C14F76"/>
    <w:rsid w:val="16F367A8"/>
    <w:rsid w:val="17132530"/>
    <w:rsid w:val="17204D21"/>
    <w:rsid w:val="175045F1"/>
    <w:rsid w:val="17745453"/>
    <w:rsid w:val="177B7489"/>
    <w:rsid w:val="178B6959"/>
    <w:rsid w:val="178D535C"/>
    <w:rsid w:val="17B3199C"/>
    <w:rsid w:val="18305584"/>
    <w:rsid w:val="18567694"/>
    <w:rsid w:val="186C03E6"/>
    <w:rsid w:val="18B10348"/>
    <w:rsid w:val="18D26894"/>
    <w:rsid w:val="18E716AD"/>
    <w:rsid w:val="18EF46F7"/>
    <w:rsid w:val="19042DA3"/>
    <w:rsid w:val="190A7AE7"/>
    <w:rsid w:val="191342E0"/>
    <w:rsid w:val="19161AFA"/>
    <w:rsid w:val="19585198"/>
    <w:rsid w:val="19713F3B"/>
    <w:rsid w:val="19790AE5"/>
    <w:rsid w:val="19800522"/>
    <w:rsid w:val="199B3FF8"/>
    <w:rsid w:val="19E464CE"/>
    <w:rsid w:val="19EA2BA4"/>
    <w:rsid w:val="1A1067DB"/>
    <w:rsid w:val="1A5109E0"/>
    <w:rsid w:val="1AA92A20"/>
    <w:rsid w:val="1AAC7C13"/>
    <w:rsid w:val="1B1F4313"/>
    <w:rsid w:val="1B2752BA"/>
    <w:rsid w:val="1B2E1CDB"/>
    <w:rsid w:val="1B5A7D90"/>
    <w:rsid w:val="1B5F71BB"/>
    <w:rsid w:val="1B814E6C"/>
    <w:rsid w:val="1B892379"/>
    <w:rsid w:val="1B91659D"/>
    <w:rsid w:val="1BD8029E"/>
    <w:rsid w:val="1BEC0D52"/>
    <w:rsid w:val="1BF87CDA"/>
    <w:rsid w:val="1C0E39CA"/>
    <w:rsid w:val="1C2B6CBC"/>
    <w:rsid w:val="1C371A7E"/>
    <w:rsid w:val="1C3A1C25"/>
    <w:rsid w:val="1C6C34AD"/>
    <w:rsid w:val="1C710D8C"/>
    <w:rsid w:val="1CB2401E"/>
    <w:rsid w:val="1CBA6115"/>
    <w:rsid w:val="1CCE7C51"/>
    <w:rsid w:val="1D0E3009"/>
    <w:rsid w:val="1D2C2FCE"/>
    <w:rsid w:val="1D7D7C75"/>
    <w:rsid w:val="1D9D1CED"/>
    <w:rsid w:val="1DB640E6"/>
    <w:rsid w:val="1DB65CA0"/>
    <w:rsid w:val="1DBA5F46"/>
    <w:rsid w:val="1DC25D24"/>
    <w:rsid w:val="1DCC26FE"/>
    <w:rsid w:val="1DE1692F"/>
    <w:rsid w:val="1DEF587C"/>
    <w:rsid w:val="1E1B0557"/>
    <w:rsid w:val="1E1D650C"/>
    <w:rsid w:val="1E23051B"/>
    <w:rsid w:val="1EC20283"/>
    <w:rsid w:val="1ED83E52"/>
    <w:rsid w:val="1EE367DD"/>
    <w:rsid w:val="1F142FF7"/>
    <w:rsid w:val="1F146A04"/>
    <w:rsid w:val="1F207C5E"/>
    <w:rsid w:val="1F296195"/>
    <w:rsid w:val="1F362BD1"/>
    <w:rsid w:val="1F661B00"/>
    <w:rsid w:val="1F7C14A6"/>
    <w:rsid w:val="1F917F50"/>
    <w:rsid w:val="1FA3250F"/>
    <w:rsid w:val="1FDC5BA1"/>
    <w:rsid w:val="1FEB1F39"/>
    <w:rsid w:val="20037947"/>
    <w:rsid w:val="202E7B14"/>
    <w:rsid w:val="20305CCA"/>
    <w:rsid w:val="20405BD6"/>
    <w:rsid w:val="20433681"/>
    <w:rsid w:val="204C20B8"/>
    <w:rsid w:val="205E4340"/>
    <w:rsid w:val="20824C1B"/>
    <w:rsid w:val="209D149C"/>
    <w:rsid w:val="20A92645"/>
    <w:rsid w:val="20CF639F"/>
    <w:rsid w:val="20E117A4"/>
    <w:rsid w:val="20F60980"/>
    <w:rsid w:val="211B0EBD"/>
    <w:rsid w:val="214A6741"/>
    <w:rsid w:val="215B0D54"/>
    <w:rsid w:val="21643608"/>
    <w:rsid w:val="21AB5D4C"/>
    <w:rsid w:val="21B24F00"/>
    <w:rsid w:val="21B97F30"/>
    <w:rsid w:val="220A3D52"/>
    <w:rsid w:val="221A172C"/>
    <w:rsid w:val="22981E8A"/>
    <w:rsid w:val="22B3045B"/>
    <w:rsid w:val="22D00813"/>
    <w:rsid w:val="22E55268"/>
    <w:rsid w:val="22F20DDD"/>
    <w:rsid w:val="2313401A"/>
    <w:rsid w:val="234303DE"/>
    <w:rsid w:val="235767EC"/>
    <w:rsid w:val="23773167"/>
    <w:rsid w:val="237E09EB"/>
    <w:rsid w:val="23865DEF"/>
    <w:rsid w:val="23944A78"/>
    <w:rsid w:val="239E22EB"/>
    <w:rsid w:val="23B64B6B"/>
    <w:rsid w:val="24074F31"/>
    <w:rsid w:val="240A518D"/>
    <w:rsid w:val="241B3F5D"/>
    <w:rsid w:val="241F7709"/>
    <w:rsid w:val="242176E3"/>
    <w:rsid w:val="244A7DF0"/>
    <w:rsid w:val="24A87165"/>
    <w:rsid w:val="24D15582"/>
    <w:rsid w:val="24FE4E06"/>
    <w:rsid w:val="253B565D"/>
    <w:rsid w:val="254E347F"/>
    <w:rsid w:val="2553529C"/>
    <w:rsid w:val="256664FB"/>
    <w:rsid w:val="25944938"/>
    <w:rsid w:val="25BD7ACA"/>
    <w:rsid w:val="25D21D61"/>
    <w:rsid w:val="25F71EA6"/>
    <w:rsid w:val="25F94ADD"/>
    <w:rsid w:val="261A3B83"/>
    <w:rsid w:val="263D1276"/>
    <w:rsid w:val="267B41C9"/>
    <w:rsid w:val="267B54B6"/>
    <w:rsid w:val="26967296"/>
    <w:rsid w:val="26B36F74"/>
    <w:rsid w:val="26D60C4E"/>
    <w:rsid w:val="26FD0D8E"/>
    <w:rsid w:val="271A47A4"/>
    <w:rsid w:val="27300BE7"/>
    <w:rsid w:val="27561E13"/>
    <w:rsid w:val="27C45ED0"/>
    <w:rsid w:val="27CE2A03"/>
    <w:rsid w:val="280167BD"/>
    <w:rsid w:val="283E050C"/>
    <w:rsid w:val="284D7FF2"/>
    <w:rsid w:val="28896ED2"/>
    <w:rsid w:val="288C541A"/>
    <w:rsid w:val="28B74F42"/>
    <w:rsid w:val="28BE3895"/>
    <w:rsid w:val="28CF294B"/>
    <w:rsid w:val="293B40E6"/>
    <w:rsid w:val="295D5722"/>
    <w:rsid w:val="298237C8"/>
    <w:rsid w:val="298F20BF"/>
    <w:rsid w:val="29B915A6"/>
    <w:rsid w:val="29F84CC0"/>
    <w:rsid w:val="29FC74F5"/>
    <w:rsid w:val="2A084976"/>
    <w:rsid w:val="2A151AA9"/>
    <w:rsid w:val="2A196FBE"/>
    <w:rsid w:val="2A42559B"/>
    <w:rsid w:val="2A4B2C65"/>
    <w:rsid w:val="2A4E1834"/>
    <w:rsid w:val="2A5C0E3D"/>
    <w:rsid w:val="2A927F6F"/>
    <w:rsid w:val="2A9F36BF"/>
    <w:rsid w:val="2AAA5295"/>
    <w:rsid w:val="2AB91FE5"/>
    <w:rsid w:val="2ABC644D"/>
    <w:rsid w:val="2AE17C12"/>
    <w:rsid w:val="2AEF48D0"/>
    <w:rsid w:val="2AF13425"/>
    <w:rsid w:val="2B085709"/>
    <w:rsid w:val="2B393F34"/>
    <w:rsid w:val="2B443720"/>
    <w:rsid w:val="2B5F47CE"/>
    <w:rsid w:val="2B685A90"/>
    <w:rsid w:val="2B804B97"/>
    <w:rsid w:val="2B9117A6"/>
    <w:rsid w:val="2B9C38DC"/>
    <w:rsid w:val="2BB63759"/>
    <w:rsid w:val="2BD62EF5"/>
    <w:rsid w:val="2BDB6323"/>
    <w:rsid w:val="2BE81BAF"/>
    <w:rsid w:val="2BFE6EEC"/>
    <w:rsid w:val="2C337AB5"/>
    <w:rsid w:val="2C6A34B5"/>
    <w:rsid w:val="2C914023"/>
    <w:rsid w:val="2C925B57"/>
    <w:rsid w:val="2CB5210C"/>
    <w:rsid w:val="2CB87533"/>
    <w:rsid w:val="2CD654B6"/>
    <w:rsid w:val="2CEC069D"/>
    <w:rsid w:val="2CF1613B"/>
    <w:rsid w:val="2CFF0206"/>
    <w:rsid w:val="2D0116B4"/>
    <w:rsid w:val="2D0B02D6"/>
    <w:rsid w:val="2D3A31A3"/>
    <w:rsid w:val="2D55320E"/>
    <w:rsid w:val="2D6A512B"/>
    <w:rsid w:val="2D980140"/>
    <w:rsid w:val="2DCB4A8A"/>
    <w:rsid w:val="2DED0902"/>
    <w:rsid w:val="2DF17A7C"/>
    <w:rsid w:val="2DF62BCC"/>
    <w:rsid w:val="2EA51E2D"/>
    <w:rsid w:val="2EA815E6"/>
    <w:rsid w:val="2EAB691F"/>
    <w:rsid w:val="2EDA6949"/>
    <w:rsid w:val="2EDE77CB"/>
    <w:rsid w:val="2F116C76"/>
    <w:rsid w:val="2F307656"/>
    <w:rsid w:val="2F4C49A0"/>
    <w:rsid w:val="2F6C0E5B"/>
    <w:rsid w:val="2F6D702B"/>
    <w:rsid w:val="2F995379"/>
    <w:rsid w:val="2FCE7EA6"/>
    <w:rsid w:val="2FE010D4"/>
    <w:rsid w:val="2FE739D1"/>
    <w:rsid w:val="300C3544"/>
    <w:rsid w:val="30174411"/>
    <w:rsid w:val="30223CBF"/>
    <w:rsid w:val="3028275C"/>
    <w:rsid w:val="302E5FB5"/>
    <w:rsid w:val="304B77A6"/>
    <w:rsid w:val="307509EC"/>
    <w:rsid w:val="309054A0"/>
    <w:rsid w:val="30A774DB"/>
    <w:rsid w:val="30F07BEC"/>
    <w:rsid w:val="315636B4"/>
    <w:rsid w:val="31C030AE"/>
    <w:rsid w:val="31CE0514"/>
    <w:rsid w:val="31E03ED1"/>
    <w:rsid w:val="31E93D39"/>
    <w:rsid w:val="31F446EE"/>
    <w:rsid w:val="31F759BE"/>
    <w:rsid w:val="32130125"/>
    <w:rsid w:val="321D52A8"/>
    <w:rsid w:val="322D2C62"/>
    <w:rsid w:val="324D337C"/>
    <w:rsid w:val="32A23864"/>
    <w:rsid w:val="32ED3B8D"/>
    <w:rsid w:val="33887E6F"/>
    <w:rsid w:val="33C826DE"/>
    <w:rsid w:val="33E2450D"/>
    <w:rsid w:val="33EE2394"/>
    <w:rsid w:val="33F87CD2"/>
    <w:rsid w:val="34005963"/>
    <w:rsid w:val="344B6070"/>
    <w:rsid w:val="345579C3"/>
    <w:rsid w:val="34582322"/>
    <w:rsid w:val="346902CA"/>
    <w:rsid w:val="348D43FB"/>
    <w:rsid w:val="34BE756B"/>
    <w:rsid w:val="34DD0C46"/>
    <w:rsid w:val="34F60287"/>
    <w:rsid w:val="35035E9A"/>
    <w:rsid w:val="352804A2"/>
    <w:rsid w:val="352F359C"/>
    <w:rsid w:val="35A152BC"/>
    <w:rsid w:val="35B50844"/>
    <w:rsid w:val="36107B9D"/>
    <w:rsid w:val="36145B4B"/>
    <w:rsid w:val="362947AC"/>
    <w:rsid w:val="36376EB0"/>
    <w:rsid w:val="36D91C0F"/>
    <w:rsid w:val="370C6500"/>
    <w:rsid w:val="37245AC4"/>
    <w:rsid w:val="3752540F"/>
    <w:rsid w:val="378F7219"/>
    <w:rsid w:val="37992BF4"/>
    <w:rsid w:val="379C6F2E"/>
    <w:rsid w:val="37A15FBA"/>
    <w:rsid w:val="37E92471"/>
    <w:rsid w:val="37EE723A"/>
    <w:rsid w:val="37F86457"/>
    <w:rsid w:val="382158F0"/>
    <w:rsid w:val="38404555"/>
    <w:rsid w:val="38747DB1"/>
    <w:rsid w:val="387C570F"/>
    <w:rsid w:val="388938FF"/>
    <w:rsid w:val="38982FAC"/>
    <w:rsid w:val="389B6579"/>
    <w:rsid w:val="38CF77AE"/>
    <w:rsid w:val="38E02676"/>
    <w:rsid w:val="38E13BA1"/>
    <w:rsid w:val="38EC428C"/>
    <w:rsid w:val="39211161"/>
    <w:rsid w:val="39266612"/>
    <w:rsid w:val="394D11BB"/>
    <w:rsid w:val="39676DBA"/>
    <w:rsid w:val="396C4FB8"/>
    <w:rsid w:val="39887F42"/>
    <w:rsid w:val="398B0BA2"/>
    <w:rsid w:val="398C18D9"/>
    <w:rsid w:val="399C5303"/>
    <w:rsid w:val="39C96207"/>
    <w:rsid w:val="39CD70B6"/>
    <w:rsid w:val="39DD0D3B"/>
    <w:rsid w:val="3A3B0E69"/>
    <w:rsid w:val="3A4D1BD2"/>
    <w:rsid w:val="3AC40931"/>
    <w:rsid w:val="3AE460A7"/>
    <w:rsid w:val="3B00044E"/>
    <w:rsid w:val="3B456DD2"/>
    <w:rsid w:val="3B6241C8"/>
    <w:rsid w:val="3B8D182C"/>
    <w:rsid w:val="3B982CFD"/>
    <w:rsid w:val="3BAB6C69"/>
    <w:rsid w:val="3BD84E43"/>
    <w:rsid w:val="3BE44277"/>
    <w:rsid w:val="3BF651C1"/>
    <w:rsid w:val="3C100D88"/>
    <w:rsid w:val="3C1B268A"/>
    <w:rsid w:val="3C555FF0"/>
    <w:rsid w:val="3C621784"/>
    <w:rsid w:val="3C9C028C"/>
    <w:rsid w:val="3CAD05A6"/>
    <w:rsid w:val="3CD27C11"/>
    <w:rsid w:val="3CE80159"/>
    <w:rsid w:val="3D1833A1"/>
    <w:rsid w:val="3D1C219B"/>
    <w:rsid w:val="3D260A9F"/>
    <w:rsid w:val="3D66347B"/>
    <w:rsid w:val="3D8325EA"/>
    <w:rsid w:val="3DAC2A86"/>
    <w:rsid w:val="3DD32FFC"/>
    <w:rsid w:val="3DD87205"/>
    <w:rsid w:val="3E1C49FD"/>
    <w:rsid w:val="3E28438D"/>
    <w:rsid w:val="3E5F7E08"/>
    <w:rsid w:val="3F1A559F"/>
    <w:rsid w:val="3F280FC6"/>
    <w:rsid w:val="3F324477"/>
    <w:rsid w:val="3F3A1D94"/>
    <w:rsid w:val="3F3C7F5F"/>
    <w:rsid w:val="3F8E499D"/>
    <w:rsid w:val="3FB37EBA"/>
    <w:rsid w:val="3FBA773C"/>
    <w:rsid w:val="3FCE7A1C"/>
    <w:rsid w:val="3FD444AB"/>
    <w:rsid w:val="3FE46F30"/>
    <w:rsid w:val="3FE508D0"/>
    <w:rsid w:val="3FF62493"/>
    <w:rsid w:val="40340413"/>
    <w:rsid w:val="405945B4"/>
    <w:rsid w:val="406E024D"/>
    <w:rsid w:val="40CE0A0E"/>
    <w:rsid w:val="40F818DC"/>
    <w:rsid w:val="41042EFE"/>
    <w:rsid w:val="41265C1B"/>
    <w:rsid w:val="41611761"/>
    <w:rsid w:val="41AB1B76"/>
    <w:rsid w:val="41B77D9A"/>
    <w:rsid w:val="41C05A08"/>
    <w:rsid w:val="41F75DED"/>
    <w:rsid w:val="420740C2"/>
    <w:rsid w:val="421927EA"/>
    <w:rsid w:val="423C5864"/>
    <w:rsid w:val="42804685"/>
    <w:rsid w:val="42B20EF6"/>
    <w:rsid w:val="42E6067A"/>
    <w:rsid w:val="42EF6E52"/>
    <w:rsid w:val="432D74EB"/>
    <w:rsid w:val="43554905"/>
    <w:rsid w:val="43956A55"/>
    <w:rsid w:val="43A537C6"/>
    <w:rsid w:val="43BA52A5"/>
    <w:rsid w:val="43EA17EE"/>
    <w:rsid w:val="43EB345B"/>
    <w:rsid w:val="43F20E0E"/>
    <w:rsid w:val="441C3EB1"/>
    <w:rsid w:val="442105F5"/>
    <w:rsid w:val="44233DA4"/>
    <w:rsid w:val="44404449"/>
    <w:rsid w:val="44501C42"/>
    <w:rsid w:val="44900DA6"/>
    <w:rsid w:val="4497650F"/>
    <w:rsid w:val="4498422A"/>
    <w:rsid w:val="449940FA"/>
    <w:rsid w:val="44A90B7D"/>
    <w:rsid w:val="44CB2D30"/>
    <w:rsid w:val="45040A61"/>
    <w:rsid w:val="450B3D3D"/>
    <w:rsid w:val="453F4064"/>
    <w:rsid w:val="454D4D31"/>
    <w:rsid w:val="455A659A"/>
    <w:rsid w:val="459E796C"/>
    <w:rsid w:val="45D9080E"/>
    <w:rsid w:val="45F34CC1"/>
    <w:rsid w:val="45FB294B"/>
    <w:rsid w:val="46015534"/>
    <w:rsid w:val="46142B3F"/>
    <w:rsid w:val="46532DBD"/>
    <w:rsid w:val="4653385F"/>
    <w:rsid w:val="469F155C"/>
    <w:rsid w:val="46A6632F"/>
    <w:rsid w:val="46AC63D9"/>
    <w:rsid w:val="46B544D3"/>
    <w:rsid w:val="46D23951"/>
    <w:rsid w:val="46FC51C2"/>
    <w:rsid w:val="470A3DFA"/>
    <w:rsid w:val="47297427"/>
    <w:rsid w:val="47404247"/>
    <w:rsid w:val="47447312"/>
    <w:rsid w:val="4756643F"/>
    <w:rsid w:val="475B4A31"/>
    <w:rsid w:val="477E0760"/>
    <w:rsid w:val="47A1262A"/>
    <w:rsid w:val="47B82D6A"/>
    <w:rsid w:val="47EE3ADF"/>
    <w:rsid w:val="482C2828"/>
    <w:rsid w:val="4849154C"/>
    <w:rsid w:val="48605E45"/>
    <w:rsid w:val="48716596"/>
    <w:rsid w:val="48986C94"/>
    <w:rsid w:val="48C31CB0"/>
    <w:rsid w:val="491823FC"/>
    <w:rsid w:val="495419A5"/>
    <w:rsid w:val="49912F6E"/>
    <w:rsid w:val="49B43801"/>
    <w:rsid w:val="49C81764"/>
    <w:rsid w:val="49DD0658"/>
    <w:rsid w:val="49E41DE7"/>
    <w:rsid w:val="49ED4AE1"/>
    <w:rsid w:val="49F165E2"/>
    <w:rsid w:val="49F83CC9"/>
    <w:rsid w:val="4A065B24"/>
    <w:rsid w:val="4A0F1EEC"/>
    <w:rsid w:val="4A4D4BBF"/>
    <w:rsid w:val="4A6D1E24"/>
    <w:rsid w:val="4A723C64"/>
    <w:rsid w:val="4AA753CF"/>
    <w:rsid w:val="4ACB4089"/>
    <w:rsid w:val="4AD44B02"/>
    <w:rsid w:val="4AFF61DF"/>
    <w:rsid w:val="4B3C1871"/>
    <w:rsid w:val="4B504CFF"/>
    <w:rsid w:val="4B970878"/>
    <w:rsid w:val="4B9C4CC4"/>
    <w:rsid w:val="4BB64598"/>
    <w:rsid w:val="4BF57931"/>
    <w:rsid w:val="4C2807DB"/>
    <w:rsid w:val="4C4331D8"/>
    <w:rsid w:val="4C56514E"/>
    <w:rsid w:val="4C8B5C92"/>
    <w:rsid w:val="4C974942"/>
    <w:rsid w:val="4C993FE8"/>
    <w:rsid w:val="4CDE4AA4"/>
    <w:rsid w:val="4D5F5655"/>
    <w:rsid w:val="4D780E63"/>
    <w:rsid w:val="4DB53729"/>
    <w:rsid w:val="4DB80D93"/>
    <w:rsid w:val="4DDB377E"/>
    <w:rsid w:val="4E4B63B4"/>
    <w:rsid w:val="4E55232A"/>
    <w:rsid w:val="4E590C92"/>
    <w:rsid w:val="4E64529F"/>
    <w:rsid w:val="4E8530F2"/>
    <w:rsid w:val="4E86440D"/>
    <w:rsid w:val="4ED22240"/>
    <w:rsid w:val="4F1C06E6"/>
    <w:rsid w:val="4F3E7064"/>
    <w:rsid w:val="4F6A39AE"/>
    <w:rsid w:val="4F784215"/>
    <w:rsid w:val="4F8A160E"/>
    <w:rsid w:val="4FA670CA"/>
    <w:rsid w:val="4FA95E18"/>
    <w:rsid w:val="4FAB77CF"/>
    <w:rsid w:val="4FD82F1E"/>
    <w:rsid w:val="4FF10DF8"/>
    <w:rsid w:val="506F5096"/>
    <w:rsid w:val="50714DF5"/>
    <w:rsid w:val="507804A1"/>
    <w:rsid w:val="509C0945"/>
    <w:rsid w:val="50BB31E2"/>
    <w:rsid w:val="50C802B0"/>
    <w:rsid w:val="50CF1E02"/>
    <w:rsid w:val="50CF44A7"/>
    <w:rsid w:val="51247F49"/>
    <w:rsid w:val="512E3A56"/>
    <w:rsid w:val="51762680"/>
    <w:rsid w:val="51DC4F40"/>
    <w:rsid w:val="52005ABA"/>
    <w:rsid w:val="520A10D1"/>
    <w:rsid w:val="525646FA"/>
    <w:rsid w:val="526C318B"/>
    <w:rsid w:val="527E6CEF"/>
    <w:rsid w:val="52A7674C"/>
    <w:rsid w:val="52A76A7C"/>
    <w:rsid w:val="52C975ED"/>
    <w:rsid w:val="52F76A2D"/>
    <w:rsid w:val="52F842B4"/>
    <w:rsid w:val="536151DD"/>
    <w:rsid w:val="53BB30DE"/>
    <w:rsid w:val="53BF7E0E"/>
    <w:rsid w:val="53D50C44"/>
    <w:rsid w:val="53E36425"/>
    <w:rsid w:val="54190909"/>
    <w:rsid w:val="542662E6"/>
    <w:rsid w:val="5452472A"/>
    <w:rsid w:val="54641BB3"/>
    <w:rsid w:val="547A5A10"/>
    <w:rsid w:val="548261FA"/>
    <w:rsid w:val="54A90681"/>
    <w:rsid w:val="54C31B86"/>
    <w:rsid w:val="54CF32EA"/>
    <w:rsid w:val="54D91DAF"/>
    <w:rsid w:val="54EA1787"/>
    <w:rsid w:val="550A23A6"/>
    <w:rsid w:val="550B18EE"/>
    <w:rsid w:val="55524355"/>
    <w:rsid w:val="55782153"/>
    <w:rsid w:val="558920B3"/>
    <w:rsid w:val="55944E0A"/>
    <w:rsid w:val="55B145AC"/>
    <w:rsid w:val="55BC36C1"/>
    <w:rsid w:val="55C754D2"/>
    <w:rsid w:val="566C25EF"/>
    <w:rsid w:val="568A2A64"/>
    <w:rsid w:val="56BE61F7"/>
    <w:rsid w:val="56E40220"/>
    <w:rsid w:val="577F49FE"/>
    <w:rsid w:val="57886E2D"/>
    <w:rsid w:val="5789432C"/>
    <w:rsid w:val="5820596B"/>
    <w:rsid w:val="58300B03"/>
    <w:rsid w:val="583F0E22"/>
    <w:rsid w:val="584A2BA6"/>
    <w:rsid w:val="58623527"/>
    <w:rsid w:val="5873153F"/>
    <w:rsid w:val="5873332E"/>
    <w:rsid w:val="589B519E"/>
    <w:rsid w:val="589F15EE"/>
    <w:rsid w:val="58B43648"/>
    <w:rsid w:val="58EF010C"/>
    <w:rsid w:val="58F34D08"/>
    <w:rsid w:val="590B1582"/>
    <w:rsid w:val="59183E5C"/>
    <w:rsid w:val="595E1C23"/>
    <w:rsid w:val="59804E6B"/>
    <w:rsid w:val="59856751"/>
    <w:rsid w:val="59B70C92"/>
    <w:rsid w:val="59C614DF"/>
    <w:rsid w:val="59F75E84"/>
    <w:rsid w:val="5A140259"/>
    <w:rsid w:val="5A2D0DC3"/>
    <w:rsid w:val="5A5A0364"/>
    <w:rsid w:val="5A634438"/>
    <w:rsid w:val="5A6F25B7"/>
    <w:rsid w:val="5A786A7A"/>
    <w:rsid w:val="5A850DD3"/>
    <w:rsid w:val="5A9042D5"/>
    <w:rsid w:val="5A9E0307"/>
    <w:rsid w:val="5AB83533"/>
    <w:rsid w:val="5ABF4324"/>
    <w:rsid w:val="5ADB5C8D"/>
    <w:rsid w:val="5ADF1DA4"/>
    <w:rsid w:val="5B2330D9"/>
    <w:rsid w:val="5B2E26EC"/>
    <w:rsid w:val="5B612DBE"/>
    <w:rsid w:val="5B6631D7"/>
    <w:rsid w:val="5B8A0CFF"/>
    <w:rsid w:val="5BD23BBB"/>
    <w:rsid w:val="5C222701"/>
    <w:rsid w:val="5C2810E1"/>
    <w:rsid w:val="5C58283A"/>
    <w:rsid w:val="5C6372D6"/>
    <w:rsid w:val="5C7C3DFE"/>
    <w:rsid w:val="5C837238"/>
    <w:rsid w:val="5CBA3222"/>
    <w:rsid w:val="5CE42A55"/>
    <w:rsid w:val="5D174830"/>
    <w:rsid w:val="5D1F4596"/>
    <w:rsid w:val="5D262486"/>
    <w:rsid w:val="5D4F603E"/>
    <w:rsid w:val="5D66140C"/>
    <w:rsid w:val="5D6D49DD"/>
    <w:rsid w:val="5DD70ABF"/>
    <w:rsid w:val="5DEF41FE"/>
    <w:rsid w:val="5DFE05D6"/>
    <w:rsid w:val="5E68101C"/>
    <w:rsid w:val="5E9F2C21"/>
    <w:rsid w:val="5EE30C5F"/>
    <w:rsid w:val="5EED086F"/>
    <w:rsid w:val="5F1811C4"/>
    <w:rsid w:val="5F4F3890"/>
    <w:rsid w:val="5F837F75"/>
    <w:rsid w:val="5FAE0E47"/>
    <w:rsid w:val="5FBF3E7C"/>
    <w:rsid w:val="5FC25D5C"/>
    <w:rsid w:val="60042CA1"/>
    <w:rsid w:val="600B75F6"/>
    <w:rsid w:val="602D643A"/>
    <w:rsid w:val="60512FAB"/>
    <w:rsid w:val="609822D4"/>
    <w:rsid w:val="60B36A5D"/>
    <w:rsid w:val="60B74348"/>
    <w:rsid w:val="60C30D2B"/>
    <w:rsid w:val="60C32549"/>
    <w:rsid w:val="60CD42DB"/>
    <w:rsid w:val="60EA25EB"/>
    <w:rsid w:val="60FB1410"/>
    <w:rsid w:val="60FF0996"/>
    <w:rsid w:val="61652A27"/>
    <w:rsid w:val="616917E0"/>
    <w:rsid w:val="61714CA3"/>
    <w:rsid w:val="617A6A41"/>
    <w:rsid w:val="618A68C3"/>
    <w:rsid w:val="61A41C9D"/>
    <w:rsid w:val="61BE6127"/>
    <w:rsid w:val="61E656E3"/>
    <w:rsid w:val="62440014"/>
    <w:rsid w:val="624A1546"/>
    <w:rsid w:val="62543673"/>
    <w:rsid w:val="627D5506"/>
    <w:rsid w:val="62C2678B"/>
    <w:rsid w:val="6304600F"/>
    <w:rsid w:val="6399595A"/>
    <w:rsid w:val="63B6390C"/>
    <w:rsid w:val="63DB0C02"/>
    <w:rsid w:val="63E2247D"/>
    <w:rsid w:val="63F9479C"/>
    <w:rsid w:val="6425543B"/>
    <w:rsid w:val="645155B7"/>
    <w:rsid w:val="64577258"/>
    <w:rsid w:val="646138DD"/>
    <w:rsid w:val="64973079"/>
    <w:rsid w:val="64BE15A1"/>
    <w:rsid w:val="6503672E"/>
    <w:rsid w:val="65237B2D"/>
    <w:rsid w:val="652D63AC"/>
    <w:rsid w:val="655D13FE"/>
    <w:rsid w:val="65655197"/>
    <w:rsid w:val="65AE5315"/>
    <w:rsid w:val="65B707E1"/>
    <w:rsid w:val="65B95710"/>
    <w:rsid w:val="65BC1A47"/>
    <w:rsid w:val="65EC1EEA"/>
    <w:rsid w:val="65F34B93"/>
    <w:rsid w:val="65F448CB"/>
    <w:rsid w:val="6644126C"/>
    <w:rsid w:val="665325C4"/>
    <w:rsid w:val="66712CA7"/>
    <w:rsid w:val="66890D7E"/>
    <w:rsid w:val="66AE1266"/>
    <w:rsid w:val="675065F1"/>
    <w:rsid w:val="67975A89"/>
    <w:rsid w:val="679D18ED"/>
    <w:rsid w:val="67A27EE4"/>
    <w:rsid w:val="67E174A7"/>
    <w:rsid w:val="6813058E"/>
    <w:rsid w:val="68405C30"/>
    <w:rsid w:val="684E2E3D"/>
    <w:rsid w:val="684E3CEB"/>
    <w:rsid w:val="684F35ED"/>
    <w:rsid w:val="686424DE"/>
    <w:rsid w:val="6870695C"/>
    <w:rsid w:val="689953B6"/>
    <w:rsid w:val="689A75AA"/>
    <w:rsid w:val="691955F7"/>
    <w:rsid w:val="691C3A68"/>
    <w:rsid w:val="692814AD"/>
    <w:rsid w:val="693528E5"/>
    <w:rsid w:val="69472F5B"/>
    <w:rsid w:val="694826DD"/>
    <w:rsid w:val="694B1387"/>
    <w:rsid w:val="695073EB"/>
    <w:rsid w:val="697C4D67"/>
    <w:rsid w:val="69801EE8"/>
    <w:rsid w:val="69B368E5"/>
    <w:rsid w:val="69CD0597"/>
    <w:rsid w:val="69EF56DF"/>
    <w:rsid w:val="6A0F2F9B"/>
    <w:rsid w:val="6A1003C1"/>
    <w:rsid w:val="6A3F6F8D"/>
    <w:rsid w:val="6A4C087F"/>
    <w:rsid w:val="6A5B3C43"/>
    <w:rsid w:val="6AB03BEC"/>
    <w:rsid w:val="6AB21829"/>
    <w:rsid w:val="6AE54299"/>
    <w:rsid w:val="6B387505"/>
    <w:rsid w:val="6B4B5645"/>
    <w:rsid w:val="6B747EBE"/>
    <w:rsid w:val="6B763540"/>
    <w:rsid w:val="6B935917"/>
    <w:rsid w:val="6B96751B"/>
    <w:rsid w:val="6B9A7F25"/>
    <w:rsid w:val="6BE3028C"/>
    <w:rsid w:val="6C0A19A1"/>
    <w:rsid w:val="6C151D90"/>
    <w:rsid w:val="6C155896"/>
    <w:rsid w:val="6C607D51"/>
    <w:rsid w:val="6C6B4D1D"/>
    <w:rsid w:val="6C755473"/>
    <w:rsid w:val="6C935C74"/>
    <w:rsid w:val="6C994EEF"/>
    <w:rsid w:val="6CCE5DB7"/>
    <w:rsid w:val="6CD946DD"/>
    <w:rsid w:val="6CF2486E"/>
    <w:rsid w:val="6D244441"/>
    <w:rsid w:val="6D40132B"/>
    <w:rsid w:val="6D5A35FC"/>
    <w:rsid w:val="6D7A1F61"/>
    <w:rsid w:val="6D853490"/>
    <w:rsid w:val="6D85581F"/>
    <w:rsid w:val="6DA80579"/>
    <w:rsid w:val="6DB30415"/>
    <w:rsid w:val="6DD77DE9"/>
    <w:rsid w:val="6DFB4A1B"/>
    <w:rsid w:val="6E010F73"/>
    <w:rsid w:val="6E1C5122"/>
    <w:rsid w:val="6E22516E"/>
    <w:rsid w:val="6E2B3C33"/>
    <w:rsid w:val="6E56009C"/>
    <w:rsid w:val="6E6A6F2D"/>
    <w:rsid w:val="6E8336F5"/>
    <w:rsid w:val="6ECB3E87"/>
    <w:rsid w:val="6F016A55"/>
    <w:rsid w:val="6F5C1869"/>
    <w:rsid w:val="6F5D30E7"/>
    <w:rsid w:val="6F754CB7"/>
    <w:rsid w:val="6F813D9B"/>
    <w:rsid w:val="6F9443DE"/>
    <w:rsid w:val="6FBF684E"/>
    <w:rsid w:val="6FEF1936"/>
    <w:rsid w:val="702F1446"/>
    <w:rsid w:val="706862D1"/>
    <w:rsid w:val="70756925"/>
    <w:rsid w:val="70AD656F"/>
    <w:rsid w:val="70FC2902"/>
    <w:rsid w:val="711C525A"/>
    <w:rsid w:val="71301172"/>
    <w:rsid w:val="71315115"/>
    <w:rsid w:val="716A4119"/>
    <w:rsid w:val="716C6CCF"/>
    <w:rsid w:val="71840AD2"/>
    <w:rsid w:val="718605A1"/>
    <w:rsid w:val="718A6DFB"/>
    <w:rsid w:val="71913535"/>
    <w:rsid w:val="71AF2245"/>
    <w:rsid w:val="71B028E6"/>
    <w:rsid w:val="71B14310"/>
    <w:rsid w:val="71D577B0"/>
    <w:rsid w:val="71F16960"/>
    <w:rsid w:val="71F86AB2"/>
    <w:rsid w:val="72057A14"/>
    <w:rsid w:val="720977C6"/>
    <w:rsid w:val="721379C8"/>
    <w:rsid w:val="72403134"/>
    <w:rsid w:val="72663E77"/>
    <w:rsid w:val="728569DB"/>
    <w:rsid w:val="72AA5647"/>
    <w:rsid w:val="72B161C3"/>
    <w:rsid w:val="72D87988"/>
    <w:rsid w:val="731016E5"/>
    <w:rsid w:val="73181048"/>
    <w:rsid w:val="73207542"/>
    <w:rsid w:val="732B0CE3"/>
    <w:rsid w:val="73381031"/>
    <w:rsid w:val="734746E6"/>
    <w:rsid w:val="737B09B4"/>
    <w:rsid w:val="737E4EC8"/>
    <w:rsid w:val="7399251F"/>
    <w:rsid w:val="740C4EB4"/>
    <w:rsid w:val="74312486"/>
    <w:rsid w:val="746C5672"/>
    <w:rsid w:val="74752D8C"/>
    <w:rsid w:val="74763591"/>
    <w:rsid w:val="748E5FDD"/>
    <w:rsid w:val="74A30274"/>
    <w:rsid w:val="74C73758"/>
    <w:rsid w:val="74FC66C0"/>
    <w:rsid w:val="75071AE4"/>
    <w:rsid w:val="75095FE8"/>
    <w:rsid w:val="750F1D98"/>
    <w:rsid w:val="751622ED"/>
    <w:rsid w:val="753576CD"/>
    <w:rsid w:val="753E1FC7"/>
    <w:rsid w:val="754E0E84"/>
    <w:rsid w:val="75592210"/>
    <w:rsid w:val="75611E27"/>
    <w:rsid w:val="757A56B4"/>
    <w:rsid w:val="758935F4"/>
    <w:rsid w:val="75CF0238"/>
    <w:rsid w:val="75E30B24"/>
    <w:rsid w:val="75F50F6D"/>
    <w:rsid w:val="75FE49E1"/>
    <w:rsid w:val="760A0C1A"/>
    <w:rsid w:val="76233EEF"/>
    <w:rsid w:val="76424422"/>
    <w:rsid w:val="766060EF"/>
    <w:rsid w:val="76931178"/>
    <w:rsid w:val="76BE73C3"/>
    <w:rsid w:val="76C468B3"/>
    <w:rsid w:val="76D77B85"/>
    <w:rsid w:val="76E053EE"/>
    <w:rsid w:val="76F004AE"/>
    <w:rsid w:val="77097AEA"/>
    <w:rsid w:val="77111807"/>
    <w:rsid w:val="771123BE"/>
    <w:rsid w:val="77161217"/>
    <w:rsid w:val="772771C4"/>
    <w:rsid w:val="77367054"/>
    <w:rsid w:val="775115A2"/>
    <w:rsid w:val="775D21A5"/>
    <w:rsid w:val="77756044"/>
    <w:rsid w:val="77B37A6C"/>
    <w:rsid w:val="77C96457"/>
    <w:rsid w:val="77CC5A6F"/>
    <w:rsid w:val="77E946A4"/>
    <w:rsid w:val="77E97FF5"/>
    <w:rsid w:val="77F71332"/>
    <w:rsid w:val="78244CC2"/>
    <w:rsid w:val="782B68C6"/>
    <w:rsid w:val="786A2522"/>
    <w:rsid w:val="788E1ABA"/>
    <w:rsid w:val="789B7654"/>
    <w:rsid w:val="789D5754"/>
    <w:rsid w:val="78A40A43"/>
    <w:rsid w:val="78AA1855"/>
    <w:rsid w:val="78B308B5"/>
    <w:rsid w:val="79065449"/>
    <w:rsid w:val="79290527"/>
    <w:rsid w:val="795F519D"/>
    <w:rsid w:val="797303F7"/>
    <w:rsid w:val="798D424F"/>
    <w:rsid w:val="798E64E4"/>
    <w:rsid w:val="79912684"/>
    <w:rsid w:val="79A154FE"/>
    <w:rsid w:val="79AF4C5B"/>
    <w:rsid w:val="79F73CC9"/>
    <w:rsid w:val="7A0F19DC"/>
    <w:rsid w:val="7A177066"/>
    <w:rsid w:val="7A4B53FE"/>
    <w:rsid w:val="7A4F7CF4"/>
    <w:rsid w:val="7ABB1487"/>
    <w:rsid w:val="7AE414BC"/>
    <w:rsid w:val="7B0C5E18"/>
    <w:rsid w:val="7B174CB3"/>
    <w:rsid w:val="7B4507CC"/>
    <w:rsid w:val="7B4E2F3A"/>
    <w:rsid w:val="7B5137F8"/>
    <w:rsid w:val="7B523E8E"/>
    <w:rsid w:val="7B8F602E"/>
    <w:rsid w:val="7BB95BF3"/>
    <w:rsid w:val="7C4E6E52"/>
    <w:rsid w:val="7C625FBD"/>
    <w:rsid w:val="7C6D0716"/>
    <w:rsid w:val="7C7B251E"/>
    <w:rsid w:val="7C806355"/>
    <w:rsid w:val="7CCD7870"/>
    <w:rsid w:val="7CD30057"/>
    <w:rsid w:val="7CE67446"/>
    <w:rsid w:val="7CE8443E"/>
    <w:rsid w:val="7D184739"/>
    <w:rsid w:val="7D30731B"/>
    <w:rsid w:val="7D782BDC"/>
    <w:rsid w:val="7DA134B9"/>
    <w:rsid w:val="7DC8793D"/>
    <w:rsid w:val="7DD21BD6"/>
    <w:rsid w:val="7DED607C"/>
    <w:rsid w:val="7DF221AB"/>
    <w:rsid w:val="7E055FB5"/>
    <w:rsid w:val="7E224AB1"/>
    <w:rsid w:val="7E454068"/>
    <w:rsid w:val="7E501051"/>
    <w:rsid w:val="7E6102A5"/>
    <w:rsid w:val="7E62710B"/>
    <w:rsid w:val="7E7918DE"/>
    <w:rsid w:val="7F0A317B"/>
    <w:rsid w:val="7F142645"/>
    <w:rsid w:val="7F335D7F"/>
    <w:rsid w:val="7F3479E4"/>
    <w:rsid w:val="7F3E431C"/>
    <w:rsid w:val="7F4F1BC0"/>
    <w:rsid w:val="7F550C87"/>
    <w:rsid w:val="7F573196"/>
    <w:rsid w:val="7F935134"/>
    <w:rsid w:val="7FA94C28"/>
    <w:rsid w:val="7FAE23CD"/>
    <w:rsid w:val="7FD05A8B"/>
    <w:rsid w:val="7FF23DA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semiHidden="0" w:name="heading 5"/>
    <w:lsdException w:qFormat="1" w:uiPriority="0" w:semiHidden="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uiPriority="0" w:name="List 4"/>
    <w:lsdException w:uiPriority="0" w:name="List 5"/>
    <w:lsdException w:qFormat="1" w:unhideWhenUsed="0" w:uiPriority="0" w:semiHidden="0" w:name="List Bullet 2"/>
    <w:lsdException w:uiPriority="0" w:name="List Bullet 3"/>
    <w:lsdException w:uiPriority="0" w:name="List Bullet 4"/>
    <w:lsdException w:uiPriority="0" w:name="List Bullet 5"/>
    <w:lsdException w:qFormat="1" w:unhideWhenUsed="0" w:uiPriority="0" w:semiHidden="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99" w:semiHidden="0" w:name="Body Text Indent 3"/>
    <w:lsdException w:uiPriority="0" w:name="Block Text"/>
    <w:lsdException w:qFormat="1"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qFormat="1" w:unhideWhenUsed="0" w:uiPriority="0" w:semiHidden="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4"/>
      <w:szCs w:val="24"/>
      <w:lang w:val="en-US" w:eastAsia="zh-CN" w:bidi="ar-SA"/>
    </w:rPr>
  </w:style>
  <w:style w:type="paragraph" w:styleId="3">
    <w:name w:val="heading 1"/>
    <w:basedOn w:val="1"/>
    <w:next w:val="1"/>
    <w:link w:val="131"/>
    <w:qFormat/>
    <w:uiPriority w:val="0"/>
    <w:pPr>
      <w:keepNext/>
      <w:keepLines/>
      <w:spacing w:beforeLines="150" w:afterLines="150" w:line="360" w:lineRule="auto"/>
      <w:outlineLvl w:val="0"/>
    </w:pPr>
    <w:rPr>
      <w:rFonts w:hint="eastAsia" w:ascii="宋体" w:hAnsi="宋体"/>
      <w:b/>
      <w:kern w:val="44"/>
      <w:sz w:val="44"/>
      <w:szCs w:val="44"/>
    </w:rPr>
  </w:style>
  <w:style w:type="paragraph" w:styleId="4">
    <w:name w:val="heading 2"/>
    <w:basedOn w:val="1"/>
    <w:next w:val="5"/>
    <w:link w:val="107"/>
    <w:qFormat/>
    <w:uiPriority w:val="0"/>
    <w:pPr>
      <w:keepNext/>
      <w:keepLines/>
      <w:spacing w:before="260" w:after="260" w:line="416" w:lineRule="auto"/>
      <w:outlineLvl w:val="1"/>
    </w:pPr>
    <w:rPr>
      <w:rFonts w:ascii="Arial" w:hAnsi="Arial" w:eastAsia="黑体"/>
      <w:b/>
      <w:bCs/>
      <w:kern w:val="0"/>
      <w:sz w:val="32"/>
      <w:szCs w:val="32"/>
    </w:rPr>
  </w:style>
  <w:style w:type="paragraph" w:styleId="6">
    <w:name w:val="heading 3"/>
    <w:basedOn w:val="1"/>
    <w:next w:val="1"/>
    <w:link w:val="173"/>
    <w:qFormat/>
    <w:uiPriority w:val="0"/>
    <w:pPr>
      <w:keepNext/>
      <w:keepLines/>
      <w:spacing w:before="260" w:after="260" w:line="416" w:lineRule="auto"/>
      <w:outlineLvl w:val="2"/>
    </w:pPr>
    <w:rPr>
      <w:b/>
      <w:bCs/>
      <w:sz w:val="28"/>
      <w:szCs w:val="32"/>
    </w:rPr>
  </w:style>
  <w:style w:type="paragraph" w:styleId="7">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paragraph" w:styleId="8">
    <w:name w:val="heading 5"/>
    <w:basedOn w:val="1"/>
    <w:next w:val="1"/>
    <w:unhideWhenUsed/>
    <w:qFormat/>
    <w:uiPriority w:val="0"/>
    <w:pPr>
      <w:keepNext/>
      <w:keepLines/>
      <w:numPr>
        <w:ilvl w:val="4"/>
        <w:numId w:val="1"/>
      </w:numPr>
      <w:jc w:val="center"/>
      <w:outlineLvl w:val="4"/>
    </w:pPr>
    <w:rPr>
      <w:b/>
      <w:bCs/>
      <w:szCs w:val="28"/>
    </w:rPr>
  </w:style>
  <w:style w:type="paragraph" w:styleId="9">
    <w:name w:val="heading 6"/>
    <w:basedOn w:val="1"/>
    <w:next w:val="1"/>
    <w:link w:val="138"/>
    <w:unhideWhenUsed/>
    <w:qFormat/>
    <w:uiPriority w:val="0"/>
    <w:pPr>
      <w:keepNext/>
      <w:keepLines/>
      <w:spacing w:before="240" w:after="64" w:line="320" w:lineRule="auto"/>
      <w:outlineLvl w:val="5"/>
    </w:pPr>
    <w:rPr>
      <w:rFonts w:ascii="Cambria" w:hAnsi="Cambria"/>
      <w:b/>
      <w:bCs/>
    </w:rPr>
  </w:style>
  <w:style w:type="character" w:default="1" w:styleId="47">
    <w:name w:val="Default Paragraph Font"/>
    <w:semiHidden/>
    <w:unhideWhenUsed/>
    <w:qFormat/>
    <w:uiPriority w:val="1"/>
  </w:style>
  <w:style w:type="table" w:default="1" w:styleId="44">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56"/>
    <w:qFormat/>
    <w:uiPriority w:val="0"/>
    <w:pPr>
      <w:spacing w:line="360" w:lineRule="auto"/>
      <w:ind w:firstLine="880" w:firstLineChars="200"/>
    </w:pPr>
    <w:rPr>
      <w:rFonts w:hint="eastAsia" w:ascii="宋体" w:hAnsi="宋体" w:eastAsia="宋体"/>
      <w:kern w:val="0"/>
      <w:sz w:val="24"/>
      <w:szCs w:val="22"/>
    </w:rPr>
  </w:style>
  <w:style w:type="paragraph" w:styleId="5">
    <w:name w:val="Normal Indent"/>
    <w:basedOn w:val="1"/>
    <w:link w:val="154"/>
    <w:qFormat/>
    <w:uiPriority w:val="0"/>
    <w:pPr>
      <w:adjustRightInd w:val="0"/>
      <w:snapToGrid w:val="0"/>
      <w:spacing w:line="300" w:lineRule="auto"/>
      <w:ind w:left="-50" w:leftChars="-50" w:firstLine="482"/>
      <w:jc w:val="left"/>
    </w:pPr>
    <w:rPr>
      <w:szCs w:val="20"/>
    </w:rPr>
  </w:style>
  <w:style w:type="paragraph" w:styleId="10">
    <w:name w:val="List 3"/>
    <w:basedOn w:val="1"/>
    <w:qFormat/>
    <w:uiPriority w:val="0"/>
    <w:pPr>
      <w:ind w:left="100" w:leftChars="400" w:hanging="200" w:hangingChars="200"/>
      <w:contextualSpacing/>
    </w:pPr>
  </w:style>
  <w:style w:type="paragraph" w:styleId="11">
    <w:name w:val="toc 7"/>
    <w:basedOn w:val="1"/>
    <w:next w:val="1"/>
    <w:unhideWhenUsed/>
    <w:qFormat/>
    <w:uiPriority w:val="39"/>
    <w:pPr>
      <w:ind w:left="2520" w:leftChars="1200"/>
    </w:pPr>
    <w:rPr>
      <w:rFonts w:ascii="Calibri" w:hAnsi="Calibri"/>
      <w:szCs w:val="22"/>
    </w:rPr>
  </w:style>
  <w:style w:type="paragraph" w:styleId="12">
    <w:name w:val="List Number 2"/>
    <w:basedOn w:val="1"/>
    <w:qFormat/>
    <w:uiPriority w:val="0"/>
    <w:pPr>
      <w:numPr>
        <w:ilvl w:val="0"/>
        <w:numId w:val="2"/>
      </w:numPr>
      <w:spacing w:line="360" w:lineRule="auto"/>
    </w:pPr>
  </w:style>
  <w:style w:type="paragraph" w:styleId="13">
    <w:name w:val="List Number"/>
    <w:basedOn w:val="1"/>
    <w:qFormat/>
    <w:uiPriority w:val="0"/>
    <w:pPr>
      <w:numPr>
        <w:ilvl w:val="0"/>
        <w:numId w:val="3"/>
      </w:numPr>
      <w:spacing w:line="360" w:lineRule="auto"/>
    </w:pPr>
  </w:style>
  <w:style w:type="paragraph" w:styleId="14">
    <w:name w:val="caption"/>
    <w:basedOn w:val="1"/>
    <w:next w:val="1"/>
    <w:unhideWhenUsed/>
    <w:qFormat/>
    <w:uiPriority w:val="0"/>
    <w:rPr>
      <w:rFonts w:ascii="Cambria" w:hAnsi="Cambria" w:eastAsia="黑体"/>
      <w:sz w:val="20"/>
      <w:szCs w:val="20"/>
    </w:rPr>
  </w:style>
  <w:style w:type="paragraph" w:styleId="15">
    <w:name w:val="List Bullet"/>
    <w:basedOn w:val="1"/>
    <w:qFormat/>
    <w:uiPriority w:val="0"/>
    <w:pPr>
      <w:numPr>
        <w:ilvl w:val="0"/>
        <w:numId w:val="4"/>
      </w:numPr>
      <w:spacing w:line="360" w:lineRule="auto"/>
    </w:pPr>
  </w:style>
  <w:style w:type="paragraph" w:styleId="16">
    <w:name w:val="Document Map"/>
    <w:basedOn w:val="1"/>
    <w:link w:val="142"/>
    <w:qFormat/>
    <w:uiPriority w:val="0"/>
    <w:rPr>
      <w:rFonts w:ascii="宋体"/>
      <w:sz w:val="18"/>
      <w:szCs w:val="18"/>
    </w:rPr>
  </w:style>
  <w:style w:type="paragraph" w:styleId="17">
    <w:name w:val="annotation text"/>
    <w:basedOn w:val="1"/>
    <w:link w:val="120"/>
    <w:qFormat/>
    <w:uiPriority w:val="0"/>
    <w:pPr>
      <w:jc w:val="left"/>
    </w:pPr>
  </w:style>
  <w:style w:type="paragraph" w:styleId="18">
    <w:name w:val="Body Text Indent"/>
    <w:basedOn w:val="1"/>
    <w:link w:val="139"/>
    <w:qFormat/>
    <w:uiPriority w:val="0"/>
    <w:pPr>
      <w:spacing w:after="120"/>
      <w:ind w:left="420" w:leftChars="200"/>
    </w:pPr>
  </w:style>
  <w:style w:type="paragraph" w:styleId="19">
    <w:name w:val="List 2"/>
    <w:basedOn w:val="1"/>
    <w:qFormat/>
    <w:uiPriority w:val="0"/>
    <w:pPr>
      <w:ind w:left="100" w:leftChars="200" w:hanging="200" w:hangingChars="200"/>
    </w:pPr>
  </w:style>
  <w:style w:type="paragraph" w:styleId="20">
    <w:name w:val="List Continue"/>
    <w:basedOn w:val="1"/>
    <w:qFormat/>
    <w:uiPriority w:val="0"/>
    <w:pPr>
      <w:spacing w:after="120"/>
      <w:ind w:left="420" w:leftChars="200"/>
      <w:contextualSpacing/>
    </w:pPr>
  </w:style>
  <w:style w:type="paragraph" w:styleId="21">
    <w:name w:val="List Bullet 2"/>
    <w:basedOn w:val="1"/>
    <w:qFormat/>
    <w:uiPriority w:val="0"/>
    <w:pPr>
      <w:numPr>
        <w:ilvl w:val="0"/>
        <w:numId w:val="5"/>
      </w:numPr>
      <w:spacing w:line="360" w:lineRule="auto"/>
    </w:pPr>
  </w:style>
  <w:style w:type="paragraph" w:styleId="22">
    <w:name w:val="toc 5"/>
    <w:basedOn w:val="1"/>
    <w:next w:val="1"/>
    <w:unhideWhenUsed/>
    <w:qFormat/>
    <w:uiPriority w:val="39"/>
    <w:pPr>
      <w:ind w:left="1680" w:leftChars="800"/>
    </w:pPr>
    <w:rPr>
      <w:rFonts w:ascii="Calibri" w:hAnsi="Calibri"/>
      <w:szCs w:val="22"/>
    </w:rPr>
  </w:style>
  <w:style w:type="paragraph" w:styleId="23">
    <w:name w:val="toc 3"/>
    <w:basedOn w:val="1"/>
    <w:next w:val="1"/>
    <w:qFormat/>
    <w:uiPriority w:val="39"/>
    <w:pPr>
      <w:ind w:left="840" w:leftChars="400"/>
    </w:pPr>
  </w:style>
  <w:style w:type="paragraph" w:styleId="24">
    <w:name w:val="Plain Text"/>
    <w:basedOn w:val="1"/>
    <w:link w:val="202"/>
    <w:qFormat/>
    <w:uiPriority w:val="0"/>
    <w:pPr>
      <w:spacing w:line="240" w:lineRule="atLeast"/>
    </w:pPr>
    <w:rPr>
      <w:rFonts w:ascii="宋体" w:hAnsi="Courier New"/>
      <w:sz w:val="28"/>
      <w:szCs w:val="21"/>
    </w:rPr>
  </w:style>
  <w:style w:type="paragraph" w:styleId="25">
    <w:name w:val="toc 8"/>
    <w:basedOn w:val="1"/>
    <w:next w:val="1"/>
    <w:unhideWhenUsed/>
    <w:qFormat/>
    <w:uiPriority w:val="39"/>
    <w:pPr>
      <w:ind w:left="2940" w:leftChars="1400"/>
    </w:pPr>
    <w:rPr>
      <w:rFonts w:ascii="Calibri" w:hAnsi="Calibri"/>
      <w:szCs w:val="22"/>
    </w:rPr>
  </w:style>
  <w:style w:type="paragraph" w:styleId="26">
    <w:name w:val="Date"/>
    <w:basedOn w:val="1"/>
    <w:next w:val="1"/>
    <w:qFormat/>
    <w:uiPriority w:val="0"/>
    <w:pPr>
      <w:ind w:left="100" w:leftChars="2500"/>
    </w:pPr>
  </w:style>
  <w:style w:type="paragraph" w:styleId="27">
    <w:name w:val="Body Text Indent 2"/>
    <w:basedOn w:val="1"/>
    <w:qFormat/>
    <w:uiPriority w:val="0"/>
    <w:pPr>
      <w:tabs>
        <w:tab w:val="left" w:pos="2190"/>
        <w:tab w:val="left" w:pos="2520"/>
        <w:tab w:val="left" w:pos="2940"/>
        <w:tab w:val="left" w:pos="3495"/>
      </w:tabs>
      <w:spacing w:line="360" w:lineRule="auto"/>
      <w:ind w:firstLine="560" w:firstLineChars="200"/>
    </w:pPr>
    <w:rPr>
      <w:rFonts w:ascii="宋体" w:hAnsi="宋体" w:eastAsia="宋体"/>
      <w:sz w:val="24"/>
    </w:rPr>
  </w:style>
  <w:style w:type="paragraph" w:styleId="28">
    <w:name w:val="Balloon Text"/>
    <w:basedOn w:val="1"/>
    <w:link w:val="105"/>
    <w:qFormat/>
    <w:uiPriority w:val="0"/>
    <w:rPr>
      <w:sz w:val="18"/>
      <w:szCs w:val="18"/>
    </w:rPr>
  </w:style>
  <w:style w:type="paragraph" w:styleId="29">
    <w:name w:val="footer"/>
    <w:basedOn w:val="1"/>
    <w:link w:val="130"/>
    <w:qFormat/>
    <w:uiPriority w:val="99"/>
    <w:pPr>
      <w:tabs>
        <w:tab w:val="center" w:pos="4153"/>
        <w:tab w:val="right" w:pos="8306"/>
      </w:tabs>
      <w:snapToGrid w:val="0"/>
      <w:jc w:val="left"/>
    </w:pPr>
    <w:rPr>
      <w:sz w:val="18"/>
      <w:szCs w:val="18"/>
    </w:rPr>
  </w:style>
  <w:style w:type="paragraph" w:styleId="30">
    <w:name w:val="header"/>
    <w:basedOn w:val="1"/>
    <w:next w:val="1"/>
    <w:link w:val="132"/>
    <w:qFormat/>
    <w:uiPriority w:val="0"/>
    <w:pPr>
      <w:pBdr>
        <w:bottom w:val="single" w:color="auto" w:sz="6" w:space="1"/>
      </w:pBdr>
      <w:tabs>
        <w:tab w:val="center" w:pos="4153"/>
        <w:tab w:val="right" w:pos="8306"/>
      </w:tabs>
      <w:snapToGrid w:val="0"/>
      <w:jc w:val="center"/>
    </w:pPr>
    <w:rPr>
      <w:sz w:val="18"/>
      <w:szCs w:val="18"/>
    </w:rPr>
  </w:style>
  <w:style w:type="paragraph" w:styleId="31">
    <w:name w:val="toc 1"/>
    <w:basedOn w:val="1"/>
    <w:next w:val="1"/>
    <w:qFormat/>
    <w:uiPriority w:val="39"/>
  </w:style>
  <w:style w:type="paragraph" w:styleId="32">
    <w:name w:val="toc 4"/>
    <w:basedOn w:val="1"/>
    <w:next w:val="1"/>
    <w:qFormat/>
    <w:uiPriority w:val="39"/>
    <w:pPr>
      <w:ind w:left="1260" w:leftChars="600"/>
    </w:pPr>
  </w:style>
  <w:style w:type="paragraph" w:styleId="33">
    <w:name w:val="List"/>
    <w:basedOn w:val="1"/>
    <w:qFormat/>
    <w:uiPriority w:val="0"/>
    <w:pPr>
      <w:widowControl/>
      <w:spacing w:before="100" w:beforeAutospacing="1" w:after="100" w:afterAutospacing="1"/>
      <w:jc w:val="left"/>
    </w:pPr>
    <w:rPr>
      <w:rFonts w:ascii="宋体" w:hAnsi="宋体" w:cs="宋体"/>
      <w:kern w:val="0"/>
    </w:rPr>
  </w:style>
  <w:style w:type="paragraph" w:styleId="34">
    <w:name w:val="toc 6"/>
    <w:basedOn w:val="1"/>
    <w:next w:val="1"/>
    <w:unhideWhenUsed/>
    <w:qFormat/>
    <w:uiPriority w:val="39"/>
    <w:pPr>
      <w:ind w:left="2100" w:leftChars="1000"/>
    </w:pPr>
    <w:rPr>
      <w:rFonts w:ascii="Calibri" w:hAnsi="Calibri"/>
      <w:szCs w:val="22"/>
    </w:rPr>
  </w:style>
  <w:style w:type="paragraph" w:styleId="35">
    <w:name w:val="Body Text Indent 3"/>
    <w:basedOn w:val="1"/>
    <w:qFormat/>
    <w:uiPriority w:val="99"/>
    <w:pPr>
      <w:spacing w:after="120"/>
      <w:ind w:left="420" w:leftChars="200"/>
    </w:pPr>
    <w:rPr>
      <w:sz w:val="16"/>
      <w:szCs w:val="16"/>
    </w:rPr>
  </w:style>
  <w:style w:type="paragraph" w:styleId="36">
    <w:name w:val="toc 2"/>
    <w:basedOn w:val="1"/>
    <w:next w:val="1"/>
    <w:qFormat/>
    <w:uiPriority w:val="39"/>
    <w:pPr>
      <w:ind w:left="420" w:leftChars="200"/>
    </w:pPr>
  </w:style>
  <w:style w:type="paragraph" w:styleId="37">
    <w:name w:val="toc 9"/>
    <w:basedOn w:val="1"/>
    <w:next w:val="1"/>
    <w:unhideWhenUsed/>
    <w:qFormat/>
    <w:uiPriority w:val="39"/>
    <w:pPr>
      <w:ind w:left="3360" w:leftChars="1600"/>
    </w:pPr>
    <w:rPr>
      <w:rFonts w:ascii="Calibri" w:hAnsi="Calibri"/>
      <w:szCs w:val="22"/>
    </w:rPr>
  </w:style>
  <w:style w:type="paragraph" w:styleId="38">
    <w:name w:val="Body Text 2"/>
    <w:basedOn w:val="1"/>
    <w:qFormat/>
    <w:uiPriority w:val="0"/>
    <w:pPr>
      <w:tabs>
        <w:tab w:val="left" w:pos="360"/>
      </w:tabs>
      <w:spacing w:line="500" w:lineRule="exact"/>
    </w:pPr>
    <w:rPr>
      <w:rFonts w:ascii="宋体" w:hAnsi="宋体"/>
      <w:bCs/>
      <w:color w:val="FF6600"/>
    </w:rPr>
  </w:style>
  <w:style w:type="paragraph" w:styleId="39">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Cs w:val="21"/>
    </w:rPr>
  </w:style>
  <w:style w:type="paragraph" w:styleId="40">
    <w:name w:val="Normal (Web)"/>
    <w:basedOn w:val="1"/>
    <w:qFormat/>
    <w:uiPriority w:val="99"/>
    <w:pPr>
      <w:widowControl/>
      <w:spacing w:before="100" w:beforeAutospacing="1" w:after="100" w:afterAutospacing="1"/>
      <w:jc w:val="left"/>
    </w:pPr>
    <w:rPr>
      <w:rFonts w:ascii="宋体" w:hAnsi="宋体"/>
      <w:kern w:val="0"/>
    </w:rPr>
  </w:style>
  <w:style w:type="paragraph" w:styleId="41">
    <w:name w:val="annotation subject"/>
    <w:basedOn w:val="17"/>
    <w:next w:val="17"/>
    <w:link w:val="121"/>
    <w:qFormat/>
    <w:uiPriority w:val="0"/>
    <w:rPr>
      <w:b/>
      <w:bCs/>
    </w:rPr>
  </w:style>
  <w:style w:type="paragraph" w:styleId="42">
    <w:name w:val="Body Text First Indent"/>
    <w:basedOn w:val="2"/>
    <w:qFormat/>
    <w:uiPriority w:val="0"/>
    <w:pPr>
      <w:spacing w:after="120"/>
      <w:ind w:firstLine="420" w:firstLineChars="100"/>
    </w:pPr>
    <w:rPr>
      <w:sz w:val="21"/>
    </w:rPr>
  </w:style>
  <w:style w:type="paragraph" w:styleId="43">
    <w:name w:val="Body Text First Indent 2"/>
    <w:basedOn w:val="18"/>
    <w:link w:val="140"/>
    <w:qFormat/>
    <w:uiPriority w:val="0"/>
    <w:pPr>
      <w:ind w:firstLine="420" w:firstLineChars="200"/>
    </w:pPr>
  </w:style>
  <w:style w:type="table" w:styleId="45">
    <w:name w:val="Table Grid"/>
    <w:basedOn w:val="4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46">
    <w:name w:val="Table Theme"/>
    <w:basedOn w:val="4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8">
    <w:name w:val="Strong"/>
    <w:qFormat/>
    <w:uiPriority w:val="22"/>
    <w:rPr>
      <w:b/>
    </w:rPr>
  </w:style>
  <w:style w:type="character" w:styleId="49">
    <w:name w:val="page number"/>
    <w:basedOn w:val="47"/>
    <w:qFormat/>
    <w:uiPriority w:val="0"/>
  </w:style>
  <w:style w:type="character" w:styleId="50">
    <w:name w:val="FollowedHyperlink"/>
    <w:qFormat/>
    <w:uiPriority w:val="0"/>
    <w:rPr>
      <w:color w:val="800080"/>
      <w:u w:val="single"/>
    </w:rPr>
  </w:style>
  <w:style w:type="character" w:styleId="51">
    <w:name w:val="Emphasis"/>
    <w:qFormat/>
    <w:uiPriority w:val="0"/>
    <w:rPr>
      <w:color w:val="CC0033"/>
    </w:rPr>
  </w:style>
  <w:style w:type="character" w:styleId="52">
    <w:name w:val="Hyperlink"/>
    <w:unhideWhenUsed/>
    <w:qFormat/>
    <w:uiPriority w:val="99"/>
    <w:rPr>
      <w:color w:val="0000FF"/>
      <w:u w:val="single"/>
    </w:rPr>
  </w:style>
  <w:style w:type="character" w:styleId="53">
    <w:name w:val="annotation reference"/>
    <w:qFormat/>
    <w:uiPriority w:val="0"/>
    <w:rPr>
      <w:sz w:val="21"/>
      <w:szCs w:val="21"/>
    </w:rPr>
  </w:style>
  <w:style w:type="character" w:styleId="54">
    <w:name w:val="HTML Cite"/>
    <w:qFormat/>
    <w:uiPriority w:val="0"/>
    <w:rPr>
      <w:rFonts w:ascii="宋体" w:hAnsi="宋体" w:eastAsia="宋体" w:cs="Courier New"/>
      <w:i/>
      <w:iCs/>
      <w:kern w:val="2"/>
      <w:sz w:val="32"/>
      <w:szCs w:val="32"/>
      <w:lang w:val="en-US" w:eastAsia="zh-CN" w:bidi="ar-SA"/>
    </w:rPr>
  </w:style>
  <w:style w:type="paragraph" w:customStyle="1" w:styleId="55">
    <w:name w:val="样式 样式 左 首行缩进:  2 字符 + 首行缩进:  2 字符"/>
    <w:basedOn w:val="1"/>
    <w:qFormat/>
    <w:uiPriority w:val="0"/>
    <w:pPr>
      <w:adjustRightInd w:val="0"/>
      <w:snapToGrid w:val="0"/>
      <w:spacing w:line="360" w:lineRule="auto"/>
      <w:ind w:left="0" w:firstLine="880" w:firstLineChars="200"/>
      <w:jc w:val="left"/>
    </w:pPr>
    <w:rPr>
      <w:rFonts w:ascii="Times New Roman" w:hAnsi="Times New Roman" w:eastAsia="宋体" w:cs="宋体"/>
      <w:color w:val="000000"/>
      <w:szCs w:val="20"/>
    </w:rPr>
  </w:style>
  <w:style w:type="character" w:customStyle="1" w:styleId="56">
    <w:name w:val="正文文本 Char"/>
    <w:link w:val="2"/>
    <w:qFormat/>
    <w:uiPriority w:val="0"/>
    <w:rPr>
      <w:rFonts w:hint="eastAsia" w:ascii="宋体" w:hAnsi="宋体" w:eastAsia="宋体" w:cs="宋体"/>
      <w:sz w:val="24"/>
      <w:szCs w:val="22"/>
    </w:rPr>
  </w:style>
  <w:style w:type="paragraph" w:customStyle="1" w:styleId="57">
    <w:name w:val="明显引用1"/>
    <w:next w:val="1"/>
    <w:qFormat/>
    <w:uiPriority w:val="0"/>
    <w:pPr>
      <w:wordWrap w:val="0"/>
      <w:spacing w:before="360" w:after="360"/>
      <w:ind w:left="950" w:right="950"/>
      <w:jc w:val="center"/>
    </w:pPr>
    <w:rPr>
      <w:rFonts w:ascii="Times New Roman" w:hAnsi="Times New Roman" w:eastAsia="宋体" w:cs="Times New Roman"/>
      <w:i/>
      <w:sz w:val="21"/>
      <w:lang w:val="en-US" w:eastAsia="zh-CN" w:bidi="ar-SA"/>
    </w:rPr>
  </w:style>
  <w:style w:type="paragraph" w:customStyle="1" w:styleId="58">
    <w:name w:val="Char Char1 Char Char Char Char Char Char Char"/>
    <w:basedOn w:val="1"/>
    <w:semiHidden/>
    <w:qFormat/>
    <w:uiPriority w:val="0"/>
    <w:rPr>
      <w:sz w:val="21"/>
    </w:rPr>
  </w:style>
  <w:style w:type="paragraph" w:customStyle="1" w:styleId="59">
    <w:name w:val="表格"/>
    <w:basedOn w:val="1"/>
    <w:qFormat/>
    <w:uiPriority w:val="0"/>
    <w:pPr>
      <w:jc w:val="center"/>
    </w:pPr>
    <w:rPr>
      <w:rFonts w:ascii="宋体" w:hAnsi="宋体"/>
      <w:kern w:val="0"/>
      <w:sz w:val="21"/>
      <w:szCs w:val="20"/>
    </w:rPr>
  </w:style>
  <w:style w:type="paragraph" w:customStyle="1" w:styleId="60">
    <w:name w:val="_Style 35"/>
    <w:basedOn w:val="1"/>
    <w:qFormat/>
    <w:uiPriority w:val="0"/>
    <w:pPr>
      <w:widowControl/>
      <w:spacing w:after="160" w:line="240" w:lineRule="exact"/>
      <w:jc w:val="left"/>
    </w:pPr>
    <w:rPr>
      <w:rFonts w:ascii="Verdana" w:hAnsi="Verdana" w:eastAsia="Times New Roman"/>
      <w:kern w:val="0"/>
      <w:sz w:val="20"/>
      <w:lang w:eastAsia="en-US"/>
    </w:rPr>
  </w:style>
  <w:style w:type="paragraph" w:customStyle="1" w:styleId="61">
    <w:name w:val="Char Char1 Char Char Char Char Char Char Char1"/>
    <w:basedOn w:val="1"/>
    <w:semiHidden/>
    <w:qFormat/>
    <w:uiPriority w:val="0"/>
  </w:style>
  <w:style w:type="paragraph" w:customStyle="1" w:styleId="62">
    <w:name w:val="表内式样"/>
    <w:qFormat/>
    <w:uiPriority w:val="0"/>
    <w:pPr>
      <w:widowControl w:val="0"/>
      <w:spacing w:line="360" w:lineRule="exact"/>
      <w:jc w:val="center"/>
    </w:pPr>
    <w:rPr>
      <w:rFonts w:ascii="宋体" w:hAnsi="宋体" w:eastAsia="宋体" w:cs="Times New Roman"/>
      <w:color w:val="000000"/>
      <w:kern w:val="2"/>
      <w:sz w:val="21"/>
      <w:szCs w:val="24"/>
      <w:lang w:val="en-US" w:eastAsia="zh-CN" w:bidi="ar-SA"/>
    </w:rPr>
  </w:style>
  <w:style w:type="paragraph" w:customStyle="1" w:styleId="63">
    <w:name w:val="正文1"/>
    <w:basedOn w:val="1"/>
    <w:link w:val="183"/>
    <w:qFormat/>
    <w:uiPriority w:val="0"/>
    <w:pPr>
      <w:adjustRightInd w:val="0"/>
      <w:snapToGrid w:val="0"/>
      <w:spacing w:line="312" w:lineRule="auto"/>
      <w:jc w:val="center"/>
      <w:textAlignment w:val="baseline"/>
    </w:pPr>
    <w:rPr>
      <w:rFonts w:cs="宋体"/>
      <w:kern w:val="0"/>
      <w:szCs w:val="21"/>
    </w:rPr>
  </w:style>
  <w:style w:type="paragraph" w:customStyle="1" w:styleId="64">
    <w:name w:val="样式 首行缩进"/>
    <w:basedOn w:val="1"/>
    <w:qFormat/>
    <w:uiPriority w:val="99"/>
    <w:pPr>
      <w:spacing w:before="60" w:after="60" w:line="360" w:lineRule="auto"/>
      <w:ind w:firstLine="480" w:firstLineChars="200"/>
    </w:pPr>
    <w:rPr>
      <w:rFonts w:cs="宋体"/>
    </w:rPr>
  </w:style>
  <w:style w:type="paragraph" w:customStyle="1" w:styleId="65">
    <w:name w:val="文本正文"/>
    <w:basedOn w:val="1"/>
    <w:qFormat/>
    <w:uiPriority w:val="0"/>
    <w:pPr>
      <w:adjustRightInd w:val="0"/>
      <w:snapToGrid w:val="0"/>
      <w:spacing w:line="360" w:lineRule="auto"/>
      <w:ind w:firstLine="200" w:firstLineChars="200"/>
    </w:pPr>
    <w:rPr>
      <w:sz w:val="28"/>
      <w:szCs w:val="20"/>
    </w:rPr>
  </w:style>
  <w:style w:type="paragraph" w:customStyle="1" w:styleId="66">
    <w:name w:val="样式 样式 样式 小四 段前: 7.8 磅 段后: 7.8 磅 行距: 1.5 倍行距 + 首行缩进:  2 字符 + 自动设置"/>
    <w:basedOn w:val="1"/>
    <w:qFormat/>
    <w:uiPriority w:val="0"/>
    <w:pPr>
      <w:spacing w:line="360" w:lineRule="auto"/>
      <w:ind w:firstLine="480" w:firstLineChars="200"/>
    </w:pPr>
    <w:rPr>
      <w:szCs w:val="18"/>
      <w:lang w:val="zh-CN"/>
    </w:rPr>
  </w:style>
  <w:style w:type="paragraph" w:customStyle="1" w:styleId="67">
    <w:name w:val="表格标题"/>
    <w:basedOn w:val="1"/>
    <w:qFormat/>
    <w:uiPriority w:val="0"/>
    <w:pPr>
      <w:spacing w:before="120"/>
      <w:jc w:val="center"/>
    </w:pPr>
    <w:rPr>
      <w:szCs w:val="20"/>
    </w:rPr>
  </w:style>
  <w:style w:type="paragraph" w:customStyle="1" w:styleId="68">
    <w:name w:val="Char Char Char Char Char Char3 Char Char Char Char Char Char Char"/>
    <w:basedOn w:val="1"/>
    <w:next w:val="1"/>
    <w:qFormat/>
    <w:uiPriority w:val="0"/>
  </w:style>
  <w:style w:type="paragraph" w:customStyle="1" w:styleId="69">
    <w:name w:val="1111111111111"/>
    <w:basedOn w:val="1"/>
    <w:qFormat/>
    <w:uiPriority w:val="0"/>
    <w:pPr>
      <w:spacing w:line="360" w:lineRule="auto"/>
      <w:ind w:firstLine="480" w:firstLineChars="200"/>
    </w:pPr>
    <w:rPr>
      <w:rFonts w:ascii="仿宋_GB2312" w:hAnsi="宋体" w:eastAsia="仿宋_GB2312"/>
    </w:rPr>
  </w:style>
  <w:style w:type="paragraph" w:customStyle="1" w:styleId="70">
    <w:name w:val="表头"/>
    <w:basedOn w:val="1"/>
    <w:link w:val="102"/>
    <w:qFormat/>
    <w:uiPriority w:val="0"/>
    <w:pPr>
      <w:adjustRightInd w:val="0"/>
      <w:snapToGrid w:val="0"/>
      <w:spacing w:beforeLines="25"/>
      <w:jc w:val="center"/>
      <w:textAlignment w:val="baseline"/>
    </w:pPr>
    <w:rPr>
      <w:rFonts w:hAnsi="宋体" w:eastAsia="仿宋_GB2312"/>
      <w:b/>
      <w:kern w:val="0"/>
      <w:sz w:val="28"/>
      <w:szCs w:val="28"/>
    </w:rPr>
  </w:style>
  <w:style w:type="paragraph" w:customStyle="1" w:styleId="71">
    <w:name w:val="Char Char Char Char Char Char Char"/>
    <w:basedOn w:val="1"/>
    <w:qFormat/>
    <w:uiPriority w:val="0"/>
  </w:style>
  <w:style w:type="paragraph" w:customStyle="1" w:styleId="72">
    <w:name w:val="p0"/>
    <w:basedOn w:val="1"/>
    <w:qFormat/>
    <w:uiPriority w:val="99"/>
    <w:pPr>
      <w:widowControl/>
      <w:jc w:val="left"/>
    </w:pPr>
    <w:rPr>
      <w:kern w:val="0"/>
      <w:sz w:val="20"/>
    </w:rPr>
  </w:style>
  <w:style w:type="paragraph" w:customStyle="1" w:styleId="73">
    <w:name w:val="环表头"/>
    <w:basedOn w:val="74"/>
    <w:qFormat/>
    <w:uiPriority w:val="0"/>
    <w:pPr>
      <w:spacing w:line="360" w:lineRule="exact"/>
      <w:ind w:right="0" w:rightChars="0" w:firstLine="0" w:firstLineChars="0"/>
      <w:jc w:val="center"/>
    </w:pPr>
    <w:rPr>
      <w:rFonts w:ascii="Times New Roman" w:hAnsi="Times New Roman" w:eastAsia="黑体"/>
      <w:sz w:val="24"/>
      <w:szCs w:val="24"/>
    </w:rPr>
  </w:style>
  <w:style w:type="paragraph" w:customStyle="1" w:styleId="74">
    <w:name w:val="环正文"/>
    <w:basedOn w:val="1"/>
    <w:qFormat/>
    <w:uiPriority w:val="0"/>
    <w:pPr>
      <w:widowControl/>
      <w:suppressAutoHyphens/>
      <w:adjustRightInd w:val="0"/>
      <w:spacing w:line="312" w:lineRule="atLeast"/>
      <w:ind w:right="210" w:rightChars="100" w:firstLine="560" w:firstLineChars="200"/>
      <w:textAlignment w:val="baseline"/>
    </w:pPr>
    <w:rPr>
      <w:rFonts w:ascii="宋体" w:hAnsi="宋体"/>
      <w:kern w:val="0"/>
      <w:sz w:val="28"/>
      <w:szCs w:val="20"/>
    </w:rPr>
  </w:style>
  <w:style w:type="paragraph" w:customStyle="1" w:styleId="75">
    <w:name w:val="流程图"/>
    <w:basedOn w:val="1"/>
    <w:qFormat/>
    <w:uiPriority w:val="0"/>
    <w:pPr>
      <w:tabs>
        <w:tab w:val="left" w:pos="0"/>
      </w:tabs>
      <w:autoSpaceDE w:val="0"/>
      <w:autoSpaceDN w:val="0"/>
      <w:adjustRightInd w:val="0"/>
      <w:spacing w:line="240" w:lineRule="atLeast"/>
      <w:jc w:val="center"/>
      <w:textAlignment w:val="bottom"/>
    </w:pPr>
    <w:rPr>
      <w:rFonts w:ascii="宋体"/>
      <w:szCs w:val="20"/>
    </w:rPr>
  </w:style>
  <w:style w:type="paragraph" w:customStyle="1" w:styleId="76">
    <w:name w:val="表格文字"/>
    <w:basedOn w:val="1"/>
    <w:link w:val="203"/>
    <w:qFormat/>
    <w:uiPriority w:val="0"/>
    <w:pPr>
      <w:jc w:val="center"/>
    </w:pPr>
    <w:rPr>
      <w:rFonts w:ascii="仿宋_GB2312" w:hAnsi="Arial Black" w:eastAsia="仿宋_GB2312"/>
      <w:kern w:val="44"/>
    </w:rPr>
  </w:style>
  <w:style w:type="paragraph" w:customStyle="1" w:styleId="77">
    <w:name w:val="南华表格"/>
    <w:basedOn w:val="1"/>
    <w:qFormat/>
    <w:uiPriority w:val="0"/>
    <w:pPr>
      <w:spacing w:line="312" w:lineRule="auto"/>
    </w:pPr>
    <w:rPr>
      <w:rFonts w:ascii="宋体" w:hAnsi="宋体"/>
      <w:color w:val="000000"/>
    </w:rPr>
  </w:style>
  <w:style w:type="paragraph" w:customStyle="1" w:styleId="78">
    <w:name w:val="表内容"/>
    <w:basedOn w:val="1"/>
    <w:qFormat/>
    <w:uiPriority w:val="0"/>
    <w:pPr>
      <w:spacing w:line="280" w:lineRule="exact"/>
      <w:jc w:val="center"/>
    </w:pPr>
    <w:rPr>
      <w:rFonts w:cs="宋体"/>
      <w:spacing w:val="14"/>
    </w:rPr>
  </w:style>
  <w:style w:type="paragraph" w:customStyle="1" w:styleId="79">
    <w:name w:val="Table Paragraph"/>
    <w:basedOn w:val="1"/>
    <w:next w:val="80"/>
    <w:qFormat/>
    <w:uiPriority w:val="1"/>
  </w:style>
  <w:style w:type="paragraph" w:customStyle="1" w:styleId="80">
    <w:name w:val="正文格式"/>
    <w:basedOn w:val="1"/>
    <w:next w:val="81"/>
    <w:qFormat/>
    <w:uiPriority w:val="0"/>
    <w:pPr>
      <w:ind w:firstLine="544"/>
    </w:pPr>
  </w:style>
  <w:style w:type="paragraph" w:customStyle="1" w:styleId="81">
    <w:name w:val="font10"/>
    <w:basedOn w:val="1"/>
    <w:next w:val="82"/>
    <w:qFormat/>
    <w:uiPriority w:val="0"/>
    <w:pPr>
      <w:widowControl/>
      <w:spacing w:before="280" w:after="280" w:line="240" w:lineRule="auto"/>
      <w:ind w:firstLine="0"/>
    </w:pPr>
    <w:rPr>
      <w:rFonts w:ascii="宋体"/>
      <w:b/>
      <w:color w:val="000000"/>
      <w:sz w:val="21"/>
    </w:rPr>
  </w:style>
  <w:style w:type="paragraph" w:customStyle="1" w:styleId="82">
    <w:name w:val="xl88"/>
    <w:basedOn w:val="1"/>
    <w:next w:val="83"/>
    <w:qFormat/>
    <w:uiPriority w:val="0"/>
    <w:pPr>
      <w:widowControl/>
      <w:spacing w:before="280" w:after="280" w:line="240" w:lineRule="auto"/>
      <w:ind w:firstLine="0"/>
      <w:jc w:val="center"/>
    </w:pPr>
    <w:rPr>
      <w:rFonts w:ascii="Arial Unicode MS" w:eastAsia="Arial Unicode MS"/>
    </w:rPr>
  </w:style>
  <w:style w:type="paragraph" w:customStyle="1" w:styleId="83">
    <w:name w:val="xl54"/>
    <w:basedOn w:val="1"/>
    <w:next w:val="84"/>
    <w:qFormat/>
    <w:uiPriority w:val="0"/>
    <w:pPr>
      <w:widowControl/>
      <w:spacing w:before="280" w:after="280" w:line="240" w:lineRule="auto"/>
      <w:ind w:firstLine="0"/>
      <w:jc w:val="center"/>
    </w:pPr>
    <w:rPr>
      <w:rFonts w:ascii="Arial Unicode MS" w:eastAsia="Arial Unicode MS"/>
      <w:color w:val="000000"/>
      <w:sz w:val="20"/>
    </w:rPr>
  </w:style>
  <w:style w:type="paragraph" w:customStyle="1" w:styleId="84">
    <w:name w:val="font1"/>
    <w:basedOn w:val="1"/>
    <w:next w:val="85"/>
    <w:qFormat/>
    <w:uiPriority w:val="0"/>
    <w:pPr>
      <w:widowControl/>
      <w:spacing w:before="280" w:after="280" w:line="240" w:lineRule="auto"/>
      <w:ind w:firstLine="0"/>
    </w:pPr>
    <w:rPr>
      <w:rFonts w:ascii="宋体"/>
    </w:rPr>
  </w:style>
  <w:style w:type="paragraph" w:customStyle="1" w:styleId="85">
    <w:name w:val="xl75"/>
    <w:basedOn w:val="1"/>
    <w:next w:val="86"/>
    <w:qFormat/>
    <w:uiPriority w:val="0"/>
    <w:pPr>
      <w:widowControl/>
      <w:spacing w:before="280" w:after="280" w:line="240" w:lineRule="auto"/>
      <w:ind w:firstLine="0"/>
    </w:pPr>
    <w:rPr>
      <w:rFonts w:ascii="Arial Unicode MS" w:eastAsia="Arial Unicode MS"/>
      <w:sz w:val="20"/>
    </w:rPr>
  </w:style>
  <w:style w:type="paragraph" w:customStyle="1" w:styleId="86">
    <w:name w:val="cucd-0"/>
    <w:next w:val="87"/>
    <w:qFormat/>
    <w:uiPriority w:val="0"/>
    <w:pPr>
      <w:spacing w:line="360" w:lineRule="auto"/>
      <w:ind w:firstLine="480"/>
    </w:pPr>
    <w:rPr>
      <w:rFonts w:ascii="Calibri" w:hAnsi="Calibri" w:eastAsia="宋体" w:cs="Times New Roman"/>
      <w:sz w:val="24"/>
      <w:lang w:val="en-US" w:eastAsia="zh-CN" w:bidi="ar-SA"/>
    </w:rPr>
  </w:style>
  <w:style w:type="paragraph" w:customStyle="1" w:styleId="87">
    <w:name w:val="表字1"/>
    <w:basedOn w:val="1"/>
    <w:next w:val="88"/>
    <w:qFormat/>
    <w:uiPriority w:val="0"/>
    <w:pPr>
      <w:ind w:firstLine="0"/>
      <w:jc w:val="center"/>
    </w:pPr>
    <w:rPr>
      <w:rFonts w:ascii="宋体" w:eastAsia="仿宋_GB2312"/>
      <w:color w:val="000000"/>
      <w:sz w:val="28"/>
    </w:rPr>
  </w:style>
  <w:style w:type="paragraph" w:customStyle="1" w:styleId="88">
    <w:name w:val="正文缩进3"/>
    <w:basedOn w:val="1"/>
    <w:next w:val="89"/>
    <w:qFormat/>
    <w:uiPriority w:val="0"/>
    <w:pPr>
      <w:spacing w:line="440" w:lineRule="exact"/>
      <w:ind w:firstLine="420"/>
    </w:pPr>
    <w:rPr>
      <w:rFonts w:ascii="宋体"/>
    </w:rPr>
  </w:style>
  <w:style w:type="paragraph" w:customStyle="1" w:styleId="89">
    <w:name w:val="xl33"/>
    <w:basedOn w:val="1"/>
    <w:next w:val="90"/>
    <w:qFormat/>
    <w:uiPriority w:val="0"/>
    <w:pPr>
      <w:widowControl/>
      <w:spacing w:before="280" w:after="280" w:line="240" w:lineRule="auto"/>
      <w:ind w:firstLine="0"/>
      <w:jc w:val="center"/>
    </w:pPr>
    <w:rPr>
      <w:rFonts w:eastAsia="Arial Unicode MS"/>
    </w:rPr>
  </w:style>
  <w:style w:type="paragraph" w:customStyle="1" w:styleId="90">
    <w:name w:val="xl57"/>
    <w:basedOn w:val="1"/>
    <w:next w:val="91"/>
    <w:qFormat/>
    <w:uiPriority w:val="0"/>
    <w:pPr>
      <w:widowControl/>
      <w:spacing w:before="280" w:after="280" w:line="240" w:lineRule="auto"/>
      <w:ind w:firstLine="0"/>
      <w:jc w:val="center"/>
    </w:pPr>
    <w:rPr>
      <w:rFonts w:ascii="Arial Unicode MS" w:eastAsia="Arial Unicode MS"/>
      <w:color w:val="000000"/>
      <w:sz w:val="20"/>
    </w:rPr>
  </w:style>
  <w:style w:type="paragraph" w:customStyle="1" w:styleId="91">
    <w:name w:val="图表标题"/>
    <w:basedOn w:val="1"/>
    <w:next w:val="92"/>
    <w:qFormat/>
    <w:uiPriority w:val="0"/>
    <w:pPr>
      <w:ind w:firstLine="0"/>
      <w:jc w:val="center"/>
    </w:pPr>
  </w:style>
  <w:style w:type="paragraph" w:customStyle="1" w:styleId="92">
    <w:name w:val="样式 样式 样式 正文1 + 首行缩进:  2 字符 + (符号) 宋体 首行缩进:  2 字符 + 首行缩进:  2 字符"/>
    <w:basedOn w:val="1"/>
    <w:next w:val="93"/>
    <w:qFormat/>
    <w:uiPriority w:val="0"/>
    <w:pPr>
      <w:ind w:firstLine="480"/>
    </w:pPr>
    <w:rPr>
      <w:rFonts w:ascii="宋体"/>
    </w:rPr>
  </w:style>
  <w:style w:type="paragraph" w:customStyle="1" w:styleId="93">
    <w:name w:val="Char Char Char Char Char Char1"/>
    <w:basedOn w:val="1"/>
    <w:next w:val="94"/>
    <w:qFormat/>
    <w:uiPriority w:val="0"/>
    <w:rPr>
      <w:sz w:val="28"/>
    </w:rPr>
  </w:style>
  <w:style w:type="paragraph" w:customStyle="1" w:styleId="94">
    <w:name w:val="目录 21"/>
    <w:basedOn w:val="1"/>
    <w:next w:val="1"/>
    <w:qFormat/>
    <w:uiPriority w:val="0"/>
    <w:pPr>
      <w:spacing w:line="240" w:lineRule="auto"/>
      <w:ind w:left="210" w:firstLine="0"/>
    </w:pPr>
    <w:rPr>
      <w:smallCaps/>
      <w:sz w:val="20"/>
    </w:rPr>
  </w:style>
  <w:style w:type="paragraph" w:customStyle="1" w:styleId="95">
    <w:name w:val="样式 列表 2 + 华文仿宋 居中"/>
    <w:basedOn w:val="19"/>
    <w:qFormat/>
    <w:uiPriority w:val="0"/>
    <w:pPr>
      <w:spacing w:line="400" w:lineRule="exact"/>
      <w:jc w:val="center"/>
    </w:pPr>
    <w:rPr>
      <w:color w:val="FF0000"/>
      <w:szCs w:val="21"/>
    </w:rPr>
  </w:style>
  <w:style w:type="paragraph" w:customStyle="1" w:styleId="96">
    <w:name w:val="样式 样式 小四 段前: 7.8 磅 段后: 7.8 磅 行距: 1.5 倍行距 + 首行缩进:  2 字符"/>
    <w:basedOn w:val="1"/>
    <w:qFormat/>
    <w:uiPriority w:val="0"/>
    <w:pPr>
      <w:spacing w:line="360" w:lineRule="auto"/>
    </w:pPr>
    <w:rPr>
      <w:rFonts w:hAnsi="宋体"/>
      <w:b/>
      <w:color w:val="993300"/>
    </w:rPr>
  </w:style>
  <w:style w:type="paragraph" w:customStyle="1" w:styleId="97">
    <w:name w:val="Char1"/>
    <w:basedOn w:val="1"/>
    <w:qFormat/>
    <w:uiPriority w:val="0"/>
    <w:pPr>
      <w:snapToGrid w:val="0"/>
      <w:spacing w:line="360" w:lineRule="auto"/>
      <w:ind w:firstLine="200" w:firstLineChars="200"/>
    </w:pPr>
    <w:rPr>
      <w:rFonts w:eastAsia="仿宋_GB2312"/>
    </w:rPr>
  </w:style>
  <w:style w:type="paragraph" w:customStyle="1" w:styleId="98">
    <w:name w:val="缩进"/>
    <w:basedOn w:val="1"/>
    <w:qFormat/>
    <w:uiPriority w:val="0"/>
    <w:pPr>
      <w:autoSpaceDE w:val="0"/>
      <w:autoSpaceDN w:val="0"/>
      <w:adjustRightInd w:val="0"/>
      <w:spacing w:line="400" w:lineRule="atLeast"/>
      <w:ind w:firstLine="425"/>
      <w:textAlignment w:val="baseline"/>
    </w:pPr>
    <w:rPr>
      <w:szCs w:val="21"/>
    </w:rPr>
  </w:style>
  <w:style w:type="paragraph" w:customStyle="1" w:styleId="99">
    <w:name w:val="正文2"/>
    <w:basedOn w:val="1"/>
    <w:qFormat/>
    <w:uiPriority w:val="0"/>
    <w:pPr>
      <w:widowControl/>
    </w:pPr>
    <w:rPr>
      <w:szCs w:val="21"/>
    </w:rPr>
  </w:style>
  <w:style w:type="character" w:customStyle="1" w:styleId="100">
    <w:name w:val="font21"/>
    <w:qFormat/>
    <w:uiPriority w:val="0"/>
    <w:rPr>
      <w:rFonts w:hint="eastAsia" w:ascii="宋体" w:hAnsi="宋体" w:eastAsia="宋体" w:cs="宋体"/>
      <w:color w:val="000000"/>
      <w:sz w:val="24"/>
      <w:szCs w:val="24"/>
      <w:u w:val="none"/>
    </w:rPr>
  </w:style>
  <w:style w:type="character" w:customStyle="1" w:styleId="101">
    <w:name w:val="表头 Char"/>
    <w:qFormat/>
    <w:uiPriority w:val="0"/>
    <w:rPr>
      <w:rFonts w:eastAsia="黑体"/>
      <w:kern w:val="2"/>
      <w:sz w:val="24"/>
      <w:szCs w:val="24"/>
      <w:lang w:val="en-US" w:eastAsia="zh-CN" w:bidi="ar-SA"/>
    </w:rPr>
  </w:style>
  <w:style w:type="character" w:customStyle="1" w:styleId="102">
    <w:name w:val="表头 Char1"/>
    <w:link w:val="70"/>
    <w:qFormat/>
    <w:uiPriority w:val="0"/>
    <w:rPr>
      <w:rFonts w:hAnsi="宋体" w:eastAsia="仿宋_GB2312"/>
      <w:b/>
      <w:sz w:val="28"/>
      <w:szCs w:val="28"/>
      <w:lang w:val="en-US" w:eastAsia="zh-CN" w:bidi="ar-SA"/>
    </w:rPr>
  </w:style>
  <w:style w:type="character" w:customStyle="1" w:styleId="103">
    <w:name w:val="样式 加粗 下划线"/>
    <w:qFormat/>
    <w:uiPriority w:val="0"/>
    <w:rPr>
      <w:rFonts w:ascii="Times New Roman" w:hAnsi="Times New Roman" w:eastAsia="宋体"/>
      <w:b/>
      <w:bCs/>
      <w:color w:val="auto"/>
      <w:sz w:val="24"/>
      <w:u w:val="none"/>
    </w:rPr>
  </w:style>
  <w:style w:type="character" w:customStyle="1" w:styleId="104">
    <w:name w:val="标题 1 Char"/>
    <w:qFormat/>
    <w:locked/>
    <w:uiPriority w:val="99"/>
    <w:rPr>
      <w:b/>
      <w:bCs/>
      <w:kern w:val="44"/>
      <w:sz w:val="32"/>
      <w:szCs w:val="44"/>
    </w:rPr>
  </w:style>
  <w:style w:type="character" w:customStyle="1" w:styleId="105">
    <w:name w:val="批注框文本 Char"/>
    <w:link w:val="28"/>
    <w:qFormat/>
    <w:uiPriority w:val="0"/>
    <w:rPr>
      <w:kern w:val="2"/>
      <w:sz w:val="18"/>
      <w:szCs w:val="18"/>
    </w:rPr>
  </w:style>
  <w:style w:type="character" w:customStyle="1" w:styleId="106">
    <w:name w:val="font51"/>
    <w:qFormat/>
    <w:uiPriority w:val="0"/>
    <w:rPr>
      <w:rFonts w:hint="default" w:ascii="Times New Roman" w:hAnsi="Times New Roman" w:cs="Times New Roman"/>
      <w:color w:val="000000"/>
      <w:sz w:val="24"/>
      <w:szCs w:val="24"/>
      <w:u w:val="none"/>
      <w:vertAlign w:val="subscript"/>
    </w:rPr>
  </w:style>
  <w:style w:type="character" w:customStyle="1" w:styleId="107">
    <w:name w:val="标题 2 Char"/>
    <w:link w:val="4"/>
    <w:qFormat/>
    <w:uiPriority w:val="0"/>
    <w:rPr>
      <w:rFonts w:ascii="Arial" w:hAnsi="Arial" w:eastAsia="黑体"/>
      <w:b/>
      <w:bCs/>
      <w:sz w:val="32"/>
      <w:szCs w:val="32"/>
    </w:rPr>
  </w:style>
  <w:style w:type="character" w:customStyle="1" w:styleId="108">
    <w:name w:val="正文（首行缩进两字） Char"/>
    <w:qFormat/>
    <w:uiPriority w:val="0"/>
    <w:rPr>
      <w:rFonts w:eastAsia="宋体"/>
      <w:kern w:val="2"/>
      <w:sz w:val="24"/>
      <w:lang w:val="en-US" w:eastAsia="zh-CN"/>
    </w:rPr>
  </w:style>
  <w:style w:type="character" w:customStyle="1" w:styleId="109">
    <w:name w:val="font11"/>
    <w:qFormat/>
    <w:uiPriority w:val="0"/>
    <w:rPr>
      <w:rFonts w:hint="eastAsia" w:ascii="宋体" w:hAnsi="宋体" w:eastAsia="宋体" w:cs="宋体"/>
      <w:color w:val="000000"/>
      <w:sz w:val="20"/>
      <w:szCs w:val="20"/>
      <w:u w:val="none"/>
    </w:rPr>
  </w:style>
  <w:style w:type="paragraph" w:customStyle="1" w:styleId="110">
    <w:name w:val="TOC 标题1"/>
    <w:basedOn w:val="3"/>
    <w:next w:val="1"/>
    <w:unhideWhenUsed/>
    <w:qFormat/>
    <w:uiPriority w:val="39"/>
    <w:pPr>
      <w:widowControl/>
      <w:spacing w:beforeLines="0" w:afterLines="0" w:line="259" w:lineRule="auto"/>
      <w:jc w:val="left"/>
      <w:outlineLvl w:val="9"/>
    </w:pPr>
    <w:rPr>
      <w:rFonts w:ascii="Cambria" w:hAnsi="Cambria"/>
      <w:b w:val="0"/>
      <w:color w:val="365F91"/>
      <w:kern w:val="0"/>
      <w:szCs w:val="32"/>
    </w:rPr>
  </w:style>
  <w:style w:type="paragraph" w:customStyle="1" w:styleId="111">
    <w:name w:val="xl27"/>
    <w:basedOn w:val="1"/>
    <w:qFormat/>
    <w:uiPriority w:val="0"/>
    <w:pPr>
      <w:widowControl/>
      <w:pBdr>
        <w:bottom w:val="single" w:color="auto" w:sz="12" w:space="0"/>
      </w:pBdr>
      <w:spacing w:before="100" w:after="100"/>
      <w:jc w:val="center"/>
    </w:pPr>
    <w:rPr>
      <w:rFonts w:ascii="宋体" w:hAnsi="宋体"/>
      <w:kern w:val="0"/>
      <w:szCs w:val="20"/>
    </w:rPr>
  </w:style>
  <w:style w:type="character" w:customStyle="1" w:styleId="112">
    <w:name w:val="font41"/>
    <w:qFormat/>
    <w:uiPriority w:val="0"/>
    <w:rPr>
      <w:rFonts w:hint="default" w:ascii="Times New Roman" w:hAnsi="Times New Roman" w:cs="Times New Roman"/>
      <w:color w:val="0000FF"/>
      <w:sz w:val="21"/>
      <w:szCs w:val="21"/>
      <w:u w:val="none"/>
      <w:vertAlign w:val="superscript"/>
    </w:rPr>
  </w:style>
  <w:style w:type="character" w:customStyle="1" w:styleId="113">
    <w:name w:val="font61"/>
    <w:qFormat/>
    <w:uiPriority w:val="0"/>
    <w:rPr>
      <w:rFonts w:hint="default" w:ascii="Times New Roman" w:hAnsi="Times New Roman" w:cs="Times New Roman"/>
      <w:color w:val="0000FF"/>
      <w:sz w:val="21"/>
      <w:szCs w:val="21"/>
      <w:u w:val="none"/>
    </w:rPr>
  </w:style>
  <w:style w:type="character" w:customStyle="1" w:styleId="114">
    <w:name w:val="font71"/>
    <w:qFormat/>
    <w:uiPriority w:val="0"/>
    <w:rPr>
      <w:rFonts w:hint="default" w:ascii="Times New Roman" w:hAnsi="Times New Roman" w:cs="Times New Roman"/>
      <w:color w:val="000000"/>
      <w:sz w:val="21"/>
      <w:szCs w:val="21"/>
      <w:u w:val="none"/>
    </w:rPr>
  </w:style>
  <w:style w:type="character" w:customStyle="1" w:styleId="115">
    <w:name w:val="font31"/>
    <w:qFormat/>
    <w:uiPriority w:val="0"/>
    <w:rPr>
      <w:rFonts w:hint="default" w:ascii="Times New Roman" w:hAnsi="Times New Roman" w:cs="Times New Roman"/>
      <w:color w:val="000000"/>
      <w:sz w:val="21"/>
      <w:szCs w:val="21"/>
      <w:u w:val="none"/>
      <w:vertAlign w:val="superscript"/>
    </w:rPr>
  </w:style>
  <w:style w:type="paragraph" w:customStyle="1" w:styleId="116">
    <w:name w:val="表中文字-下闸蓄水专题"/>
    <w:next w:val="1"/>
    <w:qFormat/>
    <w:uiPriority w:val="0"/>
    <w:pPr>
      <w:widowControl w:val="0"/>
      <w:spacing w:before="40" w:after="40"/>
      <w:jc w:val="center"/>
    </w:pPr>
    <w:rPr>
      <w:rFonts w:ascii="Times New Roman" w:hAnsi="Times New Roman" w:eastAsia="宋体" w:cs="Arial"/>
      <w:kern w:val="2"/>
      <w:sz w:val="21"/>
      <w:szCs w:val="24"/>
      <w:lang w:val="en-US" w:eastAsia="zh-CN" w:bidi="ar-SA"/>
    </w:rPr>
  </w:style>
  <w:style w:type="paragraph" w:customStyle="1" w:styleId="117">
    <w:name w:val="样式2"/>
    <w:basedOn w:val="1"/>
    <w:qFormat/>
    <w:uiPriority w:val="0"/>
    <w:pPr>
      <w:ind w:firstLine="480"/>
    </w:pPr>
  </w:style>
  <w:style w:type="paragraph" w:customStyle="1" w:styleId="118">
    <w:name w:val="正文（首行缩进两字）m"/>
    <w:basedOn w:val="5"/>
    <w:qFormat/>
    <w:uiPriority w:val="0"/>
    <w:pPr>
      <w:tabs>
        <w:tab w:val="left" w:pos="560"/>
        <w:tab w:val="left" w:pos="1848"/>
        <w:tab w:val="left" w:pos="6061"/>
        <w:tab w:val="left" w:pos="8665"/>
      </w:tabs>
      <w:spacing w:beforeLines="50" w:line="460" w:lineRule="exact"/>
      <w:ind w:firstLine="480" w:firstLineChars="196"/>
    </w:pPr>
    <w:rPr>
      <w:rFonts w:ascii="宋体" w:hAnsi="宋体"/>
    </w:rPr>
  </w:style>
  <w:style w:type="paragraph" w:customStyle="1" w:styleId="119">
    <w:name w:val="正文01"/>
    <w:basedOn w:val="1"/>
    <w:qFormat/>
    <w:uiPriority w:val="0"/>
    <w:pPr>
      <w:spacing w:before="60" w:line="460" w:lineRule="exact"/>
      <w:ind w:firstLine="200" w:firstLineChars="200"/>
    </w:pPr>
  </w:style>
  <w:style w:type="character" w:customStyle="1" w:styleId="120">
    <w:name w:val="批注文字 Char"/>
    <w:link w:val="17"/>
    <w:qFormat/>
    <w:uiPriority w:val="0"/>
    <w:rPr>
      <w:kern w:val="2"/>
      <w:sz w:val="24"/>
      <w:szCs w:val="24"/>
    </w:rPr>
  </w:style>
  <w:style w:type="character" w:customStyle="1" w:styleId="121">
    <w:name w:val="批注主题 Char"/>
    <w:link w:val="41"/>
    <w:qFormat/>
    <w:uiPriority w:val="0"/>
    <w:rPr>
      <w:b/>
      <w:bCs/>
      <w:kern w:val="2"/>
      <w:sz w:val="24"/>
      <w:szCs w:val="24"/>
    </w:rPr>
  </w:style>
  <w:style w:type="paragraph" w:customStyle="1" w:styleId="122">
    <w:name w:val="Char"/>
    <w:basedOn w:val="1"/>
    <w:qFormat/>
    <w:uiPriority w:val="0"/>
    <w:pPr>
      <w:spacing w:line="360" w:lineRule="auto"/>
      <w:ind w:firstLine="200" w:firstLineChars="200"/>
    </w:pPr>
    <w:rPr>
      <w:rFonts w:ascii="宋体" w:hAnsi="宋体" w:cs="宋体"/>
    </w:rPr>
  </w:style>
  <w:style w:type="paragraph" w:customStyle="1" w:styleId="123">
    <w:name w:val="8--"/>
    <w:basedOn w:val="1"/>
    <w:qFormat/>
    <w:uiPriority w:val="0"/>
    <w:pPr>
      <w:adjustRightInd w:val="0"/>
      <w:spacing w:line="360" w:lineRule="atLeast"/>
      <w:jc w:val="left"/>
      <w:textAlignment w:val="baseline"/>
    </w:pPr>
    <w:rPr>
      <w:kern w:val="0"/>
    </w:rPr>
  </w:style>
  <w:style w:type="paragraph" w:customStyle="1" w:styleId="124">
    <w:name w:val="魏秀珍  报告正文1"/>
    <w:basedOn w:val="1"/>
    <w:qFormat/>
    <w:uiPriority w:val="0"/>
    <w:pPr>
      <w:adjustRightInd w:val="0"/>
      <w:snapToGrid w:val="0"/>
    </w:pPr>
    <w:rPr>
      <w:szCs w:val="20"/>
    </w:rPr>
  </w:style>
  <w:style w:type="paragraph" w:customStyle="1" w:styleId="125">
    <w:name w:val="1文章"/>
    <w:basedOn w:val="1"/>
    <w:qFormat/>
    <w:uiPriority w:val="0"/>
    <w:pPr>
      <w:snapToGrid w:val="0"/>
      <w:ind w:firstLine="573"/>
    </w:pPr>
    <w:rPr>
      <w:rFonts w:eastAsia="仿宋_GB2312"/>
      <w:sz w:val="28"/>
      <w:szCs w:val="20"/>
    </w:rPr>
  </w:style>
  <w:style w:type="paragraph" w:customStyle="1" w:styleId="126">
    <w:name w:val="15"/>
    <w:basedOn w:val="1"/>
    <w:qFormat/>
    <w:uiPriority w:val="0"/>
    <w:pPr>
      <w:widowControl/>
      <w:snapToGrid w:val="0"/>
      <w:spacing w:before="100" w:beforeAutospacing="1" w:after="100" w:afterAutospacing="1"/>
    </w:pPr>
    <w:rPr>
      <w:rFonts w:hint="eastAsia" w:ascii="宋体" w:hAnsi="宋体"/>
      <w:kern w:val="0"/>
      <w:sz w:val="20"/>
    </w:rPr>
  </w:style>
  <w:style w:type="character" w:customStyle="1" w:styleId="127">
    <w:name w:val="样式 四号"/>
    <w:qFormat/>
    <w:uiPriority w:val="0"/>
    <w:rPr>
      <w:rFonts w:ascii="Times New Roman" w:hAnsi="Times New Roman" w:eastAsia="宋体"/>
      <w:color w:val="auto"/>
      <w:sz w:val="28"/>
      <w:u w:val="none"/>
    </w:rPr>
  </w:style>
  <w:style w:type="paragraph" w:customStyle="1" w:styleId="128">
    <w:name w:val="样式 首行缩进:  2 字符"/>
    <w:basedOn w:val="1"/>
    <w:qFormat/>
    <w:uiPriority w:val="0"/>
    <w:pPr>
      <w:spacing w:line="360" w:lineRule="auto"/>
      <w:ind w:firstLine="460" w:firstLineChars="200"/>
    </w:pPr>
    <w:rPr>
      <w:rFonts w:cs="宋体"/>
      <w:sz w:val="23"/>
      <w:szCs w:val="23"/>
    </w:rPr>
  </w:style>
  <w:style w:type="paragraph" w:customStyle="1" w:styleId="129">
    <w:name w:val="样式1"/>
    <w:basedOn w:val="1"/>
    <w:link w:val="141"/>
    <w:qFormat/>
    <w:uiPriority w:val="0"/>
    <w:pPr>
      <w:adjustRightInd w:val="0"/>
      <w:spacing w:line="480" w:lineRule="atLeast"/>
      <w:ind w:firstLine="539"/>
    </w:pPr>
    <w:rPr>
      <w:rFonts w:eastAsia="仿宋_GB2312"/>
      <w:kern w:val="0"/>
      <w:sz w:val="28"/>
    </w:rPr>
  </w:style>
  <w:style w:type="character" w:customStyle="1" w:styleId="130">
    <w:name w:val="页脚 Char"/>
    <w:basedOn w:val="47"/>
    <w:link w:val="29"/>
    <w:qFormat/>
    <w:uiPriority w:val="99"/>
  </w:style>
  <w:style w:type="character" w:customStyle="1" w:styleId="131">
    <w:name w:val="标题 1 Char1"/>
    <w:link w:val="3"/>
    <w:qFormat/>
    <w:uiPriority w:val="0"/>
    <w:rPr>
      <w:rFonts w:hint="eastAsia" w:ascii="宋体" w:hAnsi="宋体" w:eastAsia="宋体" w:cs="宋体"/>
      <w:b/>
      <w:kern w:val="44"/>
      <w:sz w:val="44"/>
      <w:szCs w:val="44"/>
    </w:rPr>
  </w:style>
  <w:style w:type="character" w:customStyle="1" w:styleId="132">
    <w:name w:val="页眉 Char"/>
    <w:link w:val="30"/>
    <w:qFormat/>
    <w:uiPriority w:val="0"/>
    <w:rPr>
      <w:kern w:val="2"/>
      <w:sz w:val="18"/>
      <w:szCs w:val="18"/>
    </w:rPr>
  </w:style>
  <w:style w:type="paragraph" w:styleId="133">
    <w:name w:val="List Paragraph"/>
    <w:basedOn w:val="1"/>
    <w:unhideWhenUsed/>
    <w:qFormat/>
    <w:uiPriority w:val="99"/>
    <w:pPr>
      <w:ind w:firstLine="420" w:firstLineChars="200"/>
    </w:pPr>
  </w:style>
  <w:style w:type="paragraph" w:customStyle="1" w:styleId="134">
    <w:name w:val="工艺统一正文"/>
    <w:basedOn w:val="1"/>
    <w:qFormat/>
    <w:uiPriority w:val="0"/>
    <w:pPr>
      <w:adjustRightInd w:val="0"/>
      <w:snapToGrid w:val="0"/>
      <w:spacing w:line="360" w:lineRule="auto"/>
      <w:ind w:firstLine="578"/>
    </w:pPr>
    <w:rPr>
      <w:rFonts w:ascii="宋体"/>
      <w:sz w:val="28"/>
      <w:szCs w:val="20"/>
    </w:rPr>
  </w:style>
  <w:style w:type="table" w:customStyle="1" w:styleId="135">
    <w:name w:val="Table Normal"/>
    <w:semiHidden/>
    <w:unhideWhenUsed/>
    <w:qFormat/>
    <w:uiPriority w:val="2"/>
    <w:pPr>
      <w:widowControl w:val="0"/>
    </w:pPr>
    <w:rPr>
      <w:rFonts w:ascii="Calibri" w:hAnsi="Calibri"/>
      <w:sz w:val="22"/>
      <w:szCs w:val="22"/>
      <w:lang w:eastAsia="en-US"/>
    </w:rPr>
    <w:tblPr>
      <w:tblCellMar>
        <w:top w:w="0" w:type="dxa"/>
        <w:left w:w="0" w:type="dxa"/>
        <w:bottom w:w="0" w:type="dxa"/>
        <w:right w:w="0" w:type="dxa"/>
      </w:tblCellMar>
    </w:tblPr>
  </w:style>
  <w:style w:type="paragraph" w:customStyle="1" w:styleId="136">
    <w:name w:val="Default"/>
    <w:qFormat/>
    <w:uiPriority w:val="0"/>
    <w:pPr>
      <w:widowControl w:val="0"/>
      <w:autoSpaceDE w:val="0"/>
      <w:autoSpaceDN w:val="0"/>
      <w:adjustRightInd w:val="0"/>
    </w:pPr>
    <w:rPr>
      <w:rFonts w:ascii="黑体" w:hAnsi="Calibri" w:eastAsia="黑体" w:cs="黑体"/>
      <w:color w:val="000000"/>
      <w:sz w:val="24"/>
      <w:szCs w:val="24"/>
      <w:lang w:val="en-US" w:eastAsia="zh-CN" w:bidi="ar-SA"/>
    </w:rPr>
  </w:style>
  <w:style w:type="character" w:styleId="137">
    <w:name w:val="Placeholder Text"/>
    <w:unhideWhenUsed/>
    <w:qFormat/>
    <w:uiPriority w:val="99"/>
    <w:rPr>
      <w:color w:val="808080"/>
    </w:rPr>
  </w:style>
  <w:style w:type="character" w:customStyle="1" w:styleId="138">
    <w:name w:val="标题 6 Char"/>
    <w:link w:val="9"/>
    <w:qFormat/>
    <w:uiPriority w:val="0"/>
    <w:rPr>
      <w:rFonts w:ascii="Cambria" w:hAnsi="Cambria" w:eastAsia="宋体" w:cs="Times New Roman"/>
      <w:b/>
      <w:bCs/>
      <w:kern w:val="2"/>
      <w:sz w:val="24"/>
      <w:szCs w:val="24"/>
    </w:rPr>
  </w:style>
  <w:style w:type="character" w:customStyle="1" w:styleId="139">
    <w:name w:val="正文文本缩进 Char"/>
    <w:link w:val="18"/>
    <w:qFormat/>
    <w:uiPriority w:val="0"/>
    <w:rPr>
      <w:kern w:val="2"/>
      <w:sz w:val="24"/>
      <w:szCs w:val="24"/>
    </w:rPr>
  </w:style>
  <w:style w:type="character" w:customStyle="1" w:styleId="140">
    <w:name w:val="正文首行缩进 2 Char"/>
    <w:basedOn w:val="139"/>
    <w:link w:val="43"/>
    <w:qFormat/>
    <w:uiPriority w:val="0"/>
    <w:rPr>
      <w:kern w:val="2"/>
      <w:sz w:val="24"/>
      <w:szCs w:val="24"/>
    </w:rPr>
  </w:style>
  <w:style w:type="character" w:customStyle="1" w:styleId="141">
    <w:name w:val="样式1 Char"/>
    <w:link w:val="129"/>
    <w:qFormat/>
    <w:uiPriority w:val="0"/>
    <w:rPr>
      <w:rFonts w:eastAsia="仿宋_GB2312"/>
      <w:sz w:val="28"/>
      <w:szCs w:val="24"/>
    </w:rPr>
  </w:style>
  <w:style w:type="character" w:customStyle="1" w:styleId="142">
    <w:name w:val="文档结构图 Char"/>
    <w:link w:val="16"/>
    <w:qFormat/>
    <w:uiPriority w:val="0"/>
    <w:rPr>
      <w:rFonts w:ascii="宋体"/>
      <w:kern w:val="2"/>
      <w:sz w:val="18"/>
      <w:szCs w:val="18"/>
    </w:rPr>
  </w:style>
  <w:style w:type="paragraph" w:customStyle="1" w:styleId="143">
    <w:name w:val="Normal Indent1"/>
    <w:basedOn w:val="1"/>
    <w:qFormat/>
    <w:uiPriority w:val="0"/>
    <w:pPr>
      <w:ind w:firstLine="420" w:firstLineChars="200"/>
    </w:pPr>
    <w:rPr>
      <w:rFonts w:ascii="宋体"/>
      <w:kern w:val="0"/>
      <w:szCs w:val="20"/>
    </w:rPr>
  </w:style>
  <w:style w:type="paragraph" w:customStyle="1" w:styleId="144">
    <w:name w:val="修订1"/>
    <w:hidden/>
    <w:unhideWhenUsed/>
    <w:qFormat/>
    <w:uiPriority w:val="99"/>
    <w:rPr>
      <w:rFonts w:ascii="Times New Roman" w:hAnsi="Times New Roman" w:eastAsia="宋体" w:cs="Times New Roman"/>
      <w:kern w:val="2"/>
      <w:sz w:val="24"/>
      <w:szCs w:val="24"/>
      <w:lang w:val="en-US" w:eastAsia="zh-CN" w:bidi="ar-SA"/>
    </w:rPr>
  </w:style>
  <w:style w:type="paragraph" w:customStyle="1" w:styleId="145">
    <w:name w:val="Char1 Char Char Char1 Char Char Char Char Char Char Char Char Char Char Char Char"/>
    <w:basedOn w:val="1"/>
    <w:next w:val="1"/>
    <w:qFormat/>
    <w:uiPriority w:val="0"/>
    <w:rPr>
      <w:sz w:val="21"/>
    </w:rPr>
  </w:style>
  <w:style w:type="paragraph" w:customStyle="1" w:styleId="146">
    <w:name w:val="段落正文"/>
    <w:basedOn w:val="1"/>
    <w:qFormat/>
    <w:uiPriority w:val="0"/>
    <w:pPr>
      <w:ind w:firstLine="480" w:firstLineChars="200"/>
    </w:pPr>
    <w:rPr>
      <w:rFonts w:cs="宋体"/>
    </w:rPr>
  </w:style>
  <w:style w:type="paragraph" w:customStyle="1" w:styleId="147">
    <w:name w:val="Char1 Char Char Char1 Char Char Char Char Char Char Char Char Char Char Char Char2"/>
    <w:basedOn w:val="1"/>
    <w:next w:val="1"/>
    <w:qFormat/>
    <w:uiPriority w:val="0"/>
    <w:rPr>
      <w:sz w:val="21"/>
    </w:rPr>
  </w:style>
  <w:style w:type="paragraph" w:customStyle="1" w:styleId="148">
    <w:name w:val="Char1 Char Char Char1 Char Char Char Char Char Char Char Char Char Char Char Char1"/>
    <w:basedOn w:val="1"/>
    <w:next w:val="1"/>
    <w:qFormat/>
    <w:uiPriority w:val="0"/>
    <w:rPr>
      <w:sz w:val="21"/>
    </w:rPr>
  </w:style>
  <w:style w:type="paragraph" w:customStyle="1" w:styleId="149">
    <w:name w:val="Char2"/>
    <w:basedOn w:val="1"/>
    <w:qFormat/>
    <w:uiPriority w:val="0"/>
    <w:rPr>
      <w:rFonts w:ascii="Calibri" w:hAnsi="Calibri"/>
      <w:szCs w:val="22"/>
    </w:rPr>
  </w:style>
  <w:style w:type="paragraph" w:customStyle="1" w:styleId="150">
    <w:name w:val="Char21"/>
    <w:basedOn w:val="1"/>
    <w:qFormat/>
    <w:uiPriority w:val="0"/>
    <w:rPr>
      <w:rFonts w:ascii="Calibri" w:hAnsi="Calibri"/>
      <w:szCs w:val="22"/>
    </w:rPr>
  </w:style>
  <w:style w:type="paragraph" w:customStyle="1" w:styleId="151">
    <w:name w:val="Char22"/>
    <w:basedOn w:val="1"/>
    <w:qFormat/>
    <w:uiPriority w:val="0"/>
    <w:rPr>
      <w:rFonts w:ascii="Calibri" w:hAnsi="Calibri"/>
      <w:szCs w:val="22"/>
    </w:rPr>
  </w:style>
  <w:style w:type="paragraph" w:customStyle="1" w:styleId="152">
    <w:name w:val="Char1 Char Char Char1 Char Char Char Char Char Char Char Char Char Char Char Char3"/>
    <w:basedOn w:val="1"/>
    <w:next w:val="1"/>
    <w:qFormat/>
    <w:uiPriority w:val="0"/>
    <w:rPr>
      <w:sz w:val="21"/>
    </w:rPr>
  </w:style>
  <w:style w:type="paragraph" w:customStyle="1" w:styleId="153">
    <w:name w:val="列出段落1"/>
    <w:basedOn w:val="1"/>
    <w:qFormat/>
    <w:uiPriority w:val="34"/>
    <w:pPr>
      <w:ind w:firstLine="420" w:firstLineChars="200"/>
    </w:pPr>
    <w:rPr>
      <w:sz w:val="21"/>
    </w:rPr>
  </w:style>
  <w:style w:type="character" w:customStyle="1" w:styleId="154">
    <w:name w:val="正文缩进 Char"/>
    <w:link w:val="5"/>
    <w:qFormat/>
    <w:uiPriority w:val="0"/>
    <w:rPr>
      <w:kern w:val="2"/>
      <w:sz w:val="24"/>
    </w:rPr>
  </w:style>
  <w:style w:type="paragraph" w:customStyle="1" w:styleId="155">
    <w:name w:val="Char Char Char Char"/>
    <w:basedOn w:val="1"/>
    <w:qFormat/>
    <w:uiPriority w:val="0"/>
    <w:pPr>
      <w:widowControl/>
      <w:ind w:left="835"/>
      <w:jc w:val="left"/>
    </w:pPr>
    <w:rPr>
      <w:rFonts w:ascii="Arial" w:hAnsi="Arial"/>
      <w:spacing w:val="-5"/>
      <w:kern w:val="0"/>
      <w:sz w:val="20"/>
      <w:lang w:bidi="he-IL"/>
    </w:rPr>
  </w:style>
  <w:style w:type="paragraph" w:customStyle="1" w:styleId="156">
    <w:name w:val="二级无标题条"/>
    <w:basedOn w:val="1"/>
    <w:qFormat/>
    <w:uiPriority w:val="0"/>
    <w:rPr>
      <w:sz w:val="21"/>
    </w:rPr>
  </w:style>
  <w:style w:type="paragraph" w:customStyle="1" w:styleId="157">
    <w:name w:val="CM4"/>
    <w:basedOn w:val="136"/>
    <w:next w:val="136"/>
    <w:qFormat/>
    <w:uiPriority w:val="99"/>
    <w:pPr>
      <w:spacing w:line="860" w:lineRule="atLeast"/>
    </w:pPr>
    <w:rPr>
      <w:rFonts w:ascii="ST Song Std" w:eastAsia="ST Song Std" w:cs="Times New Roman"/>
      <w:color w:val="auto"/>
    </w:rPr>
  </w:style>
  <w:style w:type="paragraph" w:customStyle="1" w:styleId="158">
    <w:name w:val="样式 样式 样式 小四 首行缩进:  2.25 字符 + 首行缩进:  2.25 字符 + 首行缩进:  2 字符"/>
    <w:basedOn w:val="1"/>
    <w:qFormat/>
    <w:uiPriority w:val="0"/>
    <w:pPr>
      <w:spacing w:line="440" w:lineRule="exact"/>
      <w:ind w:firstLine="200" w:firstLineChars="200"/>
    </w:pPr>
    <w:rPr>
      <w:szCs w:val="20"/>
    </w:rPr>
  </w:style>
  <w:style w:type="character" w:customStyle="1" w:styleId="159">
    <w:name w:val="批注文字 Char2"/>
    <w:semiHidden/>
    <w:qFormat/>
    <w:uiPriority w:val="99"/>
    <w:rPr>
      <w:rFonts w:ascii="Times New Roman" w:hAnsi="Times New Roman" w:eastAsia="宋体" w:cs="Times New Roman"/>
      <w:sz w:val="28"/>
      <w:szCs w:val="24"/>
    </w:rPr>
  </w:style>
  <w:style w:type="character" w:customStyle="1" w:styleId="160">
    <w:name w:val="zw1"/>
    <w:qFormat/>
    <w:uiPriority w:val="0"/>
    <w:rPr>
      <w:rFonts w:hint="eastAsia" w:ascii="宋体" w:hAnsi="宋体" w:eastAsia="宋体"/>
      <w:sz w:val="22"/>
      <w:szCs w:val="22"/>
    </w:rPr>
  </w:style>
  <w:style w:type="paragraph" w:customStyle="1" w:styleId="161">
    <w:name w:val="Char1 Char Char Char1 Char Char Char Char Char Char Char Char Char Char Char Char4"/>
    <w:basedOn w:val="1"/>
    <w:next w:val="1"/>
    <w:qFormat/>
    <w:uiPriority w:val="0"/>
    <w:rPr>
      <w:rFonts w:ascii="Calibri" w:hAnsi="Calibri"/>
      <w:sz w:val="21"/>
    </w:rPr>
  </w:style>
  <w:style w:type="character" w:customStyle="1" w:styleId="162">
    <w:name w:val="报告正文 Char"/>
    <w:link w:val="163"/>
    <w:qFormat/>
    <w:uiPriority w:val="0"/>
    <w:rPr>
      <w:rFonts w:ascii="宋体" w:hAnsi="宋体"/>
      <w:color w:val="000000"/>
      <w:sz w:val="28"/>
      <w:szCs w:val="24"/>
      <w:lang w:bidi="en-US"/>
    </w:rPr>
  </w:style>
  <w:style w:type="paragraph" w:customStyle="1" w:styleId="163">
    <w:name w:val="报告正文"/>
    <w:basedOn w:val="42"/>
    <w:link w:val="162"/>
    <w:qFormat/>
    <w:uiPriority w:val="0"/>
    <w:pPr>
      <w:spacing w:after="0" w:line="600" w:lineRule="exact"/>
      <w:ind w:firstLine="200" w:firstLineChars="200"/>
      <w:jc w:val="left"/>
    </w:pPr>
    <w:rPr>
      <w:rFonts w:hint="default"/>
      <w:color w:val="000000"/>
      <w:sz w:val="28"/>
      <w:szCs w:val="24"/>
      <w:lang w:bidi="en-US"/>
    </w:rPr>
  </w:style>
  <w:style w:type="character" w:customStyle="1" w:styleId="164">
    <w:name w:val="正文1206 Char"/>
    <w:link w:val="165"/>
    <w:qFormat/>
    <w:uiPriority w:val="0"/>
    <w:rPr>
      <w:kern w:val="2"/>
      <w:sz w:val="28"/>
      <w:szCs w:val="24"/>
    </w:rPr>
  </w:style>
  <w:style w:type="paragraph" w:customStyle="1" w:styleId="165">
    <w:name w:val="正文1206"/>
    <w:basedOn w:val="1"/>
    <w:link w:val="164"/>
    <w:qFormat/>
    <w:uiPriority w:val="0"/>
    <w:pPr>
      <w:autoSpaceDE w:val="0"/>
      <w:autoSpaceDN w:val="0"/>
      <w:adjustRightInd w:val="0"/>
      <w:snapToGrid w:val="0"/>
      <w:spacing w:line="360" w:lineRule="auto"/>
      <w:ind w:firstLine="200" w:firstLineChars="200"/>
    </w:pPr>
    <w:rPr>
      <w:sz w:val="28"/>
    </w:rPr>
  </w:style>
  <w:style w:type="paragraph" w:customStyle="1" w:styleId="166">
    <w:name w:val="Char1 Char Char Char1 Char Char Char Char Char Char Char Char Char Char Char Char5"/>
    <w:basedOn w:val="1"/>
    <w:next w:val="1"/>
    <w:qFormat/>
    <w:uiPriority w:val="0"/>
    <w:pPr>
      <w:spacing w:line="600" w:lineRule="exact"/>
      <w:ind w:firstLine="200" w:firstLineChars="200"/>
      <w:contextualSpacing/>
    </w:pPr>
    <w:rPr>
      <w:rFonts w:ascii="方正仿宋简体" w:hAnsi="方正仿宋简体" w:eastAsia="等线" w:cs="方正仿宋简体"/>
      <w:sz w:val="32"/>
    </w:rPr>
  </w:style>
  <w:style w:type="paragraph" w:customStyle="1" w:styleId="167">
    <w:name w:val="ice表内"/>
    <w:basedOn w:val="1"/>
    <w:qFormat/>
    <w:uiPriority w:val="0"/>
    <w:pPr>
      <w:widowControl/>
      <w:jc w:val="center"/>
    </w:pPr>
    <w:rPr>
      <w:rFonts w:cs="宋体"/>
      <w:color w:val="000000"/>
      <w:kern w:val="0"/>
      <w:sz w:val="21"/>
    </w:rPr>
  </w:style>
  <w:style w:type="paragraph" w:customStyle="1" w:styleId="168">
    <w:name w:val="ice表头"/>
    <w:basedOn w:val="1"/>
    <w:qFormat/>
    <w:uiPriority w:val="0"/>
    <w:pPr>
      <w:widowControl/>
      <w:jc w:val="center"/>
      <w:outlineLvl w:val="4"/>
    </w:pPr>
    <w:rPr>
      <w:rFonts w:ascii="宋体" w:hAnsi="宋体" w:cs="宋体"/>
      <w:b/>
      <w:kern w:val="0"/>
      <w:szCs w:val="21"/>
    </w:rPr>
  </w:style>
  <w:style w:type="paragraph" w:customStyle="1" w:styleId="169">
    <w:name w:val="表头和图头"/>
    <w:basedOn w:val="1"/>
    <w:link w:val="170"/>
    <w:qFormat/>
    <w:uiPriority w:val="0"/>
    <w:pPr>
      <w:spacing w:line="360" w:lineRule="auto"/>
      <w:jc w:val="center"/>
      <w:outlineLvl w:val="4"/>
    </w:pPr>
    <w:rPr>
      <w:b/>
    </w:rPr>
  </w:style>
  <w:style w:type="character" w:customStyle="1" w:styleId="170">
    <w:name w:val="表头和图头 Char"/>
    <w:link w:val="169"/>
    <w:qFormat/>
    <w:uiPriority w:val="0"/>
    <w:rPr>
      <w:b/>
      <w:kern w:val="2"/>
      <w:sz w:val="24"/>
      <w:szCs w:val="24"/>
    </w:rPr>
  </w:style>
  <w:style w:type="character" w:customStyle="1" w:styleId="171">
    <w:name w:val="正文缩进 Char1"/>
    <w:qFormat/>
    <w:uiPriority w:val="0"/>
    <w:rPr>
      <w:rFonts w:ascii="宋体" w:eastAsia="宋体"/>
      <w:kern w:val="2"/>
      <w:sz w:val="24"/>
      <w:lang w:val="en-US" w:eastAsia="zh-CN" w:bidi="ar-SA"/>
    </w:rPr>
  </w:style>
  <w:style w:type="paragraph" w:customStyle="1" w:styleId="172">
    <w:name w:val="正文文本缩进 31"/>
    <w:basedOn w:val="1"/>
    <w:qFormat/>
    <w:uiPriority w:val="0"/>
    <w:pPr>
      <w:adjustRightInd w:val="0"/>
      <w:spacing w:line="480" w:lineRule="exact"/>
      <w:ind w:firstLine="570" w:firstLineChars="200"/>
      <w:textAlignment w:val="baseline"/>
    </w:pPr>
    <w:rPr>
      <w:rFonts w:hAnsi="宋体"/>
    </w:rPr>
  </w:style>
  <w:style w:type="character" w:customStyle="1" w:styleId="173">
    <w:name w:val="标题 3 Char"/>
    <w:link w:val="6"/>
    <w:qFormat/>
    <w:uiPriority w:val="9"/>
    <w:rPr>
      <w:b/>
      <w:bCs/>
      <w:kern w:val="2"/>
      <w:sz w:val="28"/>
      <w:szCs w:val="32"/>
    </w:rPr>
  </w:style>
  <w:style w:type="paragraph" w:customStyle="1" w:styleId="174">
    <w:name w:val="报告"/>
    <w:basedOn w:val="1"/>
    <w:link w:val="175"/>
    <w:qFormat/>
    <w:uiPriority w:val="0"/>
    <w:pPr>
      <w:adjustRightInd w:val="0"/>
      <w:spacing w:line="360" w:lineRule="auto"/>
      <w:ind w:firstLine="505" w:firstLineChars="200"/>
      <w:textAlignment w:val="baseline"/>
    </w:pPr>
    <w:rPr>
      <w:kern w:val="0"/>
      <w:szCs w:val="20"/>
    </w:rPr>
  </w:style>
  <w:style w:type="character" w:customStyle="1" w:styleId="175">
    <w:name w:val="报告 Char"/>
    <w:link w:val="174"/>
    <w:qFormat/>
    <w:uiPriority w:val="0"/>
    <w:rPr>
      <w:sz w:val="24"/>
    </w:rPr>
  </w:style>
  <w:style w:type="paragraph" w:customStyle="1" w:styleId="176">
    <w:name w:val="Char Char3 Char Char Char Char"/>
    <w:basedOn w:val="1"/>
    <w:qFormat/>
    <w:uiPriority w:val="0"/>
    <w:pPr>
      <w:widowControl/>
      <w:spacing w:after="160" w:line="240" w:lineRule="exact"/>
      <w:ind w:firstLine="200" w:firstLineChars="200"/>
      <w:jc w:val="left"/>
    </w:pPr>
    <w:rPr>
      <w:rFonts w:ascii="Verdana" w:hAnsi="Verdana" w:eastAsia="仿宋_GB2312"/>
      <w:kern w:val="0"/>
      <w:szCs w:val="20"/>
      <w:lang w:eastAsia="en-US"/>
    </w:rPr>
  </w:style>
  <w:style w:type="paragraph" w:customStyle="1" w:styleId="177">
    <w:name w:val="正文（行首缩进）"/>
    <w:basedOn w:val="1"/>
    <w:qFormat/>
    <w:uiPriority w:val="0"/>
    <w:pPr>
      <w:spacing w:afterLines="50" w:line="360" w:lineRule="auto"/>
      <w:ind w:firstLine="200" w:firstLineChars="200"/>
    </w:pPr>
    <w:rPr>
      <w:kern w:val="0"/>
      <w:szCs w:val="20"/>
    </w:rPr>
  </w:style>
  <w:style w:type="paragraph" w:customStyle="1" w:styleId="178">
    <w:name w:val="ice表头、图头"/>
    <w:next w:val="1"/>
    <w:link w:val="179"/>
    <w:qFormat/>
    <w:uiPriority w:val="0"/>
    <w:pPr>
      <w:spacing w:beforeLines="20" w:afterLines="15"/>
      <w:jc w:val="center"/>
      <w:outlineLvl w:val="5"/>
    </w:pPr>
    <w:rPr>
      <w:rFonts w:ascii="Times New Roman" w:hAnsi="Times New Roman" w:eastAsia="宋体" w:cs="Times New Roman"/>
      <w:b/>
      <w:kern w:val="2"/>
      <w:sz w:val="24"/>
      <w:szCs w:val="24"/>
      <w:lang w:val="en-US" w:eastAsia="zh-CN" w:bidi="ar-SA"/>
    </w:rPr>
  </w:style>
  <w:style w:type="character" w:customStyle="1" w:styleId="179">
    <w:name w:val="ice表头、图头 Char"/>
    <w:link w:val="178"/>
    <w:qFormat/>
    <w:uiPriority w:val="0"/>
    <w:rPr>
      <w:b/>
      <w:kern w:val="2"/>
      <w:sz w:val="24"/>
      <w:szCs w:val="24"/>
    </w:rPr>
  </w:style>
  <w:style w:type="paragraph" w:customStyle="1" w:styleId="180">
    <w:name w:val="ice4"/>
    <w:basedOn w:val="1"/>
    <w:qFormat/>
    <w:uiPriority w:val="0"/>
    <w:pPr>
      <w:spacing w:line="360" w:lineRule="auto"/>
      <w:jc w:val="left"/>
      <w:outlineLvl w:val="3"/>
    </w:pPr>
    <w:rPr>
      <w:b/>
    </w:rPr>
  </w:style>
  <w:style w:type="paragraph" w:customStyle="1" w:styleId="181">
    <w:name w:val="iceant内"/>
    <w:basedOn w:val="1"/>
    <w:link w:val="182"/>
    <w:qFormat/>
    <w:uiPriority w:val="0"/>
    <w:pPr>
      <w:spacing w:line="360" w:lineRule="auto"/>
      <w:ind w:firstLine="200" w:firstLineChars="200"/>
      <w:jc w:val="center"/>
    </w:pPr>
    <w:rPr>
      <w:szCs w:val="21"/>
    </w:rPr>
  </w:style>
  <w:style w:type="character" w:customStyle="1" w:styleId="182">
    <w:name w:val="iceant内 Char"/>
    <w:link w:val="181"/>
    <w:qFormat/>
    <w:uiPriority w:val="0"/>
    <w:rPr>
      <w:kern w:val="2"/>
      <w:sz w:val="24"/>
      <w:szCs w:val="21"/>
    </w:rPr>
  </w:style>
  <w:style w:type="character" w:customStyle="1" w:styleId="183">
    <w:name w:val="正文1 Char"/>
    <w:link w:val="63"/>
    <w:qFormat/>
    <w:uiPriority w:val="0"/>
    <w:rPr>
      <w:rFonts w:cs="宋体"/>
      <w:sz w:val="24"/>
      <w:szCs w:val="21"/>
    </w:rPr>
  </w:style>
  <w:style w:type="paragraph" w:customStyle="1" w:styleId="184">
    <w:name w:val="_正文"/>
    <w:qFormat/>
    <w:uiPriority w:val="0"/>
    <w:pPr>
      <w:widowControl w:val="0"/>
      <w:adjustRightInd w:val="0"/>
      <w:snapToGrid w:val="0"/>
      <w:spacing w:line="360" w:lineRule="auto"/>
      <w:ind w:firstLine="566" w:firstLineChars="202"/>
      <w:jc w:val="both"/>
    </w:pPr>
    <w:rPr>
      <w:rFonts w:ascii="宋体" w:hAnsi="宋体" w:eastAsia="宋体" w:cs="Times New Roman"/>
      <w:bCs/>
      <w:iCs/>
      <w:snapToGrid w:val="0"/>
      <w:kern w:val="2"/>
      <w:sz w:val="28"/>
      <w:szCs w:val="28"/>
      <w:lang w:val="en-US" w:eastAsia="zh-CN" w:bidi="ar-SA"/>
    </w:rPr>
  </w:style>
  <w:style w:type="paragraph" w:customStyle="1" w:styleId="185">
    <w:name w:val="正文001"/>
    <w:basedOn w:val="1"/>
    <w:link w:val="186"/>
    <w:qFormat/>
    <w:uiPriority w:val="0"/>
    <w:pPr>
      <w:spacing w:line="440" w:lineRule="atLeast"/>
      <w:ind w:firstLine="200" w:firstLineChars="200"/>
    </w:pPr>
    <w:rPr>
      <w:szCs w:val="20"/>
    </w:rPr>
  </w:style>
  <w:style w:type="character" w:customStyle="1" w:styleId="186">
    <w:name w:val="正文001 Char"/>
    <w:link w:val="185"/>
    <w:qFormat/>
    <w:locked/>
    <w:uiPriority w:val="0"/>
    <w:rPr>
      <w:kern w:val="2"/>
      <w:sz w:val="24"/>
    </w:rPr>
  </w:style>
  <w:style w:type="character" w:customStyle="1" w:styleId="187">
    <w:name w:val="ice表图头 Char"/>
    <w:link w:val="188"/>
    <w:qFormat/>
    <w:uiPriority w:val="0"/>
    <w:rPr>
      <w:b/>
      <w:kern w:val="2"/>
      <w:sz w:val="24"/>
      <w:szCs w:val="21"/>
    </w:rPr>
  </w:style>
  <w:style w:type="paragraph" w:customStyle="1" w:styleId="188">
    <w:name w:val="ice表图头"/>
    <w:basedOn w:val="1"/>
    <w:link w:val="187"/>
    <w:qFormat/>
    <w:uiPriority w:val="0"/>
    <w:pPr>
      <w:tabs>
        <w:tab w:val="center" w:pos="4678"/>
        <w:tab w:val="right" w:pos="8504"/>
      </w:tabs>
      <w:spacing w:line="360" w:lineRule="auto"/>
      <w:ind w:firstLine="200" w:firstLineChars="200"/>
      <w:jc w:val="center"/>
      <w:outlineLvl w:val="5"/>
    </w:pPr>
    <w:rPr>
      <w:b/>
      <w:szCs w:val="21"/>
    </w:rPr>
  </w:style>
  <w:style w:type="character" w:customStyle="1" w:styleId="189">
    <w:name w:val="标题 4 Char2"/>
    <w:qFormat/>
    <w:uiPriority w:val="0"/>
    <w:rPr>
      <w:rFonts w:ascii="Arial" w:hAnsi="Arial" w:eastAsia="黑体" w:cs="Courier New"/>
      <w:b/>
      <w:bCs/>
      <w:kern w:val="2"/>
      <w:sz w:val="28"/>
      <w:szCs w:val="28"/>
      <w:lang w:val="en-US" w:eastAsia="zh-CN" w:bidi="ar-SA"/>
    </w:rPr>
  </w:style>
  <w:style w:type="paragraph" w:customStyle="1" w:styleId="190">
    <w:name w:val="无悬挂正文5号"/>
    <w:basedOn w:val="1"/>
    <w:qFormat/>
    <w:uiPriority w:val="0"/>
    <w:pPr>
      <w:spacing w:line="360" w:lineRule="auto"/>
      <w:ind w:firstLine="200" w:firstLineChars="200"/>
      <w:jc w:val="center"/>
    </w:pPr>
  </w:style>
  <w:style w:type="character" w:customStyle="1" w:styleId="191">
    <w:name w:val="Char4 Char Char"/>
    <w:qFormat/>
    <w:uiPriority w:val="0"/>
    <w:rPr>
      <w:rFonts w:eastAsia="宋体"/>
      <w:kern w:val="2"/>
      <w:sz w:val="21"/>
      <w:szCs w:val="24"/>
      <w:lang w:val="en-US" w:eastAsia="zh-CN" w:bidi="ar-SA"/>
    </w:rPr>
  </w:style>
  <w:style w:type="character" w:customStyle="1" w:styleId="192">
    <w:name w:val="正文文本缩进 Char4"/>
    <w:qFormat/>
    <w:locked/>
    <w:uiPriority w:val="0"/>
    <w:rPr>
      <w:rFonts w:eastAsia="宋体"/>
      <w:kern w:val="2"/>
      <w:sz w:val="30"/>
      <w:szCs w:val="24"/>
      <w:lang w:val="en-US" w:eastAsia="zh-CN" w:bidi="ar-SA"/>
    </w:rPr>
  </w:style>
  <w:style w:type="paragraph" w:customStyle="1" w:styleId="193">
    <w:name w:val="一级标题"/>
    <w:basedOn w:val="1"/>
    <w:qFormat/>
    <w:uiPriority w:val="0"/>
    <w:pPr>
      <w:ind w:firstLine="539"/>
    </w:pPr>
    <w:rPr>
      <w:rFonts w:ascii="Arial" w:eastAsia="黑体"/>
      <w:kern w:val="0"/>
      <w:sz w:val="28"/>
      <w:szCs w:val="20"/>
    </w:rPr>
  </w:style>
  <w:style w:type="character" w:customStyle="1" w:styleId="194">
    <w:name w:val="正文文本 Char1"/>
    <w:qFormat/>
    <w:uiPriority w:val="0"/>
    <w:rPr>
      <w:rFonts w:eastAsia="宋体"/>
      <w:sz w:val="28"/>
      <w:szCs w:val="24"/>
      <w:lang w:val="en-US" w:eastAsia="zh-CN" w:bidi="ar-SA"/>
    </w:rPr>
  </w:style>
  <w:style w:type="character" w:customStyle="1" w:styleId="195">
    <w:name w:val="标题 2 Char1"/>
    <w:qFormat/>
    <w:uiPriority w:val="0"/>
    <w:rPr>
      <w:b/>
      <w:kern w:val="2"/>
      <w:sz w:val="30"/>
      <w:szCs w:val="24"/>
    </w:rPr>
  </w:style>
  <w:style w:type="paragraph" w:customStyle="1" w:styleId="196">
    <w:name w:val="iceant4"/>
    <w:basedOn w:val="1"/>
    <w:qFormat/>
    <w:uiPriority w:val="0"/>
    <w:pPr>
      <w:spacing w:line="360" w:lineRule="auto"/>
      <w:jc w:val="left"/>
      <w:outlineLvl w:val="3"/>
    </w:pPr>
    <w:rPr>
      <w:b/>
      <w:sz w:val="28"/>
    </w:rPr>
  </w:style>
  <w:style w:type="paragraph" w:customStyle="1" w:styleId="197">
    <w:name w:val="ice正文 Char"/>
    <w:basedOn w:val="1"/>
    <w:qFormat/>
    <w:uiPriority w:val="0"/>
    <w:pPr>
      <w:spacing w:line="360" w:lineRule="auto"/>
      <w:ind w:firstLine="200" w:firstLineChars="200"/>
    </w:pPr>
  </w:style>
  <w:style w:type="paragraph" w:customStyle="1" w:styleId="198">
    <w:name w:val="Char Char3 Char Char Char Char1"/>
    <w:basedOn w:val="1"/>
    <w:qFormat/>
    <w:uiPriority w:val="0"/>
    <w:pPr>
      <w:widowControl/>
      <w:spacing w:after="160" w:line="240" w:lineRule="exact"/>
      <w:ind w:firstLine="200" w:firstLineChars="200"/>
      <w:jc w:val="left"/>
    </w:pPr>
    <w:rPr>
      <w:rFonts w:ascii="Verdana" w:hAnsi="Verdana" w:eastAsia="仿宋_GB2312"/>
      <w:kern w:val="0"/>
      <w:szCs w:val="20"/>
      <w:lang w:eastAsia="en-US"/>
    </w:rPr>
  </w:style>
  <w:style w:type="paragraph" w:customStyle="1" w:styleId="199">
    <w:name w:val="文本内容"/>
    <w:basedOn w:val="1"/>
    <w:qFormat/>
    <w:uiPriority w:val="0"/>
    <w:pPr>
      <w:adjustRightInd w:val="0"/>
      <w:snapToGrid w:val="0"/>
      <w:spacing w:line="360" w:lineRule="auto"/>
      <w:ind w:firstLine="200" w:firstLineChars="200"/>
    </w:pPr>
    <w:rPr>
      <w:kern w:val="0"/>
    </w:rPr>
  </w:style>
  <w:style w:type="character" w:customStyle="1" w:styleId="200">
    <w:name w:val="正文文本 (2) + 9 pt"/>
    <w:qFormat/>
    <w:uiPriority w:val="0"/>
    <w:rPr>
      <w:rFonts w:ascii="MingLiU" w:hAnsi="MingLiU" w:eastAsia="MingLiU" w:cs="MingLiU"/>
      <w:color w:val="000000"/>
      <w:spacing w:val="0"/>
      <w:w w:val="100"/>
      <w:position w:val="0"/>
      <w:sz w:val="18"/>
      <w:szCs w:val="18"/>
      <w:u w:val="none"/>
      <w:shd w:val="clear" w:color="auto" w:fill="FFFFFF"/>
      <w:lang w:val="zh-TW" w:eastAsia="zh-TW" w:bidi="zh-TW"/>
    </w:rPr>
  </w:style>
  <w:style w:type="paragraph" w:customStyle="1" w:styleId="201">
    <w:name w:val="报告表格"/>
    <w:basedOn w:val="1"/>
    <w:qFormat/>
    <w:uiPriority w:val="0"/>
    <w:pPr>
      <w:autoSpaceDE w:val="0"/>
      <w:autoSpaceDN w:val="0"/>
      <w:adjustRightInd w:val="0"/>
      <w:spacing w:before="40" w:after="40" w:line="360" w:lineRule="auto"/>
      <w:ind w:firstLine="200" w:firstLineChars="200"/>
      <w:jc w:val="center"/>
      <w:textAlignment w:val="bottom"/>
    </w:pPr>
    <w:rPr>
      <w:kern w:val="0"/>
      <w:szCs w:val="20"/>
    </w:rPr>
  </w:style>
  <w:style w:type="character" w:customStyle="1" w:styleId="202">
    <w:name w:val="纯文本 Char"/>
    <w:link w:val="24"/>
    <w:qFormat/>
    <w:uiPriority w:val="0"/>
    <w:rPr>
      <w:rFonts w:ascii="宋体" w:hAnsi="Courier New"/>
      <w:kern w:val="2"/>
      <w:sz w:val="28"/>
      <w:szCs w:val="21"/>
    </w:rPr>
  </w:style>
  <w:style w:type="character" w:customStyle="1" w:styleId="203">
    <w:name w:val="表格文字 Char"/>
    <w:link w:val="76"/>
    <w:qFormat/>
    <w:uiPriority w:val="0"/>
    <w:rPr>
      <w:rFonts w:ascii="仿宋_GB2312" w:hAnsi="Arial Black" w:eastAsia="仿宋_GB2312"/>
      <w:kern w:val="44"/>
      <w:sz w:val="24"/>
      <w:szCs w:val="24"/>
    </w:rPr>
  </w:style>
  <w:style w:type="paragraph" w:customStyle="1" w:styleId="204">
    <w:name w:val="正文-G Char Char"/>
    <w:basedOn w:val="1"/>
    <w:qFormat/>
    <w:uiPriority w:val="0"/>
    <w:pPr>
      <w:spacing w:line="400" w:lineRule="exact"/>
      <w:ind w:firstLine="480" w:firstLineChars="200"/>
    </w:pPr>
    <w:rPr>
      <w:rFonts w:eastAsia="仿宋_GB2312"/>
      <w:kern w:val="0"/>
      <w:sz w:val="24"/>
      <w:szCs w:val="20"/>
    </w:rPr>
  </w:style>
  <w:style w:type="paragraph" w:customStyle="1" w:styleId="205">
    <w:name w:val="表格内容自定"/>
    <w:basedOn w:val="1"/>
    <w:qFormat/>
    <w:uiPriority w:val="0"/>
    <w:pPr>
      <w:spacing w:line="280" w:lineRule="exact"/>
      <w:ind w:firstLine="0" w:firstLineChars="0"/>
      <w:jc w:val="center"/>
    </w:pPr>
    <w:rPr>
      <w:kern w:val="0"/>
      <w:sz w:val="18"/>
      <w:szCs w:val="21"/>
    </w:rPr>
  </w:style>
  <w:style w:type="paragraph" w:customStyle="1" w:styleId="206">
    <w:name w:val="L正文"/>
    <w:qFormat/>
    <w:uiPriority w:val="0"/>
    <w:pPr>
      <w:adjustRightInd w:val="0"/>
      <w:spacing w:line="360" w:lineRule="auto"/>
      <w:ind w:firstLine="200" w:firstLineChars="200"/>
      <w:jc w:val="both"/>
    </w:pPr>
    <w:rPr>
      <w:rFonts w:ascii="Times New Roman" w:hAnsi="Times New Roman" w:eastAsia="宋体" w:cs="Times New Roman"/>
      <w:color w:val="000000"/>
      <w:kern w:val="2"/>
      <w:sz w:val="24"/>
      <w:szCs w:val="24"/>
      <w:lang w:val="en-US" w:eastAsia="zh-CN" w:bidi="ar-SA"/>
    </w:rPr>
  </w:style>
  <w:style w:type="character" w:customStyle="1" w:styleId="207">
    <w:name w:val="标题 3 Char Char"/>
    <w:qFormat/>
    <w:uiPriority w:val="0"/>
    <w:rPr>
      <w:bCs/>
      <w:szCs w:val="32"/>
    </w:rPr>
  </w:style>
  <w:style w:type="character" w:customStyle="1" w:styleId="208">
    <w:name w:val="font01"/>
    <w:basedOn w:val="47"/>
    <w:qFormat/>
    <w:uiPriority w:val="0"/>
    <w:rPr>
      <w:rFonts w:hint="eastAsia" w:ascii="宋体" w:hAnsi="宋体" w:eastAsia="宋体" w:cs="宋体"/>
      <w:color w:val="FF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0" Type="http://schemas.openxmlformats.org/officeDocument/2006/relationships/fontTable" Target="fontTable.xml"/><Relationship Id="rId6" Type="http://schemas.openxmlformats.org/officeDocument/2006/relationships/header" Target="header2.xml"/><Relationship Id="rId59" Type="http://schemas.openxmlformats.org/officeDocument/2006/relationships/customXml" Target="../customXml/item2.xml"/><Relationship Id="rId58" Type="http://schemas.openxmlformats.org/officeDocument/2006/relationships/numbering" Target="numbering.xml"/><Relationship Id="rId57" Type="http://schemas.openxmlformats.org/officeDocument/2006/relationships/customXml" Target="../customXml/item1.xml"/><Relationship Id="rId56" Type="http://schemas.openxmlformats.org/officeDocument/2006/relationships/image" Target="media/image36.png"/><Relationship Id="rId55" Type="http://schemas.openxmlformats.org/officeDocument/2006/relationships/image" Target="media/image35.jpeg"/><Relationship Id="rId54" Type="http://schemas.openxmlformats.org/officeDocument/2006/relationships/image" Target="media/image34.png"/><Relationship Id="rId53" Type="http://schemas.openxmlformats.org/officeDocument/2006/relationships/image" Target="media/image33.png"/><Relationship Id="rId52" Type="http://schemas.openxmlformats.org/officeDocument/2006/relationships/image" Target="media/image32.png"/><Relationship Id="rId51" Type="http://schemas.openxmlformats.org/officeDocument/2006/relationships/image" Target="media/image31.jpeg"/><Relationship Id="rId50" Type="http://schemas.openxmlformats.org/officeDocument/2006/relationships/image" Target="media/image30.png"/><Relationship Id="rId5" Type="http://schemas.openxmlformats.org/officeDocument/2006/relationships/footer" Target="footer2.xml"/><Relationship Id="rId49" Type="http://schemas.openxmlformats.org/officeDocument/2006/relationships/image" Target="media/image29.png"/><Relationship Id="rId48" Type="http://schemas.openxmlformats.org/officeDocument/2006/relationships/image" Target="media/image28.png"/><Relationship Id="rId47" Type="http://schemas.openxmlformats.org/officeDocument/2006/relationships/image" Target="media/image27.wmf"/><Relationship Id="rId46" Type="http://schemas.openxmlformats.org/officeDocument/2006/relationships/oleObject" Target="embeddings/oleObject10.bin"/><Relationship Id="rId45" Type="http://schemas.openxmlformats.org/officeDocument/2006/relationships/image" Target="media/image26.wmf"/><Relationship Id="rId44" Type="http://schemas.openxmlformats.org/officeDocument/2006/relationships/oleObject" Target="embeddings/oleObject9.bin"/><Relationship Id="rId43" Type="http://schemas.openxmlformats.org/officeDocument/2006/relationships/image" Target="media/image25.png"/><Relationship Id="rId42" Type="http://schemas.openxmlformats.org/officeDocument/2006/relationships/image" Target="media/image24.emf"/><Relationship Id="rId41" Type="http://schemas.openxmlformats.org/officeDocument/2006/relationships/oleObject" Target="embeddings/oleObject8.bin"/><Relationship Id="rId40" Type="http://schemas.openxmlformats.org/officeDocument/2006/relationships/image" Target="media/image23.png"/><Relationship Id="rId4" Type="http://schemas.openxmlformats.org/officeDocument/2006/relationships/footer" Target="footer1.xml"/><Relationship Id="rId39" Type="http://schemas.openxmlformats.org/officeDocument/2006/relationships/image" Target="media/image22.jpeg"/><Relationship Id="rId38" Type="http://schemas.openxmlformats.org/officeDocument/2006/relationships/image" Target="media/image21.emf"/><Relationship Id="rId37" Type="http://schemas.openxmlformats.org/officeDocument/2006/relationships/image" Target="media/image20.png"/><Relationship Id="rId36" Type="http://schemas.openxmlformats.org/officeDocument/2006/relationships/image" Target="media/image19.png"/><Relationship Id="rId35" Type="http://schemas.openxmlformats.org/officeDocument/2006/relationships/image" Target="media/image18.png"/><Relationship Id="rId34" Type="http://schemas.openxmlformats.org/officeDocument/2006/relationships/image" Target="media/image17.png"/><Relationship Id="rId33" Type="http://schemas.openxmlformats.org/officeDocument/2006/relationships/image" Target="media/image16.jpeg"/><Relationship Id="rId32" Type="http://schemas.openxmlformats.org/officeDocument/2006/relationships/image" Target="media/image15.png"/><Relationship Id="rId31" Type="http://schemas.openxmlformats.org/officeDocument/2006/relationships/image" Target="media/image14.png"/><Relationship Id="rId30" Type="http://schemas.openxmlformats.org/officeDocument/2006/relationships/image" Target="media/image13.png"/><Relationship Id="rId3" Type="http://schemas.openxmlformats.org/officeDocument/2006/relationships/header" Target="header1.xml"/><Relationship Id="rId29" Type="http://schemas.openxmlformats.org/officeDocument/2006/relationships/image" Target="media/image12.jpeg"/><Relationship Id="rId28" Type="http://schemas.openxmlformats.org/officeDocument/2006/relationships/image" Target="media/image11.wmf"/><Relationship Id="rId27" Type="http://schemas.openxmlformats.org/officeDocument/2006/relationships/oleObject" Target="embeddings/oleObject7.bin"/><Relationship Id="rId26" Type="http://schemas.openxmlformats.org/officeDocument/2006/relationships/image" Target="media/image10.jpeg"/><Relationship Id="rId25" Type="http://schemas.openxmlformats.org/officeDocument/2006/relationships/image" Target="media/image9.jpeg"/><Relationship Id="rId24" Type="http://schemas.openxmlformats.org/officeDocument/2006/relationships/image" Target="media/image8.emf"/><Relationship Id="rId23" Type="http://schemas.openxmlformats.org/officeDocument/2006/relationships/oleObject" Target="embeddings/oleObject6.bin"/><Relationship Id="rId22" Type="http://schemas.openxmlformats.org/officeDocument/2006/relationships/image" Target="media/image7.emf"/><Relationship Id="rId21" Type="http://schemas.openxmlformats.org/officeDocument/2006/relationships/oleObject" Target="embeddings/oleObject5.bin"/><Relationship Id="rId20" Type="http://schemas.openxmlformats.org/officeDocument/2006/relationships/image" Target="media/image6.emf"/><Relationship Id="rId2" Type="http://schemas.openxmlformats.org/officeDocument/2006/relationships/settings" Target="settings.xml"/><Relationship Id="rId19" Type="http://schemas.openxmlformats.org/officeDocument/2006/relationships/oleObject" Target="embeddings/oleObject4.bin"/><Relationship Id="rId18" Type="http://schemas.openxmlformats.org/officeDocument/2006/relationships/image" Target="media/image5.emf"/><Relationship Id="rId17" Type="http://schemas.openxmlformats.org/officeDocument/2006/relationships/oleObject" Target="embeddings/oleObject3.bin"/><Relationship Id="rId16" Type="http://schemas.openxmlformats.org/officeDocument/2006/relationships/image" Target="media/image4.png"/><Relationship Id="rId15" Type="http://schemas.openxmlformats.org/officeDocument/2006/relationships/image" Target="media/image3.emf"/><Relationship Id="rId14" Type="http://schemas.openxmlformats.org/officeDocument/2006/relationships/oleObject" Target="embeddings/oleObject2.bin"/><Relationship Id="rId13" Type="http://schemas.openxmlformats.org/officeDocument/2006/relationships/image" Target="media/image2.png"/><Relationship Id="rId12" Type="http://schemas.openxmlformats.org/officeDocument/2006/relationships/image" Target="media/image1.wmf"/><Relationship Id="rId11" Type="http://schemas.openxmlformats.org/officeDocument/2006/relationships/oleObject" Target="embeddings/oleObject1.bin"/><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65"/>
    <customShpInfo spid="_x0000_s1096"/>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66B51AB-1A67-4B1B-9B0D-085449AE3CB0}">
  <ds:schemaRefs/>
</ds:datastoreItem>
</file>

<file path=docProps/app.xml><?xml version="1.0" encoding="utf-8"?>
<Properties xmlns="http://schemas.openxmlformats.org/officeDocument/2006/extended-properties" xmlns:vt="http://schemas.openxmlformats.org/officeDocument/2006/docPropsVTypes">
  <Template>Normal.dotm</Template>
  <Company>WwW.YlmF.CoM</Company>
  <Pages>217</Pages>
  <Words>135499</Words>
  <Characters>170651</Characters>
  <Lines>1735</Lines>
  <Paragraphs>488</Paragraphs>
  <TotalTime>5</TotalTime>
  <ScaleCrop>false</ScaleCrop>
  <LinksUpToDate>false</LinksUpToDate>
  <CharactersWithSpaces>171699</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2021-07-28T13:22:00Z</dcterms:created>
  <dc:creator>Administrator.WIN7-20170615II</dc:creator>
  <cp:lastModifiedBy>吴仕波</cp:lastModifiedBy>
  <cp:lastPrinted>2023-05-19T01:16:00Z</cp:lastPrinted>
  <dcterms:modified xsi:type="dcterms:W3CDTF">2023-05-26T06:27:43Z</dcterms:modified>
  <dc:title>第一章   总论</dc:title>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1468EC097A454C78B17DB508494AE56E_13</vt:lpwstr>
  </property>
</Properties>
</file>